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C9F7D">
      <w:pPr>
        <w:adjustRightInd w:val="0"/>
        <w:snapToGrid w:val="0"/>
        <w:spacing w:line="360" w:lineRule="auto"/>
        <w:jc w:val="right"/>
        <w:rPr>
          <w:rFonts w:hint="eastAsia" w:ascii="宋体" w:eastAsia="宋体" w:cs="Times New Roman"/>
          <w:b/>
          <w:bCs/>
          <w:color w:val="auto"/>
          <w:sz w:val="30"/>
          <w:szCs w:val="30"/>
          <w:lang w:val="en-US" w:eastAsia="zh-CN"/>
        </w:rPr>
      </w:pPr>
      <w:bookmarkStart w:id="0" w:name="OLE_LINK9"/>
      <w:r>
        <w:rPr>
          <w:rFonts w:hint="eastAsia" w:ascii="宋体" w:hAnsi="宋体" w:cs="宋体"/>
          <w:b/>
          <w:bCs/>
          <w:color w:val="auto"/>
          <w:sz w:val="30"/>
          <w:szCs w:val="30"/>
          <w:lang w:val="en-US" w:eastAsia="zh-CN"/>
        </w:rPr>
        <w:t>自行</w:t>
      </w:r>
      <w:r>
        <w:rPr>
          <w:rFonts w:hint="eastAsia" w:ascii="宋体" w:hAnsi="宋体" w:cs="宋体"/>
          <w:b/>
          <w:bCs/>
          <w:color w:val="auto"/>
          <w:sz w:val="30"/>
          <w:szCs w:val="30"/>
        </w:rPr>
        <w:t>采购</w:t>
      </w:r>
      <w:r>
        <w:rPr>
          <w:rFonts w:hint="eastAsia" w:ascii="宋体" w:hAnsi="宋体" w:cs="宋体"/>
          <w:b/>
          <w:bCs/>
          <w:color w:val="auto"/>
          <w:sz w:val="30"/>
          <w:szCs w:val="30"/>
          <w:lang w:val="en-US" w:eastAsia="zh-CN"/>
        </w:rPr>
        <w:t>项目</w:t>
      </w:r>
    </w:p>
    <w:p w14:paraId="28D0B680">
      <w:pPr>
        <w:tabs>
          <w:tab w:val="left" w:pos="7400"/>
        </w:tabs>
        <w:adjustRightInd w:val="0"/>
        <w:snapToGrid w:val="0"/>
        <w:spacing w:line="360" w:lineRule="auto"/>
        <w:rPr>
          <w:rFonts w:hint="eastAsia" w:ascii="宋体" w:hAnsi="宋体" w:eastAsia="宋体" w:cs="宋体"/>
          <w:b/>
          <w:bCs/>
          <w:color w:val="auto"/>
          <w:sz w:val="30"/>
          <w:szCs w:val="30"/>
          <w:lang w:eastAsia="zh-CN"/>
        </w:rPr>
      </w:pPr>
      <w:r>
        <w:rPr>
          <w:rFonts w:hint="eastAsia" w:ascii="宋体" w:hAnsi="宋体" w:cs="宋体"/>
          <w:b/>
          <w:bCs/>
          <w:color w:val="auto"/>
          <w:sz w:val="30"/>
          <w:szCs w:val="30"/>
        </w:rPr>
        <w:t>项目编号：</w:t>
      </w:r>
      <w:r>
        <w:rPr>
          <w:rFonts w:hint="eastAsia" w:ascii="宋体" w:hAnsi="宋体" w:cs="宋体"/>
          <w:b/>
          <w:bCs/>
          <w:color w:val="auto"/>
          <w:sz w:val="30"/>
          <w:szCs w:val="30"/>
          <w:lang w:eastAsia="zh-CN"/>
        </w:rPr>
        <w:t>HBQBQB001</w:t>
      </w:r>
    </w:p>
    <w:p w14:paraId="301266EE">
      <w:pPr>
        <w:tabs>
          <w:tab w:val="left" w:pos="7400"/>
        </w:tabs>
        <w:adjustRightInd w:val="0"/>
        <w:snapToGrid w:val="0"/>
        <w:spacing w:line="360" w:lineRule="auto"/>
        <w:rPr>
          <w:rFonts w:hint="eastAsia" w:ascii="宋体" w:cs="Times New Roman"/>
          <w:b/>
          <w:bCs/>
          <w:sz w:val="44"/>
          <w:szCs w:val="44"/>
        </w:rPr>
      </w:pPr>
    </w:p>
    <w:p w14:paraId="0C409438">
      <w:pPr>
        <w:tabs>
          <w:tab w:val="left" w:pos="7400"/>
        </w:tabs>
        <w:adjustRightInd w:val="0"/>
        <w:snapToGrid w:val="0"/>
        <w:spacing w:line="360" w:lineRule="auto"/>
        <w:rPr>
          <w:rFonts w:ascii="宋体" w:cs="Times New Roman"/>
          <w:b/>
          <w:bCs/>
          <w:sz w:val="44"/>
          <w:szCs w:val="44"/>
        </w:rPr>
      </w:pPr>
      <w:r>
        <w:rPr>
          <w:rFonts w:hint="eastAsia" w:ascii="宋体" w:cs="Times New Roman"/>
          <w:b/>
          <w:bCs/>
          <w:sz w:val="44"/>
          <w:szCs w:val="44"/>
        </w:rPr>
        <w:tab/>
      </w:r>
    </w:p>
    <w:p w14:paraId="13DFD683">
      <w:pPr>
        <w:pStyle w:val="23"/>
        <w:spacing w:line="360" w:lineRule="auto"/>
        <w:jc w:val="center"/>
        <w:rPr>
          <w:rFonts w:hint="eastAsia" w:ascii="宋体" w:hAnsi="宋体" w:eastAsia="宋体" w:cs="宋体"/>
          <w:b/>
          <w:bCs/>
          <w:kern w:val="2"/>
          <w:sz w:val="40"/>
          <w:szCs w:val="40"/>
          <w:lang w:val="en-US" w:eastAsia="zh-CN" w:bidi="ar-SA"/>
        </w:rPr>
      </w:pPr>
      <w:r>
        <w:rPr>
          <w:rFonts w:hint="eastAsia" w:ascii="宋体" w:hAnsi="宋体" w:cs="宋体"/>
          <w:b/>
          <w:bCs/>
          <w:kern w:val="2"/>
          <w:sz w:val="40"/>
          <w:szCs w:val="40"/>
          <w:lang w:val="en-US" w:eastAsia="zh-CN" w:bidi="ar-SA"/>
        </w:rPr>
        <w:t>汉滨区“十三五”易地扶贫搬迁清盘决算审计项目</w:t>
      </w:r>
    </w:p>
    <w:p w14:paraId="5E3673C0">
      <w:pPr>
        <w:pStyle w:val="23"/>
        <w:jc w:val="center"/>
        <w:rPr>
          <w:sz w:val="40"/>
          <w:szCs w:val="40"/>
        </w:rPr>
      </w:pPr>
    </w:p>
    <w:p w14:paraId="7522C2E1">
      <w:pPr>
        <w:pStyle w:val="23"/>
      </w:pPr>
    </w:p>
    <w:p w14:paraId="4EDFD2A0">
      <w:pPr>
        <w:pStyle w:val="23"/>
      </w:pPr>
    </w:p>
    <w:p w14:paraId="3FD81A18">
      <w:pPr>
        <w:adjustRightInd w:val="0"/>
        <w:snapToGrid w:val="0"/>
        <w:spacing w:line="360" w:lineRule="auto"/>
        <w:jc w:val="center"/>
        <w:rPr>
          <w:rFonts w:ascii="宋体" w:cs="Times New Roman"/>
          <w:b/>
          <w:bCs/>
          <w:sz w:val="52"/>
          <w:szCs w:val="52"/>
        </w:rPr>
      </w:pPr>
    </w:p>
    <w:p w14:paraId="533A9791">
      <w:pPr>
        <w:adjustRightInd w:val="0"/>
        <w:snapToGrid w:val="0"/>
        <w:spacing w:line="360" w:lineRule="auto"/>
        <w:jc w:val="left"/>
        <w:rPr>
          <w:rFonts w:ascii="宋体" w:hAnsi="宋体" w:cs="宋体"/>
          <w:b/>
          <w:bCs/>
          <w:sz w:val="60"/>
          <w:szCs w:val="60"/>
        </w:rPr>
      </w:pPr>
      <w:r>
        <w:rPr>
          <w:rFonts w:hint="eastAsia" w:ascii="宋体" w:cs="Times New Roman"/>
          <w:b/>
          <w:bCs/>
          <w:sz w:val="56"/>
          <w:szCs w:val="56"/>
        </w:rPr>
        <w:t xml:space="preserve">         </w:t>
      </w:r>
      <w:r>
        <w:rPr>
          <w:rFonts w:hint="eastAsia" w:ascii="宋体" w:hAnsi="宋体" w:cs="宋体"/>
          <w:b/>
          <w:bCs/>
          <w:sz w:val="60"/>
          <w:szCs w:val="60"/>
        </w:rPr>
        <w:t>竞争性磋商文件</w:t>
      </w:r>
    </w:p>
    <w:p w14:paraId="269EDD0B">
      <w:pPr>
        <w:pStyle w:val="23"/>
      </w:pPr>
    </w:p>
    <w:p w14:paraId="2FF73D71">
      <w:pPr>
        <w:pStyle w:val="23"/>
        <w:rPr>
          <w:rFonts w:hint="eastAsia"/>
          <w:lang w:val="en-US" w:eastAsia="zh-CN"/>
        </w:rPr>
      </w:pPr>
      <w:r>
        <w:rPr>
          <w:rFonts w:hint="eastAsia"/>
          <w:lang w:val="en-US" w:eastAsia="zh-CN"/>
        </w:rPr>
        <w:t xml:space="preserve"> </w:t>
      </w:r>
    </w:p>
    <w:p w14:paraId="56AA483D">
      <w:pPr>
        <w:pStyle w:val="23"/>
        <w:rPr>
          <w:rFonts w:hint="eastAsia"/>
          <w:lang w:val="en-US" w:eastAsia="zh-CN"/>
        </w:rPr>
      </w:pPr>
    </w:p>
    <w:p w14:paraId="4AA7E2B6">
      <w:pPr>
        <w:pStyle w:val="23"/>
        <w:rPr>
          <w:rFonts w:hint="eastAsia"/>
          <w:lang w:val="en-US" w:eastAsia="zh-CN"/>
        </w:rPr>
      </w:pPr>
    </w:p>
    <w:p w14:paraId="77D5F420">
      <w:pPr>
        <w:pStyle w:val="23"/>
        <w:rPr>
          <w:rFonts w:hint="eastAsia"/>
          <w:lang w:val="en-US" w:eastAsia="zh-CN"/>
        </w:rPr>
      </w:pPr>
    </w:p>
    <w:p w14:paraId="167C29F0">
      <w:pPr>
        <w:pStyle w:val="23"/>
        <w:rPr>
          <w:rFonts w:hint="eastAsia"/>
          <w:lang w:val="en-US" w:eastAsia="zh-CN"/>
        </w:rPr>
      </w:pPr>
    </w:p>
    <w:p w14:paraId="24B5EDF4">
      <w:pPr>
        <w:pStyle w:val="23"/>
        <w:rPr>
          <w:rFonts w:hint="eastAsia"/>
          <w:lang w:val="en-US" w:eastAsia="zh-CN"/>
        </w:rPr>
      </w:pPr>
    </w:p>
    <w:p w14:paraId="3CFDF59B">
      <w:pPr>
        <w:pStyle w:val="23"/>
        <w:rPr>
          <w:rFonts w:hint="eastAsia"/>
          <w:lang w:val="en-US" w:eastAsia="zh-CN"/>
        </w:rPr>
      </w:pPr>
    </w:p>
    <w:p w14:paraId="4CB0314C">
      <w:pPr>
        <w:pStyle w:val="23"/>
        <w:rPr>
          <w:rFonts w:hint="eastAsia"/>
          <w:lang w:val="en-US" w:eastAsia="zh-CN"/>
        </w:rPr>
      </w:pPr>
    </w:p>
    <w:p w14:paraId="1D80652D">
      <w:pPr>
        <w:pStyle w:val="23"/>
        <w:rPr>
          <w:rFonts w:hint="eastAsia"/>
          <w:lang w:val="en-US" w:eastAsia="zh-CN"/>
        </w:rPr>
      </w:pPr>
    </w:p>
    <w:p w14:paraId="26E5A515">
      <w:pPr>
        <w:pStyle w:val="23"/>
        <w:rPr>
          <w:rFonts w:hint="eastAsia"/>
          <w:lang w:val="en-US" w:eastAsia="zh-CN"/>
        </w:rPr>
      </w:pPr>
    </w:p>
    <w:p w14:paraId="42A656F6">
      <w:pPr>
        <w:pStyle w:val="23"/>
        <w:rPr>
          <w:rFonts w:hint="eastAsia"/>
          <w:lang w:val="en-US" w:eastAsia="zh-CN"/>
        </w:rPr>
      </w:pPr>
    </w:p>
    <w:p w14:paraId="74E9B598">
      <w:pPr>
        <w:pStyle w:val="23"/>
        <w:rPr>
          <w:rFonts w:hint="eastAsia"/>
          <w:lang w:val="en-US" w:eastAsia="zh-CN"/>
        </w:rPr>
      </w:pPr>
    </w:p>
    <w:p w14:paraId="658ECEF3">
      <w:pPr>
        <w:pStyle w:val="23"/>
        <w:rPr>
          <w:rFonts w:hint="eastAsia"/>
          <w:lang w:val="en-US" w:eastAsia="zh-CN"/>
        </w:rPr>
      </w:pPr>
    </w:p>
    <w:p w14:paraId="7C129B94">
      <w:pPr>
        <w:pStyle w:val="23"/>
        <w:rPr>
          <w:rFonts w:hint="eastAsia"/>
          <w:lang w:val="en-US" w:eastAsia="zh-CN"/>
        </w:rPr>
      </w:pPr>
    </w:p>
    <w:p w14:paraId="411052E9">
      <w:pPr>
        <w:pStyle w:val="23"/>
        <w:rPr>
          <w:rFonts w:hint="eastAsia"/>
          <w:lang w:val="en-US" w:eastAsia="zh-CN"/>
        </w:rPr>
      </w:pPr>
    </w:p>
    <w:p w14:paraId="55C5A5F5">
      <w:pPr>
        <w:pStyle w:val="23"/>
        <w:rPr>
          <w:rFonts w:hint="eastAsia"/>
          <w:lang w:val="en-US" w:eastAsia="zh-CN"/>
        </w:rPr>
      </w:pPr>
    </w:p>
    <w:p w14:paraId="3C2CA620">
      <w:pPr>
        <w:pStyle w:val="23"/>
        <w:rPr>
          <w:rFonts w:hint="eastAsia"/>
          <w:lang w:val="en-US" w:eastAsia="zh-CN"/>
        </w:rPr>
      </w:pPr>
    </w:p>
    <w:p w14:paraId="5FF06FBA">
      <w:pPr>
        <w:pStyle w:val="23"/>
        <w:rPr>
          <w:rFonts w:hint="eastAsia"/>
          <w:lang w:val="en-US" w:eastAsia="zh-CN"/>
        </w:rPr>
      </w:pPr>
    </w:p>
    <w:p w14:paraId="14BF7CF0">
      <w:pPr>
        <w:pStyle w:val="23"/>
        <w:rPr>
          <w:rFonts w:hint="eastAsia"/>
          <w:lang w:val="en-US" w:eastAsia="zh-CN"/>
        </w:rPr>
      </w:pPr>
    </w:p>
    <w:p w14:paraId="522581FB">
      <w:pPr>
        <w:pStyle w:val="23"/>
        <w:rPr>
          <w:rFonts w:hint="eastAsia"/>
          <w:lang w:val="en-US" w:eastAsia="zh-CN"/>
        </w:rPr>
      </w:pPr>
    </w:p>
    <w:p w14:paraId="7188F790">
      <w:pPr>
        <w:pStyle w:val="23"/>
      </w:pPr>
    </w:p>
    <w:p w14:paraId="4014FA38">
      <w:pPr>
        <w:pStyle w:val="23"/>
        <w:jc w:val="both"/>
      </w:pPr>
    </w:p>
    <w:p w14:paraId="709FD6DD">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2108" w:firstLineChars="700"/>
        <w:jc w:val="both"/>
        <w:textAlignment w:val="auto"/>
        <w:rPr>
          <w:rFonts w:hint="eastAsia" w:ascii="宋体" w:hAnsi="宋体" w:cs="宋体"/>
          <w:b/>
          <w:bCs/>
          <w:color w:val="FF0000"/>
          <w:sz w:val="30"/>
          <w:szCs w:val="30"/>
          <w:lang w:val="en-US" w:eastAsia="zh-CN"/>
        </w:rPr>
      </w:pPr>
      <w:r>
        <w:rPr>
          <w:rFonts w:hint="eastAsia" w:ascii="宋体" w:hAnsi="宋体" w:cs="宋体"/>
          <w:b/>
          <w:bCs/>
          <w:sz w:val="30"/>
          <w:szCs w:val="30"/>
        </w:rPr>
        <w:t>采</w:t>
      </w:r>
      <w:r>
        <w:rPr>
          <w:rFonts w:hint="eastAsia" w:ascii="宋体" w:hAnsi="宋体" w:cs="宋体"/>
          <w:b/>
          <w:bCs/>
          <w:sz w:val="30"/>
          <w:szCs w:val="30"/>
          <w:lang w:val="en-US" w:eastAsia="zh-CN"/>
        </w:rPr>
        <w:t xml:space="preserve"> </w:t>
      </w:r>
      <w:r>
        <w:rPr>
          <w:rFonts w:hint="eastAsia" w:ascii="宋体" w:hAnsi="宋体" w:cs="宋体"/>
          <w:b/>
          <w:bCs/>
          <w:sz w:val="30"/>
          <w:szCs w:val="30"/>
        </w:rPr>
        <w:t>购</w:t>
      </w:r>
      <w:r>
        <w:rPr>
          <w:rFonts w:hint="eastAsia" w:ascii="宋体" w:hAnsi="宋体" w:cs="宋体"/>
          <w:b/>
          <w:bCs/>
          <w:sz w:val="30"/>
          <w:szCs w:val="30"/>
          <w:lang w:val="en-US" w:eastAsia="zh-CN"/>
        </w:rPr>
        <w:t xml:space="preserve"> </w:t>
      </w:r>
      <w:r>
        <w:rPr>
          <w:rFonts w:hint="eastAsia" w:ascii="宋体" w:hAnsi="宋体" w:cs="宋体"/>
          <w:b/>
          <w:bCs/>
          <w:sz w:val="30"/>
          <w:szCs w:val="30"/>
        </w:rPr>
        <w:t>人：</w:t>
      </w:r>
      <w:r>
        <w:rPr>
          <w:rFonts w:hint="eastAsia" w:ascii="宋体" w:hAnsi="宋体" w:cs="宋体"/>
          <w:b/>
          <w:bCs/>
          <w:color w:val="auto"/>
          <w:sz w:val="30"/>
          <w:szCs w:val="30"/>
          <w:lang w:val="en-US" w:eastAsia="zh-CN"/>
        </w:rPr>
        <w:t>汉滨区移民（脱贫）搬迁工作办公室</w:t>
      </w:r>
    </w:p>
    <w:p w14:paraId="10E2A02E">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2108" w:firstLineChars="700"/>
        <w:jc w:val="both"/>
        <w:textAlignment w:val="auto"/>
        <w:rPr>
          <w:rFonts w:hint="default" w:ascii="宋体" w:hAnsi="宋体" w:eastAsia="宋体" w:cs="宋体"/>
          <w:b/>
          <w:bCs/>
          <w:sz w:val="30"/>
          <w:szCs w:val="30"/>
          <w:lang w:val="en-US" w:eastAsia="zh-CN"/>
        </w:rPr>
      </w:pPr>
      <w:r>
        <w:rPr>
          <w:rFonts w:hint="eastAsia" w:ascii="宋体" w:hAnsi="宋体" w:cs="宋体"/>
          <w:b/>
          <w:bCs/>
          <w:sz w:val="30"/>
          <w:szCs w:val="30"/>
          <w:lang w:val="en-US" w:eastAsia="zh-CN"/>
        </w:rPr>
        <w:t>时    间：二〇二五年九</w:t>
      </w:r>
      <w:r>
        <w:rPr>
          <w:rFonts w:hint="eastAsia" w:ascii="宋体" w:hAnsi="宋体" w:cs="宋体"/>
          <w:b/>
          <w:bCs/>
          <w:sz w:val="30"/>
          <w:szCs w:val="30"/>
        </w:rPr>
        <w:t>月</w:t>
      </w:r>
      <w:r>
        <w:rPr>
          <w:rFonts w:hint="eastAsia" w:ascii="宋体" w:hAnsi="宋体" w:cs="宋体"/>
          <w:b/>
          <w:bCs/>
          <w:sz w:val="30"/>
          <w:szCs w:val="30"/>
          <w:lang w:val="en-US" w:eastAsia="zh-CN"/>
        </w:rPr>
        <w:t>十七日</w:t>
      </w:r>
    </w:p>
    <w:p w14:paraId="657BE70D">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2108" w:firstLineChars="700"/>
        <w:jc w:val="both"/>
        <w:textAlignment w:val="auto"/>
        <w:rPr>
          <w:rFonts w:hint="eastAsia" w:ascii="宋体" w:hAnsi="宋体" w:cs="宋体"/>
          <w:b/>
          <w:bCs/>
          <w:sz w:val="30"/>
          <w:szCs w:val="30"/>
        </w:rPr>
      </w:pPr>
    </w:p>
    <w:p w14:paraId="2430ADBF">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2108" w:firstLineChars="700"/>
        <w:jc w:val="both"/>
        <w:textAlignment w:val="auto"/>
        <w:rPr>
          <w:rFonts w:hint="eastAsia" w:ascii="宋体" w:hAnsi="宋体" w:cs="宋体"/>
          <w:b/>
          <w:bCs/>
          <w:sz w:val="30"/>
          <w:szCs w:val="30"/>
        </w:rPr>
        <w:sectPr>
          <w:headerReference r:id="rId4" w:type="first"/>
          <w:headerReference r:id="rId3" w:type="default"/>
          <w:footerReference r:id="rId5" w:type="default"/>
          <w:pgSz w:w="11906" w:h="16838"/>
          <w:pgMar w:top="1417" w:right="1417" w:bottom="1417" w:left="1417" w:header="454" w:footer="454" w:gutter="0"/>
          <w:pgNumType w:fmt="decimal"/>
          <w:cols w:space="0" w:num="1"/>
          <w:rtlGutter w:val="0"/>
          <w:docGrid w:linePitch="326" w:charSpace="0"/>
        </w:sectPr>
      </w:pPr>
    </w:p>
    <w:p w14:paraId="42B87D25">
      <w:pPr>
        <w:pStyle w:val="25"/>
        <w:tabs>
          <w:tab w:val="center" w:pos="4819"/>
          <w:tab w:val="left" w:pos="6069"/>
          <w:tab w:val="right" w:leader="dot" w:pos="8306"/>
        </w:tabs>
        <w:spacing w:before="0" w:after="0" w:line="480" w:lineRule="exact"/>
        <w:rPr>
          <w:rFonts w:ascii="宋体" w:hAnsi="宋体" w:cs="宋体"/>
          <w:b w:val="0"/>
          <w:bCs w:val="0"/>
          <w:sz w:val="48"/>
          <w:szCs w:val="52"/>
        </w:rPr>
      </w:pPr>
      <w:r>
        <w:rPr>
          <w:rFonts w:ascii="宋体" w:hAnsi="宋体" w:cs="宋体"/>
          <w:b w:val="0"/>
          <w:bCs w:val="0"/>
          <w:sz w:val="48"/>
          <w:szCs w:val="52"/>
        </w:rPr>
        <w:tab/>
      </w:r>
    </w:p>
    <w:p w14:paraId="3F6E76DE">
      <w:pPr>
        <w:pStyle w:val="25"/>
        <w:tabs>
          <w:tab w:val="center" w:pos="4819"/>
          <w:tab w:val="left" w:pos="6069"/>
          <w:tab w:val="right" w:leader="dot" w:pos="8306"/>
        </w:tabs>
        <w:spacing w:before="0" w:after="0" w:line="360" w:lineRule="auto"/>
        <w:jc w:val="center"/>
        <w:rPr>
          <w:rFonts w:ascii="宋体" w:hAnsi="宋体" w:cs="宋体"/>
          <w:b w:val="0"/>
          <w:bCs w:val="0"/>
          <w:sz w:val="48"/>
          <w:szCs w:val="52"/>
        </w:rPr>
      </w:pPr>
      <w:r>
        <w:rPr>
          <w:rFonts w:hint="eastAsia" w:ascii="宋体" w:hAnsi="宋体" w:cs="宋体"/>
          <w:b w:val="0"/>
          <w:bCs w:val="0"/>
          <w:sz w:val="48"/>
          <w:szCs w:val="52"/>
        </w:rPr>
        <w:t xml:space="preserve">目 </w:t>
      </w:r>
      <w:r>
        <w:rPr>
          <w:rFonts w:ascii="宋体" w:hAnsi="宋体" w:cs="宋体"/>
          <w:b w:val="0"/>
          <w:bCs w:val="0"/>
          <w:sz w:val="48"/>
          <w:szCs w:val="52"/>
        </w:rPr>
        <w:t xml:space="preserve"> </w:t>
      </w:r>
      <w:r>
        <w:rPr>
          <w:rFonts w:hint="eastAsia" w:ascii="宋体" w:hAnsi="宋体" w:cs="宋体"/>
          <w:b w:val="0"/>
          <w:bCs w:val="0"/>
          <w:sz w:val="48"/>
          <w:szCs w:val="52"/>
        </w:rPr>
        <w:t>录</w:t>
      </w:r>
    </w:p>
    <w:p w14:paraId="6F0A227D">
      <w:pPr>
        <w:rPr>
          <w:sz w:val="28"/>
          <w:szCs w:val="28"/>
        </w:rPr>
      </w:pPr>
    </w:p>
    <w:p w14:paraId="059DDFDE">
      <w:pPr>
        <w:pStyle w:val="25"/>
        <w:tabs>
          <w:tab w:val="right" w:leader="dot" w:pos="9072"/>
        </w:tabs>
        <w:spacing w:line="360" w:lineRule="auto"/>
        <w:rPr>
          <w:rFonts w:hint="eastAsia" w:ascii="宋体" w:hAnsi="宋体" w:cs="宋体"/>
          <w:sz w:val="28"/>
          <w:szCs w:val="28"/>
        </w:rPr>
      </w:pPr>
      <w:bookmarkStart w:id="1" w:name="_Toc536202376"/>
      <w:bookmarkStart w:id="2" w:name="_Toc536202282"/>
      <w:bookmarkStart w:id="3" w:name="_Toc19543333"/>
      <w:bookmarkStart w:id="4" w:name="_Toc536429369"/>
      <w:bookmarkStart w:id="5" w:name="OLE_LINK3"/>
      <w:bookmarkStart w:id="6" w:name="_Toc438048787"/>
      <w:bookmarkStart w:id="7" w:name="_Toc30089"/>
      <w:r>
        <w:rPr>
          <w:rFonts w:hint="eastAsia" w:ascii="宋体" w:hAnsi="宋体" w:cs="宋体"/>
          <w:sz w:val="28"/>
          <w:szCs w:val="28"/>
        </w:rPr>
        <w:fldChar w:fldCharType="begin"/>
      </w:r>
      <w:r>
        <w:rPr>
          <w:rFonts w:hint="eastAsia" w:ascii="宋体" w:hAnsi="宋体" w:cs="宋体"/>
          <w:sz w:val="28"/>
          <w:szCs w:val="28"/>
        </w:rPr>
        <w:instrText xml:space="preserve"> TOC \o "1-1" \h \z \u </w:instrText>
      </w:r>
      <w:r>
        <w:rPr>
          <w:rFonts w:hint="eastAsia" w:ascii="宋体" w:hAnsi="宋体" w:cs="宋体"/>
          <w:sz w:val="28"/>
          <w:szCs w:val="28"/>
        </w:rPr>
        <w:fldChar w:fldCharType="separate"/>
      </w:r>
      <w:r>
        <w:rPr>
          <w:rFonts w:hint="eastAsia" w:ascii="宋体" w:hAnsi="宋体" w:cs="宋体"/>
          <w:sz w:val="28"/>
          <w:szCs w:val="28"/>
        </w:rPr>
        <w:fldChar w:fldCharType="begin"/>
      </w:r>
      <w:r>
        <w:rPr>
          <w:rFonts w:hint="eastAsia" w:ascii="宋体" w:hAnsi="宋体" w:cs="宋体"/>
          <w:sz w:val="28"/>
          <w:szCs w:val="28"/>
        </w:rPr>
        <w:instrText xml:space="preserve"> HYPERLINK \l _Toc24750 </w:instrText>
      </w:r>
      <w:r>
        <w:rPr>
          <w:rFonts w:hint="eastAsia" w:ascii="宋体" w:hAnsi="宋体" w:cs="宋体"/>
          <w:sz w:val="28"/>
          <w:szCs w:val="28"/>
        </w:rPr>
        <w:fldChar w:fldCharType="separate"/>
      </w:r>
      <w:r>
        <w:rPr>
          <w:rFonts w:hint="eastAsia" w:ascii="宋体" w:hAnsi="宋体" w:cs="宋体"/>
          <w:sz w:val="28"/>
          <w:szCs w:val="28"/>
        </w:rPr>
        <w:t>第一部分  竞争性磋商公告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_Toc24750 \h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fldChar w:fldCharType="end"/>
      </w:r>
    </w:p>
    <w:p w14:paraId="4EAD93D4">
      <w:pPr>
        <w:pStyle w:val="25"/>
        <w:tabs>
          <w:tab w:val="right" w:leader="dot" w:pos="9072"/>
        </w:tabs>
        <w:spacing w:line="360" w:lineRule="auto"/>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_Toc14618 </w:instrText>
      </w:r>
      <w:r>
        <w:rPr>
          <w:rFonts w:hint="eastAsia" w:ascii="宋体" w:hAnsi="宋体" w:cs="宋体"/>
          <w:sz w:val="28"/>
          <w:szCs w:val="28"/>
        </w:rPr>
        <w:fldChar w:fldCharType="separate"/>
      </w:r>
      <w:r>
        <w:rPr>
          <w:rFonts w:hint="eastAsia" w:ascii="宋体" w:hAnsi="宋体" w:cs="宋体"/>
          <w:sz w:val="28"/>
          <w:szCs w:val="28"/>
        </w:rPr>
        <w:t>第二部分  供应商须知前附表</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_Toc14618 \h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fldChar w:fldCharType="end"/>
      </w:r>
    </w:p>
    <w:p w14:paraId="71FEB960">
      <w:pPr>
        <w:pStyle w:val="25"/>
        <w:tabs>
          <w:tab w:val="right" w:leader="dot" w:pos="9072"/>
        </w:tabs>
        <w:spacing w:line="360" w:lineRule="auto"/>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_Toc11129 </w:instrText>
      </w:r>
      <w:r>
        <w:rPr>
          <w:rFonts w:hint="eastAsia" w:ascii="宋体" w:hAnsi="宋体" w:cs="宋体"/>
          <w:sz w:val="28"/>
          <w:szCs w:val="28"/>
        </w:rPr>
        <w:fldChar w:fldCharType="separate"/>
      </w:r>
      <w:r>
        <w:rPr>
          <w:rFonts w:hint="eastAsia" w:ascii="宋体" w:hAnsi="宋体" w:cs="宋体"/>
          <w:sz w:val="28"/>
          <w:szCs w:val="28"/>
        </w:rPr>
        <w:t>第三部分   供应商须知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_Toc11129 \h </w:instrText>
      </w:r>
      <w:r>
        <w:rPr>
          <w:rFonts w:hint="eastAsia" w:ascii="宋体" w:hAnsi="宋体" w:cs="宋体"/>
          <w:sz w:val="28"/>
          <w:szCs w:val="28"/>
        </w:rPr>
        <w:fldChar w:fldCharType="separate"/>
      </w:r>
      <w:r>
        <w:rPr>
          <w:rFonts w:hint="eastAsia"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fldChar w:fldCharType="end"/>
      </w:r>
    </w:p>
    <w:p w14:paraId="6390BCC7">
      <w:pPr>
        <w:pStyle w:val="25"/>
        <w:tabs>
          <w:tab w:val="right" w:leader="dot" w:pos="9072"/>
        </w:tabs>
        <w:spacing w:line="360" w:lineRule="auto"/>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_Toc26341 </w:instrText>
      </w:r>
      <w:r>
        <w:rPr>
          <w:rFonts w:hint="eastAsia" w:ascii="宋体" w:hAnsi="宋体" w:cs="宋体"/>
          <w:sz w:val="28"/>
          <w:szCs w:val="28"/>
        </w:rPr>
        <w:fldChar w:fldCharType="separate"/>
      </w:r>
      <w:r>
        <w:rPr>
          <w:rFonts w:hint="eastAsia" w:ascii="宋体" w:hAnsi="宋体" w:cs="宋体"/>
          <w:sz w:val="28"/>
          <w:szCs w:val="28"/>
        </w:rPr>
        <w:t>第四部分 评分标准</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_Toc26341 \h </w:instrText>
      </w:r>
      <w:r>
        <w:rPr>
          <w:rFonts w:hint="eastAsia" w:ascii="宋体" w:hAnsi="宋体" w:cs="宋体"/>
          <w:sz w:val="28"/>
          <w:szCs w:val="28"/>
        </w:rPr>
        <w:fldChar w:fldCharType="separate"/>
      </w:r>
      <w:r>
        <w:rPr>
          <w:rFonts w:hint="eastAsia" w:ascii="宋体" w:hAnsi="宋体" w:cs="宋体"/>
          <w:sz w:val="28"/>
          <w:szCs w:val="28"/>
        </w:rPr>
        <w:t>26</w:t>
      </w:r>
      <w:r>
        <w:rPr>
          <w:rFonts w:hint="eastAsia" w:ascii="宋体" w:hAnsi="宋体" w:cs="宋体"/>
          <w:sz w:val="28"/>
          <w:szCs w:val="28"/>
        </w:rPr>
        <w:fldChar w:fldCharType="end"/>
      </w:r>
      <w:r>
        <w:rPr>
          <w:rFonts w:hint="eastAsia" w:ascii="宋体" w:hAnsi="宋体" w:cs="宋体"/>
          <w:sz w:val="28"/>
          <w:szCs w:val="28"/>
        </w:rPr>
        <w:fldChar w:fldCharType="end"/>
      </w:r>
    </w:p>
    <w:p w14:paraId="7A68C079">
      <w:pPr>
        <w:pStyle w:val="25"/>
        <w:tabs>
          <w:tab w:val="right" w:leader="dot" w:pos="9072"/>
        </w:tabs>
        <w:spacing w:line="360" w:lineRule="auto"/>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_Toc11449 </w:instrText>
      </w:r>
      <w:r>
        <w:rPr>
          <w:rFonts w:hint="eastAsia" w:ascii="宋体" w:hAnsi="宋体" w:cs="宋体"/>
          <w:sz w:val="28"/>
          <w:szCs w:val="28"/>
        </w:rPr>
        <w:fldChar w:fldCharType="separate"/>
      </w:r>
      <w:r>
        <w:rPr>
          <w:rFonts w:hint="eastAsia" w:ascii="宋体" w:hAnsi="宋体" w:cs="宋体"/>
          <w:sz w:val="28"/>
          <w:szCs w:val="28"/>
        </w:rPr>
        <w:t>第五部分 采购内容及</w:t>
      </w:r>
      <w:r>
        <w:rPr>
          <w:rFonts w:hint="eastAsia" w:ascii="宋体" w:hAnsi="宋体" w:cs="宋体"/>
          <w:sz w:val="28"/>
          <w:szCs w:val="28"/>
          <w:lang w:eastAsia="zh-CN"/>
        </w:rPr>
        <w:t>要求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_Toc11449 \h </w:instrText>
      </w:r>
      <w:r>
        <w:rPr>
          <w:rFonts w:hint="eastAsia" w:ascii="宋体" w:hAnsi="宋体" w:cs="宋体"/>
          <w:sz w:val="28"/>
          <w:szCs w:val="28"/>
        </w:rPr>
        <w:fldChar w:fldCharType="separate"/>
      </w:r>
      <w:r>
        <w:rPr>
          <w:rFonts w:hint="eastAsia" w:ascii="宋体" w:hAnsi="宋体" w:cs="宋体"/>
          <w:sz w:val="28"/>
          <w:szCs w:val="28"/>
        </w:rPr>
        <w:t>30</w:t>
      </w:r>
      <w:r>
        <w:rPr>
          <w:rFonts w:hint="eastAsia" w:ascii="宋体" w:hAnsi="宋体" w:cs="宋体"/>
          <w:sz w:val="28"/>
          <w:szCs w:val="28"/>
        </w:rPr>
        <w:fldChar w:fldCharType="end"/>
      </w:r>
      <w:r>
        <w:rPr>
          <w:rFonts w:hint="eastAsia" w:ascii="宋体" w:hAnsi="宋体" w:cs="宋体"/>
          <w:sz w:val="28"/>
          <w:szCs w:val="28"/>
        </w:rPr>
        <w:fldChar w:fldCharType="end"/>
      </w:r>
    </w:p>
    <w:p w14:paraId="0C1C7D35">
      <w:pPr>
        <w:pStyle w:val="25"/>
        <w:tabs>
          <w:tab w:val="right" w:leader="dot" w:pos="9072"/>
        </w:tabs>
        <w:spacing w:line="360" w:lineRule="auto"/>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_Toc9190 </w:instrText>
      </w:r>
      <w:r>
        <w:rPr>
          <w:rFonts w:hint="eastAsia" w:ascii="宋体" w:hAnsi="宋体" w:cs="宋体"/>
          <w:sz w:val="28"/>
          <w:szCs w:val="28"/>
        </w:rPr>
        <w:fldChar w:fldCharType="separate"/>
      </w:r>
      <w:r>
        <w:rPr>
          <w:rFonts w:hint="eastAsia" w:ascii="宋体" w:hAnsi="宋体" w:cs="宋体"/>
          <w:sz w:val="28"/>
          <w:szCs w:val="28"/>
        </w:rPr>
        <w:t>第六部分  商务及合同主要条款</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_Toc9190 \h </w:instrText>
      </w:r>
      <w:r>
        <w:rPr>
          <w:rFonts w:hint="eastAsia" w:ascii="宋体" w:hAnsi="宋体" w:cs="宋体"/>
          <w:sz w:val="28"/>
          <w:szCs w:val="28"/>
        </w:rPr>
        <w:fldChar w:fldCharType="separate"/>
      </w:r>
      <w:r>
        <w:rPr>
          <w:rFonts w:hint="eastAsia" w:ascii="宋体" w:hAnsi="宋体" w:cs="宋体"/>
          <w:sz w:val="28"/>
          <w:szCs w:val="28"/>
        </w:rPr>
        <w:t>32</w:t>
      </w:r>
      <w:r>
        <w:rPr>
          <w:rFonts w:hint="eastAsia" w:ascii="宋体" w:hAnsi="宋体" w:cs="宋体"/>
          <w:sz w:val="28"/>
          <w:szCs w:val="28"/>
        </w:rPr>
        <w:fldChar w:fldCharType="end"/>
      </w:r>
      <w:r>
        <w:rPr>
          <w:rFonts w:hint="eastAsia" w:ascii="宋体" w:hAnsi="宋体" w:cs="宋体"/>
          <w:sz w:val="28"/>
          <w:szCs w:val="28"/>
        </w:rPr>
        <w:fldChar w:fldCharType="end"/>
      </w:r>
    </w:p>
    <w:p w14:paraId="78F35639">
      <w:pPr>
        <w:pStyle w:val="25"/>
        <w:tabs>
          <w:tab w:val="right" w:leader="dot" w:pos="9072"/>
        </w:tabs>
        <w:spacing w:line="360" w:lineRule="auto"/>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_Toc1892 </w:instrText>
      </w:r>
      <w:r>
        <w:rPr>
          <w:rFonts w:hint="eastAsia" w:ascii="宋体" w:hAnsi="宋体" w:cs="宋体"/>
          <w:sz w:val="28"/>
          <w:szCs w:val="28"/>
        </w:rPr>
        <w:fldChar w:fldCharType="separate"/>
      </w:r>
      <w:r>
        <w:rPr>
          <w:rFonts w:hint="eastAsia" w:ascii="宋体" w:hAnsi="宋体" w:cs="宋体"/>
          <w:sz w:val="28"/>
          <w:szCs w:val="28"/>
        </w:rPr>
        <w:t>第七部分  响应文件格式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_Toc1892 \h </w:instrText>
      </w:r>
      <w:r>
        <w:rPr>
          <w:rFonts w:hint="eastAsia" w:ascii="宋体" w:hAnsi="宋体" w:cs="宋体"/>
          <w:sz w:val="28"/>
          <w:szCs w:val="28"/>
        </w:rPr>
        <w:fldChar w:fldCharType="separate"/>
      </w:r>
      <w:r>
        <w:rPr>
          <w:rFonts w:hint="eastAsia" w:ascii="宋体" w:hAnsi="宋体" w:cs="宋体"/>
          <w:sz w:val="28"/>
          <w:szCs w:val="28"/>
        </w:rPr>
        <w:t>35</w:t>
      </w:r>
      <w:r>
        <w:rPr>
          <w:rFonts w:hint="eastAsia" w:ascii="宋体" w:hAnsi="宋体" w:cs="宋体"/>
          <w:sz w:val="28"/>
          <w:szCs w:val="28"/>
        </w:rPr>
        <w:fldChar w:fldCharType="end"/>
      </w:r>
      <w:r>
        <w:rPr>
          <w:rFonts w:hint="eastAsia" w:ascii="宋体" w:hAnsi="宋体" w:cs="宋体"/>
          <w:sz w:val="28"/>
          <w:szCs w:val="28"/>
        </w:rPr>
        <w:fldChar w:fldCharType="end"/>
      </w:r>
    </w:p>
    <w:p w14:paraId="46C944DF">
      <w:pPr>
        <w:pStyle w:val="25"/>
        <w:tabs>
          <w:tab w:val="right" w:leader="dot" w:pos="9072"/>
        </w:tabs>
        <w:spacing w:line="360" w:lineRule="auto"/>
        <w:jc w:val="center"/>
        <w:rPr>
          <w:rFonts w:hint="eastAsia" w:ascii="Times New Roman" w:hAnsi="Times New Roman" w:eastAsia="宋体" w:cs="Times New Roman"/>
          <w:b/>
          <w:bCs/>
          <w:caps w:val="0"/>
          <w:kern w:val="44"/>
          <w:sz w:val="32"/>
          <w:szCs w:val="32"/>
          <w:lang w:val="en-US" w:eastAsia="zh-CN" w:bidi="ar-SA"/>
        </w:rPr>
      </w:pPr>
      <w:r>
        <w:rPr>
          <w:rFonts w:hint="eastAsia" w:ascii="宋体" w:hAnsi="宋体" w:cs="宋体"/>
          <w:sz w:val="28"/>
          <w:szCs w:val="28"/>
        </w:rPr>
        <w:fldChar w:fldCharType="end"/>
      </w:r>
      <w:bookmarkStart w:id="8" w:name="_Toc24750"/>
      <w:r>
        <w:rPr>
          <w:rFonts w:hint="eastAsia" w:ascii="宋体" w:hAnsi="宋体" w:cs="宋体"/>
          <w:sz w:val="28"/>
          <w:szCs w:val="28"/>
        </w:rPr>
        <w:br w:type="page"/>
      </w:r>
      <w:r>
        <w:rPr>
          <w:rFonts w:hint="eastAsia" w:ascii="Times New Roman" w:hAnsi="Times New Roman" w:eastAsia="宋体" w:cs="Times New Roman"/>
          <w:b/>
          <w:bCs/>
          <w:caps w:val="0"/>
          <w:kern w:val="44"/>
          <w:sz w:val="32"/>
          <w:szCs w:val="32"/>
          <w:lang w:val="en-US" w:eastAsia="zh-CN" w:bidi="ar-SA"/>
        </w:rPr>
        <w:t xml:space="preserve">第一部分  </w:t>
      </w:r>
      <w:bookmarkStart w:id="9" w:name="OLE_LINK4"/>
      <w:bookmarkStart w:id="10" w:name="OLE_LINK1"/>
      <w:r>
        <w:rPr>
          <w:rFonts w:hint="eastAsia" w:ascii="Times New Roman" w:hAnsi="Times New Roman" w:eastAsia="宋体" w:cs="Times New Roman"/>
          <w:b/>
          <w:bCs/>
          <w:caps w:val="0"/>
          <w:kern w:val="44"/>
          <w:sz w:val="32"/>
          <w:szCs w:val="32"/>
          <w:lang w:val="en-US" w:eastAsia="zh-CN" w:bidi="ar-SA"/>
        </w:rPr>
        <w:t>竞争性磋商公告</w:t>
      </w:r>
      <w:bookmarkEnd w:id="1"/>
      <w:bookmarkEnd w:id="2"/>
      <w:bookmarkEnd w:id="3"/>
      <w:bookmarkEnd w:id="4"/>
      <w:bookmarkEnd w:id="8"/>
    </w:p>
    <w:bookmarkEnd w:id="5"/>
    <w:bookmarkEnd w:id="9"/>
    <w:bookmarkEnd w:id="10"/>
    <w:p w14:paraId="30E8FD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0"/>
        <w:textAlignment w:val="baseline"/>
        <w:rPr>
          <w:rFonts w:hint="eastAsia" w:ascii="宋体" w:hAnsi="宋体" w:eastAsia="宋体" w:cs="宋体"/>
          <w:b/>
          <w:bCs/>
          <w:i w:val="0"/>
          <w:iCs w:val="0"/>
          <w:caps w:val="0"/>
          <w:color w:val="333333"/>
          <w:spacing w:val="0"/>
          <w:sz w:val="32"/>
          <w:szCs w:val="32"/>
        </w:rPr>
      </w:pPr>
      <w:bookmarkStart w:id="11" w:name="_Toc14618"/>
      <w:bookmarkStart w:id="12" w:name="_Toc536202377"/>
      <w:bookmarkStart w:id="13" w:name="_Toc536429370"/>
      <w:bookmarkStart w:id="14" w:name="_Toc536429317"/>
      <w:bookmarkStart w:id="15" w:name="_Toc5018"/>
      <w:bookmarkStart w:id="16" w:name="_Toc536202283"/>
      <w:r>
        <w:rPr>
          <w:rFonts w:hint="eastAsia" w:ascii="宋体" w:hAnsi="宋体" w:eastAsia="宋体" w:cs="宋体"/>
          <w:b/>
          <w:bCs/>
          <w:i w:val="0"/>
          <w:iCs w:val="0"/>
          <w:caps w:val="0"/>
          <w:color w:val="333333"/>
          <w:spacing w:val="0"/>
          <w:sz w:val="32"/>
          <w:szCs w:val="32"/>
          <w:shd w:val="clear" w:fill="FFFFFF"/>
          <w:vertAlign w:val="baseline"/>
        </w:rPr>
        <w:t>安康市自然资源局汉滨分局汉滨区“十三五”易地扶贫搬迁清盘决算审计项目竞争性磋商公告</w:t>
      </w:r>
    </w:p>
    <w:p w14:paraId="77D8FDB0">
      <w:pPr>
        <w:pStyle w:val="7"/>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Style w:val="39"/>
          <w:rFonts w:hint="eastAsia" w:ascii="宋体" w:hAnsi="宋体" w:eastAsia="宋体" w:cs="宋体"/>
          <w:b/>
          <w:bCs/>
          <w:i w:val="0"/>
          <w:iCs w:val="0"/>
          <w:caps w:val="0"/>
          <w:color w:val="333333"/>
          <w:spacing w:val="0"/>
          <w:sz w:val="24"/>
          <w:szCs w:val="24"/>
          <w:shd w:val="clear" w:fill="FFFFFF"/>
          <w:vertAlign w:val="baseline"/>
        </w:rPr>
        <w:t>项目概况</w:t>
      </w:r>
    </w:p>
    <w:p w14:paraId="2DD33683">
      <w:pPr>
        <w:pStyle w:val="32"/>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汉滨区“十三五”易地扶贫搬迁清盘决算审计项目采购项目的潜在供应商应在汉滨区移民（脱贫）搬迁工作办公室获取采购文件，并于 2025年09月29日 15时00分 （北京时间）前提交响应文件。</w:t>
      </w:r>
    </w:p>
    <w:p w14:paraId="60545D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b w:val="0"/>
          <w:bCs w:val="0"/>
          <w:sz w:val="24"/>
          <w:szCs w:val="24"/>
        </w:rPr>
      </w:pPr>
      <w:r>
        <w:rPr>
          <w:rStyle w:val="39"/>
          <w:rFonts w:hint="eastAsia" w:ascii="宋体" w:hAnsi="宋体" w:eastAsia="宋体" w:cs="宋体"/>
          <w:b/>
          <w:bCs/>
          <w:i w:val="0"/>
          <w:iCs w:val="0"/>
          <w:caps w:val="0"/>
          <w:color w:val="333333"/>
          <w:spacing w:val="0"/>
          <w:sz w:val="24"/>
          <w:szCs w:val="24"/>
          <w:shd w:val="clear" w:fill="FFFFFF"/>
          <w:vertAlign w:val="baseline"/>
        </w:rPr>
        <w:t>一、项目基本情况</w:t>
      </w:r>
    </w:p>
    <w:p w14:paraId="612F84B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项目编号：HBQBQB001</w:t>
      </w:r>
    </w:p>
    <w:p w14:paraId="1947731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项目名称：汉滨区“十三五”易地扶贫搬迁清盘决算审计项目</w:t>
      </w:r>
    </w:p>
    <w:p w14:paraId="10C25BED">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采购方式：竞争性磋商</w:t>
      </w:r>
    </w:p>
    <w:p w14:paraId="78972C3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预算金额：279,000.00元</w:t>
      </w:r>
    </w:p>
    <w:p w14:paraId="3E5A09D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14:paraId="3F13601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合同包1(汉滨区“十三五”易地扶贫搬迁清盘决算审计项目):</w:t>
      </w:r>
    </w:p>
    <w:p w14:paraId="622E920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合同包预算金额：279,000.00元</w:t>
      </w:r>
    </w:p>
    <w:p w14:paraId="74A419A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合同包最高限价：279,000.00元</w:t>
      </w:r>
    </w:p>
    <w:tbl>
      <w:tblPr>
        <w:tblStyle w:val="3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55"/>
        <w:gridCol w:w="1192"/>
        <w:gridCol w:w="1192"/>
        <w:gridCol w:w="1670"/>
        <w:gridCol w:w="2619"/>
        <w:gridCol w:w="1684"/>
      </w:tblGrid>
      <w:tr w14:paraId="12B4E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60343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FE88C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26ACA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5A5A3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CFC2A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43AFD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75CC0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A1120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2834E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审计服务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CB109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279000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83A3C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4B587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B0F9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279,000.00</w:t>
            </w:r>
          </w:p>
        </w:tc>
      </w:tr>
    </w:tbl>
    <w:p w14:paraId="0449C8E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14:paraId="77CC41DD">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合同履行期限：自签订合同之日90天</w:t>
      </w:r>
    </w:p>
    <w:p w14:paraId="36F317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b w:val="0"/>
          <w:bCs w:val="0"/>
          <w:sz w:val="24"/>
          <w:szCs w:val="24"/>
        </w:rPr>
      </w:pPr>
      <w:r>
        <w:rPr>
          <w:rStyle w:val="39"/>
          <w:rFonts w:hint="eastAsia" w:ascii="宋体" w:hAnsi="宋体" w:eastAsia="宋体" w:cs="宋体"/>
          <w:b/>
          <w:bCs/>
          <w:i w:val="0"/>
          <w:iCs w:val="0"/>
          <w:caps w:val="0"/>
          <w:color w:val="333333"/>
          <w:spacing w:val="0"/>
          <w:sz w:val="24"/>
          <w:szCs w:val="24"/>
          <w:shd w:val="clear" w:fill="FFFFFF"/>
          <w:vertAlign w:val="baseline"/>
        </w:rPr>
        <w:t>二、申请人的资格要求：</w:t>
      </w:r>
    </w:p>
    <w:p w14:paraId="6575320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14:paraId="32BF5ED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14:paraId="4EE2BED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合同包1(汉滨区“十三五”易地扶贫搬迁清盘决算审计项目)落实政府采购政策需满足的资格要求如下:</w:t>
      </w:r>
    </w:p>
    <w:p w14:paraId="7DD6DA2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（1）财政部、国家环保总局联合印发《关于环境标志产品政府采购实施的意见》(财库[2006]90号)；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（2）国务院办公厅关于建立政府强制采购节能产品制度的通知 国办发〔2007〕51号；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（3）财政部、工业和信息化部关于印发《政府采购促进中小企业发展管理办法》的通知(财库〔2020〕46号)；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（4）财政部 司法部关于政府采购支持监狱企业发展有关问题的通知(财库〔2014〕68号)；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（5）财政部、民政部、中国残疾人联合会关于促进残疾人就业政府采购政策的通知（财库〔2017〕141号）；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（6）《财政部 国务院扶贫办关于运用政府采购政策支持脱贫攻坚的通知》（财库〔2019〕27号）；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（7）陕西省财政厅关于印发《陕西省中小企业政府采购信用融资办法》（陕财办采〔2018〕23号）；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（8）《财政部 发展改革委 生态环境部市场监管总局关于调整优化节能产品、环境标志产品政府采购执行机制的通知》（财库〔2019〕9号）；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(9)如有最新颁布的政府采购政策，按最新的文件执行。</w:t>
      </w:r>
    </w:p>
    <w:p w14:paraId="4482324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14:paraId="025A60F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合同包1(汉滨区“十三五”易地扶贫搬迁清盘决算审计项目)特定资格要求如下:</w:t>
      </w:r>
    </w:p>
    <w:p w14:paraId="001C6BF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（1）具有独立承担民事责任能力的法人、其他组织或自然人，并出具合法有效的营业执照或事业单位法人证书等国家规定的相关证明资料，自然人参与的提供其身份证明；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（2）法定代表人授权书和被授权人的身份证；法定代表人参加磋商时，须提供本人身份证；</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（3）书面声明：参加本次政府采购活动前三年内在经营活动中没有重大违纪，以及未被列入失信被执行人、重大税收违法案件当事人名单、政府采购严重违法失信行为记录名单的书面声明；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（4）具有良好的商业信誉和健全的财务会计管理制度：提供 2023 年或 2024 年财务审计报告；成立时间至提交投标文件截止时间不足一年的可提供成立后任意时段的资产负债表即可；或提供其开标前一个月内基本存款账户开户银行出具的资信证明；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5）供应商通过“信用中国”网站(www.creditchina.gov.cn)和中国政府采购网(www.ccgp.gov.cn)等渠道查询相关主体信用记录，对列入失信被执行人、重大税收违法案件当事人名单、政府采购严重违法失信行为记录名单的供应商，将拒绝其参与政府采购活动；</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（6）社会保障资金缴纳证明：提供 2025 年 1 月 1 日至今任意1个月的社会保障资金缴 纳证明或社会保险缴纳清单或社会保险缴纳专用收据（依法不需要缴纳社会保障资金或新成立的供应商应提供相关文件证明）；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（7）税收缴纳证明：提供 2025年 1 月 1 日至今任意1个月已缴纳的完税证明（任意税 种），依法免税或新成立的供应商应提供相关文件证明；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（8）投标人须具有财政部门颁发的会计师事务所执业证书;</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9）项目专门面向中小企业采购，仅限符合《政府采购促进中小企业发展管理办法》（财库〔2020〕46号）条件的中小企业参与，供应商应填写中小企业声明函并对真实性负责（残疾人福利性单位及监狱企业视同为小型、微型企业）；</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（10）本项目不接受联合体磋商。</w:t>
      </w:r>
    </w:p>
    <w:p w14:paraId="011D9F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b w:val="0"/>
          <w:bCs w:val="0"/>
          <w:sz w:val="24"/>
          <w:szCs w:val="24"/>
        </w:rPr>
      </w:pPr>
      <w:r>
        <w:rPr>
          <w:rStyle w:val="39"/>
          <w:rFonts w:hint="eastAsia" w:ascii="宋体" w:hAnsi="宋体" w:eastAsia="宋体" w:cs="宋体"/>
          <w:b/>
          <w:bCs/>
          <w:i w:val="0"/>
          <w:iCs w:val="0"/>
          <w:caps w:val="0"/>
          <w:color w:val="333333"/>
          <w:spacing w:val="0"/>
          <w:sz w:val="24"/>
          <w:szCs w:val="24"/>
          <w:shd w:val="clear" w:fill="FFFFFF"/>
          <w:vertAlign w:val="baseline"/>
        </w:rPr>
        <w:t>三、获取采购文件</w:t>
      </w:r>
    </w:p>
    <w:p w14:paraId="44300DD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时间： 2025年09月18日 至 2025年09月24日 ，每天上午 08:00:00 至 12:00:00 ，下午 14:00:00 至 18:00:00 （北京时间）</w:t>
      </w:r>
    </w:p>
    <w:p w14:paraId="28A4A59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途径：汉滨区移民（脱贫）搬迁工作办公室</w:t>
      </w:r>
    </w:p>
    <w:p w14:paraId="22770F0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方式：现场获取</w:t>
      </w:r>
    </w:p>
    <w:p w14:paraId="24227D0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售价： 0元</w:t>
      </w:r>
    </w:p>
    <w:p w14:paraId="281FB1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b w:val="0"/>
          <w:bCs w:val="0"/>
          <w:sz w:val="24"/>
          <w:szCs w:val="24"/>
        </w:rPr>
      </w:pPr>
      <w:r>
        <w:rPr>
          <w:rStyle w:val="39"/>
          <w:rFonts w:hint="eastAsia" w:ascii="宋体" w:hAnsi="宋体" w:eastAsia="宋体" w:cs="宋体"/>
          <w:b/>
          <w:bCs/>
          <w:i w:val="0"/>
          <w:iCs w:val="0"/>
          <w:caps w:val="0"/>
          <w:color w:val="333333"/>
          <w:spacing w:val="0"/>
          <w:sz w:val="24"/>
          <w:szCs w:val="24"/>
          <w:shd w:val="clear" w:fill="FFFFFF"/>
          <w:vertAlign w:val="baseline"/>
        </w:rPr>
        <w:t>四、响应文件提交</w:t>
      </w:r>
    </w:p>
    <w:p w14:paraId="43E67EC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截止时间： 2025年09月29日 15时00分00秒 （北京时间）</w:t>
      </w:r>
    </w:p>
    <w:p w14:paraId="6417C9A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地点：汉滨区移民（脱贫）搬迁工作办公室会议室</w:t>
      </w:r>
    </w:p>
    <w:p w14:paraId="69F4B5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b w:val="0"/>
          <w:bCs w:val="0"/>
          <w:sz w:val="24"/>
          <w:szCs w:val="24"/>
        </w:rPr>
      </w:pPr>
      <w:r>
        <w:rPr>
          <w:rStyle w:val="39"/>
          <w:rFonts w:hint="eastAsia" w:ascii="宋体" w:hAnsi="宋体" w:eastAsia="宋体" w:cs="宋体"/>
          <w:b/>
          <w:bCs/>
          <w:i w:val="0"/>
          <w:iCs w:val="0"/>
          <w:caps w:val="0"/>
          <w:color w:val="333333"/>
          <w:spacing w:val="0"/>
          <w:sz w:val="24"/>
          <w:szCs w:val="24"/>
          <w:shd w:val="clear" w:fill="FFFFFF"/>
          <w:vertAlign w:val="baseline"/>
        </w:rPr>
        <w:t>五、开启</w:t>
      </w:r>
    </w:p>
    <w:p w14:paraId="7833213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时间： 2025年09月29日 15时00分00秒 （北京时间）</w:t>
      </w:r>
    </w:p>
    <w:p w14:paraId="6A8B533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地点：汉滨区移民（脱贫）搬迁工作办公室会议室</w:t>
      </w:r>
    </w:p>
    <w:p w14:paraId="53559D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b w:val="0"/>
          <w:bCs w:val="0"/>
          <w:sz w:val="24"/>
          <w:szCs w:val="24"/>
        </w:rPr>
      </w:pPr>
      <w:r>
        <w:rPr>
          <w:rStyle w:val="39"/>
          <w:rFonts w:hint="eastAsia" w:ascii="宋体" w:hAnsi="宋体" w:eastAsia="宋体" w:cs="宋体"/>
          <w:b/>
          <w:bCs/>
          <w:i w:val="0"/>
          <w:iCs w:val="0"/>
          <w:caps w:val="0"/>
          <w:color w:val="333333"/>
          <w:spacing w:val="0"/>
          <w:sz w:val="24"/>
          <w:szCs w:val="24"/>
          <w:shd w:val="clear" w:fill="FFFFFF"/>
          <w:vertAlign w:val="baseline"/>
        </w:rPr>
        <w:t>六、公告期限</w:t>
      </w:r>
    </w:p>
    <w:p w14:paraId="480DE9B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自本公告发布之日起3个工作日。</w:t>
      </w:r>
    </w:p>
    <w:p w14:paraId="4FA4C9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b w:val="0"/>
          <w:bCs w:val="0"/>
          <w:sz w:val="24"/>
          <w:szCs w:val="24"/>
        </w:rPr>
      </w:pPr>
      <w:r>
        <w:rPr>
          <w:rStyle w:val="39"/>
          <w:rFonts w:hint="eastAsia" w:ascii="宋体" w:hAnsi="宋体" w:eastAsia="宋体" w:cs="宋体"/>
          <w:b/>
          <w:bCs/>
          <w:i w:val="0"/>
          <w:iCs w:val="0"/>
          <w:caps w:val="0"/>
          <w:color w:val="333333"/>
          <w:spacing w:val="0"/>
          <w:sz w:val="24"/>
          <w:szCs w:val="24"/>
          <w:shd w:val="clear" w:fill="FFFFFF"/>
          <w:vertAlign w:val="baseline"/>
        </w:rPr>
        <w:t>七、其他补充事宜</w:t>
      </w:r>
    </w:p>
    <w:p w14:paraId="00B383E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磋商文件获取方式：供应商须在磋商文件发售时间内持介绍信或法人授权书（备注经办人联系电话及电子邮箱）、营业执照加盖公章前往汉滨区移民（脱贫）搬迁工作办公室获取磋商文件。</w:t>
      </w:r>
    </w:p>
    <w:p w14:paraId="1A4580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b w:val="0"/>
          <w:bCs w:val="0"/>
          <w:sz w:val="24"/>
          <w:szCs w:val="24"/>
        </w:rPr>
      </w:pPr>
      <w:r>
        <w:rPr>
          <w:rStyle w:val="39"/>
          <w:rFonts w:hint="eastAsia" w:ascii="宋体" w:hAnsi="宋体" w:eastAsia="宋体" w:cs="宋体"/>
          <w:b/>
          <w:bCs/>
          <w:i w:val="0"/>
          <w:iCs w:val="0"/>
          <w:caps w:val="0"/>
          <w:color w:val="333333"/>
          <w:spacing w:val="0"/>
          <w:sz w:val="24"/>
          <w:szCs w:val="24"/>
          <w:shd w:val="clear" w:fill="FFFFFF"/>
          <w:vertAlign w:val="baseline"/>
        </w:rPr>
        <w:t>八、对本次招标提出询问，请按以下方式联系。</w:t>
      </w:r>
    </w:p>
    <w:p w14:paraId="5C7FD3F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14:paraId="00A4600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名称：安康市自然资源局汉滨分局</w:t>
      </w:r>
    </w:p>
    <w:p w14:paraId="22E8624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地址：陕西省安康市汉滨区兴安东路一号</w:t>
      </w:r>
    </w:p>
    <w:p w14:paraId="7C7782A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联系方式：18992570799</w:t>
      </w:r>
    </w:p>
    <w:p w14:paraId="602C4BD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14:paraId="52B96E5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名称：安康市自然资源局汉滨分局</w:t>
      </w:r>
    </w:p>
    <w:p w14:paraId="3BF18B0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地址：陕西省安康市汉滨区兴安东路一号</w:t>
      </w:r>
    </w:p>
    <w:p w14:paraId="666DEE9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联系方式：18992570799</w:t>
      </w:r>
    </w:p>
    <w:p w14:paraId="3F4EE32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14:paraId="555816D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项目联系人：陈丹</w:t>
      </w:r>
    </w:p>
    <w:p w14:paraId="0504B47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电话：18992570799</w:t>
      </w:r>
    </w:p>
    <w:p w14:paraId="0210956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安康市自然资源局汉滨分局</w:t>
      </w:r>
    </w:p>
    <w:p w14:paraId="2476C94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baseline"/>
        <w:rPr>
          <w:sz w:val="21"/>
          <w:szCs w:val="21"/>
        </w:rPr>
      </w:pPr>
      <w:r>
        <w:rPr>
          <w:rFonts w:hint="eastAsia" w:ascii="宋体" w:hAnsi="宋体" w:eastAsia="宋体" w:cs="宋体"/>
          <w:i w:val="0"/>
          <w:iCs w:val="0"/>
          <w:caps w:val="0"/>
          <w:color w:val="333333"/>
          <w:spacing w:val="0"/>
          <w:sz w:val="24"/>
          <w:szCs w:val="24"/>
          <w:shd w:val="clear" w:fill="FFFFFF"/>
          <w:vertAlign w:val="baseline"/>
        </w:rPr>
        <w:t>2025年09月17日</w:t>
      </w:r>
    </w:p>
    <w:p w14:paraId="56C5EA80">
      <w:pPr>
        <w:rPr>
          <w:rFonts w:hint="eastAsia"/>
        </w:rPr>
      </w:pPr>
    </w:p>
    <w:p w14:paraId="67520832">
      <w:pPr>
        <w:rPr>
          <w:rFonts w:hint="eastAsia" w:ascii="Times New Roman" w:hAnsi="Times New Roman" w:eastAsia="宋体" w:cs="Times New Roman"/>
        </w:rPr>
      </w:pPr>
      <w:r>
        <w:rPr>
          <w:rFonts w:hint="eastAsia" w:ascii="Times New Roman" w:hAnsi="Times New Roman" w:eastAsia="宋体" w:cs="Times New Roman"/>
        </w:rPr>
        <w:br w:type="page"/>
      </w:r>
    </w:p>
    <w:p w14:paraId="790D1F4A">
      <w:pPr>
        <w:pStyle w:val="2"/>
        <w:tabs>
          <w:tab w:val="left" w:pos="206"/>
        </w:tabs>
        <w:spacing w:line="360" w:lineRule="auto"/>
        <w:jc w:val="center"/>
        <w:rPr>
          <w:rFonts w:ascii="Times New Roman" w:hAnsi="Times New Roman" w:eastAsia="宋体" w:cs="Times New Roman"/>
        </w:rPr>
      </w:pPr>
      <w:r>
        <w:rPr>
          <w:rFonts w:hint="eastAsia" w:ascii="Times New Roman" w:hAnsi="Times New Roman" w:eastAsia="宋体" w:cs="Times New Roman"/>
        </w:rPr>
        <w:t>第二部分</w:t>
      </w:r>
      <w:r>
        <w:rPr>
          <w:rFonts w:ascii="Times New Roman" w:hAnsi="Times New Roman" w:eastAsia="宋体" w:cs="Times New Roman"/>
        </w:rPr>
        <w:t xml:space="preserve">  </w:t>
      </w:r>
      <w:r>
        <w:rPr>
          <w:rFonts w:hint="eastAsia" w:ascii="Times New Roman" w:hAnsi="Times New Roman" w:eastAsia="宋体" w:cs="Times New Roman"/>
        </w:rPr>
        <w:t>供应商须知前附表</w:t>
      </w:r>
      <w:bookmarkEnd w:id="11"/>
    </w:p>
    <w:tbl>
      <w:tblPr>
        <w:tblStyle w:val="79"/>
        <w:tblW w:w="4998" w:type="pct"/>
        <w:jc w:val="center"/>
        <w:tblLayout w:type="autofit"/>
        <w:tblCellMar>
          <w:top w:w="147" w:type="dxa"/>
          <w:left w:w="108" w:type="dxa"/>
          <w:bottom w:w="56" w:type="dxa"/>
          <w:right w:w="0" w:type="dxa"/>
        </w:tblCellMar>
      </w:tblPr>
      <w:tblGrid>
        <w:gridCol w:w="639"/>
        <w:gridCol w:w="1811"/>
        <w:gridCol w:w="6731"/>
      </w:tblGrid>
      <w:tr w14:paraId="37E69B32">
        <w:tblPrEx>
          <w:tblCellMar>
            <w:top w:w="147" w:type="dxa"/>
            <w:left w:w="108" w:type="dxa"/>
            <w:bottom w:w="56" w:type="dxa"/>
            <w:right w:w="0" w:type="dxa"/>
          </w:tblCellMar>
        </w:tblPrEx>
        <w:trPr>
          <w:trHeight w:val="90" w:hRule="atLeast"/>
          <w:jc w:val="center"/>
        </w:trPr>
        <w:tc>
          <w:tcPr>
            <w:tcW w:w="348" w:type="pct"/>
            <w:tcBorders>
              <w:top w:val="single" w:color="000000" w:sz="4" w:space="0"/>
              <w:left w:val="single" w:color="000000" w:sz="4" w:space="0"/>
              <w:bottom w:val="single" w:color="000000" w:sz="4" w:space="0"/>
              <w:right w:val="single" w:color="000000" w:sz="4" w:space="0"/>
            </w:tcBorders>
            <w:vAlign w:val="center"/>
          </w:tcPr>
          <w:p w14:paraId="6E15412A">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asciiTheme="minorEastAsia" w:hAnsiTheme="minorEastAsia" w:eastAsiaTheme="minorEastAsia"/>
                <w:sz w:val="24"/>
                <w:szCs w:val="24"/>
              </w:rPr>
            </w:pPr>
            <w:bookmarkStart w:id="17" w:name="_Toc19543334"/>
            <w:r>
              <w:rPr>
                <w:rFonts w:asciiTheme="minorEastAsia" w:hAnsiTheme="minorEastAsia" w:eastAsiaTheme="minorEastAsia"/>
                <w:sz w:val="24"/>
                <w:szCs w:val="24"/>
              </w:rPr>
              <w:t>序号</w:t>
            </w:r>
          </w:p>
        </w:tc>
        <w:tc>
          <w:tcPr>
            <w:tcW w:w="986" w:type="pct"/>
            <w:tcBorders>
              <w:top w:val="single" w:color="000000" w:sz="4" w:space="0"/>
              <w:left w:val="single" w:color="000000" w:sz="4" w:space="0"/>
              <w:bottom w:val="single" w:color="000000" w:sz="4" w:space="0"/>
              <w:right w:val="single" w:color="000000" w:sz="4" w:space="0"/>
            </w:tcBorders>
            <w:vAlign w:val="center"/>
          </w:tcPr>
          <w:p w14:paraId="5E5040CF">
            <w:pPr>
              <w:keepNext w:val="0"/>
              <w:keepLines w:val="0"/>
              <w:pageBreakBefore w:val="0"/>
              <w:kinsoku/>
              <w:wordWrap/>
              <w:overflowPunct/>
              <w:topLinePunct w:val="0"/>
              <w:autoSpaceDE/>
              <w:autoSpaceDN/>
              <w:bidi w:val="0"/>
              <w:adjustRightInd/>
              <w:snapToGrid/>
              <w:spacing w:line="300" w:lineRule="exact"/>
              <w:ind w:right="310"/>
              <w:jc w:val="center"/>
              <w:textAlignment w:val="auto"/>
              <w:rPr>
                <w:rFonts w:asciiTheme="minorEastAsia" w:hAnsiTheme="minorEastAsia" w:eastAsiaTheme="minorEastAsia"/>
                <w:sz w:val="24"/>
                <w:szCs w:val="24"/>
              </w:rPr>
            </w:pPr>
            <w:r>
              <w:rPr>
                <w:rFonts w:asciiTheme="minorEastAsia" w:hAnsiTheme="minorEastAsia" w:eastAsiaTheme="minorEastAsia"/>
                <w:sz w:val="24"/>
                <w:szCs w:val="24"/>
              </w:rPr>
              <w:t>内 容</w:t>
            </w:r>
          </w:p>
        </w:tc>
        <w:tc>
          <w:tcPr>
            <w:tcW w:w="3665" w:type="pct"/>
            <w:tcBorders>
              <w:top w:val="single" w:color="000000" w:sz="4" w:space="0"/>
              <w:left w:val="single" w:color="000000" w:sz="4" w:space="0"/>
              <w:bottom w:val="single" w:color="000000" w:sz="4" w:space="0"/>
              <w:right w:val="single" w:color="000000" w:sz="4" w:space="0"/>
            </w:tcBorders>
            <w:vAlign w:val="center"/>
          </w:tcPr>
          <w:p w14:paraId="0F0F2D96">
            <w:pPr>
              <w:keepNext w:val="0"/>
              <w:keepLines w:val="0"/>
              <w:pageBreakBefore w:val="0"/>
              <w:kinsoku/>
              <w:wordWrap/>
              <w:overflowPunct/>
              <w:topLinePunct w:val="0"/>
              <w:autoSpaceDE/>
              <w:autoSpaceDN/>
              <w:bidi w:val="0"/>
              <w:adjustRightInd/>
              <w:snapToGrid/>
              <w:spacing w:line="300" w:lineRule="exact"/>
              <w:ind w:left="840" w:right="111"/>
              <w:jc w:val="center"/>
              <w:textAlignment w:val="auto"/>
              <w:rPr>
                <w:rFonts w:asciiTheme="minorEastAsia" w:hAnsiTheme="minorEastAsia" w:eastAsiaTheme="minorEastAsia"/>
                <w:sz w:val="24"/>
                <w:szCs w:val="24"/>
              </w:rPr>
            </w:pPr>
            <w:r>
              <w:rPr>
                <w:rFonts w:asciiTheme="minorEastAsia" w:hAnsiTheme="minorEastAsia" w:eastAsiaTheme="minorEastAsia"/>
                <w:sz w:val="24"/>
                <w:szCs w:val="24"/>
              </w:rPr>
              <w:t>说明与要求</w:t>
            </w:r>
          </w:p>
        </w:tc>
      </w:tr>
      <w:tr w14:paraId="590DEDAA">
        <w:tblPrEx>
          <w:tblCellMar>
            <w:top w:w="147" w:type="dxa"/>
            <w:left w:w="108" w:type="dxa"/>
            <w:bottom w:w="56" w:type="dxa"/>
            <w:right w:w="0" w:type="dxa"/>
          </w:tblCellMar>
        </w:tblPrEx>
        <w:trPr>
          <w:trHeight w:val="279" w:hRule="atLeast"/>
          <w:jc w:val="center"/>
        </w:trPr>
        <w:tc>
          <w:tcPr>
            <w:tcW w:w="348" w:type="pct"/>
            <w:tcBorders>
              <w:top w:val="single" w:color="000000" w:sz="4" w:space="0"/>
              <w:left w:val="single" w:color="000000" w:sz="4" w:space="0"/>
              <w:bottom w:val="single" w:color="000000" w:sz="4" w:space="0"/>
              <w:right w:val="single" w:color="000000" w:sz="4" w:space="0"/>
            </w:tcBorders>
            <w:vAlign w:val="center"/>
          </w:tcPr>
          <w:p w14:paraId="5ECC18E1">
            <w:pPr>
              <w:pStyle w:val="78"/>
              <w:keepNext w:val="0"/>
              <w:keepLines w:val="0"/>
              <w:pageBreakBefore w:val="0"/>
              <w:numPr>
                <w:ilvl w:val="0"/>
                <w:numId w:val="1"/>
              </w:numPr>
              <w:kinsoku/>
              <w:wordWrap/>
              <w:overflowPunct/>
              <w:topLinePunct w:val="0"/>
              <w:autoSpaceDE/>
              <w:autoSpaceDN/>
              <w:bidi w:val="0"/>
              <w:adjustRightInd/>
              <w:snapToGrid/>
              <w:spacing w:line="300" w:lineRule="exact"/>
              <w:ind w:left="630" w:leftChars="0" w:right="110" w:firstLineChars="0"/>
              <w:jc w:val="center"/>
              <w:textAlignment w:val="auto"/>
              <w:rPr>
                <w:rFonts w:asciiTheme="minorEastAsia" w:hAnsiTheme="minorEastAsia" w:eastAsiaTheme="minorEastAsia"/>
                <w:sz w:val="24"/>
                <w:szCs w:val="24"/>
              </w:rPr>
            </w:pPr>
          </w:p>
        </w:tc>
        <w:tc>
          <w:tcPr>
            <w:tcW w:w="986" w:type="pct"/>
            <w:tcBorders>
              <w:top w:val="single" w:color="000000" w:sz="4" w:space="0"/>
              <w:left w:val="single" w:color="000000" w:sz="4" w:space="0"/>
              <w:bottom w:val="single" w:color="000000" w:sz="4" w:space="0"/>
              <w:right w:val="single" w:color="000000" w:sz="4" w:space="0"/>
            </w:tcBorders>
            <w:vAlign w:val="center"/>
          </w:tcPr>
          <w:p w14:paraId="009FCEF8">
            <w:pPr>
              <w:keepNext w:val="0"/>
              <w:keepLines w:val="0"/>
              <w:pageBreakBefore w:val="0"/>
              <w:kinsoku/>
              <w:wordWrap/>
              <w:overflowPunct/>
              <w:topLinePunct w:val="0"/>
              <w:autoSpaceDE/>
              <w:autoSpaceDN/>
              <w:bidi w:val="0"/>
              <w:adjustRightInd/>
              <w:snapToGrid/>
              <w:spacing w:line="300" w:lineRule="exact"/>
              <w:ind w:right="109"/>
              <w:jc w:val="center"/>
              <w:textAlignment w:val="auto"/>
              <w:rPr>
                <w:rFonts w:asciiTheme="minorEastAsia" w:hAnsiTheme="minorEastAsia" w:eastAsiaTheme="minorEastAsia"/>
                <w:sz w:val="24"/>
                <w:szCs w:val="24"/>
              </w:rPr>
            </w:pPr>
            <w:r>
              <w:rPr>
                <w:rFonts w:asciiTheme="minorEastAsia" w:hAnsiTheme="minorEastAsia" w:eastAsiaTheme="minorEastAsia"/>
                <w:sz w:val="24"/>
                <w:szCs w:val="24"/>
              </w:rPr>
              <w:t>采购人</w:t>
            </w:r>
          </w:p>
        </w:tc>
        <w:tc>
          <w:tcPr>
            <w:tcW w:w="3665" w:type="pct"/>
            <w:tcBorders>
              <w:top w:val="single" w:color="000000" w:sz="4" w:space="0"/>
              <w:left w:val="single" w:color="000000" w:sz="4" w:space="0"/>
              <w:bottom w:val="single" w:color="000000" w:sz="4" w:space="0"/>
              <w:right w:val="single" w:color="000000" w:sz="4" w:space="0"/>
            </w:tcBorders>
            <w:vAlign w:val="center"/>
          </w:tcPr>
          <w:p w14:paraId="162FAFF9">
            <w:pPr>
              <w:keepNext w:val="0"/>
              <w:keepLines w:val="0"/>
              <w:pageBreakBefore w:val="0"/>
              <w:kinsoku/>
              <w:wordWrap/>
              <w:overflowPunct/>
              <w:topLinePunct w:val="0"/>
              <w:autoSpaceDE/>
              <w:autoSpaceDN/>
              <w:bidi w:val="0"/>
              <w:adjustRightInd/>
              <w:snapToGrid/>
              <w:spacing w:line="300" w:lineRule="exact"/>
              <w:jc w:val="lef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汉滨区移民（脱贫）搬迁工作办公室</w:t>
            </w:r>
          </w:p>
        </w:tc>
      </w:tr>
      <w:tr w14:paraId="750C22AF">
        <w:tblPrEx>
          <w:tblCellMar>
            <w:top w:w="147" w:type="dxa"/>
            <w:left w:w="108" w:type="dxa"/>
            <w:bottom w:w="56" w:type="dxa"/>
            <w:right w:w="0" w:type="dxa"/>
          </w:tblCellMar>
        </w:tblPrEx>
        <w:trPr>
          <w:trHeight w:val="345" w:hRule="atLeast"/>
          <w:jc w:val="center"/>
        </w:trPr>
        <w:tc>
          <w:tcPr>
            <w:tcW w:w="348" w:type="pct"/>
            <w:tcBorders>
              <w:top w:val="single" w:color="000000" w:sz="4" w:space="0"/>
              <w:left w:val="single" w:color="000000" w:sz="4" w:space="0"/>
              <w:bottom w:val="single" w:color="000000" w:sz="4" w:space="0"/>
              <w:right w:val="single" w:color="000000" w:sz="4" w:space="0"/>
            </w:tcBorders>
            <w:vAlign w:val="center"/>
          </w:tcPr>
          <w:p w14:paraId="7E760117">
            <w:pPr>
              <w:pStyle w:val="78"/>
              <w:keepNext w:val="0"/>
              <w:keepLines w:val="0"/>
              <w:pageBreakBefore w:val="0"/>
              <w:numPr>
                <w:ilvl w:val="0"/>
                <w:numId w:val="1"/>
              </w:numPr>
              <w:kinsoku/>
              <w:wordWrap/>
              <w:overflowPunct/>
              <w:topLinePunct w:val="0"/>
              <w:autoSpaceDE/>
              <w:autoSpaceDN/>
              <w:bidi w:val="0"/>
              <w:adjustRightInd/>
              <w:snapToGrid/>
              <w:spacing w:line="300" w:lineRule="exact"/>
              <w:ind w:left="630" w:leftChars="0" w:right="110" w:firstLineChars="0"/>
              <w:jc w:val="center"/>
              <w:textAlignment w:val="auto"/>
              <w:rPr>
                <w:rFonts w:asciiTheme="minorEastAsia" w:hAnsiTheme="minorEastAsia" w:eastAsiaTheme="minorEastAsia"/>
                <w:sz w:val="24"/>
                <w:szCs w:val="24"/>
              </w:rPr>
            </w:pPr>
          </w:p>
        </w:tc>
        <w:tc>
          <w:tcPr>
            <w:tcW w:w="986" w:type="pct"/>
            <w:tcBorders>
              <w:top w:val="single" w:color="000000" w:sz="4" w:space="0"/>
              <w:left w:val="single" w:color="000000" w:sz="4" w:space="0"/>
              <w:bottom w:val="single" w:color="000000" w:sz="4" w:space="0"/>
              <w:right w:val="single" w:color="000000" w:sz="4" w:space="0"/>
            </w:tcBorders>
            <w:vAlign w:val="center"/>
          </w:tcPr>
          <w:p w14:paraId="3F4BD4D4">
            <w:pPr>
              <w:keepNext w:val="0"/>
              <w:keepLines w:val="0"/>
              <w:pageBreakBefore w:val="0"/>
              <w:kinsoku/>
              <w:wordWrap/>
              <w:overflowPunct/>
              <w:topLinePunct w:val="0"/>
              <w:autoSpaceDE/>
              <w:autoSpaceDN/>
              <w:bidi w:val="0"/>
              <w:adjustRightInd/>
              <w:snapToGrid/>
              <w:spacing w:line="300" w:lineRule="exact"/>
              <w:ind w:right="109"/>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代理机构</w:t>
            </w:r>
          </w:p>
        </w:tc>
        <w:tc>
          <w:tcPr>
            <w:tcW w:w="3665" w:type="pct"/>
            <w:tcBorders>
              <w:top w:val="single" w:color="000000" w:sz="4" w:space="0"/>
              <w:left w:val="single" w:color="000000" w:sz="4" w:space="0"/>
              <w:bottom w:val="single" w:color="000000" w:sz="4" w:space="0"/>
              <w:right w:val="single" w:color="000000" w:sz="4" w:space="0"/>
            </w:tcBorders>
            <w:vAlign w:val="center"/>
          </w:tcPr>
          <w:p w14:paraId="477952DD">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w:t>
            </w:r>
          </w:p>
        </w:tc>
      </w:tr>
      <w:tr w14:paraId="408D3A27">
        <w:tblPrEx>
          <w:tblCellMar>
            <w:top w:w="147" w:type="dxa"/>
            <w:left w:w="108" w:type="dxa"/>
            <w:bottom w:w="56" w:type="dxa"/>
            <w:right w:w="0" w:type="dxa"/>
          </w:tblCellMar>
        </w:tblPrEx>
        <w:trPr>
          <w:trHeight w:val="349" w:hRule="atLeast"/>
          <w:jc w:val="center"/>
        </w:trPr>
        <w:tc>
          <w:tcPr>
            <w:tcW w:w="348" w:type="pct"/>
            <w:tcBorders>
              <w:top w:val="single" w:color="000000" w:sz="4" w:space="0"/>
              <w:left w:val="single" w:color="000000" w:sz="4" w:space="0"/>
              <w:bottom w:val="single" w:color="000000" w:sz="4" w:space="0"/>
              <w:right w:val="single" w:color="000000" w:sz="4" w:space="0"/>
            </w:tcBorders>
            <w:vAlign w:val="center"/>
          </w:tcPr>
          <w:p w14:paraId="3B9820D8">
            <w:pPr>
              <w:pStyle w:val="78"/>
              <w:keepNext w:val="0"/>
              <w:keepLines w:val="0"/>
              <w:pageBreakBefore w:val="0"/>
              <w:numPr>
                <w:ilvl w:val="0"/>
                <w:numId w:val="1"/>
              </w:numPr>
              <w:kinsoku/>
              <w:wordWrap/>
              <w:overflowPunct/>
              <w:topLinePunct w:val="0"/>
              <w:autoSpaceDE/>
              <w:autoSpaceDN/>
              <w:bidi w:val="0"/>
              <w:adjustRightInd/>
              <w:snapToGrid/>
              <w:spacing w:line="300" w:lineRule="exact"/>
              <w:ind w:left="630" w:leftChars="0" w:right="110" w:firstLineChars="0"/>
              <w:jc w:val="center"/>
              <w:textAlignment w:val="auto"/>
              <w:rPr>
                <w:rFonts w:asciiTheme="minorEastAsia" w:hAnsiTheme="minorEastAsia" w:eastAsiaTheme="minorEastAsia"/>
                <w:sz w:val="24"/>
                <w:szCs w:val="24"/>
              </w:rPr>
            </w:pPr>
          </w:p>
        </w:tc>
        <w:tc>
          <w:tcPr>
            <w:tcW w:w="986" w:type="pct"/>
            <w:tcBorders>
              <w:top w:val="single" w:color="000000" w:sz="4" w:space="0"/>
              <w:left w:val="single" w:color="000000" w:sz="4" w:space="0"/>
              <w:bottom w:val="single" w:color="000000" w:sz="4" w:space="0"/>
              <w:right w:val="single" w:color="000000" w:sz="4" w:space="0"/>
            </w:tcBorders>
            <w:vAlign w:val="center"/>
          </w:tcPr>
          <w:p w14:paraId="49BDFC41">
            <w:pPr>
              <w:keepNext w:val="0"/>
              <w:keepLines w:val="0"/>
              <w:pageBreakBefore w:val="0"/>
              <w:kinsoku/>
              <w:wordWrap/>
              <w:overflowPunct/>
              <w:topLinePunct w:val="0"/>
              <w:autoSpaceDE/>
              <w:autoSpaceDN/>
              <w:bidi w:val="0"/>
              <w:adjustRightInd/>
              <w:snapToGrid/>
              <w:spacing w:line="300" w:lineRule="exact"/>
              <w:ind w:right="111"/>
              <w:jc w:val="center"/>
              <w:textAlignment w:val="auto"/>
              <w:rPr>
                <w:rFonts w:asciiTheme="minorEastAsia" w:hAnsiTheme="minorEastAsia" w:eastAsiaTheme="minorEastAsia"/>
                <w:sz w:val="24"/>
                <w:szCs w:val="24"/>
              </w:rPr>
            </w:pPr>
            <w:r>
              <w:rPr>
                <w:rFonts w:asciiTheme="minorEastAsia" w:hAnsiTheme="minorEastAsia" w:eastAsiaTheme="minorEastAsia"/>
                <w:sz w:val="24"/>
                <w:szCs w:val="24"/>
              </w:rPr>
              <w:t>项目名称</w:t>
            </w:r>
          </w:p>
        </w:tc>
        <w:tc>
          <w:tcPr>
            <w:tcW w:w="3665" w:type="pct"/>
            <w:tcBorders>
              <w:top w:val="single" w:color="000000" w:sz="4" w:space="0"/>
              <w:left w:val="single" w:color="000000" w:sz="4" w:space="0"/>
              <w:bottom w:val="single" w:color="000000" w:sz="4" w:space="0"/>
              <w:right w:val="single" w:color="000000" w:sz="4" w:space="0"/>
            </w:tcBorders>
            <w:vAlign w:val="center"/>
          </w:tcPr>
          <w:p w14:paraId="53DB95E2">
            <w:pPr>
              <w:pStyle w:val="78"/>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asciiTheme="minorEastAsia" w:hAnsiTheme="minorEastAsia" w:eastAsiaTheme="minorEastAsia"/>
                <w:sz w:val="24"/>
                <w:szCs w:val="24"/>
              </w:rPr>
            </w:pPr>
            <w:r>
              <w:rPr>
                <w:rFonts w:ascii="宋体" w:hAnsi="宋体" w:cs="Times New Roman"/>
                <w:color w:val="000000" w:themeColor="text1"/>
                <w:sz w:val="24"/>
                <w:szCs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margin">
                        <wp:posOffset>7500620</wp:posOffset>
                      </wp:positionH>
                      <wp:positionV relativeFrom="paragraph">
                        <wp:posOffset>-354330</wp:posOffset>
                      </wp:positionV>
                      <wp:extent cx="97472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a:effectLst/>
                            </wps:spPr>
                            <wps:txbx>
                              <w:txbxContent>
                                <w:p w14:paraId="2E9B4322">
                                  <w:pPr>
                                    <w:pStyle w:val="23"/>
                                  </w:pPr>
                                  <w:r>
                                    <w:rPr>
                                      <w:rFonts w:hint="eastAsia"/>
                                    </w:rPr>
                                    <w:t xml:space="preserve">第 </w:t>
                                  </w:r>
                                  <w:r>
                                    <w:fldChar w:fldCharType="begin"/>
                                  </w:r>
                                  <w:r>
                                    <w:instrText xml:space="preserve"> PAGE  \* MERGEFORMAT </w:instrText>
                                  </w:r>
                                  <w:r>
                                    <w:fldChar w:fldCharType="separate"/>
                                  </w:r>
                                  <w:r>
                                    <w:t>6</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590.6pt;margin-top:-27.9pt;height:11.65pt;width:76.75pt;mso-position-horizontal-relative:margin;mso-wrap-style:none;z-index:251659264;mso-width-relative:page;mso-height-relative:page;" filled="f" stroked="f" coordsize="21600,21600" o:gfxdata="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jLec9kAAAANAQAADwAAAAAAAAABACAAAAAiAAAAZHJzL2Rv&#10;d25yZXYueG1sUEsBAhQAFAAAAAgAh07iQGV79G85AgAAYQQAAA4AAAAAAAAAAQAgAAAAKAEAAGRy&#10;cy9lMm9Eb2MueG1sUEsFBgAAAAAGAAYAWQEAANMFAAAAAA==&#10;">
                      <v:fill on="f" focussize="0,0"/>
                      <v:stroke on="f" weight="0.5pt"/>
                      <v:imagedata o:title=""/>
                      <o:lock v:ext="edit" aspectratio="f"/>
                      <v:textbox inset="0mm,0mm,0mm,0mm" style="mso-fit-shape-to-text:t;">
                        <w:txbxContent>
                          <w:p w14:paraId="2E9B4322">
                            <w:pPr>
                              <w:pStyle w:val="23"/>
                            </w:pPr>
                            <w:r>
                              <w:rPr>
                                <w:rFonts w:hint="eastAsia"/>
                              </w:rPr>
                              <w:t xml:space="preserve">第 </w:t>
                            </w:r>
                            <w:r>
                              <w:fldChar w:fldCharType="begin"/>
                            </w:r>
                            <w:r>
                              <w:instrText xml:space="preserve"> PAGE  \* MERGEFORMAT </w:instrText>
                            </w:r>
                            <w:r>
                              <w:fldChar w:fldCharType="separate"/>
                            </w:r>
                            <w:r>
                              <w:t>6</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v:textbox>
                    </v:shape>
                  </w:pict>
                </mc:Fallback>
              </mc:AlternateContent>
            </w:r>
            <w:r>
              <w:rPr>
                <w:rFonts w:hint="eastAsia" w:asciiTheme="minorEastAsia" w:hAnsiTheme="minorEastAsia" w:eastAsiaTheme="minorEastAsia"/>
                <w:sz w:val="24"/>
                <w:szCs w:val="24"/>
                <w:lang w:val="en-US" w:eastAsia="zh-CN"/>
              </w:rPr>
              <w:t>汉滨区“十三五”易地扶贫搬迁清盘决算审计项目</w:t>
            </w:r>
          </w:p>
        </w:tc>
      </w:tr>
      <w:tr w14:paraId="53AC77E1">
        <w:tblPrEx>
          <w:tblCellMar>
            <w:top w:w="147" w:type="dxa"/>
            <w:left w:w="108" w:type="dxa"/>
            <w:bottom w:w="56" w:type="dxa"/>
            <w:right w:w="0" w:type="dxa"/>
          </w:tblCellMar>
        </w:tblPrEx>
        <w:trPr>
          <w:trHeight w:val="90" w:hRule="atLeast"/>
          <w:jc w:val="center"/>
        </w:trPr>
        <w:tc>
          <w:tcPr>
            <w:tcW w:w="348" w:type="pct"/>
            <w:tcBorders>
              <w:top w:val="single" w:color="000000" w:sz="4" w:space="0"/>
              <w:left w:val="single" w:color="000000" w:sz="4" w:space="0"/>
              <w:bottom w:val="single" w:color="000000" w:sz="4" w:space="0"/>
              <w:right w:val="single" w:color="000000" w:sz="4" w:space="0"/>
            </w:tcBorders>
            <w:vAlign w:val="center"/>
          </w:tcPr>
          <w:p w14:paraId="5BCF4164">
            <w:pPr>
              <w:pStyle w:val="78"/>
              <w:keepNext w:val="0"/>
              <w:keepLines w:val="0"/>
              <w:pageBreakBefore w:val="0"/>
              <w:numPr>
                <w:ilvl w:val="0"/>
                <w:numId w:val="1"/>
              </w:numPr>
              <w:kinsoku/>
              <w:wordWrap/>
              <w:overflowPunct/>
              <w:topLinePunct w:val="0"/>
              <w:autoSpaceDE/>
              <w:autoSpaceDN/>
              <w:bidi w:val="0"/>
              <w:adjustRightInd/>
              <w:snapToGrid/>
              <w:spacing w:line="300" w:lineRule="exact"/>
              <w:ind w:left="630" w:leftChars="0" w:right="110" w:firstLineChars="0"/>
              <w:jc w:val="center"/>
              <w:textAlignment w:val="auto"/>
              <w:rPr>
                <w:rFonts w:asciiTheme="minorEastAsia" w:hAnsiTheme="minorEastAsia" w:eastAsiaTheme="minorEastAsia"/>
                <w:sz w:val="24"/>
                <w:szCs w:val="24"/>
              </w:rPr>
            </w:pPr>
          </w:p>
        </w:tc>
        <w:tc>
          <w:tcPr>
            <w:tcW w:w="986" w:type="pct"/>
            <w:tcBorders>
              <w:top w:val="single" w:color="000000" w:sz="4" w:space="0"/>
              <w:left w:val="single" w:color="000000" w:sz="4" w:space="0"/>
              <w:bottom w:val="single" w:color="000000" w:sz="4" w:space="0"/>
              <w:right w:val="single" w:color="000000" w:sz="4" w:space="0"/>
            </w:tcBorders>
            <w:vAlign w:val="center"/>
          </w:tcPr>
          <w:p w14:paraId="5EEE95EA">
            <w:pPr>
              <w:keepNext w:val="0"/>
              <w:keepLines w:val="0"/>
              <w:pageBreakBefore w:val="0"/>
              <w:kinsoku/>
              <w:wordWrap/>
              <w:overflowPunct/>
              <w:topLinePunct w:val="0"/>
              <w:autoSpaceDE/>
              <w:autoSpaceDN/>
              <w:bidi w:val="0"/>
              <w:adjustRightInd/>
              <w:snapToGrid/>
              <w:spacing w:line="300" w:lineRule="exact"/>
              <w:ind w:right="111" w:rightChars="0"/>
              <w:jc w:val="center"/>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采购内容</w:t>
            </w:r>
          </w:p>
        </w:tc>
        <w:tc>
          <w:tcPr>
            <w:tcW w:w="3665" w:type="pct"/>
            <w:tcBorders>
              <w:top w:val="single" w:color="000000" w:sz="4" w:space="0"/>
              <w:left w:val="single" w:color="000000" w:sz="4" w:space="0"/>
              <w:bottom w:val="single" w:color="000000" w:sz="4" w:space="0"/>
              <w:right w:val="single" w:color="000000" w:sz="4" w:space="0"/>
            </w:tcBorders>
            <w:vAlign w:val="center"/>
          </w:tcPr>
          <w:p w14:paraId="7240A4DD">
            <w:pPr>
              <w:pStyle w:val="46"/>
              <w:keepNext w:val="0"/>
              <w:keepLines w:val="0"/>
              <w:pageBreakBefore w:val="0"/>
              <w:kinsoku/>
              <w:wordWrap/>
              <w:overflowPunct/>
              <w:topLinePunct w:val="0"/>
              <w:autoSpaceDE/>
              <w:autoSpaceDN/>
              <w:bidi w:val="0"/>
              <w:adjustRightInd/>
              <w:spacing w:line="460" w:lineRule="exact"/>
              <w:ind w:left="0" w:leftChars="0"/>
              <w:textAlignment w:val="auto"/>
              <w:outlineLvl w:val="9"/>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审计任务与依据。审计认定汉滨区”十三五“易地扶贫搬迁任务完成及实施投资情况，按照《中国注册会计师审计准则》《会计师事务所从事基本建设工程预算、结算、决算审核暂行办法》的要求，对汉滨区”十三五“易地扶贫搬迁项目进行清盘决算审计，准确认定搬迁任务完成情况及实施投资状况。</w:t>
            </w:r>
          </w:p>
          <w:p w14:paraId="46788F9F">
            <w:pPr>
              <w:pStyle w:val="46"/>
              <w:keepNext w:val="0"/>
              <w:keepLines w:val="0"/>
              <w:pageBreakBefore w:val="0"/>
              <w:kinsoku/>
              <w:wordWrap/>
              <w:overflowPunct/>
              <w:topLinePunct w:val="0"/>
              <w:autoSpaceDE/>
              <w:autoSpaceDN/>
              <w:bidi w:val="0"/>
              <w:adjustRightInd/>
              <w:spacing w:line="460" w:lineRule="exact"/>
              <w:ind w:left="0" w:leftChars="0"/>
              <w:textAlignment w:val="auto"/>
              <w:outlineLvl w:val="9"/>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审计内容与要求。对汉滨区"十三五"易地扶贫搬迁资金的筹集、分配、使用、管理及项目决算等进行全面审计，重点核查资金使用的合规性和效益性。审计工作应当坚持依法审计原则，严格按照国家审计准则、十三五搬迁政策及汉滨区实际实施模式开展清理清算工作，确保审计质量。</w:t>
            </w:r>
          </w:p>
          <w:p w14:paraId="6173B352">
            <w:pPr>
              <w:pStyle w:val="46"/>
              <w:keepNext w:val="0"/>
              <w:keepLines w:val="0"/>
              <w:pageBreakBefore w:val="0"/>
              <w:kinsoku/>
              <w:wordWrap/>
              <w:overflowPunct/>
              <w:topLinePunct w:val="0"/>
              <w:autoSpaceDE/>
              <w:autoSpaceDN/>
              <w:bidi w:val="0"/>
              <w:adjustRightInd/>
              <w:spacing w:line="460" w:lineRule="exact"/>
              <w:ind w:left="0" w:leftChars="0"/>
              <w:textAlignment w:val="auto"/>
              <w:outlineLvl w:val="9"/>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审计范围与处理原则。与23个镇、4个街道办（包括原合并镇）进行易地扶贫搬迁资金对账和决算审计，形成各镇（办）易地扶贫搬迁定案意见。审计工作必须坚持客观公正、严格执法的原则，有效防范审计风险。对审计发现的问题要做到事实清楚、定性准确、查深查透、责任明确、处理到位。及时报告审计情况，对发现的重大问题要一查到底，严肃追究。</w:t>
            </w:r>
          </w:p>
        </w:tc>
      </w:tr>
      <w:tr w14:paraId="795AF466">
        <w:tblPrEx>
          <w:tblCellMar>
            <w:top w:w="147" w:type="dxa"/>
            <w:left w:w="108" w:type="dxa"/>
            <w:bottom w:w="56" w:type="dxa"/>
            <w:right w:w="0" w:type="dxa"/>
          </w:tblCellMar>
        </w:tblPrEx>
        <w:trPr>
          <w:trHeight w:val="642" w:hRule="exact"/>
          <w:jc w:val="center"/>
        </w:trPr>
        <w:tc>
          <w:tcPr>
            <w:tcW w:w="348" w:type="pct"/>
            <w:tcBorders>
              <w:top w:val="single" w:color="000000" w:sz="4" w:space="0"/>
              <w:left w:val="single" w:color="000000" w:sz="4" w:space="0"/>
              <w:bottom w:val="single" w:color="000000" w:sz="4" w:space="0"/>
              <w:right w:val="single" w:color="000000" w:sz="4" w:space="0"/>
            </w:tcBorders>
            <w:vAlign w:val="center"/>
          </w:tcPr>
          <w:p w14:paraId="03CEE6D6">
            <w:pPr>
              <w:pStyle w:val="78"/>
              <w:keepNext w:val="0"/>
              <w:keepLines w:val="0"/>
              <w:pageBreakBefore w:val="0"/>
              <w:numPr>
                <w:ilvl w:val="0"/>
                <w:numId w:val="1"/>
              </w:numPr>
              <w:kinsoku/>
              <w:wordWrap/>
              <w:overflowPunct/>
              <w:topLinePunct w:val="0"/>
              <w:autoSpaceDE/>
              <w:autoSpaceDN/>
              <w:bidi w:val="0"/>
              <w:adjustRightInd/>
              <w:snapToGrid/>
              <w:spacing w:line="300" w:lineRule="exact"/>
              <w:ind w:left="630" w:leftChars="0" w:right="110" w:firstLineChars="0"/>
              <w:jc w:val="center"/>
              <w:textAlignment w:val="auto"/>
              <w:rPr>
                <w:rFonts w:asciiTheme="minorEastAsia" w:hAnsiTheme="minorEastAsia" w:eastAsiaTheme="minorEastAsia"/>
                <w:sz w:val="24"/>
                <w:szCs w:val="24"/>
              </w:rPr>
            </w:pPr>
          </w:p>
        </w:tc>
        <w:tc>
          <w:tcPr>
            <w:tcW w:w="986" w:type="pct"/>
            <w:tcBorders>
              <w:top w:val="single" w:color="000000" w:sz="4" w:space="0"/>
              <w:left w:val="single" w:color="000000" w:sz="4" w:space="0"/>
              <w:bottom w:val="single" w:color="000000" w:sz="4" w:space="0"/>
              <w:right w:val="single" w:color="000000" w:sz="4" w:space="0"/>
            </w:tcBorders>
            <w:vAlign w:val="center"/>
          </w:tcPr>
          <w:p w14:paraId="755EF4ED">
            <w:pPr>
              <w:keepNext w:val="0"/>
              <w:keepLines w:val="0"/>
              <w:pageBreakBefore w:val="0"/>
              <w:kinsoku/>
              <w:wordWrap/>
              <w:overflowPunct/>
              <w:topLinePunct w:val="0"/>
              <w:autoSpaceDE/>
              <w:autoSpaceDN/>
              <w:bidi w:val="0"/>
              <w:adjustRightInd/>
              <w:snapToGrid/>
              <w:spacing w:line="300" w:lineRule="exact"/>
              <w:ind w:right="111" w:rightChars="0"/>
              <w:jc w:val="center"/>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预算金额</w:t>
            </w:r>
          </w:p>
        </w:tc>
        <w:tc>
          <w:tcPr>
            <w:tcW w:w="3665" w:type="pct"/>
            <w:tcBorders>
              <w:top w:val="single" w:color="000000" w:sz="4" w:space="0"/>
              <w:left w:val="single" w:color="000000" w:sz="4" w:space="0"/>
              <w:bottom w:val="single" w:color="000000" w:sz="4" w:space="0"/>
              <w:right w:val="single" w:color="000000" w:sz="4" w:space="0"/>
            </w:tcBorders>
            <w:vAlign w:val="center"/>
          </w:tcPr>
          <w:p w14:paraId="122B0DF1">
            <w:pPr>
              <w:keepNext w:val="0"/>
              <w:keepLines w:val="0"/>
              <w:pageBreakBefore w:val="0"/>
              <w:kinsoku/>
              <w:wordWrap/>
              <w:overflowPunct/>
              <w:topLinePunct w:val="0"/>
              <w:autoSpaceDE/>
              <w:autoSpaceDN/>
              <w:bidi w:val="0"/>
              <w:adjustRightInd/>
              <w:snapToGrid/>
              <w:spacing w:line="300" w:lineRule="exact"/>
              <w:ind w:right="111" w:rightChars="0"/>
              <w:jc w:val="left"/>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279,000.00元</w:t>
            </w:r>
          </w:p>
        </w:tc>
      </w:tr>
      <w:tr w14:paraId="53C56EFA">
        <w:tblPrEx>
          <w:tblCellMar>
            <w:top w:w="147" w:type="dxa"/>
            <w:left w:w="108" w:type="dxa"/>
            <w:bottom w:w="56" w:type="dxa"/>
            <w:right w:w="0" w:type="dxa"/>
          </w:tblCellMar>
        </w:tblPrEx>
        <w:trPr>
          <w:trHeight w:val="587" w:hRule="exact"/>
          <w:jc w:val="center"/>
        </w:trPr>
        <w:tc>
          <w:tcPr>
            <w:tcW w:w="348" w:type="pct"/>
            <w:tcBorders>
              <w:top w:val="single" w:color="000000" w:sz="4" w:space="0"/>
              <w:left w:val="single" w:color="000000" w:sz="4" w:space="0"/>
              <w:bottom w:val="single" w:color="000000" w:sz="4" w:space="0"/>
              <w:right w:val="single" w:color="000000" w:sz="4" w:space="0"/>
            </w:tcBorders>
            <w:vAlign w:val="center"/>
          </w:tcPr>
          <w:p w14:paraId="59A69788">
            <w:pPr>
              <w:pStyle w:val="78"/>
              <w:numPr>
                <w:ilvl w:val="0"/>
                <w:numId w:val="1"/>
              </w:numPr>
              <w:spacing w:line="259" w:lineRule="auto"/>
              <w:ind w:left="630" w:leftChars="0" w:right="110" w:firstLineChars="0"/>
              <w:jc w:val="center"/>
              <w:rPr>
                <w:rFonts w:asciiTheme="minorEastAsia" w:hAnsiTheme="minorEastAsia" w:eastAsiaTheme="minorEastAsia"/>
                <w:sz w:val="24"/>
                <w:szCs w:val="24"/>
              </w:rPr>
            </w:pPr>
          </w:p>
        </w:tc>
        <w:tc>
          <w:tcPr>
            <w:tcW w:w="986" w:type="pct"/>
            <w:tcBorders>
              <w:top w:val="single" w:color="000000" w:sz="4" w:space="0"/>
              <w:left w:val="single" w:color="000000" w:sz="4" w:space="0"/>
              <w:bottom w:val="single" w:color="000000" w:sz="4" w:space="0"/>
              <w:right w:val="single" w:color="000000" w:sz="4" w:space="0"/>
            </w:tcBorders>
            <w:vAlign w:val="center"/>
          </w:tcPr>
          <w:p w14:paraId="2745CCF3">
            <w:pPr>
              <w:keepNext w:val="0"/>
              <w:keepLines w:val="0"/>
              <w:pageBreakBefore w:val="0"/>
              <w:kinsoku/>
              <w:wordWrap/>
              <w:overflowPunct/>
              <w:topLinePunct w:val="0"/>
              <w:autoSpaceDE/>
              <w:autoSpaceDN/>
              <w:bidi w:val="0"/>
              <w:adjustRightInd/>
              <w:snapToGrid/>
              <w:spacing w:line="360" w:lineRule="auto"/>
              <w:ind w:right="111" w:rightChars="0"/>
              <w:jc w:val="center"/>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val="en-US" w:eastAsia="zh-CN"/>
              </w:rPr>
              <w:t>服务</w:t>
            </w:r>
            <w:r>
              <w:rPr>
                <w:rFonts w:hint="eastAsia" w:asciiTheme="minorEastAsia" w:hAnsiTheme="minorEastAsia" w:eastAsiaTheme="minorEastAsia"/>
                <w:color w:val="auto"/>
                <w:sz w:val="24"/>
                <w:szCs w:val="24"/>
                <w:lang w:eastAsia="zh-CN"/>
              </w:rPr>
              <w:t>期</w:t>
            </w:r>
          </w:p>
        </w:tc>
        <w:tc>
          <w:tcPr>
            <w:tcW w:w="3665" w:type="pct"/>
            <w:tcBorders>
              <w:top w:val="single" w:color="000000" w:sz="4" w:space="0"/>
              <w:left w:val="single" w:color="000000" w:sz="4" w:space="0"/>
              <w:bottom w:val="single" w:color="000000" w:sz="4" w:space="0"/>
              <w:right w:val="single" w:color="000000" w:sz="4" w:space="0"/>
            </w:tcBorders>
            <w:vAlign w:val="center"/>
          </w:tcPr>
          <w:p w14:paraId="665543F8">
            <w:pPr>
              <w:keepNext w:val="0"/>
              <w:keepLines w:val="0"/>
              <w:pageBreakBefore w:val="0"/>
              <w:kinsoku/>
              <w:wordWrap/>
              <w:overflowPunct/>
              <w:topLinePunct w:val="0"/>
              <w:autoSpaceDE/>
              <w:autoSpaceDN/>
              <w:bidi w:val="0"/>
              <w:adjustRightInd/>
              <w:snapToGrid/>
              <w:spacing w:line="360" w:lineRule="auto"/>
              <w:ind w:right="111" w:rightChars="0"/>
              <w:jc w:val="left"/>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自签订合同之日起至3个月</w:t>
            </w:r>
          </w:p>
          <w:p w14:paraId="6A783695">
            <w:pPr>
              <w:keepNext w:val="0"/>
              <w:keepLines w:val="0"/>
              <w:pageBreakBefore w:val="0"/>
              <w:kinsoku/>
              <w:wordWrap/>
              <w:overflowPunct/>
              <w:topLinePunct w:val="0"/>
              <w:autoSpaceDE/>
              <w:autoSpaceDN/>
              <w:bidi w:val="0"/>
              <w:adjustRightInd/>
              <w:snapToGrid/>
              <w:spacing w:line="360" w:lineRule="auto"/>
              <w:ind w:right="111" w:rightChars="0"/>
              <w:jc w:val="left"/>
              <w:textAlignment w:val="auto"/>
              <w:rPr>
                <w:rFonts w:hint="default" w:asciiTheme="minorEastAsia" w:hAnsiTheme="minorEastAsia" w:eastAsiaTheme="minorEastAsia"/>
                <w:color w:val="auto"/>
                <w:sz w:val="24"/>
                <w:szCs w:val="24"/>
                <w:lang w:val="en-US" w:eastAsia="zh-CN"/>
              </w:rPr>
            </w:pPr>
          </w:p>
        </w:tc>
      </w:tr>
      <w:tr w14:paraId="0F1F5A28">
        <w:tblPrEx>
          <w:tblCellMar>
            <w:top w:w="147" w:type="dxa"/>
            <w:left w:w="108" w:type="dxa"/>
            <w:bottom w:w="56" w:type="dxa"/>
            <w:right w:w="0" w:type="dxa"/>
          </w:tblCellMar>
        </w:tblPrEx>
        <w:trPr>
          <w:trHeight w:val="587" w:hRule="exact"/>
          <w:jc w:val="center"/>
        </w:trPr>
        <w:tc>
          <w:tcPr>
            <w:tcW w:w="348" w:type="pct"/>
            <w:tcBorders>
              <w:top w:val="single" w:color="000000" w:sz="4" w:space="0"/>
              <w:left w:val="single" w:color="000000" w:sz="4" w:space="0"/>
              <w:bottom w:val="single" w:color="000000" w:sz="4" w:space="0"/>
              <w:right w:val="single" w:color="000000" w:sz="4" w:space="0"/>
            </w:tcBorders>
            <w:vAlign w:val="center"/>
          </w:tcPr>
          <w:p w14:paraId="3144C70B">
            <w:pPr>
              <w:pStyle w:val="78"/>
              <w:numPr>
                <w:ilvl w:val="0"/>
                <w:numId w:val="1"/>
              </w:numPr>
              <w:spacing w:line="259" w:lineRule="auto"/>
              <w:ind w:left="630" w:leftChars="0" w:right="110" w:firstLineChars="0"/>
              <w:jc w:val="center"/>
              <w:rPr>
                <w:rFonts w:asciiTheme="minorEastAsia" w:hAnsiTheme="minorEastAsia" w:eastAsiaTheme="minorEastAsia"/>
                <w:sz w:val="24"/>
                <w:szCs w:val="24"/>
              </w:rPr>
            </w:pPr>
          </w:p>
        </w:tc>
        <w:tc>
          <w:tcPr>
            <w:tcW w:w="986" w:type="pct"/>
            <w:tcBorders>
              <w:top w:val="single" w:color="000000" w:sz="4" w:space="0"/>
              <w:left w:val="single" w:color="000000" w:sz="4" w:space="0"/>
              <w:bottom w:val="single" w:color="000000" w:sz="4" w:space="0"/>
              <w:right w:val="single" w:color="000000" w:sz="4" w:space="0"/>
            </w:tcBorders>
            <w:vAlign w:val="center"/>
          </w:tcPr>
          <w:p w14:paraId="4388903D">
            <w:pPr>
              <w:keepNext w:val="0"/>
              <w:keepLines w:val="0"/>
              <w:pageBreakBefore w:val="0"/>
              <w:kinsoku/>
              <w:wordWrap/>
              <w:overflowPunct/>
              <w:topLinePunct w:val="0"/>
              <w:autoSpaceDE/>
              <w:autoSpaceDN/>
              <w:bidi w:val="0"/>
              <w:adjustRightInd/>
              <w:snapToGrid/>
              <w:spacing w:line="360" w:lineRule="auto"/>
              <w:ind w:right="111" w:rightChars="0"/>
              <w:jc w:val="center"/>
              <w:textAlignment w:val="auto"/>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sz w:val="24"/>
                <w:szCs w:val="24"/>
              </w:rPr>
              <w:t>服务</w:t>
            </w:r>
            <w:r>
              <w:rPr>
                <w:rFonts w:asciiTheme="minorEastAsia" w:hAnsiTheme="minorEastAsia" w:eastAsiaTheme="minorEastAsia"/>
                <w:sz w:val="24"/>
                <w:szCs w:val="24"/>
              </w:rPr>
              <w:t>地点</w:t>
            </w:r>
          </w:p>
        </w:tc>
        <w:tc>
          <w:tcPr>
            <w:tcW w:w="3665" w:type="pct"/>
            <w:tcBorders>
              <w:top w:val="single" w:color="000000" w:sz="4" w:space="0"/>
              <w:left w:val="single" w:color="000000" w:sz="4" w:space="0"/>
              <w:bottom w:val="single" w:color="000000" w:sz="4" w:space="0"/>
              <w:right w:val="single" w:color="000000" w:sz="4" w:space="0"/>
            </w:tcBorders>
            <w:vAlign w:val="center"/>
          </w:tcPr>
          <w:p w14:paraId="11B88A54">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FF0000"/>
                <w:sz w:val="24"/>
                <w:szCs w:val="24"/>
                <w:lang w:val="en-US" w:eastAsia="zh-CN"/>
              </w:rPr>
            </w:pPr>
            <w:r>
              <w:rPr>
                <w:rFonts w:hint="eastAsia" w:asciiTheme="minorEastAsia" w:hAnsiTheme="minorEastAsia" w:eastAsiaTheme="minorEastAsia"/>
                <w:sz w:val="24"/>
                <w:szCs w:val="24"/>
                <w:lang w:eastAsia="zh-CN"/>
              </w:rPr>
              <w:t>采购人指定地点</w:t>
            </w:r>
          </w:p>
        </w:tc>
      </w:tr>
      <w:tr w14:paraId="20E4137A">
        <w:tblPrEx>
          <w:tblCellMar>
            <w:top w:w="147" w:type="dxa"/>
            <w:left w:w="108" w:type="dxa"/>
            <w:bottom w:w="56" w:type="dxa"/>
            <w:right w:w="0" w:type="dxa"/>
          </w:tblCellMar>
        </w:tblPrEx>
        <w:trPr>
          <w:trHeight w:val="593" w:hRule="exact"/>
          <w:jc w:val="center"/>
        </w:trPr>
        <w:tc>
          <w:tcPr>
            <w:tcW w:w="348" w:type="pct"/>
            <w:tcBorders>
              <w:top w:val="single" w:color="000000" w:sz="4" w:space="0"/>
              <w:left w:val="single" w:color="000000" w:sz="4" w:space="0"/>
              <w:bottom w:val="single" w:color="000000" w:sz="4" w:space="0"/>
              <w:right w:val="single" w:color="000000" w:sz="4" w:space="0"/>
            </w:tcBorders>
            <w:vAlign w:val="center"/>
          </w:tcPr>
          <w:p w14:paraId="2926BC33">
            <w:pPr>
              <w:pStyle w:val="78"/>
              <w:numPr>
                <w:ilvl w:val="0"/>
                <w:numId w:val="1"/>
              </w:numPr>
              <w:spacing w:line="259" w:lineRule="auto"/>
              <w:ind w:left="630" w:leftChars="0" w:right="110" w:firstLineChars="0"/>
              <w:jc w:val="center"/>
              <w:rPr>
                <w:rFonts w:asciiTheme="minorEastAsia" w:hAnsiTheme="minorEastAsia" w:eastAsiaTheme="minorEastAsia"/>
                <w:sz w:val="24"/>
                <w:szCs w:val="24"/>
              </w:rPr>
            </w:pPr>
          </w:p>
        </w:tc>
        <w:tc>
          <w:tcPr>
            <w:tcW w:w="986" w:type="pct"/>
            <w:tcBorders>
              <w:top w:val="single" w:color="000000" w:sz="4" w:space="0"/>
              <w:left w:val="single" w:color="000000" w:sz="4" w:space="0"/>
              <w:bottom w:val="single" w:color="000000" w:sz="4" w:space="0"/>
              <w:right w:val="single" w:color="000000" w:sz="4" w:space="0"/>
            </w:tcBorders>
            <w:vAlign w:val="center"/>
          </w:tcPr>
          <w:p w14:paraId="78CDBC6B">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资格审查方式</w:t>
            </w:r>
          </w:p>
        </w:tc>
        <w:tc>
          <w:tcPr>
            <w:tcW w:w="3665" w:type="pct"/>
            <w:tcBorders>
              <w:top w:val="single" w:color="000000" w:sz="4" w:space="0"/>
              <w:left w:val="single" w:color="000000" w:sz="4" w:space="0"/>
              <w:bottom w:val="single" w:color="000000" w:sz="4" w:space="0"/>
              <w:right w:val="single" w:color="000000" w:sz="4" w:space="0"/>
            </w:tcBorders>
            <w:vAlign w:val="center"/>
          </w:tcPr>
          <w:p w14:paraId="33A0D8CA">
            <w:pPr>
              <w:spacing w:line="259" w:lineRule="auto"/>
              <w:jc w:val="left"/>
              <w:rPr>
                <w:rFonts w:asciiTheme="minorEastAsia" w:hAnsiTheme="minorEastAsia" w:eastAsiaTheme="minorEastAsia"/>
                <w:sz w:val="24"/>
                <w:szCs w:val="24"/>
              </w:rPr>
            </w:pPr>
            <w:r>
              <w:rPr>
                <w:rFonts w:asciiTheme="minorEastAsia" w:hAnsiTheme="minorEastAsia" w:eastAsiaTheme="minorEastAsia"/>
                <w:sz w:val="24"/>
                <w:szCs w:val="24"/>
              </w:rPr>
              <w:t>资格后审</w:t>
            </w:r>
          </w:p>
        </w:tc>
      </w:tr>
      <w:tr w14:paraId="28C9B3B2">
        <w:tblPrEx>
          <w:tblCellMar>
            <w:top w:w="147" w:type="dxa"/>
            <w:left w:w="108" w:type="dxa"/>
            <w:bottom w:w="56" w:type="dxa"/>
            <w:right w:w="0" w:type="dxa"/>
          </w:tblCellMar>
        </w:tblPrEx>
        <w:trPr>
          <w:trHeight w:val="549" w:hRule="atLeast"/>
          <w:jc w:val="center"/>
        </w:trPr>
        <w:tc>
          <w:tcPr>
            <w:tcW w:w="348" w:type="pct"/>
            <w:tcBorders>
              <w:top w:val="single" w:color="000000" w:sz="4" w:space="0"/>
              <w:left w:val="single" w:color="000000" w:sz="4" w:space="0"/>
              <w:bottom w:val="single" w:color="000000" w:sz="4" w:space="0"/>
              <w:right w:val="single" w:color="000000" w:sz="4" w:space="0"/>
            </w:tcBorders>
            <w:vAlign w:val="center"/>
          </w:tcPr>
          <w:p w14:paraId="6323168D">
            <w:pPr>
              <w:pStyle w:val="78"/>
              <w:numPr>
                <w:ilvl w:val="0"/>
                <w:numId w:val="1"/>
              </w:numPr>
              <w:spacing w:line="259" w:lineRule="auto"/>
              <w:ind w:left="630" w:leftChars="0" w:right="110" w:firstLineChars="0"/>
              <w:jc w:val="center"/>
              <w:rPr>
                <w:rFonts w:asciiTheme="minorEastAsia" w:hAnsiTheme="minorEastAsia" w:eastAsiaTheme="minorEastAsia"/>
                <w:sz w:val="24"/>
                <w:szCs w:val="24"/>
              </w:rPr>
            </w:pPr>
          </w:p>
        </w:tc>
        <w:tc>
          <w:tcPr>
            <w:tcW w:w="986" w:type="pct"/>
            <w:tcBorders>
              <w:top w:val="single" w:color="000000" w:sz="4" w:space="0"/>
              <w:left w:val="single" w:color="000000" w:sz="4" w:space="0"/>
              <w:bottom w:val="single" w:color="000000" w:sz="4" w:space="0"/>
              <w:right w:val="single" w:color="000000" w:sz="4" w:space="0"/>
            </w:tcBorders>
            <w:vAlign w:val="center"/>
          </w:tcPr>
          <w:p w14:paraId="3C1E3585">
            <w:pPr>
              <w:spacing w:line="259" w:lineRule="auto"/>
              <w:ind w:right="29"/>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投标人资质要求</w:t>
            </w:r>
          </w:p>
        </w:tc>
        <w:tc>
          <w:tcPr>
            <w:tcW w:w="3665" w:type="pct"/>
            <w:tcBorders>
              <w:top w:val="single" w:color="000000" w:sz="4" w:space="0"/>
              <w:left w:val="single" w:color="000000" w:sz="4" w:space="0"/>
              <w:bottom w:val="single" w:color="000000" w:sz="4" w:space="0"/>
              <w:right w:val="single" w:color="000000" w:sz="4" w:space="0"/>
            </w:tcBorders>
          </w:tcPr>
          <w:p w14:paraId="3028AFE5">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 xml:space="preserve"> 1.满足《中华人民共和国政府采购法》第二十二条规定;</w:t>
            </w:r>
          </w:p>
          <w:p w14:paraId="6E8CCD1F">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2.落实政府采购政策需满足的资格要求：</w:t>
            </w:r>
          </w:p>
          <w:p w14:paraId="4B593BFF">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合同包1(汉滨区“十三五”易地扶贫搬迁清盘决算审计项目)落实政府采购政策需满足的资格要求如下:</w:t>
            </w:r>
          </w:p>
          <w:p w14:paraId="2B06B04F">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（1）财政部、国家环保总局联合印发《关于环境标志产品政府采购实施的意见》(财库[2006]90号)；</w:t>
            </w:r>
          </w:p>
          <w:p w14:paraId="6AA0485B">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（2）国务院办公厅关于建立政府强制采购节能产品制度的通知 国办发〔2007〕51号；</w:t>
            </w:r>
          </w:p>
          <w:p w14:paraId="012A5B5F">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（3）财政部、工业和信息化部关于印发《政府采购促进中小企业发展管理办法》的通知(财库〔2020〕46号)；</w:t>
            </w:r>
          </w:p>
          <w:p w14:paraId="3381B118">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（4）财政部 司法部关于政府采购支持监狱企业发展有关问题的通知(财库〔2014〕68号)；</w:t>
            </w:r>
          </w:p>
          <w:p w14:paraId="704893A9">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（5）财政部、民政部、中国残疾人联合会关于促进残疾人就业政府采购政策的通知（财库〔2017〕141号）；</w:t>
            </w:r>
          </w:p>
          <w:p w14:paraId="592AC898">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（6）《财政部 国务院扶贫办关于运用政府采购政策支持脱贫攻坚的通知》（财库〔2019〕27号）；</w:t>
            </w:r>
          </w:p>
          <w:p w14:paraId="0DFE84C5">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（7）陕西省财政厅关于印发《陕西省中小企业政府采购信用融资办法》（陕财办采〔2018〕23号）；</w:t>
            </w:r>
          </w:p>
          <w:p w14:paraId="38087265">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（8）《财政部 发展改革委 生态环境部市场监管总局关于调整优化节能产品、环境标志产品政府采购执行机制的通知》（财库〔2019〕9号）；</w:t>
            </w:r>
          </w:p>
          <w:p w14:paraId="7A1894A9">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(9)如有最新颁布的政府采购政策，按最新的文件执行。</w:t>
            </w:r>
          </w:p>
          <w:p w14:paraId="1753E946">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3.本项目的特定资格要求：</w:t>
            </w:r>
          </w:p>
          <w:p w14:paraId="170C9840">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合同包1(汉滨区“十三五”易地扶贫搬迁清盘决算审计项目)特定资格要求如下:</w:t>
            </w:r>
          </w:p>
          <w:p w14:paraId="0A2D3229">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（1）具有独立承担民事责任能力的法人、其他组织或自然人，并出具合法有效的营业执照或事业单位法人证书等国家规定的相关证明资料，自然人参与的提供其身份证明；</w:t>
            </w:r>
          </w:p>
          <w:p w14:paraId="6204314D">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（2）法定代表人授权书和被授权人的身份证；法定代表人参加磋商时，须提供本人身份证；</w:t>
            </w:r>
          </w:p>
          <w:p w14:paraId="4F7970B9">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（3）书面声明：参加本次政府采购活动前三年内在经营活动中没有重大违纪，以及未被列入失信被执行人、重大税收违法案件当事人名单、政府采购严重违法失信行为记录名单的书面声明；</w:t>
            </w:r>
          </w:p>
          <w:p w14:paraId="3C215342">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（4）具有良好的商业信誉和健全的财务会计管理制度：提供 2023 年或 2024 年财务审计报告；成立时间至提交投标文件截止时间不足一年的可提供成立后任意时段的资产负债表即可；或提供其开标前一个月内基本存款账户开户银行出具的资信证明；</w:t>
            </w:r>
          </w:p>
          <w:p w14:paraId="4217DCE5">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5）供应商通过“信用中国”网站(www.creditchina.gov.cn)和中国政府采购网(www.ccgp.gov.cn)等渠道查询相关主体信用记录，对列入失信被执行人、重大税收违法案件当事人名单、政府采购严重违法失信行为记录名单的供应商，将拒绝其参与政府采购活动；</w:t>
            </w:r>
          </w:p>
          <w:p w14:paraId="6B0918DA">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（6）社会保障资金缴纳证明：提供 2025 年 1 月 1 日至今任意1个月的社会保障资金缴 纳证明或社会保险缴纳清单或社会保险缴纳专用收据（依法不需要缴纳社会保障资金或新成立的供应商应提供相关文件证明）；</w:t>
            </w:r>
          </w:p>
          <w:p w14:paraId="42B47E20">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（7）税收缴纳证明：提供 2025年 1 月 1 日至今任意1个月已缴纳的完税证明（任意税 种），依法免税或新成立的供应商应提供相关文件证明；</w:t>
            </w:r>
          </w:p>
          <w:p w14:paraId="0252D34F">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（8）投标人须具有财政部门颁发的会计师事务所执业证书;</w:t>
            </w:r>
          </w:p>
          <w:p w14:paraId="27790BC1">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9）项目专门面向中小企业采购，仅限符合《政府采购促进中小企业发展管理办法》（财库〔2020〕46号）条件的中小企业参与，供应商应填写中小企业声明函并对真实性负责（残疾人福利性单位及监狱企业视同为小型、微型企业）；</w:t>
            </w:r>
          </w:p>
          <w:p w14:paraId="62240555">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（10）本项目不接受联合体磋商。</w:t>
            </w:r>
          </w:p>
          <w:p w14:paraId="57D30113">
            <w:pPr>
              <w:keepNext w:val="0"/>
              <w:keepLines w:val="0"/>
              <w:pageBreakBefore w:val="0"/>
              <w:widowControl w:val="0"/>
              <w:kinsoku/>
              <w:wordWrap/>
              <w:overflowPunct/>
              <w:topLinePunct w:val="0"/>
              <w:autoSpaceDE/>
              <w:autoSpaceDN/>
              <w:bidi w:val="0"/>
              <w:adjustRightInd/>
              <w:snapToGrid w:val="0"/>
              <w:spacing w:line="460" w:lineRule="exact"/>
              <w:ind w:right="0" w:rightChars="0" w:firstLine="241" w:firstLineChars="100"/>
              <w:textAlignment w:val="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b/>
                <w:bCs/>
                <w:color w:val="000000" w:themeColor="text1"/>
                <w:kern w:val="0"/>
                <w:sz w:val="24"/>
                <w:szCs w:val="24"/>
                <w14:textFill>
                  <w14:solidFill>
                    <w14:schemeClr w14:val="tx1"/>
                  </w14:solidFill>
                </w14:textFill>
              </w:rPr>
              <w:t>注：上述资质为必备资质，欠缺其中任何一项按无效文件处理。投标人须保证资质文件的真实、合法、有效，因资质产生的一切纠纷由投标人承担法律责任。</w:t>
            </w:r>
          </w:p>
        </w:tc>
      </w:tr>
      <w:tr w14:paraId="411BBF3E">
        <w:tblPrEx>
          <w:tblCellMar>
            <w:top w:w="147" w:type="dxa"/>
            <w:left w:w="108" w:type="dxa"/>
            <w:bottom w:w="56" w:type="dxa"/>
            <w:right w:w="0" w:type="dxa"/>
          </w:tblCellMar>
        </w:tblPrEx>
        <w:trPr>
          <w:trHeight w:val="90" w:hRule="atLeast"/>
          <w:jc w:val="center"/>
        </w:trPr>
        <w:tc>
          <w:tcPr>
            <w:tcW w:w="348" w:type="pct"/>
            <w:tcBorders>
              <w:top w:val="single" w:color="000000" w:sz="4" w:space="0"/>
              <w:left w:val="single" w:color="000000" w:sz="4" w:space="0"/>
              <w:bottom w:val="single" w:color="000000" w:sz="4" w:space="0"/>
              <w:right w:val="single" w:color="000000" w:sz="4" w:space="0"/>
            </w:tcBorders>
            <w:vAlign w:val="center"/>
          </w:tcPr>
          <w:p w14:paraId="59DFB152">
            <w:pPr>
              <w:pStyle w:val="78"/>
              <w:numPr>
                <w:ilvl w:val="0"/>
                <w:numId w:val="1"/>
              </w:numPr>
              <w:spacing w:line="259" w:lineRule="auto"/>
              <w:ind w:left="630" w:leftChars="0" w:firstLineChars="0"/>
              <w:jc w:val="center"/>
              <w:rPr>
                <w:rFonts w:asciiTheme="minorEastAsia" w:hAnsiTheme="minorEastAsia" w:eastAsiaTheme="minorEastAsia"/>
                <w:sz w:val="24"/>
                <w:szCs w:val="24"/>
              </w:rPr>
            </w:pPr>
          </w:p>
        </w:tc>
        <w:tc>
          <w:tcPr>
            <w:tcW w:w="986" w:type="pct"/>
            <w:tcBorders>
              <w:top w:val="single" w:color="000000" w:sz="4" w:space="0"/>
              <w:left w:val="single" w:color="000000" w:sz="4" w:space="0"/>
              <w:bottom w:val="single" w:color="000000" w:sz="4" w:space="0"/>
              <w:right w:val="single" w:color="000000" w:sz="4" w:space="0"/>
            </w:tcBorders>
          </w:tcPr>
          <w:p w14:paraId="3C85F7DF">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是否接受联合体</w:t>
            </w:r>
          </w:p>
          <w:p w14:paraId="24580D2D">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投标</w:t>
            </w:r>
          </w:p>
        </w:tc>
        <w:tc>
          <w:tcPr>
            <w:tcW w:w="3665" w:type="pct"/>
            <w:tcBorders>
              <w:top w:val="single" w:color="000000" w:sz="4" w:space="0"/>
              <w:left w:val="single" w:color="000000" w:sz="4" w:space="0"/>
              <w:bottom w:val="single" w:color="000000" w:sz="4" w:space="0"/>
              <w:right w:val="single" w:color="000000" w:sz="4" w:space="0"/>
            </w:tcBorders>
            <w:vAlign w:val="center"/>
          </w:tcPr>
          <w:p w14:paraId="77831B14">
            <w:pPr>
              <w:spacing w:line="259" w:lineRule="auto"/>
              <w:rPr>
                <w:rFonts w:asciiTheme="minorEastAsia" w:hAnsiTheme="minorEastAsia" w:eastAsiaTheme="minorEastAsia"/>
                <w:sz w:val="24"/>
                <w:szCs w:val="24"/>
              </w:rPr>
            </w:pPr>
            <w:r>
              <w:rPr>
                <w:rFonts w:hint="eastAsia" w:asciiTheme="minorEastAsia" w:hAnsiTheme="minorEastAsia" w:eastAsiaTheme="minorEastAsia"/>
                <w:color w:val="FF0000"/>
                <w:sz w:val="24"/>
                <w:szCs w:val="24"/>
              </w:rPr>
              <w:t xml:space="preserve"> </w:t>
            </w:r>
            <w:r>
              <w:rPr>
                <w:rFonts w:hint="eastAsia" w:asciiTheme="minorEastAsia" w:hAnsiTheme="minorEastAsia" w:eastAsiaTheme="minorEastAsia"/>
                <w:sz w:val="24"/>
                <w:szCs w:val="24"/>
              </w:rPr>
              <w:t>不接受联合体磋商。</w:t>
            </w:r>
          </w:p>
        </w:tc>
      </w:tr>
      <w:tr w14:paraId="7EA75B3D">
        <w:tblPrEx>
          <w:tblCellMar>
            <w:top w:w="147" w:type="dxa"/>
            <w:left w:w="108" w:type="dxa"/>
            <w:bottom w:w="56" w:type="dxa"/>
            <w:right w:w="0" w:type="dxa"/>
          </w:tblCellMar>
        </w:tblPrEx>
        <w:trPr>
          <w:trHeight w:val="778" w:hRule="atLeast"/>
          <w:jc w:val="center"/>
        </w:trPr>
        <w:tc>
          <w:tcPr>
            <w:tcW w:w="348" w:type="pct"/>
            <w:tcBorders>
              <w:top w:val="single" w:color="000000" w:sz="4" w:space="0"/>
              <w:left w:val="single" w:color="000000" w:sz="4" w:space="0"/>
              <w:bottom w:val="single" w:color="000000" w:sz="4" w:space="0"/>
              <w:right w:val="single" w:color="000000" w:sz="4" w:space="0"/>
            </w:tcBorders>
            <w:vAlign w:val="center"/>
          </w:tcPr>
          <w:p w14:paraId="4BBE8B95">
            <w:pPr>
              <w:pStyle w:val="78"/>
              <w:numPr>
                <w:ilvl w:val="0"/>
                <w:numId w:val="1"/>
              </w:numPr>
              <w:spacing w:line="259" w:lineRule="auto"/>
              <w:ind w:left="630" w:leftChars="0" w:firstLineChars="0"/>
              <w:jc w:val="center"/>
              <w:rPr>
                <w:rFonts w:asciiTheme="minorEastAsia" w:hAnsiTheme="minorEastAsia" w:eastAsiaTheme="minorEastAsia"/>
                <w:sz w:val="24"/>
                <w:szCs w:val="24"/>
              </w:rPr>
            </w:pPr>
          </w:p>
        </w:tc>
        <w:tc>
          <w:tcPr>
            <w:tcW w:w="986" w:type="pct"/>
            <w:tcBorders>
              <w:top w:val="single" w:color="000000" w:sz="4" w:space="0"/>
              <w:left w:val="single" w:color="000000" w:sz="4" w:space="0"/>
              <w:bottom w:val="single" w:color="000000" w:sz="4" w:space="0"/>
              <w:right w:val="single" w:color="000000" w:sz="4" w:space="0"/>
            </w:tcBorders>
            <w:vAlign w:val="center"/>
          </w:tcPr>
          <w:p w14:paraId="7E0BD823">
            <w:pPr>
              <w:spacing w:line="259" w:lineRule="auto"/>
              <w:ind w:right="111"/>
              <w:jc w:val="center"/>
              <w:rPr>
                <w:rFonts w:asciiTheme="minorEastAsia" w:hAnsiTheme="minorEastAsia" w:eastAsiaTheme="minorEastAsia"/>
                <w:sz w:val="24"/>
                <w:szCs w:val="24"/>
              </w:rPr>
            </w:pPr>
            <w:r>
              <w:rPr>
                <w:rFonts w:asciiTheme="minorEastAsia" w:hAnsiTheme="minorEastAsia" w:eastAsiaTheme="minorEastAsia"/>
                <w:sz w:val="24"/>
                <w:szCs w:val="24"/>
              </w:rPr>
              <w:t>现场踏勘</w:t>
            </w:r>
          </w:p>
        </w:tc>
        <w:tc>
          <w:tcPr>
            <w:tcW w:w="3665" w:type="pct"/>
            <w:tcBorders>
              <w:top w:val="single" w:color="000000" w:sz="4" w:space="0"/>
              <w:left w:val="single" w:color="000000" w:sz="4" w:space="0"/>
              <w:bottom w:val="single" w:color="000000" w:sz="4" w:space="0"/>
              <w:right w:val="single" w:color="000000" w:sz="4" w:space="0"/>
            </w:tcBorders>
          </w:tcPr>
          <w:p w14:paraId="38E75093">
            <w:pPr>
              <w:spacing w:line="259" w:lineRule="auto"/>
              <w:rPr>
                <w:rFonts w:asciiTheme="minorEastAsia" w:hAnsiTheme="minorEastAsia" w:eastAsiaTheme="minorEastAsia"/>
                <w:sz w:val="24"/>
                <w:szCs w:val="24"/>
              </w:rPr>
            </w:pPr>
            <w:r>
              <w:rPr>
                <w:rFonts w:asciiTheme="minorEastAsia" w:hAnsiTheme="minorEastAsia" w:eastAsiaTheme="minorEastAsia"/>
                <w:sz w:val="24"/>
                <w:szCs w:val="24"/>
              </w:rPr>
              <w:t>自行勘察，未勘察</w:t>
            </w:r>
            <w:r>
              <w:rPr>
                <w:rFonts w:hint="eastAsia" w:asciiTheme="minorEastAsia" w:hAnsiTheme="minorEastAsia" w:eastAsiaTheme="minorEastAsia"/>
                <w:sz w:val="24"/>
                <w:szCs w:val="24"/>
                <w:lang w:eastAsia="zh-CN"/>
              </w:rPr>
              <w:t>造成</w:t>
            </w:r>
            <w:r>
              <w:rPr>
                <w:rFonts w:asciiTheme="minorEastAsia" w:hAnsiTheme="minorEastAsia" w:eastAsiaTheme="minorEastAsia"/>
                <w:sz w:val="24"/>
                <w:szCs w:val="24"/>
              </w:rPr>
              <w:t xml:space="preserve">的一切后果由投标人自行承担。（一切费用自理）。 </w:t>
            </w:r>
          </w:p>
        </w:tc>
      </w:tr>
      <w:tr w14:paraId="610F129E">
        <w:tblPrEx>
          <w:tblCellMar>
            <w:top w:w="147" w:type="dxa"/>
            <w:left w:w="108" w:type="dxa"/>
            <w:bottom w:w="56" w:type="dxa"/>
            <w:right w:w="0" w:type="dxa"/>
          </w:tblCellMar>
        </w:tblPrEx>
        <w:trPr>
          <w:trHeight w:val="1227" w:hRule="atLeast"/>
          <w:jc w:val="center"/>
        </w:trPr>
        <w:tc>
          <w:tcPr>
            <w:tcW w:w="348" w:type="pct"/>
            <w:tcBorders>
              <w:top w:val="single" w:color="000000" w:sz="4" w:space="0"/>
              <w:left w:val="single" w:color="000000" w:sz="4" w:space="0"/>
              <w:bottom w:val="single" w:color="000000" w:sz="4" w:space="0"/>
              <w:right w:val="single" w:color="000000" w:sz="4" w:space="0"/>
            </w:tcBorders>
            <w:vAlign w:val="center"/>
          </w:tcPr>
          <w:p w14:paraId="2C595776">
            <w:pPr>
              <w:pStyle w:val="78"/>
              <w:numPr>
                <w:ilvl w:val="0"/>
                <w:numId w:val="1"/>
              </w:numPr>
              <w:spacing w:line="259" w:lineRule="auto"/>
              <w:ind w:left="630" w:leftChars="0" w:firstLineChars="0"/>
              <w:jc w:val="center"/>
              <w:rPr>
                <w:rFonts w:asciiTheme="minorEastAsia" w:hAnsiTheme="minorEastAsia" w:eastAsiaTheme="minorEastAsia"/>
                <w:sz w:val="24"/>
                <w:szCs w:val="24"/>
              </w:rPr>
            </w:pPr>
          </w:p>
        </w:tc>
        <w:tc>
          <w:tcPr>
            <w:tcW w:w="986" w:type="pct"/>
            <w:tcBorders>
              <w:top w:val="single" w:color="000000" w:sz="4" w:space="0"/>
              <w:left w:val="single" w:color="000000" w:sz="4" w:space="0"/>
              <w:bottom w:val="single" w:color="000000" w:sz="4" w:space="0"/>
              <w:right w:val="single" w:color="000000" w:sz="4" w:space="0"/>
            </w:tcBorders>
            <w:vAlign w:val="center"/>
          </w:tcPr>
          <w:p w14:paraId="377D6BF1">
            <w:pPr>
              <w:spacing w:line="259"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磋商时间和地点</w:t>
            </w:r>
          </w:p>
        </w:tc>
        <w:tc>
          <w:tcPr>
            <w:tcW w:w="3665" w:type="pct"/>
            <w:tcBorders>
              <w:top w:val="single" w:color="000000" w:sz="4" w:space="0"/>
              <w:left w:val="single" w:color="000000" w:sz="4" w:space="0"/>
              <w:bottom w:val="single" w:color="000000" w:sz="4" w:space="0"/>
              <w:right w:val="single" w:color="000000" w:sz="4" w:space="0"/>
            </w:tcBorders>
          </w:tcPr>
          <w:p w14:paraId="66F9B421">
            <w:pPr>
              <w:spacing w:line="259"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磋商时间：</w:t>
            </w:r>
            <w:r>
              <w:rPr>
                <w:rFonts w:hint="eastAsia" w:asciiTheme="minorEastAsia" w:hAnsiTheme="minorEastAsia" w:eastAsiaTheme="minorEastAsia"/>
                <w:color w:val="auto"/>
                <w:sz w:val="24"/>
                <w:szCs w:val="24"/>
                <w:lang w:val="en-US" w:eastAsia="zh-CN"/>
              </w:rPr>
              <w:t xml:space="preserve"> 2025年09月29日 15时00分</w:t>
            </w:r>
            <w:r>
              <w:rPr>
                <w:rFonts w:hint="eastAsia" w:asciiTheme="minorEastAsia" w:hAnsiTheme="minorEastAsia" w:eastAsiaTheme="minorEastAsia"/>
                <w:color w:val="auto"/>
                <w:sz w:val="24"/>
                <w:szCs w:val="24"/>
                <w:lang w:eastAsia="zh-CN"/>
              </w:rPr>
              <w:t xml:space="preserve"> </w:t>
            </w:r>
            <w:r>
              <w:rPr>
                <w:rFonts w:hint="eastAsia" w:asciiTheme="minorEastAsia" w:hAnsiTheme="minorEastAsia" w:eastAsiaTheme="minorEastAsia"/>
                <w:color w:val="0000FF"/>
                <w:sz w:val="24"/>
                <w:szCs w:val="24"/>
                <w:lang w:eastAsia="zh-CN"/>
              </w:rPr>
              <w:t xml:space="preserve"> </w:t>
            </w:r>
            <w:r>
              <w:rPr>
                <w:rFonts w:hint="eastAsia" w:asciiTheme="minorEastAsia" w:hAnsiTheme="minorEastAsia" w:eastAsiaTheme="minorEastAsia"/>
                <w:color w:val="auto"/>
                <w:sz w:val="24"/>
                <w:szCs w:val="24"/>
              </w:rPr>
              <w:t xml:space="preserve">  </w:t>
            </w:r>
            <w:r>
              <w:rPr>
                <w:rFonts w:asciiTheme="minorEastAsia" w:hAnsiTheme="minorEastAsia" w:eastAsiaTheme="minorEastAsia"/>
                <w:color w:val="auto"/>
                <w:sz w:val="24"/>
                <w:szCs w:val="24"/>
              </w:rPr>
              <w:t xml:space="preserve"> </w:t>
            </w:r>
          </w:p>
          <w:p w14:paraId="3DEB8BC0">
            <w:pPr>
              <w:pageBreakBefore w:val="0"/>
              <w:widowControl/>
              <w:tabs>
                <w:tab w:val="left" w:pos="1620"/>
              </w:tabs>
              <w:kinsoku/>
              <w:wordWrap/>
              <w:overflowPunct/>
              <w:topLinePunct w:val="0"/>
              <w:autoSpaceDE/>
              <w:autoSpaceDN/>
              <w:bidi w:val="0"/>
              <w:adjustRightInd/>
              <w:snapToGrid w:val="0"/>
              <w:spacing w:line="360" w:lineRule="auto"/>
              <w:ind w:right="0" w:rightChars="0"/>
              <w:jc w:val="left"/>
              <w:textAlignment w:val="auto"/>
              <w:rPr>
                <w:rFonts w:asciiTheme="minorEastAsia" w:hAnsiTheme="minorEastAsia" w:eastAsiaTheme="minorEastAsia"/>
                <w:color w:val="auto"/>
                <w:sz w:val="24"/>
                <w:szCs w:val="24"/>
              </w:rPr>
            </w:pPr>
            <w:r>
              <w:rPr>
                <w:rFonts w:asciiTheme="minorEastAsia" w:hAnsiTheme="minorEastAsia" w:eastAsiaTheme="minorEastAsia"/>
                <w:color w:val="000000" w:themeColor="text1"/>
                <w:sz w:val="24"/>
                <w:szCs w:val="24"/>
                <w14:textFill>
                  <w14:solidFill>
                    <w14:schemeClr w14:val="tx1"/>
                  </w14:solidFill>
                </w14:textFill>
              </w:rPr>
              <w:t>磋商地点：</w:t>
            </w:r>
            <w:r>
              <w:rPr>
                <w:rFonts w:hint="eastAsia" w:ascii="宋体" w:hAnsi="宋体" w:cs="宋体"/>
                <w:color w:val="000000" w:themeColor="text1"/>
                <w:sz w:val="24"/>
                <w:szCs w:val="24"/>
                <w:lang w:eastAsia="zh-CN"/>
                <w14:textFill>
                  <w14:solidFill>
                    <w14:schemeClr w14:val="tx1"/>
                  </w14:solidFill>
                </w14:textFill>
              </w:rPr>
              <w:t>汉滨区移民（脱贫）搬迁工作办公室会议室</w:t>
            </w:r>
          </w:p>
          <w:p w14:paraId="024CA219">
            <w:pPr>
              <w:spacing w:line="259"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 xml:space="preserve">（如有变动，另行通知）。 </w:t>
            </w:r>
          </w:p>
        </w:tc>
      </w:tr>
      <w:tr w14:paraId="6B14C3A8">
        <w:tblPrEx>
          <w:tblCellMar>
            <w:top w:w="147" w:type="dxa"/>
            <w:left w:w="108" w:type="dxa"/>
            <w:bottom w:w="56" w:type="dxa"/>
            <w:right w:w="0" w:type="dxa"/>
          </w:tblCellMar>
        </w:tblPrEx>
        <w:trPr>
          <w:trHeight w:val="90" w:hRule="atLeast"/>
          <w:jc w:val="center"/>
        </w:trPr>
        <w:tc>
          <w:tcPr>
            <w:tcW w:w="348" w:type="pct"/>
            <w:tcBorders>
              <w:top w:val="single" w:color="000000" w:sz="4" w:space="0"/>
              <w:left w:val="single" w:color="000000" w:sz="4" w:space="0"/>
              <w:bottom w:val="single" w:color="000000" w:sz="4" w:space="0"/>
              <w:right w:val="single" w:color="000000" w:sz="4" w:space="0"/>
            </w:tcBorders>
            <w:vAlign w:val="center"/>
          </w:tcPr>
          <w:p w14:paraId="2022A445">
            <w:pPr>
              <w:pStyle w:val="78"/>
              <w:numPr>
                <w:ilvl w:val="0"/>
                <w:numId w:val="1"/>
              </w:numPr>
              <w:spacing w:line="259" w:lineRule="auto"/>
              <w:ind w:left="630" w:leftChars="0" w:firstLineChars="0"/>
              <w:jc w:val="center"/>
              <w:rPr>
                <w:rFonts w:asciiTheme="minorEastAsia" w:hAnsiTheme="minorEastAsia" w:eastAsiaTheme="minorEastAsia"/>
                <w:sz w:val="24"/>
                <w:szCs w:val="24"/>
              </w:rPr>
            </w:pPr>
          </w:p>
        </w:tc>
        <w:tc>
          <w:tcPr>
            <w:tcW w:w="986" w:type="pct"/>
            <w:tcBorders>
              <w:top w:val="single" w:color="000000" w:sz="4" w:space="0"/>
              <w:left w:val="single" w:color="000000" w:sz="4" w:space="0"/>
              <w:bottom w:val="single" w:color="000000" w:sz="4" w:space="0"/>
              <w:right w:val="single" w:color="000000" w:sz="4" w:space="0"/>
            </w:tcBorders>
          </w:tcPr>
          <w:p w14:paraId="52EEA15C">
            <w:pPr>
              <w:spacing w:line="259"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磋商响应文件递交截止时间</w:t>
            </w:r>
            <w:r>
              <w:rPr>
                <w:rFonts w:hint="eastAsia" w:asciiTheme="minorEastAsia" w:hAnsiTheme="minorEastAsia" w:eastAsiaTheme="minorEastAsia"/>
                <w:color w:val="000000" w:themeColor="text1"/>
                <w:sz w:val="24"/>
                <w:szCs w:val="24"/>
                <w14:textFill>
                  <w14:solidFill>
                    <w14:schemeClr w14:val="tx1"/>
                  </w14:solidFill>
                </w14:textFill>
              </w:rPr>
              <w:t>地点</w:t>
            </w:r>
          </w:p>
        </w:tc>
        <w:tc>
          <w:tcPr>
            <w:tcW w:w="3665" w:type="pct"/>
            <w:tcBorders>
              <w:top w:val="single" w:color="000000" w:sz="4" w:space="0"/>
              <w:left w:val="single" w:color="000000" w:sz="4" w:space="0"/>
              <w:bottom w:val="single" w:color="000000" w:sz="4" w:space="0"/>
              <w:right w:val="single" w:color="000000" w:sz="4" w:space="0"/>
            </w:tcBorders>
            <w:vAlign w:val="center"/>
          </w:tcPr>
          <w:p w14:paraId="00AB118A">
            <w:pPr>
              <w:spacing w:line="259" w:lineRule="auto"/>
              <w:rPr>
                <w:rFonts w:hint="eastAsia" w:asciiTheme="minorEastAsia" w:hAnsiTheme="minorEastAsia" w:eastAsiaTheme="minorEastAsia"/>
                <w:color w:val="FF0000"/>
                <w:sz w:val="24"/>
                <w:szCs w:val="24"/>
                <w:lang w:val="en-US" w:eastAsia="zh-CN"/>
              </w:rPr>
            </w:pPr>
            <w:r>
              <w:rPr>
                <w:rFonts w:hint="eastAsia" w:asciiTheme="minorEastAsia" w:hAnsiTheme="minorEastAsia" w:eastAsiaTheme="minorEastAsia"/>
                <w:color w:val="000000" w:themeColor="text1"/>
                <w:sz w:val="24"/>
                <w:szCs w:val="24"/>
                <w14:textFill>
                  <w14:solidFill>
                    <w14:schemeClr w14:val="tx1"/>
                  </w14:solidFill>
                </w14:textFill>
              </w:rPr>
              <w:t>递交</w:t>
            </w:r>
            <w:r>
              <w:rPr>
                <w:rFonts w:asciiTheme="minorEastAsia" w:hAnsiTheme="minorEastAsia" w:eastAsiaTheme="minorEastAsia"/>
                <w:color w:val="000000" w:themeColor="text1"/>
                <w:sz w:val="24"/>
                <w:szCs w:val="24"/>
                <w14:textFill>
                  <w14:solidFill>
                    <w14:schemeClr w14:val="tx1"/>
                  </w14:solidFill>
                </w14:textFill>
              </w:rPr>
              <w:t>截止时间</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lang w:val="en-US" w:eastAsia="zh-CN"/>
              </w:rPr>
              <w:t xml:space="preserve"> 2025年09月29日 15时00分止</w:t>
            </w:r>
          </w:p>
          <w:p w14:paraId="27CC6FB4">
            <w:pPr>
              <w:spacing w:line="259"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递交地点：</w:t>
            </w:r>
            <w:r>
              <w:rPr>
                <w:rFonts w:hint="eastAsia" w:ascii="宋体" w:hAnsi="宋体" w:cs="宋体"/>
                <w:color w:val="000000" w:themeColor="text1"/>
                <w:sz w:val="24"/>
                <w:szCs w:val="24"/>
                <w:lang w:eastAsia="zh-CN"/>
                <w14:textFill>
                  <w14:solidFill>
                    <w14:schemeClr w14:val="tx1"/>
                  </w14:solidFill>
                </w14:textFill>
              </w:rPr>
              <w:t>汉滨区移民（脱贫）搬迁工作办公室会议室</w:t>
            </w:r>
            <w:r>
              <w:rPr>
                <w:rFonts w:hint="eastAsia" w:asciiTheme="minorEastAsia" w:hAnsiTheme="minorEastAsia" w:eastAsiaTheme="minorEastAsia"/>
                <w:color w:val="000000" w:themeColor="text1"/>
                <w:sz w:val="24"/>
                <w:szCs w:val="24"/>
                <w14:textFill>
                  <w14:solidFill>
                    <w14:schemeClr w14:val="tx1"/>
                  </w14:solidFill>
                </w14:textFill>
              </w:rPr>
              <w:t xml:space="preserve"> </w:t>
            </w:r>
          </w:p>
        </w:tc>
      </w:tr>
      <w:tr w14:paraId="3E9758C3">
        <w:tblPrEx>
          <w:tblCellMar>
            <w:top w:w="147" w:type="dxa"/>
            <w:left w:w="108" w:type="dxa"/>
            <w:bottom w:w="56" w:type="dxa"/>
            <w:right w:w="0" w:type="dxa"/>
          </w:tblCellMar>
        </w:tblPrEx>
        <w:trPr>
          <w:trHeight w:val="470" w:hRule="atLeast"/>
          <w:jc w:val="center"/>
        </w:trPr>
        <w:tc>
          <w:tcPr>
            <w:tcW w:w="348" w:type="pct"/>
            <w:tcBorders>
              <w:top w:val="single" w:color="000000" w:sz="4" w:space="0"/>
              <w:left w:val="single" w:color="000000" w:sz="4" w:space="0"/>
              <w:bottom w:val="single" w:color="000000" w:sz="4" w:space="0"/>
              <w:right w:val="single" w:color="000000" w:sz="4" w:space="0"/>
            </w:tcBorders>
          </w:tcPr>
          <w:p w14:paraId="171C732E">
            <w:pPr>
              <w:pStyle w:val="78"/>
              <w:numPr>
                <w:ilvl w:val="0"/>
                <w:numId w:val="1"/>
              </w:numPr>
              <w:spacing w:line="259" w:lineRule="auto"/>
              <w:ind w:left="630" w:leftChars="0" w:firstLineChars="0"/>
              <w:jc w:val="center"/>
              <w:rPr>
                <w:rFonts w:asciiTheme="minorEastAsia" w:hAnsiTheme="minorEastAsia" w:eastAsiaTheme="minorEastAsia"/>
                <w:sz w:val="24"/>
                <w:szCs w:val="24"/>
              </w:rPr>
            </w:pPr>
          </w:p>
        </w:tc>
        <w:tc>
          <w:tcPr>
            <w:tcW w:w="986" w:type="pct"/>
            <w:tcBorders>
              <w:top w:val="single" w:color="000000" w:sz="4" w:space="0"/>
              <w:left w:val="single" w:color="000000" w:sz="4" w:space="0"/>
              <w:bottom w:val="single" w:color="000000" w:sz="4" w:space="0"/>
              <w:right w:val="single" w:color="000000" w:sz="4" w:space="0"/>
            </w:tcBorders>
          </w:tcPr>
          <w:p w14:paraId="3BB7F761">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响应有效期</w:t>
            </w:r>
          </w:p>
        </w:tc>
        <w:tc>
          <w:tcPr>
            <w:tcW w:w="3665" w:type="pct"/>
            <w:tcBorders>
              <w:top w:val="single" w:color="000000" w:sz="4" w:space="0"/>
              <w:left w:val="single" w:color="000000" w:sz="4" w:space="0"/>
              <w:bottom w:val="single" w:color="000000" w:sz="4" w:space="0"/>
              <w:right w:val="single" w:color="000000" w:sz="4" w:space="0"/>
            </w:tcBorders>
          </w:tcPr>
          <w:p w14:paraId="2B71F43C">
            <w:pPr>
              <w:spacing w:line="259" w:lineRule="auto"/>
              <w:rPr>
                <w:rFonts w:asciiTheme="minorEastAsia" w:hAnsiTheme="minorEastAsia" w:eastAsiaTheme="minorEastAsia"/>
                <w:sz w:val="24"/>
                <w:szCs w:val="24"/>
              </w:rPr>
            </w:pPr>
            <w:r>
              <w:rPr>
                <w:rFonts w:asciiTheme="minorEastAsia" w:hAnsiTheme="minorEastAsia" w:eastAsiaTheme="minorEastAsia"/>
                <w:sz w:val="24"/>
                <w:szCs w:val="24"/>
                <w:u w:val="single" w:color="000000"/>
              </w:rPr>
              <w:t>90</w:t>
            </w:r>
            <w:r>
              <w:rPr>
                <w:rFonts w:asciiTheme="minorEastAsia" w:hAnsiTheme="minorEastAsia" w:eastAsiaTheme="minorEastAsia"/>
                <w:sz w:val="24"/>
                <w:szCs w:val="24"/>
              </w:rPr>
              <w:t xml:space="preserve">日历天（从提交响应文件日起计算） </w:t>
            </w:r>
          </w:p>
        </w:tc>
      </w:tr>
      <w:tr w14:paraId="674A6EE2">
        <w:tblPrEx>
          <w:tblCellMar>
            <w:top w:w="147" w:type="dxa"/>
            <w:left w:w="108" w:type="dxa"/>
            <w:bottom w:w="56" w:type="dxa"/>
            <w:right w:w="0" w:type="dxa"/>
          </w:tblCellMar>
        </w:tblPrEx>
        <w:trPr>
          <w:trHeight w:val="506" w:hRule="atLeast"/>
          <w:jc w:val="center"/>
        </w:trPr>
        <w:tc>
          <w:tcPr>
            <w:tcW w:w="348" w:type="pct"/>
            <w:tcBorders>
              <w:top w:val="single" w:color="000000" w:sz="4" w:space="0"/>
              <w:left w:val="single" w:color="000000" w:sz="4" w:space="0"/>
              <w:bottom w:val="single" w:color="000000" w:sz="4" w:space="0"/>
              <w:right w:val="single" w:color="000000" w:sz="4" w:space="0"/>
            </w:tcBorders>
          </w:tcPr>
          <w:p w14:paraId="270A5176">
            <w:pPr>
              <w:pStyle w:val="78"/>
              <w:numPr>
                <w:ilvl w:val="0"/>
                <w:numId w:val="1"/>
              </w:numPr>
              <w:spacing w:line="259" w:lineRule="auto"/>
              <w:ind w:left="630" w:leftChars="0" w:firstLineChars="0"/>
              <w:jc w:val="center"/>
              <w:rPr>
                <w:rFonts w:asciiTheme="minorEastAsia" w:hAnsiTheme="minorEastAsia" w:eastAsiaTheme="minorEastAsia"/>
                <w:sz w:val="24"/>
                <w:szCs w:val="24"/>
              </w:rPr>
            </w:pPr>
          </w:p>
        </w:tc>
        <w:tc>
          <w:tcPr>
            <w:tcW w:w="986" w:type="pct"/>
            <w:tcBorders>
              <w:top w:val="single" w:color="000000" w:sz="4" w:space="0"/>
              <w:left w:val="single" w:color="000000" w:sz="4" w:space="0"/>
              <w:bottom w:val="single" w:color="000000" w:sz="4" w:space="0"/>
              <w:right w:val="single" w:color="000000" w:sz="4" w:space="0"/>
            </w:tcBorders>
          </w:tcPr>
          <w:p w14:paraId="69768E43">
            <w:pPr>
              <w:spacing w:line="259" w:lineRule="auto"/>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响应文件份数</w:t>
            </w:r>
          </w:p>
        </w:tc>
        <w:tc>
          <w:tcPr>
            <w:tcW w:w="3665" w:type="pct"/>
            <w:tcBorders>
              <w:top w:val="single" w:color="000000" w:sz="4" w:space="0"/>
              <w:left w:val="single" w:color="000000" w:sz="4" w:space="0"/>
              <w:bottom w:val="single" w:color="000000" w:sz="4" w:space="0"/>
              <w:right w:val="single" w:color="000000" w:sz="4" w:space="0"/>
            </w:tcBorders>
          </w:tcPr>
          <w:p w14:paraId="41984794">
            <w:pPr>
              <w:spacing w:line="259" w:lineRule="auto"/>
              <w:rPr>
                <w:rFonts w:asciiTheme="minorEastAsia" w:hAnsiTheme="minorEastAsia" w:eastAsiaTheme="minorEastAsia"/>
                <w:color w:val="auto"/>
                <w:sz w:val="24"/>
                <w:szCs w:val="24"/>
              </w:rPr>
            </w:pPr>
            <w:r>
              <w:rPr>
                <w:rFonts w:asciiTheme="minorEastAsia" w:hAnsiTheme="minorEastAsia" w:eastAsiaTheme="minorEastAsia"/>
                <w:b/>
                <w:bCs/>
                <w:color w:val="auto"/>
                <w:sz w:val="24"/>
                <w:szCs w:val="24"/>
              </w:rPr>
              <w:t>正本壹份、</w:t>
            </w:r>
            <w:r>
              <w:rPr>
                <w:rFonts w:hint="eastAsia" w:asciiTheme="minorEastAsia" w:hAnsiTheme="minorEastAsia" w:eastAsiaTheme="minorEastAsia"/>
                <w:b/>
                <w:bCs/>
                <w:color w:val="auto"/>
                <w:sz w:val="24"/>
                <w:szCs w:val="24"/>
                <w:lang w:eastAsia="zh-CN"/>
              </w:rPr>
              <w:t>副本贰份、</w:t>
            </w:r>
            <w:r>
              <w:rPr>
                <w:rFonts w:hint="eastAsia" w:asciiTheme="minorEastAsia" w:hAnsiTheme="minorEastAsia" w:eastAsiaTheme="minorEastAsia"/>
                <w:b/>
                <w:bCs/>
                <w:color w:val="auto"/>
                <w:sz w:val="24"/>
                <w:szCs w:val="24"/>
                <w:lang w:val="en-US" w:eastAsia="zh-CN"/>
              </w:rPr>
              <w:t>电子文件U盘一份</w:t>
            </w:r>
            <w:r>
              <w:rPr>
                <w:rFonts w:asciiTheme="minorEastAsia" w:hAnsiTheme="minorEastAsia" w:eastAsiaTheme="minorEastAsia"/>
                <w:b/>
                <w:bCs/>
                <w:color w:val="auto"/>
                <w:sz w:val="24"/>
                <w:szCs w:val="24"/>
              </w:rPr>
              <w:t>。</w:t>
            </w:r>
            <w:r>
              <w:rPr>
                <w:rFonts w:asciiTheme="minorEastAsia" w:hAnsiTheme="minorEastAsia" w:eastAsiaTheme="minorEastAsia"/>
                <w:color w:val="auto"/>
                <w:sz w:val="24"/>
                <w:szCs w:val="24"/>
              </w:rPr>
              <w:t xml:space="preserve"> </w:t>
            </w:r>
          </w:p>
        </w:tc>
      </w:tr>
      <w:tr w14:paraId="179D6E80">
        <w:tblPrEx>
          <w:tblCellMar>
            <w:top w:w="147" w:type="dxa"/>
            <w:left w:w="108" w:type="dxa"/>
            <w:bottom w:w="56" w:type="dxa"/>
            <w:right w:w="0" w:type="dxa"/>
          </w:tblCellMar>
        </w:tblPrEx>
        <w:trPr>
          <w:trHeight w:val="782" w:hRule="atLeast"/>
          <w:jc w:val="center"/>
        </w:trPr>
        <w:tc>
          <w:tcPr>
            <w:tcW w:w="348" w:type="pct"/>
            <w:tcBorders>
              <w:top w:val="single" w:color="000000" w:sz="4" w:space="0"/>
              <w:left w:val="single" w:color="000000" w:sz="4" w:space="0"/>
              <w:bottom w:val="single" w:color="000000" w:sz="4" w:space="0"/>
              <w:right w:val="single" w:color="000000" w:sz="4" w:space="0"/>
            </w:tcBorders>
          </w:tcPr>
          <w:p w14:paraId="4739C3CF">
            <w:pPr>
              <w:pStyle w:val="78"/>
              <w:numPr>
                <w:ilvl w:val="0"/>
                <w:numId w:val="1"/>
              </w:numPr>
              <w:spacing w:line="259" w:lineRule="auto"/>
              <w:ind w:left="630" w:leftChars="0" w:firstLineChars="0"/>
              <w:jc w:val="center"/>
              <w:rPr>
                <w:rFonts w:asciiTheme="minorEastAsia" w:hAnsiTheme="minorEastAsia" w:eastAsiaTheme="minorEastAsia"/>
                <w:sz w:val="24"/>
                <w:szCs w:val="24"/>
              </w:rPr>
            </w:pPr>
          </w:p>
        </w:tc>
        <w:tc>
          <w:tcPr>
            <w:tcW w:w="986" w:type="pct"/>
            <w:tcBorders>
              <w:top w:val="single" w:color="000000" w:sz="4" w:space="0"/>
              <w:left w:val="single" w:color="000000" w:sz="4" w:space="0"/>
              <w:bottom w:val="single" w:color="000000" w:sz="4" w:space="0"/>
              <w:right w:val="single" w:color="000000" w:sz="4" w:space="0"/>
            </w:tcBorders>
          </w:tcPr>
          <w:p w14:paraId="4D8F35BB">
            <w:pPr>
              <w:spacing w:line="259" w:lineRule="auto"/>
              <w:jc w:val="center"/>
              <w:rPr>
                <w:rFonts w:asciiTheme="minorEastAsia" w:hAnsiTheme="minorEastAsia" w:eastAsiaTheme="minorEastAsia"/>
                <w:color w:val="auto"/>
                <w:sz w:val="24"/>
                <w:szCs w:val="24"/>
              </w:rPr>
            </w:pPr>
            <w:r>
              <w:rPr>
                <w:rFonts w:hint="eastAsia" w:ascii="宋体" w:hAnsi="宋体" w:cs="宋体" w:eastAsiaTheme="minorEastAsia"/>
                <w:color w:val="auto"/>
                <w:kern w:val="0"/>
                <w:sz w:val="24"/>
                <w:szCs w:val="24"/>
              </w:rPr>
              <w:t>装订要求</w:t>
            </w:r>
          </w:p>
        </w:tc>
        <w:tc>
          <w:tcPr>
            <w:tcW w:w="3665" w:type="pct"/>
            <w:tcBorders>
              <w:top w:val="single" w:color="000000" w:sz="4" w:space="0"/>
              <w:left w:val="single" w:color="000000" w:sz="4" w:space="0"/>
              <w:bottom w:val="single" w:color="000000" w:sz="4" w:space="0"/>
              <w:right w:val="single" w:color="000000" w:sz="4" w:space="0"/>
            </w:tcBorders>
          </w:tcPr>
          <w:p w14:paraId="3C266E60">
            <w:pPr>
              <w:spacing w:line="259" w:lineRule="auto"/>
              <w:rPr>
                <w:rFonts w:asciiTheme="minorEastAsia" w:hAnsiTheme="minorEastAsia" w:eastAsiaTheme="minorEastAsia"/>
                <w:color w:val="auto"/>
                <w:sz w:val="24"/>
                <w:szCs w:val="24"/>
              </w:rPr>
            </w:pPr>
            <w:r>
              <w:rPr>
                <w:rFonts w:hint="eastAsia" w:ascii="宋体" w:hAnsi="宋体" w:cs="宋体" w:eastAsiaTheme="minorEastAsia"/>
                <w:color w:val="auto"/>
                <w:kern w:val="0"/>
                <w:sz w:val="24"/>
                <w:szCs w:val="24"/>
              </w:rPr>
              <w:t>响应文件正本和副本均应采用胶封方式装订，不得采用活页夹等可随时拆换的方式装订。</w:t>
            </w:r>
          </w:p>
        </w:tc>
      </w:tr>
      <w:tr w14:paraId="27C98476">
        <w:tblPrEx>
          <w:tblCellMar>
            <w:top w:w="147" w:type="dxa"/>
            <w:left w:w="108" w:type="dxa"/>
            <w:bottom w:w="56" w:type="dxa"/>
            <w:right w:w="0" w:type="dxa"/>
          </w:tblCellMar>
        </w:tblPrEx>
        <w:trPr>
          <w:trHeight w:val="559" w:hRule="atLeast"/>
          <w:jc w:val="center"/>
        </w:trPr>
        <w:tc>
          <w:tcPr>
            <w:tcW w:w="348" w:type="pct"/>
            <w:tcBorders>
              <w:top w:val="single" w:color="000000" w:sz="4" w:space="0"/>
              <w:left w:val="single" w:color="000000" w:sz="4" w:space="0"/>
              <w:bottom w:val="single" w:color="000000" w:sz="4" w:space="0"/>
              <w:right w:val="single" w:color="000000" w:sz="4" w:space="0"/>
            </w:tcBorders>
            <w:vAlign w:val="center"/>
          </w:tcPr>
          <w:p w14:paraId="54CF5D2E">
            <w:pPr>
              <w:pStyle w:val="78"/>
              <w:numPr>
                <w:ilvl w:val="0"/>
                <w:numId w:val="1"/>
              </w:numPr>
              <w:spacing w:line="259" w:lineRule="auto"/>
              <w:ind w:left="630" w:leftChars="0" w:firstLineChars="0"/>
              <w:jc w:val="center"/>
              <w:rPr>
                <w:rFonts w:asciiTheme="minorEastAsia" w:hAnsiTheme="minorEastAsia" w:eastAsiaTheme="minorEastAsia"/>
                <w:sz w:val="24"/>
                <w:szCs w:val="24"/>
              </w:rPr>
            </w:pPr>
          </w:p>
        </w:tc>
        <w:tc>
          <w:tcPr>
            <w:tcW w:w="986" w:type="pct"/>
            <w:tcBorders>
              <w:top w:val="single" w:color="000000" w:sz="4" w:space="0"/>
              <w:left w:val="single" w:color="000000" w:sz="4" w:space="0"/>
              <w:bottom w:val="single" w:color="000000" w:sz="4" w:space="0"/>
              <w:right w:val="single" w:color="000000" w:sz="4" w:space="0"/>
            </w:tcBorders>
            <w:vAlign w:val="center"/>
          </w:tcPr>
          <w:p w14:paraId="040B5A12">
            <w:pPr>
              <w:spacing w:line="259" w:lineRule="auto"/>
              <w:ind w:right="111"/>
              <w:jc w:val="center"/>
              <w:rPr>
                <w:rFonts w:asciiTheme="minorEastAsia" w:hAnsiTheme="minorEastAsia" w:eastAsiaTheme="minorEastAsia"/>
                <w:sz w:val="24"/>
                <w:szCs w:val="24"/>
              </w:rPr>
            </w:pPr>
            <w:r>
              <w:rPr>
                <w:rFonts w:asciiTheme="minorEastAsia" w:hAnsiTheme="minorEastAsia" w:eastAsiaTheme="minorEastAsia"/>
                <w:sz w:val="24"/>
                <w:szCs w:val="24"/>
              </w:rPr>
              <w:t>评分办法</w:t>
            </w:r>
          </w:p>
        </w:tc>
        <w:tc>
          <w:tcPr>
            <w:tcW w:w="3665" w:type="pct"/>
            <w:tcBorders>
              <w:top w:val="single" w:color="000000" w:sz="4" w:space="0"/>
              <w:left w:val="single" w:color="000000" w:sz="4" w:space="0"/>
              <w:bottom w:val="single" w:color="000000" w:sz="4" w:space="0"/>
              <w:right w:val="single" w:color="000000" w:sz="4" w:space="0"/>
            </w:tcBorders>
            <w:vAlign w:val="center"/>
          </w:tcPr>
          <w:p w14:paraId="4E0F6EBA">
            <w:pPr>
              <w:spacing w:line="259" w:lineRule="auto"/>
              <w:jc w:val="left"/>
              <w:rPr>
                <w:rFonts w:asciiTheme="minorEastAsia" w:hAnsiTheme="minorEastAsia" w:eastAsiaTheme="minorEastAsia"/>
                <w:sz w:val="24"/>
                <w:szCs w:val="24"/>
              </w:rPr>
            </w:pPr>
            <w:r>
              <w:rPr>
                <w:rFonts w:asciiTheme="minorEastAsia" w:hAnsiTheme="minorEastAsia" w:eastAsiaTheme="minorEastAsia"/>
                <w:sz w:val="24"/>
                <w:szCs w:val="24"/>
              </w:rPr>
              <w:t>综合评分法</w:t>
            </w:r>
          </w:p>
        </w:tc>
      </w:tr>
      <w:tr w14:paraId="681EF48D">
        <w:tblPrEx>
          <w:tblCellMar>
            <w:top w:w="147" w:type="dxa"/>
            <w:left w:w="108" w:type="dxa"/>
            <w:bottom w:w="56" w:type="dxa"/>
            <w:right w:w="0" w:type="dxa"/>
          </w:tblCellMar>
        </w:tblPrEx>
        <w:trPr>
          <w:trHeight w:val="701" w:hRule="atLeast"/>
          <w:jc w:val="center"/>
        </w:trPr>
        <w:tc>
          <w:tcPr>
            <w:tcW w:w="348" w:type="pct"/>
            <w:tcBorders>
              <w:top w:val="single" w:color="000000" w:sz="4" w:space="0"/>
              <w:left w:val="single" w:color="000000" w:sz="4" w:space="0"/>
              <w:bottom w:val="single" w:color="000000" w:sz="4" w:space="0"/>
              <w:right w:val="single" w:color="000000" w:sz="4" w:space="0"/>
            </w:tcBorders>
            <w:vAlign w:val="center"/>
          </w:tcPr>
          <w:p w14:paraId="596867A5">
            <w:pPr>
              <w:pStyle w:val="78"/>
              <w:numPr>
                <w:ilvl w:val="0"/>
                <w:numId w:val="1"/>
              </w:numPr>
              <w:spacing w:line="259" w:lineRule="auto"/>
              <w:ind w:left="630" w:leftChars="0" w:firstLineChars="0"/>
              <w:jc w:val="center"/>
              <w:rPr>
                <w:rFonts w:asciiTheme="minorEastAsia" w:hAnsiTheme="minorEastAsia" w:eastAsiaTheme="minorEastAsia"/>
                <w:sz w:val="24"/>
                <w:szCs w:val="24"/>
              </w:rPr>
            </w:pPr>
          </w:p>
        </w:tc>
        <w:tc>
          <w:tcPr>
            <w:tcW w:w="986" w:type="pct"/>
            <w:tcBorders>
              <w:top w:val="single" w:color="000000" w:sz="4" w:space="0"/>
              <w:left w:val="single" w:color="000000" w:sz="4" w:space="0"/>
              <w:bottom w:val="single" w:color="000000" w:sz="4" w:space="0"/>
              <w:right w:val="single" w:color="000000" w:sz="4" w:space="0"/>
            </w:tcBorders>
            <w:vAlign w:val="center"/>
          </w:tcPr>
          <w:p w14:paraId="4C50D7FE">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磋商小组构成</w:t>
            </w:r>
          </w:p>
        </w:tc>
        <w:tc>
          <w:tcPr>
            <w:tcW w:w="3665" w:type="pct"/>
            <w:tcBorders>
              <w:top w:val="single" w:color="000000" w:sz="4" w:space="0"/>
              <w:left w:val="single" w:color="000000" w:sz="4" w:space="0"/>
              <w:bottom w:val="single" w:color="000000" w:sz="4" w:space="0"/>
              <w:right w:val="single" w:color="000000" w:sz="4" w:space="0"/>
            </w:tcBorders>
          </w:tcPr>
          <w:p w14:paraId="357B3642">
            <w:pPr>
              <w:spacing w:line="259" w:lineRule="auto"/>
              <w:rPr>
                <w:rFonts w:asciiTheme="minorEastAsia" w:hAnsiTheme="minorEastAsia" w:eastAsiaTheme="minorEastAsia"/>
                <w:sz w:val="24"/>
                <w:szCs w:val="24"/>
              </w:rPr>
            </w:pPr>
            <w:r>
              <w:rPr>
                <w:rFonts w:hint="eastAsia" w:ascii="宋体" w:hAnsi="宋体" w:eastAsia="宋体" w:cs="宋体"/>
                <w:color w:val="auto"/>
                <w:sz w:val="24"/>
                <w:szCs w:val="24"/>
                <w:highlight w:val="none"/>
              </w:rPr>
              <w:t>根据《中华人民共和国政府采购法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政府采购竞争性磋商采购方式管理暂行办法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等有关法律规定组建磋商小组</w:t>
            </w:r>
            <w:r>
              <w:rPr>
                <w:rFonts w:cs="Times New Roman" w:asciiTheme="minorEastAsia" w:hAnsiTheme="minorEastAsia" w:eastAsiaTheme="minorEastAsia"/>
                <w:sz w:val="24"/>
                <w:szCs w:val="24"/>
              </w:rPr>
              <w:t xml:space="preserve"> </w:t>
            </w:r>
          </w:p>
        </w:tc>
      </w:tr>
      <w:tr w14:paraId="240BD957">
        <w:tblPrEx>
          <w:tblCellMar>
            <w:top w:w="147" w:type="dxa"/>
            <w:left w:w="108" w:type="dxa"/>
            <w:bottom w:w="56" w:type="dxa"/>
            <w:right w:w="0" w:type="dxa"/>
          </w:tblCellMar>
        </w:tblPrEx>
        <w:trPr>
          <w:trHeight w:val="1102" w:hRule="atLeast"/>
          <w:jc w:val="center"/>
        </w:trPr>
        <w:tc>
          <w:tcPr>
            <w:tcW w:w="348" w:type="pct"/>
            <w:tcBorders>
              <w:top w:val="single" w:color="000000" w:sz="4" w:space="0"/>
              <w:left w:val="single" w:color="000000" w:sz="4" w:space="0"/>
              <w:bottom w:val="single" w:color="000000" w:sz="4" w:space="0"/>
              <w:right w:val="single" w:color="000000" w:sz="4" w:space="0"/>
            </w:tcBorders>
            <w:vAlign w:val="center"/>
          </w:tcPr>
          <w:p w14:paraId="0BE948DF">
            <w:pPr>
              <w:pStyle w:val="78"/>
              <w:numPr>
                <w:ilvl w:val="0"/>
                <w:numId w:val="1"/>
              </w:numPr>
              <w:spacing w:line="259" w:lineRule="auto"/>
              <w:ind w:left="630" w:leftChars="0" w:firstLineChars="0"/>
              <w:jc w:val="center"/>
              <w:rPr>
                <w:rFonts w:asciiTheme="minorEastAsia" w:hAnsiTheme="minorEastAsia" w:eastAsiaTheme="minorEastAsia"/>
                <w:sz w:val="24"/>
                <w:szCs w:val="24"/>
              </w:rPr>
            </w:pPr>
          </w:p>
        </w:tc>
        <w:tc>
          <w:tcPr>
            <w:tcW w:w="986" w:type="pct"/>
            <w:tcBorders>
              <w:top w:val="single" w:color="000000" w:sz="4" w:space="0"/>
              <w:left w:val="single" w:color="000000" w:sz="4" w:space="0"/>
              <w:bottom w:val="single" w:color="000000" w:sz="4" w:space="0"/>
              <w:right w:val="single" w:color="000000" w:sz="4" w:space="0"/>
            </w:tcBorders>
            <w:vAlign w:val="center"/>
          </w:tcPr>
          <w:p w14:paraId="60F08087">
            <w:pPr>
              <w:spacing w:line="259"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付款</w:t>
            </w:r>
            <w:r>
              <w:rPr>
                <w:rFonts w:hint="eastAsia" w:ascii="宋体" w:hAnsi="宋体" w:eastAsia="宋体" w:cs="宋体"/>
                <w:color w:val="auto"/>
                <w:sz w:val="24"/>
                <w:szCs w:val="24"/>
                <w:highlight w:val="none"/>
              </w:rPr>
              <w:t>方式</w:t>
            </w:r>
          </w:p>
        </w:tc>
        <w:tc>
          <w:tcPr>
            <w:tcW w:w="3665" w:type="pct"/>
            <w:tcBorders>
              <w:top w:val="single" w:color="000000" w:sz="4" w:space="0"/>
              <w:left w:val="single" w:color="000000" w:sz="4" w:space="0"/>
              <w:bottom w:val="single" w:color="000000" w:sz="4" w:space="0"/>
              <w:right w:val="single" w:color="000000" w:sz="4" w:space="0"/>
            </w:tcBorders>
            <w:vAlign w:val="center"/>
          </w:tcPr>
          <w:p w14:paraId="096CEF4B">
            <w:pPr>
              <w:spacing w:line="259" w:lineRule="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甲方于本服务合同签署之日起7日内预支付合同价40%的服务费用，其余款项于甲方收到乙方审计报告/咨询报告(征求意见稿)结清。</w:t>
            </w:r>
          </w:p>
          <w:p w14:paraId="020349D6">
            <w:pPr>
              <w:spacing w:line="259" w:lineRule="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甲方支付价款前，乙方应向甲方提供正式等额、合法合规并符合甲方要求的增值税普通发票，否则，甲方有权拒绝付款并不承担任何逾期付款的违约责任。</w:t>
            </w:r>
          </w:p>
        </w:tc>
      </w:tr>
      <w:tr w14:paraId="036D3275">
        <w:tblPrEx>
          <w:tblCellMar>
            <w:top w:w="147" w:type="dxa"/>
            <w:left w:w="108" w:type="dxa"/>
            <w:bottom w:w="56" w:type="dxa"/>
            <w:right w:w="0" w:type="dxa"/>
          </w:tblCellMar>
        </w:tblPrEx>
        <w:trPr>
          <w:trHeight w:val="533" w:hRule="atLeast"/>
          <w:jc w:val="center"/>
        </w:trPr>
        <w:tc>
          <w:tcPr>
            <w:tcW w:w="348" w:type="pct"/>
            <w:tcBorders>
              <w:top w:val="single" w:color="000000" w:sz="4" w:space="0"/>
              <w:left w:val="single" w:color="000000" w:sz="4" w:space="0"/>
              <w:bottom w:val="single" w:color="000000" w:sz="4" w:space="0"/>
              <w:right w:val="single" w:color="000000" w:sz="4" w:space="0"/>
            </w:tcBorders>
          </w:tcPr>
          <w:p w14:paraId="6D11EF8D">
            <w:pPr>
              <w:pStyle w:val="78"/>
              <w:numPr>
                <w:ilvl w:val="0"/>
                <w:numId w:val="1"/>
              </w:numPr>
              <w:spacing w:line="259" w:lineRule="auto"/>
              <w:ind w:left="630" w:leftChars="0" w:firstLineChars="0"/>
              <w:jc w:val="center"/>
              <w:rPr>
                <w:rFonts w:asciiTheme="minorEastAsia" w:hAnsiTheme="minorEastAsia" w:eastAsiaTheme="minorEastAsia"/>
                <w:sz w:val="24"/>
                <w:szCs w:val="24"/>
              </w:rPr>
            </w:pPr>
          </w:p>
        </w:tc>
        <w:tc>
          <w:tcPr>
            <w:tcW w:w="986" w:type="pct"/>
            <w:tcBorders>
              <w:top w:val="single" w:color="000000" w:sz="4" w:space="0"/>
              <w:left w:val="single" w:color="000000" w:sz="4" w:space="0"/>
              <w:bottom w:val="single" w:color="000000" w:sz="4" w:space="0"/>
              <w:right w:val="single" w:color="000000" w:sz="4" w:space="0"/>
            </w:tcBorders>
          </w:tcPr>
          <w:p w14:paraId="0261BC9F">
            <w:pPr>
              <w:spacing w:line="259" w:lineRule="auto"/>
              <w:ind w:right="109"/>
              <w:jc w:val="center"/>
              <w:rPr>
                <w:rFonts w:asciiTheme="minorEastAsia" w:hAnsiTheme="minorEastAsia" w:eastAsiaTheme="minorEastAsia"/>
                <w:sz w:val="24"/>
                <w:szCs w:val="24"/>
              </w:rPr>
            </w:pPr>
            <w:r>
              <w:rPr>
                <w:rFonts w:asciiTheme="minorEastAsia" w:hAnsiTheme="minorEastAsia" w:eastAsiaTheme="minorEastAsia"/>
                <w:sz w:val="24"/>
                <w:szCs w:val="24"/>
              </w:rPr>
              <w:t>答疑</w:t>
            </w:r>
          </w:p>
        </w:tc>
        <w:tc>
          <w:tcPr>
            <w:tcW w:w="3665" w:type="pct"/>
            <w:tcBorders>
              <w:top w:val="single" w:color="000000" w:sz="4" w:space="0"/>
              <w:left w:val="single" w:color="000000" w:sz="4" w:space="0"/>
              <w:bottom w:val="single" w:color="000000" w:sz="4" w:space="0"/>
              <w:right w:val="single" w:color="000000" w:sz="4" w:space="0"/>
            </w:tcBorders>
          </w:tcPr>
          <w:p w14:paraId="525FD37B">
            <w:pPr>
              <w:spacing w:line="360" w:lineRule="auto"/>
              <w:jc w:val="left"/>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 xml:space="preserve">如有疑问，投标人需书面提出，经采购人收集问题后，统一答疑。 </w:t>
            </w:r>
          </w:p>
        </w:tc>
      </w:tr>
      <w:tr w14:paraId="7E09F438">
        <w:tblPrEx>
          <w:tblCellMar>
            <w:top w:w="147" w:type="dxa"/>
            <w:left w:w="108" w:type="dxa"/>
            <w:bottom w:w="56" w:type="dxa"/>
            <w:right w:w="0" w:type="dxa"/>
          </w:tblCellMar>
        </w:tblPrEx>
        <w:trPr>
          <w:trHeight w:val="1192" w:hRule="atLeast"/>
          <w:jc w:val="center"/>
        </w:trPr>
        <w:tc>
          <w:tcPr>
            <w:tcW w:w="348" w:type="pct"/>
            <w:tcBorders>
              <w:top w:val="single" w:color="000000" w:sz="4" w:space="0"/>
              <w:left w:val="single" w:color="000000" w:sz="4" w:space="0"/>
              <w:bottom w:val="single" w:color="000000" w:sz="4" w:space="0"/>
              <w:right w:val="single" w:color="000000" w:sz="4" w:space="0"/>
            </w:tcBorders>
            <w:vAlign w:val="center"/>
          </w:tcPr>
          <w:p w14:paraId="44708A46">
            <w:pPr>
              <w:pStyle w:val="78"/>
              <w:numPr>
                <w:ilvl w:val="0"/>
                <w:numId w:val="1"/>
              </w:numPr>
              <w:spacing w:line="259" w:lineRule="auto"/>
              <w:ind w:left="630" w:leftChars="0" w:firstLineChars="0"/>
              <w:jc w:val="both"/>
              <w:rPr>
                <w:rFonts w:asciiTheme="minorEastAsia" w:hAnsiTheme="minorEastAsia" w:eastAsiaTheme="minorEastAsia"/>
                <w:sz w:val="24"/>
                <w:szCs w:val="24"/>
              </w:rPr>
            </w:pPr>
          </w:p>
        </w:tc>
        <w:tc>
          <w:tcPr>
            <w:tcW w:w="986" w:type="pct"/>
            <w:tcBorders>
              <w:top w:val="single" w:color="000000" w:sz="4" w:space="0"/>
              <w:left w:val="single" w:color="000000" w:sz="4" w:space="0"/>
              <w:bottom w:val="single" w:color="000000" w:sz="4" w:space="0"/>
              <w:right w:val="single" w:color="000000" w:sz="4" w:space="0"/>
            </w:tcBorders>
            <w:vAlign w:val="center"/>
          </w:tcPr>
          <w:p w14:paraId="337A1C3B">
            <w:pPr>
              <w:spacing w:line="259" w:lineRule="auto"/>
              <w:ind w:right="-11" w:rightChars="0" w:firstLine="240" w:firstLineChars="100"/>
              <w:jc w:val="both"/>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其他说明事项</w:t>
            </w:r>
          </w:p>
        </w:tc>
        <w:tc>
          <w:tcPr>
            <w:tcW w:w="3665" w:type="pct"/>
            <w:tcBorders>
              <w:top w:val="single" w:color="000000" w:sz="4" w:space="0"/>
              <w:left w:val="single" w:color="000000" w:sz="4" w:space="0"/>
              <w:bottom w:val="single" w:color="000000" w:sz="4" w:space="0"/>
              <w:right w:val="single" w:color="000000" w:sz="4" w:space="0"/>
            </w:tcBorders>
            <w:vAlign w:val="center"/>
          </w:tcPr>
          <w:p w14:paraId="7889B3ED">
            <w:pPr>
              <w:pageBreakBefore w:val="0"/>
              <w:numPr>
                <w:ilvl w:val="0"/>
                <w:numId w:val="2"/>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caps w:val="0"/>
                <w:color w:val="auto"/>
                <w:spacing w:val="0"/>
                <w:sz w:val="24"/>
                <w:szCs w:val="22"/>
                <w:lang w:val="en-US" w:eastAsia="zh-CN"/>
              </w:rPr>
              <w:t>本项目属性为：服务。</w:t>
            </w:r>
          </w:p>
          <w:p w14:paraId="61F5B254">
            <w:pPr>
              <w:pageBreakBefore w:val="0"/>
              <w:numPr>
                <w:ilvl w:val="0"/>
                <w:numId w:val="2"/>
              </w:numPr>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olor w:val="auto"/>
                <w:sz w:val="24"/>
                <w:szCs w:val="24"/>
                <w:highlight w:val="none"/>
                <w:lang w:eastAsia="zh-CN"/>
              </w:rPr>
            </w:pPr>
            <w:r>
              <w:rPr>
                <w:rFonts w:hint="eastAsia" w:ascii="宋体" w:hAnsi="宋体" w:eastAsia="宋体" w:cs="宋体"/>
                <w:sz w:val="24"/>
                <w:szCs w:val="24"/>
                <w:highlight w:val="none"/>
              </w:rPr>
              <w:t>采购标的对应的中小企业划分标准所属行业为</w:t>
            </w:r>
            <w:r>
              <w:rPr>
                <w:rFonts w:hint="eastAsia" w:ascii="宋体" w:hAnsi="宋体" w:cs="宋体"/>
                <w:sz w:val="24"/>
                <w:szCs w:val="24"/>
                <w:highlight w:val="none"/>
                <w:lang w:eastAsia="zh-CN"/>
              </w:rPr>
              <w:t>：</w:t>
            </w:r>
            <w:r>
              <w:rPr>
                <w:rFonts w:hint="eastAsia" w:ascii="宋体" w:hAnsi="宋体" w:eastAsia="宋体" w:cs="宋体"/>
                <w:color w:val="auto"/>
                <w:sz w:val="24"/>
                <w:szCs w:val="24"/>
                <w:highlight w:val="none"/>
              </w:rPr>
              <w:t>其他未列明行业</w:t>
            </w:r>
            <w:r>
              <w:rPr>
                <w:rFonts w:hint="eastAsia" w:ascii="宋体" w:hAnsi="宋体" w:cs="宋体"/>
                <w:color w:val="auto"/>
                <w:sz w:val="24"/>
                <w:szCs w:val="24"/>
                <w:highlight w:val="none"/>
                <w:lang w:eastAsia="zh-CN"/>
              </w:rPr>
              <w:t>。</w:t>
            </w:r>
          </w:p>
          <w:p w14:paraId="63AB7AD9">
            <w:pPr>
              <w:pageBreakBefore w:val="0"/>
              <w:numPr>
                <w:ilvl w:val="0"/>
                <w:numId w:val="2"/>
              </w:numPr>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olor w:val="auto"/>
                <w:sz w:val="24"/>
                <w:szCs w:val="24"/>
                <w:highlight w:val="none"/>
                <w:lang w:eastAsia="zh-CN"/>
              </w:rPr>
            </w:pPr>
            <w:r>
              <w:rPr>
                <w:rFonts w:hint="eastAsia" w:ascii="宋体" w:hAnsi="宋体" w:eastAsia="宋体" w:cs="宋体"/>
                <w:color w:val="auto"/>
                <w:sz w:val="24"/>
                <w:szCs w:val="24"/>
                <w:highlight w:val="none"/>
              </w:rPr>
              <w:t>其他未列明行业</w:t>
            </w:r>
            <w:r>
              <w:rPr>
                <w:rFonts w:hint="eastAsia" w:ascii="宋体" w:hAnsi="宋体" w:eastAsia="宋体" w:cs="宋体"/>
                <w:color w:val="auto"/>
                <w:sz w:val="24"/>
                <w:szCs w:val="24"/>
                <w:highlight w:val="none"/>
                <w:lang w:val="en-US" w:eastAsia="zh-CN"/>
              </w:rPr>
              <w:t>划分标准：</w:t>
            </w:r>
            <w:r>
              <w:rPr>
                <w:rFonts w:hint="eastAsia" w:ascii="宋体" w:hAnsi="宋体" w:eastAsia="宋体" w:cs="宋体"/>
                <w:sz w:val="24"/>
                <w:szCs w:val="24"/>
                <w:highlight w:val="none"/>
                <w:lang w:eastAsia="zh-CN"/>
              </w:rPr>
              <w:t>从业人员300人以下的为中小微型企业。其中，从业人员100人及以上的为中型企业；从业人员10人及以上的为小型企业；从业人员10人以下的为微型企业。</w:t>
            </w:r>
          </w:p>
        </w:tc>
      </w:tr>
      <w:bookmarkEnd w:id="6"/>
      <w:bookmarkEnd w:id="7"/>
      <w:bookmarkEnd w:id="12"/>
      <w:bookmarkEnd w:id="13"/>
      <w:bookmarkEnd w:id="14"/>
      <w:bookmarkEnd w:id="15"/>
      <w:bookmarkEnd w:id="16"/>
      <w:bookmarkEnd w:id="17"/>
    </w:tbl>
    <w:p w14:paraId="2DCF0DEC">
      <w:pPr>
        <w:pStyle w:val="11"/>
        <w:rPr>
          <w:kern w:val="44"/>
          <w:sz w:val="32"/>
          <w:szCs w:val="32"/>
        </w:rPr>
      </w:pPr>
      <w:bookmarkStart w:id="18" w:name="_Toc536429318"/>
      <w:bookmarkStart w:id="19" w:name="_Toc536202284"/>
      <w:bookmarkStart w:id="20" w:name="_Toc536202378"/>
      <w:bookmarkStart w:id="21" w:name="_Toc19272"/>
      <w:bookmarkStart w:id="22" w:name="_Toc21495"/>
      <w:bookmarkStart w:id="23" w:name="_Toc536429371"/>
      <w:r>
        <w:br w:type="page"/>
      </w:r>
    </w:p>
    <w:p w14:paraId="1C7E9DFF">
      <w:pPr>
        <w:pStyle w:val="2"/>
        <w:keepLines w:val="0"/>
        <w:pageBreakBefore w:val="0"/>
        <w:kinsoku/>
        <w:wordWrap/>
        <w:overflowPunct/>
        <w:topLinePunct w:val="0"/>
        <w:autoSpaceDE/>
        <w:autoSpaceDN/>
        <w:bidi w:val="0"/>
        <w:adjustRightInd/>
        <w:snapToGrid/>
        <w:spacing w:line="460" w:lineRule="exact"/>
        <w:textAlignment w:val="auto"/>
        <w:rPr>
          <w:rFonts w:ascii="宋体"/>
        </w:rPr>
      </w:pPr>
      <w:bookmarkStart w:id="24" w:name="_Toc11129"/>
      <w:bookmarkStart w:id="25" w:name="_Toc19543335"/>
      <w:r>
        <w:rPr>
          <w:rFonts w:hint="eastAsia" w:ascii="宋体" w:hAnsi="宋体" w:cs="宋体"/>
        </w:rPr>
        <w:t xml:space="preserve">第三部分 </w:t>
      </w:r>
      <w:r>
        <w:rPr>
          <w:rFonts w:ascii="宋体" w:hAnsi="宋体" w:cs="宋体"/>
        </w:rPr>
        <w:t xml:space="preserve">  </w:t>
      </w:r>
      <w:r>
        <w:rPr>
          <w:rFonts w:hint="eastAsia" w:ascii="宋体" w:hAnsi="宋体" w:cs="宋体"/>
        </w:rPr>
        <w:t>供应商须知</w:t>
      </w:r>
      <w:bookmarkEnd w:id="18"/>
      <w:bookmarkEnd w:id="19"/>
      <w:bookmarkEnd w:id="20"/>
      <w:bookmarkEnd w:id="21"/>
      <w:bookmarkEnd w:id="22"/>
      <w:bookmarkEnd w:id="23"/>
      <w:bookmarkEnd w:id="24"/>
      <w:bookmarkEnd w:id="25"/>
    </w:p>
    <w:p w14:paraId="3B9DD0DE">
      <w:pPr>
        <w:keepLines w:val="0"/>
        <w:pageBreakBefore w:val="0"/>
        <w:widowControl/>
        <w:numPr>
          <w:ilvl w:val="0"/>
          <w:numId w:val="3"/>
        </w:numPr>
        <w:kinsoku/>
        <w:wordWrap/>
        <w:overflowPunct/>
        <w:topLinePunct w:val="0"/>
        <w:autoSpaceDE/>
        <w:autoSpaceDN/>
        <w:bidi w:val="0"/>
        <w:adjustRightInd/>
        <w:snapToGrid/>
        <w:spacing w:line="460" w:lineRule="exact"/>
        <w:ind w:firstLine="643" w:firstLineChars="200"/>
        <w:jc w:val="center"/>
        <w:textAlignment w:val="auto"/>
        <w:outlineLvl w:val="1"/>
        <w:rPr>
          <w:rFonts w:ascii="宋体" w:cs="Times New Roman"/>
          <w:b/>
          <w:bCs/>
          <w:kern w:val="0"/>
          <w:sz w:val="32"/>
          <w:szCs w:val="32"/>
        </w:rPr>
      </w:pPr>
      <w:bookmarkStart w:id="26" w:name="_Toc536202379"/>
      <w:bookmarkStart w:id="27" w:name="_Toc19543336"/>
      <w:bookmarkStart w:id="28" w:name="_Toc17059"/>
      <w:bookmarkStart w:id="29" w:name="_Toc536429372"/>
      <w:bookmarkStart w:id="30" w:name="_Toc536202285"/>
      <w:bookmarkStart w:id="31" w:name="_Toc26739"/>
      <w:bookmarkStart w:id="32" w:name="_Toc536429319"/>
      <w:r>
        <w:rPr>
          <w:rFonts w:hint="eastAsia" w:ascii="宋体" w:hAnsi="宋体" w:cs="宋体"/>
          <w:b/>
          <w:bCs/>
          <w:kern w:val="0"/>
          <w:sz w:val="32"/>
          <w:szCs w:val="32"/>
        </w:rPr>
        <w:t>总 则</w:t>
      </w:r>
      <w:bookmarkEnd w:id="26"/>
      <w:bookmarkEnd w:id="27"/>
      <w:bookmarkEnd w:id="28"/>
      <w:bookmarkEnd w:id="29"/>
      <w:bookmarkEnd w:id="30"/>
      <w:bookmarkEnd w:id="31"/>
      <w:bookmarkEnd w:id="32"/>
    </w:p>
    <w:p w14:paraId="70387946">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1、适用范围</w:t>
      </w:r>
    </w:p>
    <w:p w14:paraId="50B47194">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1.1本磋商文件适用于本次采购活动的全过程。</w:t>
      </w:r>
    </w:p>
    <w:p w14:paraId="764B5505">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1.2本次采购属政府采购，采购人、采购代理机构、供应商、磋商小组的相关行为均受《中华人民共和国政府采购法》及实施条例、财政部规章及政府采购项目所在地有关法规、规章的约束，其权利受到上述法律法规的保护。</w:t>
      </w:r>
    </w:p>
    <w:p w14:paraId="0C9D2891">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2、定义</w:t>
      </w:r>
    </w:p>
    <w:p w14:paraId="7C7F3305">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2.1采购人：</w:t>
      </w:r>
      <w:r>
        <w:rPr>
          <w:rFonts w:hint="eastAsia" w:ascii="宋体" w:hAnsi="宋体" w:cs="宋体"/>
          <w:bCs/>
          <w:sz w:val="24"/>
          <w:szCs w:val="24"/>
          <w:lang w:val="en-US" w:eastAsia="zh-CN"/>
        </w:rPr>
        <w:t>汉滨区移民（脱贫）搬迁工作办公室</w:t>
      </w:r>
    </w:p>
    <w:p w14:paraId="6DE7E93E">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2.2采购代理机构：</w:t>
      </w:r>
      <w:r>
        <w:rPr>
          <w:rFonts w:hint="eastAsia" w:ascii="宋体" w:hAnsi="宋体" w:cs="宋体"/>
          <w:bCs/>
          <w:sz w:val="24"/>
          <w:szCs w:val="24"/>
          <w:lang w:val="en-US" w:eastAsia="zh-CN"/>
        </w:rPr>
        <w:t>/</w:t>
      </w:r>
    </w:p>
    <w:p w14:paraId="2673D91D">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2.3</w:t>
      </w:r>
      <w:r>
        <w:rPr>
          <w:rFonts w:hint="eastAsia" w:ascii="宋体" w:hAnsi="宋体" w:eastAsia="宋体" w:cs="宋体"/>
          <w:bCs/>
          <w:color w:val="auto"/>
          <w:sz w:val="24"/>
          <w:szCs w:val="24"/>
          <w:lang w:eastAsia="zh-CN"/>
        </w:rPr>
        <w:t>监管机构：</w:t>
      </w:r>
      <w:r>
        <w:rPr>
          <w:rFonts w:hint="eastAsia" w:ascii="宋体" w:hAnsi="宋体" w:cs="宋体"/>
          <w:bCs/>
          <w:color w:val="auto"/>
          <w:sz w:val="24"/>
          <w:szCs w:val="24"/>
          <w:lang w:eastAsia="zh-CN"/>
        </w:rPr>
        <w:t>汉滨区财政局</w:t>
      </w:r>
    </w:p>
    <w:p w14:paraId="788CE4FB">
      <w:pPr>
        <w:pageBreakBefore w:val="0"/>
        <w:widowControl/>
        <w:wordWrap/>
        <w:topLinePunct w:val="0"/>
        <w:autoSpaceDE/>
        <w:autoSpaceDN/>
        <w:bidi w:val="0"/>
        <w:snapToGrid w:val="0"/>
        <w:spacing w:line="360" w:lineRule="auto"/>
        <w:ind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cs="宋体"/>
          <w:bCs/>
          <w:sz w:val="24"/>
          <w:szCs w:val="24"/>
          <w:lang w:val="en-US" w:eastAsia="zh-CN"/>
        </w:rPr>
        <w:t>4</w:t>
      </w:r>
      <w:r>
        <w:rPr>
          <w:rFonts w:hint="eastAsia" w:ascii="宋体" w:hAnsi="宋体" w:eastAsia="宋体" w:cs="宋体"/>
          <w:bCs/>
          <w:sz w:val="24"/>
          <w:szCs w:val="24"/>
        </w:rPr>
        <w:t>供应商：是参与本项目磋商活动的法人、其他组织或自然人。</w:t>
      </w:r>
    </w:p>
    <w:p w14:paraId="26955745">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cs="宋体"/>
          <w:bCs/>
          <w:sz w:val="24"/>
          <w:szCs w:val="24"/>
          <w:lang w:val="en-US" w:eastAsia="zh-CN"/>
        </w:rPr>
        <w:t>5</w:t>
      </w:r>
      <w:r>
        <w:rPr>
          <w:rFonts w:hint="eastAsia" w:ascii="宋体" w:hAnsi="宋体" w:eastAsia="宋体" w:cs="宋体"/>
          <w:bCs/>
          <w:sz w:val="24"/>
          <w:szCs w:val="24"/>
        </w:rPr>
        <w:t>货物：是指本次投标所需的各种形态和种类的物品。</w:t>
      </w:r>
    </w:p>
    <w:p w14:paraId="4B166119">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sz w:val="24"/>
          <w:szCs w:val="24"/>
        </w:rPr>
        <w:t>2.</w:t>
      </w:r>
      <w:r>
        <w:rPr>
          <w:rFonts w:hint="eastAsia" w:ascii="宋体" w:hAnsi="宋体" w:cs="宋体"/>
          <w:bCs/>
          <w:sz w:val="24"/>
          <w:szCs w:val="24"/>
          <w:lang w:val="en-US" w:eastAsia="zh-CN"/>
        </w:rPr>
        <w:t>6</w:t>
      </w:r>
      <w:r>
        <w:rPr>
          <w:rFonts w:hint="eastAsia" w:ascii="宋体" w:hAnsi="宋体" w:eastAsia="宋体" w:cs="宋体"/>
          <w:bCs/>
          <w:sz w:val="24"/>
          <w:szCs w:val="24"/>
        </w:rPr>
        <w:t>服务：指除了货物和工程外的其他政府采购对象，包含除货物以外规定由供应商承担的</w:t>
      </w:r>
      <w:r>
        <w:rPr>
          <w:rFonts w:hint="eastAsia" w:ascii="宋体" w:hAnsi="宋体" w:eastAsia="宋体" w:cs="宋体"/>
          <w:bCs/>
          <w:color w:val="000000" w:themeColor="text1"/>
          <w:sz w:val="24"/>
          <w:szCs w:val="24"/>
          <w14:textFill>
            <w14:solidFill>
              <w14:schemeClr w14:val="tx1"/>
            </w14:solidFill>
          </w14:textFill>
        </w:rPr>
        <w:t>与货物有关的辅助服务。</w:t>
      </w:r>
    </w:p>
    <w:p w14:paraId="073A0D72">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3、合格的供应商</w:t>
      </w:r>
    </w:p>
    <w:p w14:paraId="2C09F269">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3.1具有本项目生产、制造、加工、供应或实施能力，符合、承认并承诺履行本磋商文件各项规定的国内供应商。</w:t>
      </w:r>
    </w:p>
    <w:p w14:paraId="3B03124B">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3.2供应商应遵守有关的国家</w:t>
      </w:r>
      <w:r>
        <w:rPr>
          <w:rFonts w:hint="eastAsia" w:ascii="宋体" w:hAnsi="宋体" w:cs="宋体"/>
          <w:bCs/>
          <w:color w:val="000000" w:themeColor="text1"/>
          <w:sz w:val="24"/>
          <w:szCs w:val="24"/>
          <w:lang w:eastAsia="zh-CN"/>
          <w14:textFill>
            <w14:solidFill>
              <w14:schemeClr w14:val="tx1"/>
            </w14:solidFill>
          </w14:textFill>
        </w:rPr>
        <w:t>法律法规</w:t>
      </w:r>
      <w:r>
        <w:rPr>
          <w:rFonts w:hint="eastAsia" w:ascii="宋体" w:hAnsi="宋体" w:eastAsia="宋体" w:cs="宋体"/>
          <w:bCs/>
          <w:color w:val="000000" w:themeColor="text1"/>
          <w:sz w:val="24"/>
          <w:szCs w:val="24"/>
          <w14:textFill>
            <w14:solidFill>
              <w14:schemeClr w14:val="tx1"/>
            </w14:solidFill>
          </w14:textFill>
        </w:rPr>
        <w:t>和条例，具备《中华人民共和国政府采购法》和本文件</w:t>
      </w:r>
      <w:r>
        <w:rPr>
          <w:rFonts w:hint="eastAsia" w:ascii="宋体" w:hAnsi="宋体" w:cs="宋体"/>
          <w:bCs/>
          <w:color w:val="000000" w:themeColor="text1"/>
          <w:sz w:val="24"/>
          <w:szCs w:val="24"/>
          <w:lang w:val="en-US" w:eastAsia="zh-CN"/>
          <w14:textFill>
            <w14:solidFill>
              <w14:schemeClr w14:val="tx1"/>
            </w14:solidFill>
          </w14:textFill>
        </w:rPr>
        <w:t>供应商须知前附表</w:t>
      </w:r>
      <w:r>
        <w:rPr>
          <w:rFonts w:hint="eastAsia" w:ascii="宋体" w:hAnsi="宋体" w:eastAsia="宋体" w:cs="宋体"/>
          <w:bCs/>
          <w:color w:val="000000" w:themeColor="text1"/>
          <w:sz w:val="24"/>
          <w:szCs w:val="24"/>
          <w14:textFill>
            <w14:solidFill>
              <w14:schemeClr w14:val="tx1"/>
            </w14:solidFill>
          </w14:textFill>
        </w:rPr>
        <w:t>中规定的条件：</w:t>
      </w:r>
    </w:p>
    <w:p w14:paraId="2D2A619F">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3.3供应商购买磋商文件时应登记备案，并提供有效联系方式。</w:t>
      </w:r>
    </w:p>
    <w:p w14:paraId="450407CA">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3.4如供应商</w:t>
      </w:r>
      <w:r>
        <w:rPr>
          <w:rFonts w:hint="eastAsia" w:ascii="宋体" w:hAnsi="宋体" w:cs="宋体"/>
          <w:bCs/>
          <w:color w:val="000000" w:themeColor="text1"/>
          <w:sz w:val="24"/>
          <w:szCs w:val="24"/>
          <w:lang w:val="en-US" w:eastAsia="zh-CN"/>
          <w14:textFill>
            <w14:solidFill>
              <w14:schemeClr w14:val="tx1"/>
            </w14:solidFill>
          </w14:textFill>
        </w:rPr>
        <w:t>出席磋商会议</w:t>
      </w:r>
      <w:r>
        <w:rPr>
          <w:rFonts w:hint="eastAsia" w:ascii="宋体" w:hAnsi="宋体" w:eastAsia="宋体" w:cs="宋体"/>
          <w:bCs/>
          <w:color w:val="000000" w:themeColor="text1"/>
          <w:sz w:val="24"/>
          <w:szCs w:val="24"/>
          <w14:textFill>
            <w14:solidFill>
              <w14:schemeClr w14:val="tx1"/>
            </w14:solidFill>
          </w14:textFill>
        </w:rPr>
        <w:t xml:space="preserve">代表不是法定代表人，须持有《法定代表人授权委托书》 </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按磋商文件提供的格式填写</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w:t>
      </w:r>
    </w:p>
    <w:p w14:paraId="2EFDEEA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3.5供应商应独立于采购人，不得直接或间接地与采购人为采购本次招标的货物或服务进行设计、编制技术规格</w:t>
      </w:r>
      <w:r>
        <w:rPr>
          <w:rFonts w:hint="eastAsia" w:ascii="宋体" w:hAnsi="宋体" w:cs="宋体"/>
          <w:bCs/>
          <w:color w:val="000000" w:themeColor="text1"/>
          <w:sz w:val="24"/>
          <w:szCs w:val="24"/>
          <w:lang w:eastAsia="zh-CN"/>
          <w14:textFill>
            <w14:solidFill>
              <w14:schemeClr w14:val="tx1"/>
            </w14:solidFill>
          </w14:textFill>
        </w:rPr>
        <w:t>和其他</w:t>
      </w:r>
      <w:r>
        <w:rPr>
          <w:rFonts w:hint="eastAsia" w:ascii="宋体" w:hAnsi="宋体" w:eastAsia="宋体" w:cs="宋体"/>
          <w:bCs/>
          <w:color w:val="000000" w:themeColor="text1"/>
          <w:sz w:val="24"/>
          <w:szCs w:val="24"/>
          <w14:textFill>
            <w14:solidFill>
              <w14:schemeClr w14:val="tx1"/>
            </w14:solidFill>
          </w14:textFill>
        </w:rPr>
        <w:t>文件所委托的咨询公司或其附属机构有任何关联。</w:t>
      </w:r>
    </w:p>
    <w:p w14:paraId="11B6C805">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3.6供应商不得存在下列情形之一：</w:t>
      </w:r>
    </w:p>
    <w:p w14:paraId="63759C5F">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（1）与采购人或采购代理机构存在隶属关系或者其他利害关系；</w:t>
      </w:r>
    </w:p>
    <w:p w14:paraId="46A9129F">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（2）与其他供应商的法定代表人（或者负责人）为同一人，或者与其他供应商存在直接控股、管理关系；</w:t>
      </w:r>
    </w:p>
    <w:p w14:paraId="2A7E996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受到刑事处罚，或者受到三万元以上罚款，责令停产停业、在一年至三年内禁止参加政府采购活动、暂扣或吊销许可证、暂扣或吊销执照等情形之一的行政处罚，或者存在财政部门认定的其他重大违法记录。</w:t>
      </w:r>
    </w:p>
    <w:p w14:paraId="7A582617">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（4）供应商在投标截止日前</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cs="宋体"/>
          <w:bCs/>
          <w:color w:val="000000" w:themeColor="text1"/>
          <w:sz w:val="24"/>
          <w:szCs w:val="24"/>
          <w:lang w:val="en-US" w:eastAsia="zh-CN"/>
          <w14:textFill>
            <w14:solidFill>
              <w14:schemeClr w14:val="tx1"/>
            </w14:solidFill>
          </w14:textFill>
        </w:rPr>
        <w:t>含截止日</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须提供信用中国网及中国政府采购网相应查询结果的网站截图（加盖企业公章）</w:t>
      </w:r>
    </w:p>
    <w:p w14:paraId="45B7CA61">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4、政府采购政策支持</w:t>
      </w:r>
    </w:p>
    <w:p w14:paraId="5B7B66C8">
      <w:pPr>
        <w:spacing w:line="360" w:lineRule="auto"/>
        <w:ind w:firstLine="480" w:firstLineChars="200"/>
        <w:rPr>
          <w:rFonts w:ascii="宋体" w:hAnsi="宋体"/>
          <w:sz w:val="24"/>
          <w:szCs w:val="24"/>
        </w:rPr>
      </w:pPr>
      <w:r>
        <w:rPr>
          <w:rFonts w:hint="eastAsia" w:ascii="宋体" w:hAnsi="宋体"/>
          <w:sz w:val="24"/>
          <w:szCs w:val="24"/>
        </w:rPr>
        <w:t>根据《政府采购促进中小企业发展管理办法》（财库〔2020〕46号）和《陕西省财政厅关于加快推进我省中小企业政府采购信用融资工作的通知》（陕财办采〔2020〕15 号）有关要求，对政府采购相关政策落实如下：</w:t>
      </w:r>
    </w:p>
    <w:p w14:paraId="12597E53">
      <w:pPr>
        <w:tabs>
          <w:tab w:val="left" w:pos="0"/>
        </w:tabs>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1）根据《政府采购促进中小企业发展管理办法》（财库〔2020〕46号）的有关规定，小微企业提供本企业制造的货物、承担的工程或者服务，或者提供其他小微企业制造的货物（不包括使用大型、中型企业注册商标的货物）参与政府采购活动时对小型和微型企业产品的价格给予</w:t>
      </w:r>
      <w:r>
        <w:rPr>
          <w:rFonts w:hint="eastAsia" w:ascii="宋体" w:hAnsi="宋体"/>
          <w:sz w:val="24"/>
          <w:szCs w:val="24"/>
          <w:lang w:val="en-US" w:eastAsia="zh-CN"/>
        </w:rPr>
        <w:t>10%</w:t>
      </w:r>
      <w:r>
        <w:rPr>
          <w:rFonts w:hint="eastAsia" w:ascii="宋体" w:hAnsi="宋体"/>
          <w:sz w:val="24"/>
          <w:szCs w:val="24"/>
        </w:rPr>
        <w:t xml:space="preserve">的价格扣除，用扣除后的价格参与评标。  </w:t>
      </w:r>
    </w:p>
    <w:p w14:paraId="3A21E2C4">
      <w:pPr>
        <w:tabs>
          <w:tab w:val="left" w:pos="0"/>
        </w:tabs>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（2）根据财政部、司法部联合下发的《关于政府采购支持监狱企业发展有关问题的通知》（财库〔2014〕68号）的规定，监狱企业视同小型、微型企业。评标时，对监狱企业</w:t>
      </w:r>
      <w:r>
        <w:rPr>
          <w:rFonts w:hint="eastAsia" w:ascii="宋体" w:hAnsi="宋体"/>
          <w:sz w:val="24"/>
          <w:szCs w:val="24"/>
          <w:lang w:eastAsia="zh-CN"/>
        </w:rPr>
        <w:t>给予</w:t>
      </w:r>
      <w:r>
        <w:rPr>
          <w:rFonts w:hint="eastAsia" w:ascii="宋体" w:hAnsi="宋体"/>
          <w:sz w:val="24"/>
          <w:szCs w:val="24"/>
          <w:lang w:val="en-US" w:eastAsia="zh-CN"/>
        </w:rPr>
        <w:t>10%</w:t>
      </w:r>
      <w:r>
        <w:rPr>
          <w:rFonts w:hint="eastAsia" w:ascii="宋体" w:hAnsi="宋体"/>
          <w:sz w:val="24"/>
          <w:szCs w:val="24"/>
        </w:rPr>
        <w:t>的价格扣除，用扣除后的价格参与评审；</w:t>
      </w:r>
    </w:p>
    <w:p w14:paraId="6114C355">
      <w:pPr>
        <w:tabs>
          <w:tab w:val="left" w:pos="0"/>
        </w:tabs>
        <w:autoSpaceDE w:val="0"/>
        <w:autoSpaceDN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(3) 根据财政部、民政部、中国残疾人联合会下发的《关于促进残疾人就业政府采购政策的通知》（财库〔201</w:t>
      </w:r>
      <w:r>
        <w:rPr>
          <w:rFonts w:ascii="宋体" w:hAnsi="宋体"/>
          <w:sz w:val="24"/>
          <w:szCs w:val="24"/>
        </w:rPr>
        <w:t>7</w:t>
      </w:r>
      <w:r>
        <w:rPr>
          <w:rFonts w:hint="eastAsia" w:ascii="宋体" w:hAnsi="宋体"/>
          <w:sz w:val="24"/>
          <w:szCs w:val="24"/>
        </w:rPr>
        <w:t>〕</w:t>
      </w:r>
      <w:r>
        <w:rPr>
          <w:rFonts w:ascii="宋体" w:hAnsi="宋体"/>
          <w:sz w:val="24"/>
          <w:szCs w:val="24"/>
        </w:rPr>
        <w:t>141</w:t>
      </w:r>
      <w:r>
        <w:rPr>
          <w:rFonts w:hint="eastAsia" w:ascii="宋体" w:hAnsi="宋体"/>
          <w:sz w:val="24"/>
          <w:szCs w:val="24"/>
        </w:rPr>
        <w:t>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3FAB788B">
      <w:pPr>
        <w:tabs>
          <w:tab w:val="left" w:pos="0"/>
        </w:tabs>
        <w:autoSpaceDE w:val="0"/>
        <w:autoSpaceDN w:val="0"/>
        <w:adjustRightInd w:val="0"/>
        <w:snapToGrid w:val="0"/>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（4）对专门面向中小企业采购项目，不再执行价格扣除政策。</w:t>
      </w:r>
    </w:p>
    <w:p w14:paraId="7A7ECC80">
      <w:pPr>
        <w:tabs>
          <w:tab w:val="left" w:pos="0"/>
        </w:tabs>
        <w:autoSpaceDE w:val="0"/>
        <w:autoSpaceDN w:val="0"/>
        <w:adjustRightInd w:val="0"/>
        <w:snapToGrid w:val="0"/>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（5）对非专门面向中小企业采购项目，执行以上价格扣除政策。</w:t>
      </w:r>
    </w:p>
    <w:p w14:paraId="0A92668B">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w:t>
      </w:r>
      <w:r>
        <w:rPr>
          <w:rFonts w:hint="eastAsia" w:ascii="宋体" w:hAnsi="宋体"/>
          <w:sz w:val="24"/>
          <w:szCs w:val="24"/>
          <w:lang w:val="en-US" w:eastAsia="zh-CN"/>
        </w:rPr>
        <w:t>磋商文件</w:t>
      </w:r>
      <w:r>
        <w:rPr>
          <w:rFonts w:hint="eastAsia" w:ascii="宋体" w:hAnsi="宋体"/>
          <w:sz w:val="24"/>
          <w:szCs w:val="24"/>
        </w:rPr>
        <w:t>规定的价格扣除，但不影响投标文件的有效性</w:t>
      </w:r>
      <w:r>
        <w:rPr>
          <w:rFonts w:hint="eastAsia" w:ascii="宋体" w:hAnsi="宋体"/>
          <w:sz w:val="24"/>
          <w:szCs w:val="24"/>
          <w:lang w:eastAsia="zh-CN"/>
        </w:rPr>
        <w:t>，</w:t>
      </w:r>
      <w:r>
        <w:rPr>
          <w:rFonts w:hint="eastAsia" w:ascii="宋体" w:hAnsi="宋体"/>
          <w:sz w:val="24"/>
          <w:szCs w:val="24"/>
        </w:rPr>
        <w:t>对既属于监狱企业、福利企业，同时又满足中小微企业规定的投标单位，其价格扣除仅适用一次。</w:t>
      </w:r>
    </w:p>
    <w:p w14:paraId="201821E1">
      <w:pPr>
        <w:spacing w:line="360" w:lineRule="auto"/>
        <w:ind w:firstLine="480" w:firstLineChars="200"/>
        <w:rPr>
          <w:rFonts w:ascii="宋体" w:hAnsi="宋体"/>
          <w:sz w:val="24"/>
          <w:szCs w:val="24"/>
        </w:rPr>
      </w:pPr>
      <w:r>
        <w:rPr>
          <w:rFonts w:hint="eastAsia" w:ascii="宋体" w:hAnsi="宋体"/>
          <w:sz w:val="24"/>
          <w:szCs w:val="24"/>
        </w:rPr>
        <w:t>(4) ①根据财政部、国家发展改革委《关于印发〈节能产品政府采购实施意见〉的通知》（财库〔2004〕185号）所投产品属于节能产品政府采购清单所列产品，在技术、服务同等的条件下，应当优先采用清单中的节能产品；</w:t>
      </w:r>
    </w:p>
    <w:p w14:paraId="63F9BE05">
      <w:pPr>
        <w:spacing w:line="360" w:lineRule="auto"/>
        <w:ind w:firstLine="480" w:firstLineChars="200"/>
        <w:rPr>
          <w:rFonts w:ascii="宋体" w:hAnsi="宋体"/>
          <w:sz w:val="24"/>
          <w:szCs w:val="24"/>
        </w:rPr>
      </w:pPr>
      <w:r>
        <w:rPr>
          <w:rFonts w:hint="eastAsia" w:ascii="宋体" w:hAnsi="宋体"/>
          <w:sz w:val="24"/>
          <w:szCs w:val="24"/>
        </w:rPr>
        <w:t>②所投产品为“环境标志产品政府采购清单”所列产品，在性能、技术、服务等指标同等的条件下，应当优先采用；</w:t>
      </w:r>
    </w:p>
    <w:p w14:paraId="4EFE4DBD">
      <w:pPr>
        <w:spacing w:line="360" w:lineRule="auto"/>
        <w:ind w:firstLine="480" w:firstLineChars="200"/>
        <w:rPr>
          <w:rFonts w:ascii="宋体" w:hAnsi="宋体"/>
          <w:sz w:val="24"/>
          <w:szCs w:val="24"/>
        </w:rPr>
      </w:pPr>
      <w:r>
        <w:rPr>
          <w:rFonts w:hint="eastAsia" w:ascii="宋体" w:hAnsi="宋体"/>
          <w:sz w:val="24"/>
          <w:szCs w:val="24"/>
        </w:rPr>
        <w:t>③节能产品根据《国务院办公厅关于建立政府强制采购节能产品制度的通知》国办发</w:t>
      </w:r>
      <w:r>
        <w:rPr>
          <w:rFonts w:hint="eastAsia" w:ascii="宋体" w:hAnsi="宋体"/>
          <w:sz w:val="24"/>
          <w:szCs w:val="24"/>
          <w:lang w:eastAsia="zh-CN"/>
        </w:rPr>
        <w:t>〔</w:t>
      </w:r>
      <w:r>
        <w:rPr>
          <w:rFonts w:hint="eastAsia" w:ascii="宋体" w:hAnsi="宋体"/>
          <w:sz w:val="24"/>
          <w:szCs w:val="24"/>
        </w:rPr>
        <w:t>2007</w:t>
      </w:r>
      <w:r>
        <w:rPr>
          <w:rFonts w:hint="eastAsia" w:ascii="宋体" w:hAnsi="宋体"/>
          <w:sz w:val="24"/>
          <w:szCs w:val="24"/>
          <w:lang w:eastAsia="zh-CN"/>
        </w:rPr>
        <w:t>〕</w:t>
      </w:r>
      <w:r>
        <w:rPr>
          <w:rFonts w:hint="eastAsia" w:ascii="宋体" w:hAnsi="宋体"/>
          <w:sz w:val="24"/>
          <w:szCs w:val="24"/>
        </w:rPr>
        <w:t>51号的规定，以中国政府采购网（http://www.ccgp.gov.cn/）公布的最新一期节能产品政府采购清单为准；</w:t>
      </w:r>
    </w:p>
    <w:p w14:paraId="0A00B350">
      <w:pPr>
        <w:spacing w:line="360" w:lineRule="auto"/>
        <w:ind w:firstLine="480" w:firstLineChars="200"/>
        <w:rPr>
          <w:rFonts w:ascii="宋体" w:hAnsi="宋体"/>
          <w:sz w:val="24"/>
          <w:szCs w:val="24"/>
        </w:rPr>
      </w:pPr>
      <w:r>
        <w:rPr>
          <w:rFonts w:hint="eastAsia" w:ascii="宋体" w:hAnsi="宋体"/>
          <w:sz w:val="24"/>
          <w:szCs w:val="24"/>
        </w:rPr>
        <w:t>④环境标志产品根据《环境标志产品政府采购实施的意见》（财库[2006]90号）的规定，以中国政府采购网（http://www.ccgp.gov.cn/）公布的最新一期环境标志产品政府采购清单为准；</w:t>
      </w:r>
    </w:p>
    <w:p w14:paraId="4A15CFE8">
      <w:pPr>
        <w:spacing w:line="360" w:lineRule="auto"/>
        <w:ind w:firstLine="480" w:firstLineChars="200"/>
        <w:rPr>
          <w:rFonts w:ascii="宋体" w:hAnsi="宋体"/>
          <w:sz w:val="24"/>
          <w:szCs w:val="24"/>
        </w:rPr>
      </w:pPr>
      <w:r>
        <w:rPr>
          <w:rFonts w:hint="eastAsia" w:ascii="宋体" w:hAnsi="宋体"/>
          <w:sz w:val="24"/>
          <w:szCs w:val="24"/>
        </w:rPr>
        <w:t>⑤若节能、环保、环境标志清单内的产品</w:t>
      </w:r>
      <w:r>
        <w:rPr>
          <w:rFonts w:hint="eastAsia" w:ascii="宋体" w:hAnsi="宋体"/>
          <w:sz w:val="24"/>
          <w:szCs w:val="24"/>
          <w:lang w:eastAsia="zh-CN"/>
        </w:rPr>
        <w:t>仅</w:t>
      </w:r>
      <w:r>
        <w:rPr>
          <w:rFonts w:hint="eastAsia" w:ascii="宋体" w:hAnsi="宋体"/>
          <w:sz w:val="24"/>
          <w:szCs w:val="24"/>
        </w:rPr>
        <w:t>构成投标产品的部件、组件或零件的，则该投标产品不享受鼓励优惠政策；</w:t>
      </w:r>
    </w:p>
    <w:p w14:paraId="605694E3">
      <w:pPr>
        <w:ind w:firstLine="480" w:firstLineChars="200"/>
        <w:rPr>
          <w:rFonts w:ascii="Calibri" w:hAnsi="Calibri"/>
        </w:rPr>
      </w:pPr>
      <w:r>
        <w:rPr>
          <w:rFonts w:hint="eastAsia" w:ascii="宋体" w:hAnsi="宋体"/>
          <w:sz w:val="24"/>
          <w:szCs w:val="24"/>
        </w:rPr>
        <w:t>（</w:t>
      </w:r>
      <w:r>
        <w:rPr>
          <w:rFonts w:hint="eastAsia" w:ascii="宋体" w:hAnsi="宋体"/>
          <w:sz w:val="24"/>
          <w:szCs w:val="24"/>
          <w:lang w:val="en-US" w:eastAsia="zh-CN"/>
        </w:rPr>
        <w:t>5</w:t>
      </w:r>
      <w:r>
        <w:rPr>
          <w:rFonts w:hint="eastAsia" w:ascii="宋体" w:hAnsi="宋体"/>
          <w:sz w:val="24"/>
          <w:szCs w:val="24"/>
        </w:rPr>
        <w:t>）</w:t>
      </w:r>
      <w:r>
        <w:rPr>
          <w:rFonts w:ascii="宋体" w:hAnsi="宋体"/>
          <w:sz w:val="24"/>
          <w:szCs w:val="24"/>
        </w:rPr>
        <w:t>关于信用记录的查询和使用</w:t>
      </w:r>
    </w:p>
    <w:p w14:paraId="3534659F">
      <w:pPr>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eastAsia="zh-CN"/>
        </w:rPr>
        <w:t>.</w:t>
      </w:r>
      <w:r>
        <w:rPr>
          <w:rFonts w:hint="eastAsia" w:ascii="宋体" w:hAnsi="宋体"/>
          <w:sz w:val="24"/>
          <w:szCs w:val="24"/>
        </w:rPr>
        <w:t>采购人将在</w:t>
      </w:r>
      <w:r>
        <w:rPr>
          <w:rFonts w:ascii="宋体" w:hAnsi="宋体"/>
          <w:sz w:val="24"/>
          <w:szCs w:val="24"/>
        </w:rPr>
        <w:t>资格审查</w:t>
      </w:r>
      <w:r>
        <w:rPr>
          <w:rFonts w:hint="eastAsia" w:ascii="宋体" w:hAnsi="宋体"/>
          <w:sz w:val="24"/>
          <w:szCs w:val="24"/>
        </w:rPr>
        <w:t>阶段通过【</w:t>
      </w:r>
      <w:r>
        <w:fldChar w:fldCharType="begin"/>
      </w:r>
      <w:r>
        <w:instrText xml:space="preserve"> HYPERLINK "http://www.creditchina.gov.cn" </w:instrText>
      </w:r>
      <w:r>
        <w:fldChar w:fldCharType="separate"/>
      </w:r>
      <w:r>
        <w:rPr>
          <w:rFonts w:hint="eastAsia" w:ascii="宋体" w:hAnsi="宋体"/>
          <w:sz w:val="24"/>
          <w:szCs w:val="24"/>
        </w:rPr>
        <w:t>信用中国</w:t>
      </w:r>
      <w:r>
        <w:rPr>
          <w:rFonts w:hint="eastAsia" w:ascii="宋体" w:hAnsi="宋体"/>
          <w:sz w:val="24"/>
          <w:szCs w:val="24"/>
        </w:rPr>
        <w:fldChar w:fldCharType="end"/>
      </w:r>
      <w:r>
        <w:rPr>
          <w:rFonts w:hint="eastAsia" w:ascii="宋体" w:hAnsi="宋体"/>
          <w:sz w:val="24"/>
          <w:szCs w:val="24"/>
        </w:rPr>
        <w:t>（www.creditchina.gov.cn）】、【</w:t>
      </w:r>
      <w:r>
        <w:fldChar w:fldCharType="begin"/>
      </w:r>
      <w:r>
        <w:instrText xml:space="preserve"> HYPERLINK "http://www.ccgp.gov.cn/cr/list" </w:instrText>
      </w:r>
      <w:r>
        <w:fldChar w:fldCharType="separate"/>
      </w:r>
      <w:r>
        <w:rPr>
          <w:rFonts w:hint="eastAsia" w:ascii="宋体" w:hAnsi="宋体"/>
          <w:sz w:val="24"/>
          <w:szCs w:val="24"/>
        </w:rPr>
        <w:t>中国政府采购网</w:t>
      </w:r>
      <w:r>
        <w:rPr>
          <w:rFonts w:hint="eastAsia" w:ascii="宋体" w:hAnsi="宋体"/>
          <w:sz w:val="24"/>
          <w:szCs w:val="24"/>
        </w:rPr>
        <w:fldChar w:fldCharType="end"/>
      </w:r>
      <w:r>
        <w:rPr>
          <w:rFonts w:hint="eastAsia" w:ascii="宋体" w:hAnsi="宋体"/>
          <w:sz w:val="24"/>
          <w:szCs w:val="24"/>
        </w:rPr>
        <w:t>（www.ccgp.gov.cn）】网站对投标文件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79667C2F">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lang w:eastAsia="zh-CN"/>
        </w:rPr>
        <w:t>.</w:t>
      </w:r>
      <w:r>
        <w:rPr>
          <w:rFonts w:hint="eastAsia" w:ascii="宋体" w:hAnsi="宋体"/>
          <w:sz w:val="24"/>
          <w:szCs w:val="24"/>
        </w:rPr>
        <w:t>投标人在参加政府采购活动前3年内因违法经营被禁止在一定期限内参加政府采购活动，期限届满的，可以参加政府采购活动的，但投标人应提供相关证明材料；</w:t>
      </w:r>
    </w:p>
    <w:p w14:paraId="0332D33F">
      <w:pPr>
        <w:spacing w:line="360" w:lineRule="auto"/>
        <w:ind w:firstLine="480" w:firstLineChars="200"/>
        <w:rPr>
          <w:rFonts w:hint="eastAsia" w:ascii="宋体" w:hAnsi="宋体"/>
          <w:sz w:val="24"/>
          <w:szCs w:val="24"/>
        </w:rPr>
      </w:pPr>
      <w:r>
        <w:rPr>
          <w:rFonts w:ascii="宋体" w:hAnsi="宋体"/>
          <w:sz w:val="24"/>
          <w:szCs w:val="24"/>
        </w:rPr>
        <w:t>3</w:t>
      </w:r>
      <w:r>
        <w:rPr>
          <w:rFonts w:hint="eastAsia" w:ascii="宋体" w:hAnsi="宋体"/>
          <w:sz w:val="24"/>
          <w:szCs w:val="24"/>
          <w:lang w:eastAsia="zh-CN"/>
        </w:rPr>
        <w:t>.</w:t>
      </w:r>
      <w:r>
        <w:rPr>
          <w:rFonts w:ascii="宋体" w:hAnsi="宋体"/>
          <w:sz w:val="24"/>
          <w:szCs w:val="24"/>
        </w:rPr>
        <w:t>信用记录查询的截止时点为“</w:t>
      </w:r>
      <w:r>
        <w:rPr>
          <w:rFonts w:hint="eastAsia" w:ascii="宋体" w:hAnsi="宋体"/>
          <w:sz w:val="24"/>
          <w:szCs w:val="24"/>
          <w:lang w:val="en-US" w:eastAsia="zh-CN"/>
        </w:rPr>
        <w:t>磋商文件</w:t>
      </w:r>
      <w:r>
        <w:rPr>
          <w:rFonts w:hint="eastAsia" w:ascii="宋体" w:hAnsi="宋体"/>
          <w:sz w:val="24"/>
          <w:szCs w:val="24"/>
        </w:rPr>
        <w:t>发售之日起至投标截止日前</w:t>
      </w:r>
      <w:r>
        <w:rPr>
          <w:rFonts w:hint="eastAsia" w:ascii="宋体" w:hAnsi="宋体"/>
          <w:sz w:val="24"/>
          <w:szCs w:val="24"/>
          <w:lang w:eastAsia="zh-CN"/>
        </w:rPr>
        <w:t>（</w:t>
      </w:r>
      <w:r>
        <w:rPr>
          <w:rFonts w:hint="eastAsia" w:ascii="宋体" w:hAnsi="宋体"/>
          <w:sz w:val="24"/>
          <w:szCs w:val="24"/>
          <w:lang w:val="en-US" w:eastAsia="zh-CN"/>
        </w:rPr>
        <w:t>含截止日</w:t>
      </w:r>
      <w:r>
        <w:rPr>
          <w:rFonts w:hint="eastAsia" w:ascii="宋体" w:hAnsi="宋体"/>
          <w:sz w:val="24"/>
          <w:szCs w:val="24"/>
          <w:lang w:eastAsia="zh-CN"/>
        </w:rPr>
        <w:t>）</w:t>
      </w:r>
      <w:r>
        <w:rPr>
          <w:rFonts w:ascii="宋体" w:hAnsi="宋体"/>
          <w:sz w:val="24"/>
          <w:szCs w:val="24"/>
        </w:rPr>
        <w:t>”。</w:t>
      </w:r>
      <w:r>
        <w:rPr>
          <w:rFonts w:hint="eastAsia" w:ascii="宋体" w:hAnsi="宋体"/>
          <w:sz w:val="24"/>
          <w:szCs w:val="24"/>
        </w:rPr>
        <w:t>信用记录查询的结果，将以纸质截图或将截图保存至电子介质的形式留存。投标人未如实填报《投标人书面声明函》的，视为“投标人提供虚假材料谋取中标、成交的”行为。</w:t>
      </w:r>
    </w:p>
    <w:p w14:paraId="030B8383">
      <w:pPr>
        <w:ind w:firstLine="480" w:firstLineChars="200"/>
        <w:rPr>
          <w:rFonts w:hint="eastAsia" w:ascii="宋体" w:hAnsi="宋体" w:eastAsia="宋体"/>
          <w:sz w:val="24"/>
          <w:szCs w:val="24"/>
          <w:lang w:val="zh-CN" w:eastAsia="zh-CN"/>
        </w:rPr>
      </w:pPr>
      <w:r>
        <w:rPr>
          <w:rFonts w:hint="eastAsia" w:ascii="宋体" w:hAnsi="宋体" w:eastAsia="宋体"/>
          <w:sz w:val="24"/>
          <w:szCs w:val="24"/>
          <w:lang w:val="zh-CN" w:eastAsia="zh-CN"/>
        </w:rPr>
        <w:t>（</w:t>
      </w:r>
      <w:r>
        <w:rPr>
          <w:rFonts w:hint="eastAsia" w:ascii="宋体" w:hAnsi="宋体" w:eastAsia="宋体"/>
          <w:sz w:val="24"/>
          <w:szCs w:val="24"/>
          <w:lang w:val="en-US" w:eastAsia="zh-CN"/>
        </w:rPr>
        <w:t>6</w:t>
      </w:r>
      <w:r>
        <w:rPr>
          <w:rFonts w:hint="eastAsia" w:ascii="宋体" w:hAnsi="宋体" w:eastAsia="宋体"/>
          <w:sz w:val="24"/>
          <w:szCs w:val="24"/>
          <w:lang w:val="zh-CN" w:eastAsia="zh-CN"/>
        </w:rPr>
        <w:t>）融资政策</w:t>
      </w:r>
    </w:p>
    <w:p w14:paraId="4C967E65">
      <w:pPr>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sz w:val="24"/>
          <w:szCs w:val="24"/>
          <w:lang w:val="zh-CN"/>
        </w:rPr>
        <w:t>根据《陕西省财政厅关于加快推进我省中小企业政府采购信用融资工作的通知》（陕财办采</w:t>
      </w:r>
      <w:r>
        <w:rPr>
          <w:rFonts w:hint="eastAsia" w:ascii="宋体" w:hAnsi="宋体"/>
          <w:sz w:val="24"/>
          <w:szCs w:val="24"/>
        </w:rPr>
        <w:t>〔</w:t>
      </w:r>
      <w:r>
        <w:rPr>
          <w:rFonts w:hint="eastAsia" w:ascii="宋体" w:hAnsi="宋体"/>
          <w:sz w:val="24"/>
          <w:szCs w:val="24"/>
          <w:lang w:val="zh-CN"/>
        </w:rPr>
        <w:t>2020</w:t>
      </w:r>
      <w:r>
        <w:rPr>
          <w:rFonts w:hint="eastAsia" w:ascii="宋体" w:hAnsi="宋体"/>
          <w:sz w:val="24"/>
          <w:szCs w:val="24"/>
        </w:rPr>
        <w:t>〕</w:t>
      </w:r>
      <w:r>
        <w:rPr>
          <w:rFonts w:hint="eastAsia" w:ascii="宋体" w:hAnsi="宋体"/>
          <w:sz w:val="24"/>
          <w:szCs w:val="24"/>
          <w:lang w:val="zh-CN"/>
        </w:rPr>
        <w:t>15号）文件精神，有融资需求的</w:t>
      </w:r>
      <w:r>
        <w:rPr>
          <w:rFonts w:hint="eastAsia" w:ascii="宋体" w:hAnsi="宋体"/>
          <w:sz w:val="24"/>
          <w:szCs w:val="24"/>
        </w:rPr>
        <w:t>中标（成交）人</w:t>
      </w:r>
      <w:r>
        <w:rPr>
          <w:rFonts w:hint="eastAsia" w:ascii="宋体" w:hAnsi="宋体"/>
          <w:sz w:val="24"/>
          <w:szCs w:val="24"/>
          <w:lang w:val="zh-CN"/>
        </w:rPr>
        <w:t>可根据自身情况，在陕西省政府采购信用融资平台（含各市分平台）自主选择金融机构及其融资产品，凭政府采购中标（成交）通知书或政府采购合同向金融机构提出融资申请。陕西省政府采购信用融资平台网址：http://www.ccgp-shaanxi.gov.cn/zcdservice/zcd/shanxi/s</w:t>
      </w:r>
    </w:p>
    <w:p w14:paraId="7643B2FA">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5、费用承担</w:t>
      </w:r>
    </w:p>
    <w:p w14:paraId="52D10F2B">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供应商准备和参加磋商活动发生的费用自理。</w:t>
      </w:r>
    </w:p>
    <w:p w14:paraId="4A2EA2AD">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6、保密</w:t>
      </w:r>
    </w:p>
    <w:p w14:paraId="02B14444">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参与磋商活动的各方应对磋商文件和响应文件的商业和技术等秘密保密，违者应对由此造成的后果承担法律责任。</w:t>
      </w:r>
    </w:p>
    <w:p w14:paraId="427251FF">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7、语言文字</w:t>
      </w:r>
    </w:p>
    <w:p w14:paraId="5625864E">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除专用术语外，与磋商文件有关的语言均使用中文；必要时专用术语应附有中文注释。</w:t>
      </w:r>
    </w:p>
    <w:p w14:paraId="49003703">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8、计量单位</w:t>
      </w:r>
    </w:p>
    <w:p w14:paraId="051C187E">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所有计量均采用中华人民共和国法定计量单位。</w:t>
      </w:r>
    </w:p>
    <w:p w14:paraId="02EF536A">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9、踏勘现场</w:t>
      </w:r>
    </w:p>
    <w:p w14:paraId="78D0985F">
      <w:pPr>
        <w:pStyle w:val="11"/>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自行勘察，未勘察现场造成的一切后果由投标人自行承担。（一切费用自理）。</w:t>
      </w:r>
    </w:p>
    <w:p w14:paraId="643CA8DB">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10、偏离</w:t>
      </w:r>
    </w:p>
    <w:p w14:paraId="741D1227">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除供应商须知前附表另有规定外，供应商递交的响应文件不允许严重负偏离。</w:t>
      </w:r>
    </w:p>
    <w:p w14:paraId="48524991">
      <w:pPr>
        <w:pageBreakBefore w:val="0"/>
        <w:widowControl/>
        <w:numPr>
          <w:ilvl w:val="0"/>
          <w:numId w:val="3"/>
        </w:numPr>
        <w:wordWrap/>
        <w:topLinePunct w:val="0"/>
        <w:autoSpaceDE/>
        <w:autoSpaceDN/>
        <w:bidi w:val="0"/>
        <w:spacing w:line="360" w:lineRule="auto"/>
        <w:ind w:left="0" w:leftChars="0" w:right="0" w:rightChars="0" w:firstLine="643" w:firstLineChars="200"/>
        <w:jc w:val="center"/>
        <w:textAlignment w:val="auto"/>
        <w:outlineLvl w:val="1"/>
        <w:rPr>
          <w:rFonts w:hint="eastAsia" w:ascii="宋体" w:hAnsi="宋体" w:eastAsia="宋体" w:cs="宋体"/>
          <w:b/>
          <w:bCs/>
          <w:kern w:val="0"/>
          <w:sz w:val="32"/>
          <w:szCs w:val="32"/>
        </w:rPr>
      </w:pPr>
      <w:bookmarkStart w:id="33" w:name="_Toc536202380"/>
      <w:bookmarkStart w:id="34" w:name="_Toc19543337"/>
      <w:bookmarkStart w:id="35" w:name="_Toc536429373"/>
      <w:bookmarkStart w:id="36" w:name="_Toc3976"/>
      <w:bookmarkStart w:id="37" w:name="_Toc536429320"/>
      <w:bookmarkStart w:id="38" w:name="_Toc536202288"/>
      <w:r>
        <w:rPr>
          <w:rFonts w:hint="eastAsia" w:ascii="宋体" w:hAnsi="宋体" w:eastAsia="宋体" w:cs="宋体"/>
          <w:b/>
          <w:bCs/>
          <w:kern w:val="0"/>
          <w:sz w:val="32"/>
          <w:szCs w:val="32"/>
        </w:rPr>
        <w:t>竞争性磋商文件</w:t>
      </w:r>
      <w:bookmarkEnd w:id="33"/>
      <w:bookmarkEnd w:id="34"/>
      <w:bookmarkEnd w:id="35"/>
      <w:bookmarkEnd w:id="36"/>
      <w:bookmarkEnd w:id="37"/>
      <w:bookmarkEnd w:id="38"/>
    </w:p>
    <w:p w14:paraId="206462B4">
      <w:pPr>
        <w:pStyle w:val="5"/>
        <w:pageBreakBefore w:val="0"/>
        <w:numPr>
          <w:ilvl w:val="0"/>
          <w:numId w:val="4"/>
        </w:numPr>
        <w:wordWrap/>
        <w:topLinePunct w:val="0"/>
        <w:autoSpaceDE/>
        <w:autoSpaceDN/>
        <w:bidi w:val="0"/>
        <w:spacing w:line="360" w:lineRule="auto"/>
        <w:ind w:left="0" w:leftChars="0" w:right="0" w:rightChars="0" w:firstLine="482" w:firstLineChars="200"/>
        <w:textAlignment w:val="auto"/>
        <w:rPr>
          <w:rFonts w:hint="eastAsia" w:ascii="宋体" w:hAnsi="宋体" w:eastAsia="宋体" w:cs="宋体"/>
          <w:sz w:val="24"/>
          <w:szCs w:val="28"/>
        </w:rPr>
      </w:pPr>
      <w:bookmarkStart w:id="39" w:name="_Toc5801"/>
      <w:bookmarkStart w:id="40" w:name="_Toc536202289"/>
      <w:r>
        <w:rPr>
          <w:rFonts w:hint="eastAsia" w:ascii="宋体" w:hAnsi="宋体" w:eastAsia="宋体" w:cs="宋体"/>
          <w:sz w:val="24"/>
          <w:szCs w:val="28"/>
        </w:rPr>
        <w:t>竞争性磋商文件的构成</w:t>
      </w:r>
      <w:bookmarkEnd w:id="39"/>
      <w:bookmarkEnd w:id="40"/>
    </w:p>
    <w:p w14:paraId="2CB063BE">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 xml:space="preserve">竞争性磋商文件是供应商准备响应文件和参加磋商的依据，同时也是评审的重要依据，具有准法律文件性质。竞争性磋商文件用以阐明采购项目所需的资质、技术、服务及报价等要求、磋商程序、有关规定和注意事项以及合同主要条款等。本竞争性磋商文件包括以下内容： </w:t>
      </w:r>
    </w:p>
    <w:p w14:paraId="1BB3E977">
      <w:pPr>
        <w:pageBreakBefore w:val="0"/>
        <w:numPr>
          <w:ilvl w:val="0"/>
          <w:numId w:val="5"/>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竞争性磋商公告；</w:t>
      </w:r>
    </w:p>
    <w:p w14:paraId="6B876DFA">
      <w:pPr>
        <w:pageBreakBefore w:val="0"/>
        <w:numPr>
          <w:ilvl w:val="0"/>
          <w:numId w:val="5"/>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供应商须知前附表；</w:t>
      </w:r>
    </w:p>
    <w:p w14:paraId="0B145A5C">
      <w:pPr>
        <w:pageBreakBefore w:val="0"/>
        <w:numPr>
          <w:ilvl w:val="0"/>
          <w:numId w:val="5"/>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供应商须知；</w:t>
      </w:r>
    </w:p>
    <w:p w14:paraId="26E8278B">
      <w:pPr>
        <w:pageBreakBefore w:val="0"/>
        <w:numPr>
          <w:ilvl w:val="0"/>
          <w:numId w:val="5"/>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评分标准；</w:t>
      </w:r>
    </w:p>
    <w:p w14:paraId="4E8DC4D2">
      <w:pPr>
        <w:pageBreakBefore w:val="0"/>
        <w:numPr>
          <w:ilvl w:val="0"/>
          <w:numId w:val="5"/>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采购要求；</w:t>
      </w:r>
    </w:p>
    <w:p w14:paraId="522C21D3">
      <w:pPr>
        <w:pageBreakBefore w:val="0"/>
        <w:numPr>
          <w:ilvl w:val="0"/>
          <w:numId w:val="5"/>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合同条款；</w:t>
      </w:r>
    </w:p>
    <w:p w14:paraId="24B3DA44">
      <w:pPr>
        <w:pageBreakBefore w:val="0"/>
        <w:numPr>
          <w:ilvl w:val="0"/>
          <w:numId w:val="5"/>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响应文件格式。</w:t>
      </w:r>
    </w:p>
    <w:p w14:paraId="26E4334C">
      <w:pPr>
        <w:pStyle w:val="5"/>
        <w:pageBreakBefore w:val="0"/>
        <w:numPr>
          <w:ilvl w:val="0"/>
          <w:numId w:val="4"/>
        </w:numPr>
        <w:wordWrap/>
        <w:topLinePunct w:val="0"/>
        <w:autoSpaceDE/>
        <w:autoSpaceDN/>
        <w:bidi w:val="0"/>
        <w:spacing w:line="360" w:lineRule="auto"/>
        <w:ind w:left="0" w:leftChars="0" w:right="0" w:rightChars="0" w:firstLine="482" w:firstLineChars="200"/>
        <w:textAlignment w:val="auto"/>
        <w:rPr>
          <w:rFonts w:hint="eastAsia" w:ascii="宋体" w:hAnsi="宋体" w:eastAsia="宋体" w:cs="宋体"/>
          <w:sz w:val="24"/>
          <w:szCs w:val="28"/>
        </w:rPr>
      </w:pPr>
      <w:bookmarkStart w:id="41" w:name="_Toc536202290"/>
      <w:r>
        <w:rPr>
          <w:rFonts w:hint="eastAsia" w:ascii="宋体" w:hAnsi="宋体" w:eastAsia="宋体" w:cs="宋体"/>
          <w:sz w:val="24"/>
          <w:szCs w:val="28"/>
        </w:rPr>
        <w:t>磋商文件的检查及阅读</w:t>
      </w:r>
      <w:bookmarkEnd w:id="41"/>
    </w:p>
    <w:p w14:paraId="3F411ACC">
      <w:pPr>
        <w:pageBreakBefore w:val="0"/>
        <w:tabs>
          <w:tab w:val="left" w:pos="0"/>
        </w:tabs>
        <w:wordWrap/>
        <w:topLinePunct w:val="0"/>
        <w:autoSpaceDE/>
        <w:autoSpaceDN/>
        <w:bidi w:val="0"/>
        <w:adjustRightInd w:val="0"/>
        <w:snapToGrid w:val="0"/>
        <w:spacing w:line="360" w:lineRule="auto"/>
        <w:ind w:left="0" w:leftChars="0" w:right="0" w:rightChars="0" w:firstLine="600" w:firstLineChars="250"/>
        <w:jc w:val="left"/>
        <w:textAlignment w:val="auto"/>
        <w:rPr>
          <w:rFonts w:hint="eastAsia" w:ascii="宋体" w:hAnsi="宋体" w:eastAsia="宋体" w:cs="宋体"/>
          <w:sz w:val="24"/>
          <w:szCs w:val="28"/>
        </w:rPr>
      </w:pPr>
      <w:r>
        <w:rPr>
          <w:rFonts w:hint="eastAsia" w:ascii="宋体" w:hAnsi="宋体" w:eastAsia="宋体" w:cs="宋体"/>
          <w:sz w:val="24"/>
          <w:szCs w:val="28"/>
        </w:rPr>
        <w:t>供应商应认真阅读和充分理解竞争性磋商文件中所有的事项、格式条款和规范要求。供应商没有对竞争性磋商文件全面做出实质性响应是供应商的风险。没有按照竞争性磋商文件要求作出实质性响应的响应文件应作</w:t>
      </w:r>
      <w:r>
        <w:rPr>
          <w:rFonts w:hint="eastAsia" w:ascii="宋体" w:hAnsi="宋体" w:cs="宋体"/>
          <w:sz w:val="24"/>
          <w:szCs w:val="28"/>
          <w:lang w:val="en-US" w:eastAsia="zh-CN"/>
        </w:rPr>
        <w:t>无效文件</w:t>
      </w:r>
      <w:r>
        <w:rPr>
          <w:rFonts w:hint="eastAsia" w:ascii="宋体" w:hAnsi="宋体" w:eastAsia="宋体" w:cs="宋体"/>
          <w:sz w:val="24"/>
          <w:szCs w:val="28"/>
        </w:rPr>
        <w:t>处理。</w:t>
      </w:r>
    </w:p>
    <w:p w14:paraId="31FA8EBF">
      <w:pPr>
        <w:pStyle w:val="5"/>
        <w:pageBreakBefore w:val="0"/>
        <w:numPr>
          <w:ilvl w:val="0"/>
          <w:numId w:val="4"/>
        </w:numPr>
        <w:wordWrap/>
        <w:topLinePunct w:val="0"/>
        <w:autoSpaceDE/>
        <w:autoSpaceDN/>
        <w:bidi w:val="0"/>
        <w:spacing w:line="360" w:lineRule="auto"/>
        <w:ind w:left="0" w:leftChars="0"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42" w:name="_Toc536202292"/>
      <w:r>
        <w:rPr>
          <w:rFonts w:hint="eastAsia" w:ascii="宋体" w:hAnsi="宋体" w:eastAsia="宋体" w:cs="宋体"/>
          <w:color w:val="000000" w:themeColor="text1"/>
          <w:sz w:val="24"/>
          <w:szCs w:val="28"/>
          <w14:textFill>
            <w14:solidFill>
              <w14:schemeClr w14:val="tx1"/>
            </w14:solidFill>
          </w14:textFill>
        </w:rPr>
        <w:t>现场踏勘及磋商文件答疑</w:t>
      </w:r>
      <w:bookmarkEnd w:id="42"/>
    </w:p>
    <w:p w14:paraId="3D8EAF5B">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采购人</w:t>
      </w:r>
      <w:r>
        <w:rPr>
          <w:rFonts w:hint="eastAsia" w:ascii="宋体" w:hAnsi="宋体" w:eastAsia="宋体" w:cs="宋体"/>
          <w:color w:val="000000" w:themeColor="text1"/>
          <w:sz w:val="24"/>
          <w:szCs w:val="28"/>
          <w14:textFill>
            <w14:solidFill>
              <w14:schemeClr w14:val="tx1"/>
            </w14:solidFill>
          </w14:textFill>
        </w:rPr>
        <w:t>将视情况确定是否有必要召开标前答疑会。如果召开标前答疑会，</w:t>
      </w:r>
      <w:r>
        <w:rPr>
          <w:rFonts w:hint="eastAsia" w:ascii="宋体" w:hAnsi="宋体" w:cs="宋体"/>
          <w:color w:val="000000" w:themeColor="text1"/>
          <w:sz w:val="24"/>
          <w:szCs w:val="28"/>
          <w:lang w:val="en-US" w:eastAsia="zh-CN"/>
          <w14:textFill>
            <w14:solidFill>
              <w14:schemeClr w14:val="tx1"/>
            </w14:solidFill>
          </w14:textFill>
        </w:rPr>
        <w:t>采购人</w:t>
      </w:r>
      <w:r>
        <w:rPr>
          <w:rFonts w:hint="eastAsia" w:ascii="宋体" w:hAnsi="宋体" w:eastAsia="宋体" w:cs="宋体"/>
          <w:color w:val="000000" w:themeColor="text1"/>
          <w:sz w:val="24"/>
          <w:szCs w:val="28"/>
          <w14:textFill>
            <w14:solidFill>
              <w14:schemeClr w14:val="tx1"/>
            </w14:solidFill>
          </w14:textFill>
        </w:rPr>
        <w:t>将通知所有已登记备案并报名领取了磋商文件的潜在供应商。在规定的时间，各供应商派技术、预算等相关人员进行现场踏勘和答疑，答疑的问题各供应商以书面形式提交。采购人对各供应商提出的问题进行答复，形成答疑会议纪要。答疑会议纪要与磋商文件中不一致的内容，以答疑会议纪要为准。凡未参加答疑和现场踏勘的供应商，由此造成的偏差由各供应商自行负责。</w:t>
      </w:r>
    </w:p>
    <w:p w14:paraId="0249F939">
      <w:pPr>
        <w:pStyle w:val="5"/>
        <w:pageBreakBefore w:val="0"/>
        <w:numPr>
          <w:ilvl w:val="0"/>
          <w:numId w:val="4"/>
        </w:numPr>
        <w:wordWrap/>
        <w:topLinePunct w:val="0"/>
        <w:autoSpaceDE/>
        <w:autoSpaceDN/>
        <w:bidi w:val="0"/>
        <w:spacing w:line="360" w:lineRule="auto"/>
        <w:ind w:left="0" w:leftChars="0" w:right="0" w:rightChars="0" w:firstLine="482" w:firstLineChars="200"/>
        <w:textAlignment w:val="auto"/>
        <w:rPr>
          <w:rFonts w:hint="eastAsia" w:ascii="宋体" w:hAnsi="宋体" w:eastAsia="宋体" w:cs="宋体"/>
          <w:sz w:val="24"/>
          <w:szCs w:val="28"/>
        </w:rPr>
      </w:pPr>
      <w:bookmarkStart w:id="43" w:name="_Toc536202293"/>
      <w:bookmarkStart w:id="44" w:name="_Toc19797"/>
      <w:r>
        <w:rPr>
          <w:rFonts w:hint="eastAsia" w:ascii="宋体" w:hAnsi="宋体" w:eastAsia="宋体" w:cs="宋体"/>
          <w:sz w:val="24"/>
          <w:szCs w:val="28"/>
        </w:rPr>
        <w:t>竞争性磋商文件的澄清</w:t>
      </w:r>
      <w:bookmarkEnd w:id="43"/>
      <w:bookmarkEnd w:id="44"/>
    </w:p>
    <w:p w14:paraId="0C3F3302">
      <w:pPr>
        <w:pageBreakBefore w:val="0"/>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4.1供应商应认真阅读和充分理解竞争性磋商文件中所有的事项，如有问题或</w:t>
      </w:r>
      <w:r>
        <w:rPr>
          <w:rFonts w:hint="eastAsia" w:ascii="宋体" w:hAnsi="宋体" w:cs="宋体"/>
          <w:sz w:val="24"/>
          <w:szCs w:val="28"/>
          <w:lang w:eastAsia="zh-CN"/>
        </w:rPr>
        <w:t>异议</w:t>
      </w:r>
      <w:r>
        <w:rPr>
          <w:rFonts w:hint="eastAsia" w:ascii="宋体" w:hAnsi="宋体" w:eastAsia="宋体" w:cs="宋体"/>
          <w:sz w:val="24"/>
          <w:szCs w:val="28"/>
        </w:rPr>
        <w:t>请及时函告。否则，视为同意竞争性磋商文件的一切条款和要求并承担由此引起的一切法律责任。凡因供应商对竞争性磋商文件阅读不深、理解不透、误解、疏漏</w:t>
      </w:r>
      <w:r>
        <w:rPr>
          <w:rFonts w:hint="eastAsia" w:ascii="宋体" w:hAnsi="宋体" w:cs="宋体"/>
          <w:sz w:val="24"/>
          <w:szCs w:val="28"/>
          <w:lang w:eastAsia="zh-CN"/>
        </w:rPr>
        <w:t>或</w:t>
      </w:r>
      <w:r>
        <w:rPr>
          <w:rFonts w:hint="eastAsia" w:ascii="宋体" w:hAnsi="宋体" w:eastAsia="宋体" w:cs="宋体"/>
          <w:sz w:val="24"/>
          <w:szCs w:val="28"/>
        </w:rPr>
        <w:t>因市场行情了解不清造成的后果和风险均由供应商自负。</w:t>
      </w:r>
    </w:p>
    <w:p w14:paraId="045AC2FE">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4.2响应人若对磋商文件有任何疑问要求澄清，或认为有必要与采购人进行技术交流的，响应人在收到采购文件之日或者采购文件公告期限届满之日</w:t>
      </w:r>
      <w:r>
        <w:rPr>
          <w:rFonts w:hint="eastAsia" w:ascii="宋体" w:hAnsi="宋体" w:eastAsia="宋体" w:cs="宋体"/>
          <w:sz w:val="24"/>
          <w:szCs w:val="24"/>
        </w:rPr>
        <w:t>七个工作日内</w:t>
      </w:r>
      <w:r>
        <w:rPr>
          <w:rFonts w:hint="eastAsia" w:ascii="宋体" w:hAnsi="宋体" w:eastAsia="宋体" w:cs="宋体"/>
          <w:sz w:val="24"/>
          <w:szCs w:val="28"/>
        </w:rPr>
        <w:t>，以书面形式向</w:t>
      </w:r>
      <w:r>
        <w:rPr>
          <w:rFonts w:hint="eastAsia" w:ascii="宋体" w:hAnsi="宋体" w:cs="宋体"/>
          <w:sz w:val="24"/>
          <w:szCs w:val="28"/>
          <w:lang w:val="en-US" w:eastAsia="zh-CN"/>
        </w:rPr>
        <w:t>采购人</w:t>
      </w:r>
      <w:r>
        <w:rPr>
          <w:rFonts w:hint="eastAsia" w:ascii="宋体" w:hAnsi="宋体" w:eastAsia="宋体" w:cs="宋体"/>
          <w:sz w:val="24"/>
          <w:szCs w:val="28"/>
        </w:rPr>
        <w:t>提出。</w:t>
      </w:r>
      <w:r>
        <w:rPr>
          <w:rFonts w:hint="eastAsia" w:ascii="宋体" w:hAnsi="宋体" w:cs="宋体"/>
          <w:sz w:val="24"/>
          <w:szCs w:val="28"/>
          <w:lang w:val="en-US" w:eastAsia="zh-CN"/>
        </w:rPr>
        <w:t>采购人</w:t>
      </w:r>
      <w:r>
        <w:rPr>
          <w:rFonts w:hint="eastAsia" w:ascii="宋体" w:hAnsi="宋体" w:eastAsia="宋体" w:cs="宋体"/>
          <w:sz w:val="24"/>
          <w:szCs w:val="28"/>
        </w:rPr>
        <w:t>将视情况确定采用适当方式予以澄清或以书面形式予以答复，涉及变更或修正内容在相关媒体上发布变更公告。在此之后提出的询问或者质疑均为无效，</w:t>
      </w:r>
      <w:r>
        <w:rPr>
          <w:rFonts w:hint="eastAsia" w:ascii="宋体" w:hAnsi="宋体" w:cs="宋体"/>
          <w:sz w:val="24"/>
          <w:szCs w:val="28"/>
          <w:lang w:val="en-US" w:eastAsia="zh-CN"/>
        </w:rPr>
        <w:t>采购人</w:t>
      </w:r>
      <w:r>
        <w:rPr>
          <w:rFonts w:hint="eastAsia" w:ascii="宋体" w:hAnsi="宋体" w:eastAsia="宋体" w:cs="宋体"/>
          <w:sz w:val="24"/>
          <w:szCs w:val="28"/>
        </w:rPr>
        <w:t>不予受理。</w:t>
      </w:r>
    </w:p>
    <w:p w14:paraId="7086E1C7">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4.3对于在规定时间内收到的投标人依法提出的询问或者质疑，</w:t>
      </w:r>
      <w:r>
        <w:rPr>
          <w:rFonts w:hint="eastAsia" w:ascii="宋体" w:hAnsi="宋体" w:cs="宋体"/>
          <w:sz w:val="24"/>
          <w:szCs w:val="24"/>
          <w:lang w:val="en-US" w:eastAsia="zh-CN"/>
        </w:rPr>
        <w:t>采购人</w:t>
      </w:r>
      <w:r>
        <w:rPr>
          <w:rFonts w:hint="eastAsia" w:ascii="宋体" w:hAnsi="宋体" w:eastAsia="宋体" w:cs="宋体"/>
          <w:sz w:val="24"/>
          <w:szCs w:val="24"/>
        </w:rPr>
        <w:t>将按程序及时</w:t>
      </w:r>
      <w:r>
        <w:rPr>
          <w:rFonts w:hint="eastAsia" w:ascii="宋体" w:hAnsi="宋体" w:cs="宋体"/>
          <w:sz w:val="24"/>
          <w:szCs w:val="24"/>
          <w:lang w:eastAsia="zh-CN"/>
        </w:rPr>
        <w:t>作出</w:t>
      </w:r>
      <w:r>
        <w:rPr>
          <w:rFonts w:hint="eastAsia" w:ascii="宋体" w:hAnsi="宋体" w:eastAsia="宋体" w:cs="宋体"/>
          <w:sz w:val="24"/>
          <w:szCs w:val="24"/>
        </w:rPr>
        <w:t>答复，若对</w:t>
      </w:r>
      <w:r>
        <w:rPr>
          <w:rFonts w:hint="eastAsia" w:ascii="宋体" w:hAnsi="宋体" w:cs="宋体"/>
          <w:sz w:val="24"/>
          <w:szCs w:val="24"/>
          <w:lang w:val="en-US" w:eastAsia="zh-CN"/>
        </w:rPr>
        <w:t>磋商文件</w:t>
      </w:r>
      <w:r>
        <w:rPr>
          <w:rFonts w:hint="eastAsia" w:ascii="宋体" w:hAnsi="宋体" w:eastAsia="宋体" w:cs="宋体"/>
          <w:sz w:val="24"/>
          <w:szCs w:val="24"/>
        </w:rPr>
        <w:t>做出实质性变动，则按照相关规定延长投标截止时间。</w:t>
      </w:r>
    </w:p>
    <w:p w14:paraId="6B674871">
      <w:pPr>
        <w:pStyle w:val="4"/>
        <w:pageBreakBefore w:val="0"/>
        <w:wordWrap/>
        <w:topLinePunct w:val="0"/>
        <w:autoSpaceDE/>
        <w:autoSpaceDN/>
        <w:bidi w:val="0"/>
        <w:spacing w:line="360" w:lineRule="auto"/>
        <w:ind w:left="0" w:leftChars="0" w:right="0" w:rightChars="0"/>
        <w:textAlignment w:val="auto"/>
        <w:rPr>
          <w:rFonts w:hint="eastAsia" w:ascii="宋体" w:hAnsi="宋体" w:eastAsia="宋体" w:cs="宋体"/>
        </w:rPr>
      </w:pPr>
      <w:r>
        <w:rPr>
          <w:rFonts w:hint="eastAsia" w:ascii="宋体" w:hAnsi="宋体" w:eastAsia="宋体" w:cs="宋体"/>
          <w:sz w:val="24"/>
          <w:szCs w:val="24"/>
        </w:rPr>
        <w:t>4.4投标人提出质疑应当有明确的请求和必要的证明材料。</w:t>
      </w:r>
    </w:p>
    <w:p w14:paraId="03095637">
      <w:pPr>
        <w:pStyle w:val="5"/>
        <w:pageBreakBefore w:val="0"/>
        <w:numPr>
          <w:ilvl w:val="0"/>
          <w:numId w:val="4"/>
        </w:numPr>
        <w:wordWrap/>
        <w:topLinePunct w:val="0"/>
        <w:autoSpaceDE/>
        <w:autoSpaceDN/>
        <w:bidi w:val="0"/>
        <w:spacing w:line="360" w:lineRule="auto"/>
        <w:ind w:left="0" w:leftChars="0" w:right="0" w:rightChars="0" w:firstLine="482" w:firstLineChars="200"/>
        <w:textAlignment w:val="auto"/>
        <w:rPr>
          <w:rFonts w:hint="eastAsia" w:ascii="宋体" w:hAnsi="宋体" w:eastAsia="宋体" w:cs="宋体"/>
          <w:sz w:val="24"/>
          <w:szCs w:val="28"/>
        </w:rPr>
      </w:pPr>
      <w:bookmarkStart w:id="45" w:name="_Toc6390"/>
      <w:bookmarkStart w:id="46" w:name="_Toc536202294"/>
      <w:r>
        <w:rPr>
          <w:rFonts w:hint="eastAsia" w:ascii="宋体" w:hAnsi="宋体" w:eastAsia="宋体" w:cs="宋体"/>
          <w:sz w:val="24"/>
          <w:szCs w:val="28"/>
        </w:rPr>
        <w:t>竞争性磋商文件的修改</w:t>
      </w:r>
      <w:bookmarkEnd w:id="45"/>
      <w:bookmarkEnd w:id="46"/>
    </w:p>
    <w:p w14:paraId="776B94E8">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8"/>
        </w:rPr>
        <w:t>5.1 在磋商截止时间五日前，无论出于何种原因，采购人可主动或在解答供应商提出的澄清问题时，对竞争性磋商文件进行修改，</w:t>
      </w:r>
      <w:r>
        <w:rPr>
          <w:rFonts w:hint="eastAsia" w:ascii="宋体" w:hAnsi="宋体" w:eastAsia="宋体" w:cs="宋体"/>
          <w:sz w:val="24"/>
          <w:szCs w:val="24"/>
        </w:rPr>
        <w:t>不足5日的，顺延提交响应文件的截止时间</w:t>
      </w:r>
      <w:r>
        <w:rPr>
          <w:rFonts w:hint="eastAsia" w:ascii="宋体" w:hAnsi="宋体" w:eastAsia="宋体" w:cs="宋体"/>
          <w:sz w:val="24"/>
          <w:szCs w:val="28"/>
        </w:rPr>
        <w:t>，并</w:t>
      </w:r>
      <w:r>
        <w:rPr>
          <w:rFonts w:hint="eastAsia" w:ascii="宋体" w:hAnsi="宋体" w:eastAsia="宋体" w:cs="宋体"/>
          <w:sz w:val="24"/>
          <w:szCs w:val="24"/>
        </w:rPr>
        <w:t>在发布磋商公告的媒体上发布变更公告，并以书面形式通知所有购买磋商文件的单位。该澄清或者修改的内容为</w:t>
      </w:r>
      <w:r>
        <w:rPr>
          <w:rFonts w:hint="eastAsia" w:ascii="宋体" w:hAnsi="宋体" w:cs="宋体"/>
          <w:sz w:val="24"/>
          <w:szCs w:val="24"/>
          <w:lang w:val="en-US" w:eastAsia="zh-CN"/>
        </w:rPr>
        <w:t>磋商文件</w:t>
      </w:r>
      <w:r>
        <w:rPr>
          <w:rFonts w:hint="eastAsia" w:ascii="宋体" w:hAnsi="宋体" w:eastAsia="宋体" w:cs="宋体"/>
          <w:sz w:val="24"/>
          <w:szCs w:val="24"/>
        </w:rPr>
        <w:t>的组成部分。</w:t>
      </w:r>
    </w:p>
    <w:p w14:paraId="74770B72">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w:t>
      </w:r>
      <w:r>
        <w:rPr>
          <w:rFonts w:hint="eastAsia" w:ascii="宋体" w:hAnsi="宋体" w:cs="宋体"/>
          <w:sz w:val="24"/>
          <w:szCs w:val="24"/>
          <w:lang w:val="en-US" w:eastAsia="zh-CN"/>
        </w:rPr>
        <w:t>磋商文件</w:t>
      </w:r>
      <w:r>
        <w:rPr>
          <w:rFonts w:hint="eastAsia" w:ascii="宋体" w:hAnsi="宋体" w:eastAsia="宋体" w:cs="宋体"/>
          <w:sz w:val="24"/>
          <w:szCs w:val="24"/>
        </w:rPr>
        <w:t>的修改书将构成</w:t>
      </w:r>
      <w:r>
        <w:rPr>
          <w:rFonts w:hint="eastAsia" w:ascii="宋体" w:hAnsi="宋体" w:cs="宋体"/>
          <w:sz w:val="24"/>
          <w:szCs w:val="24"/>
          <w:lang w:val="en-US" w:eastAsia="zh-CN"/>
        </w:rPr>
        <w:t>磋商文件</w:t>
      </w:r>
      <w:r>
        <w:rPr>
          <w:rFonts w:hint="eastAsia" w:ascii="宋体" w:hAnsi="宋体" w:eastAsia="宋体" w:cs="宋体"/>
          <w:sz w:val="24"/>
          <w:szCs w:val="24"/>
        </w:rPr>
        <w:t>的一部分，对采购人和投标人都具有约束力。</w:t>
      </w:r>
    </w:p>
    <w:p w14:paraId="3A317CCB">
      <w:pPr>
        <w:pageBreakBefore w:val="0"/>
        <w:wordWrap/>
        <w:topLinePunct w:val="0"/>
        <w:autoSpaceDE/>
        <w:autoSpaceDN/>
        <w:bidi w:val="0"/>
        <w:spacing w:line="360" w:lineRule="auto"/>
        <w:ind w:left="0" w:leftChars="0" w:right="0" w:rightChars="0" w:firstLine="480" w:firstLineChars="200"/>
        <w:textAlignment w:val="auto"/>
        <w:rPr>
          <w:rFonts w:hint="eastAsia"/>
        </w:rPr>
      </w:pPr>
      <w:r>
        <w:rPr>
          <w:rFonts w:hint="eastAsia" w:ascii="宋体" w:hAnsi="宋体" w:eastAsia="宋体" w:cs="宋体"/>
          <w:sz w:val="24"/>
          <w:szCs w:val="24"/>
        </w:rPr>
        <w:t>5.3采购人可以视采购具体情况，延长投标截止时间和开标时间。延长投标截止时间和开标时间将在财政部门指定的媒体上发布变更公告，同时将变更时间书面通知所有购买磋商文件的单位。</w:t>
      </w:r>
    </w:p>
    <w:p w14:paraId="4F9EDB08">
      <w:pPr>
        <w:pStyle w:val="5"/>
        <w:pageBreakBefore w:val="0"/>
        <w:numPr>
          <w:ilvl w:val="0"/>
          <w:numId w:val="4"/>
        </w:numPr>
        <w:wordWrap/>
        <w:topLinePunct w:val="0"/>
        <w:autoSpaceDE/>
        <w:autoSpaceDN/>
        <w:bidi w:val="0"/>
        <w:spacing w:line="360" w:lineRule="auto"/>
        <w:ind w:left="0" w:leftChars="0" w:right="0" w:rightChars="0"/>
        <w:textAlignment w:val="auto"/>
        <w:rPr>
          <w:rFonts w:hint="eastAsia" w:ascii="宋体" w:hAnsi="宋体" w:eastAsia="宋体" w:cs="宋体"/>
          <w:sz w:val="24"/>
          <w:szCs w:val="28"/>
        </w:rPr>
      </w:pPr>
      <w:bookmarkStart w:id="47" w:name="_Toc31188"/>
      <w:bookmarkStart w:id="48" w:name="_Toc536202295"/>
      <w:r>
        <w:rPr>
          <w:rFonts w:hint="eastAsia" w:ascii="宋体" w:hAnsi="宋体" w:eastAsia="宋体" w:cs="宋体"/>
          <w:sz w:val="24"/>
          <w:szCs w:val="28"/>
        </w:rPr>
        <w:t>质疑</w:t>
      </w:r>
    </w:p>
    <w:p w14:paraId="4FD1BB94">
      <w:pPr>
        <w:pStyle w:val="5"/>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b w:val="0"/>
          <w:sz w:val="24"/>
          <w:szCs w:val="28"/>
        </w:rPr>
      </w:pPr>
      <w:r>
        <w:rPr>
          <w:rFonts w:hint="eastAsia" w:ascii="宋体" w:hAnsi="宋体" w:eastAsia="宋体" w:cs="宋体"/>
          <w:b w:val="0"/>
          <w:sz w:val="24"/>
          <w:szCs w:val="28"/>
        </w:rPr>
        <w:t>供应商认为磋商文件、招标过程和中标结果使自己的权益受到损害的，可以按《政府采购法》第52条执行。</w:t>
      </w:r>
    </w:p>
    <w:p w14:paraId="71236A9C">
      <w:pPr>
        <w:pStyle w:val="5"/>
        <w:pageBreakBefore w:val="0"/>
        <w:numPr>
          <w:ilvl w:val="0"/>
          <w:numId w:val="4"/>
        </w:numPr>
        <w:wordWrap/>
        <w:topLinePunct w:val="0"/>
        <w:autoSpaceDE/>
        <w:autoSpaceDN/>
        <w:bidi w:val="0"/>
        <w:spacing w:line="360" w:lineRule="auto"/>
        <w:ind w:left="0" w:leftChars="0"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竞争性磋商文件的获取</w:t>
      </w:r>
      <w:bookmarkEnd w:id="47"/>
      <w:bookmarkEnd w:id="48"/>
    </w:p>
    <w:p w14:paraId="65CD5F1C">
      <w:pPr>
        <w:pageBreakBefore w:val="0"/>
        <w:widowControl/>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供应商必须从采购人</w:t>
      </w:r>
      <w:r>
        <w:rPr>
          <w:rFonts w:hint="eastAsia" w:ascii="宋体" w:hAnsi="宋体" w:cs="宋体"/>
          <w:color w:val="000000" w:themeColor="text1"/>
          <w:sz w:val="24"/>
          <w:szCs w:val="28"/>
          <w:lang w:val="en-US" w:eastAsia="zh-CN"/>
          <w14:textFill>
            <w14:solidFill>
              <w14:schemeClr w14:val="tx1"/>
            </w14:solidFill>
          </w14:textFill>
        </w:rPr>
        <w:t>获取</w:t>
      </w:r>
      <w:r>
        <w:rPr>
          <w:rFonts w:hint="eastAsia" w:ascii="宋体" w:hAnsi="宋体" w:eastAsia="宋体" w:cs="宋体"/>
          <w:color w:val="000000" w:themeColor="text1"/>
          <w:sz w:val="24"/>
          <w:szCs w:val="28"/>
          <w14:textFill>
            <w14:solidFill>
              <w14:schemeClr w14:val="tx1"/>
            </w14:solidFill>
          </w14:textFill>
        </w:rPr>
        <w:t>竞争性磋商文件，供应商自行转让或复制竞争性磋商文件视为无效。竞争性磋商文件一经售出，一律不退，仅作为本次竞争性磋商使用。</w:t>
      </w:r>
    </w:p>
    <w:p w14:paraId="0B060D33">
      <w:pPr>
        <w:pStyle w:val="4"/>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bookmarkStart w:id="49" w:name="_Toc5095"/>
      <w:bookmarkStart w:id="50" w:name="_Toc536202296"/>
      <w:r>
        <w:rPr>
          <w:rFonts w:hint="eastAsia" w:ascii="宋体" w:hAnsi="宋体" w:eastAsia="宋体" w:cs="宋体"/>
          <w:sz w:val="24"/>
          <w:szCs w:val="28"/>
        </w:rPr>
        <w:t>8、</w:t>
      </w:r>
      <w:r>
        <w:rPr>
          <w:rFonts w:hint="eastAsia" w:ascii="宋体" w:hAnsi="宋体" w:eastAsia="宋体" w:cs="宋体"/>
          <w:b/>
          <w:bCs/>
          <w:sz w:val="24"/>
          <w:szCs w:val="28"/>
        </w:rPr>
        <w:t>竞争性磋商文件的解释权归</w:t>
      </w:r>
      <w:bookmarkEnd w:id="49"/>
      <w:bookmarkEnd w:id="50"/>
      <w:r>
        <w:rPr>
          <w:rFonts w:hint="eastAsia" w:ascii="宋体" w:hAnsi="宋体" w:eastAsia="宋体" w:cs="宋体"/>
          <w:b/>
          <w:bCs/>
          <w:sz w:val="24"/>
          <w:szCs w:val="28"/>
        </w:rPr>
        <w:t>采购人</w:t>
      </w:r>
      <w:r>
        <w:rPr>
          <w:rFonts w:hint="eastAsia" w:ascii="宋体" w:hAnsi="宋体" w:eastAsia="宋体" w:cs="宋体"/>
          <w:sz w:val="24"/>
          <w:szCs w:val="28"/>
        </w:rPr>
        <w:t>（ 如发现</w:t>
      </w:r>
      <w:r>
        <w:rPr>
          <w:rFonts w:hint="eastAsia" w:ascii="宋体" w:hAnsi="宋体" w:cs="宋体"/>
          <w:sz w:val="24"/>
          <w:szCs w:val="28"/>
          <w:lang w:val="en-US" w:eastAsia="zh-CN"/>
        </w:rPr>
        <w:t>磋商文件</w:t>
      </w:r>
      <w:r>
        <w:rPr>
          <w:rFonts w:hint="eastAsia" w:ascii="宋体" w:hAnsi="宋体" w:eastAsia="宋体" w:cs="宋体"/>
          <w:sz w:val="24"/>
          <w:szCs w:val="28"/>
        </w:rPr>
        <w:t>内容与现行法律法规不相符的情况，以现行法律法规为准。</w:t>
      </w:r>
      <w:r>
        <w:rPr>
          <w:rFonts w:hint="eastAsia" w:ascii="宋体" w:hAnsi="宋体" w:cs="宋体"/>
          <w:sz w:val="24"/>
          <w:szCs w:val="28"/>
          <w:lang w:eastAsia="zh-CN"/>
        </w:rPr>
        <w:t>）</w:t>
      </w:r>
    </w:p>
    <w:p w14:paraId="35EEA9A1">
      <w:pPr>
        <w:pageBreakBefore w:val="0"/>
        <w:widowControl/>
        <w:numPr>
          <w:ilvl w:val="0"/>
          <w:numId w:val="3"/>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kern w:val="0"/>
          <w:sz w:val="28"/>
          <w:szCs w:val="32"/>
        </w:rPr>
      </w:pPr>
      <w:bookmarkStart w:id="51" w:name="_Toc622"/>
      <w:bookmarkStart w:id="52" w:name="_Toc536202297"/>
      <w:bookmarkStart w:id="53" w:name="_Toc536429321"/>
      <w:bookmarkStart w:id="54" w:name="_Toc536202381"/>
      <w:bookmarkStart w:id="55" w:name="_Toc536429374"/>
      <w:bookmarkStart w:id="56" w:name="_Toc19543338"/>
      <w:r>
        <w:rPr>
          <w:rFonts w:hint="eastAsia" w:ascii="宋体" w:hAnsi="宋体" w:eastAsia="宋体" w:cs="宋体"/>
          <w:b/>
          <w:bCs/>
          <w:kern w:val="0"/>
          <w:sz w:val="28"/>
          <w:szCs w:val="32"/>
        </w:rPr>
        <w:t>响应文件</w:t>
      </w:r>
      <w:bookmarkEnd w:id="51"/>
      <w:bookmarkEnd w:id="52"/>
      <w:bookmarkEnd w:id="53"/>
      <w:bookmarkEnd w:id="54"/>
      <w:bookmarkEnd w:id="55"/>
      <w:bookmarkEnd w:id="56"/>
    </w:p>
    <w:p w14:paraId="6C18F8F6">
      <w:pPr>
        <w:pStyle w:val="5"/>
        <w:pageBreakBefore w:val="0"/>
        <w:wordWrap/>
        <w:overflowPunct/>
        <w:topLinePunct w:val="0"/>
        <w:autoSpaceDE/>
        <w:autoSpaceDN/>
        <w:bidi w:val="0"/>
        <w:spacing w:line="312" w:lineRule="auto"/>
        <w:ind w:firstLine="480" w:firstLineChars="200"/>
        <w:textAlignment w:val="auto"/>
        <w:rPr>
          <w:rFonts w:ascii="宋体" w:hAnsi="宋体"/>
          <w:b w:val="0"/>
          <w:bCs w:val="0"/>
          <w:sz w:val="24"/>
          <w:szCs w:val="21"/>
        </w:rPr>
      </w:pPr>
      <w:r>
        <w:rPr>
          <w:rFonts w:hint="eastAsia" w:ascii="宋体" w:hAnsi="宋体"/>
          <w:b w:val="0"/>
          <w:bCs w:val="0"/>
          <w:sz w:val="24"/>
          <w:szCs w:val="21"/>
        </w:rPr>
        <w:t>投标人应认真阅读磋商文件的所有内容，严格按照磋商文件的要求编制和提供磋商响应文件，并保证所提供的全部资料的真实性，使磋商响应文件对磋商文件作出实质性响应。如果投标人在磋商响应文件中没有按照磋商文件要求提交全部资料或者磋商响应文件没有对磋商文件在各方面都做出实质性响应，其磋商将被拒绝。</w:t>
      </w:r>
    </w:p>
    <w:p w14:paraId="2D13920D">
      <w:pPr>
        <w:pStyle w:val="5"/>
        <w:pageBreakBefore w:val="0"/>
        <w:wordWrap/>
        <w:overflowPunct/>
        <w:topLinePunct w:val="0"/>
        <w:autoSpaceDE/>
        <w:autoSpaceDN/>
        <w:bidi w:val="0"/>
        <w:spacing w:line="312" w:lineRule="auto"/>
        <w:ind w:firstLine="480" w:firstLineChars="200"/>
        <w:textAlignment w:val="auto"/>
        <w:rPr>
          <w:rFonts w:ascii="宋体" w:hAnsi="宋体"/>
          <w:b w:val="0"/>
          <w:bCs w:val="0"/>
          <w:sz w:val="24"/>
          <w:szCs w:val="21"/>
        </w:rPr>
      </w:pPr>
      <w:r>
        <w:rPr>
          <w:rFonts w:hint="eastAsia" w:ascii="宋体" w:hAnsi="宋体"/>
          <w:b w:val="0"/>
          <w:bCs w:val="0"/>
          <w:sz w:val="24"/>
          <w:szCs w:val="21"/>
        </w:rPr>
        <w:t>投标人提交的磋商响应文件（包括产品的技术资料）以及投标人与采购人就有关磋商的所有来往函电均应以中文书写。</w:t>
      </w:r>
    </w:p>
    <w:p w14:paraId="5EE7CF10">
      <w:pPr>
        <w:pStyle w:val="5"/>
        <w:pageBreakBefore w:val="0"/>
        <w:numPr>
          <w:ilvl w:val="0"/>
          <w:numId w:val="6"/>
        </w:numPr>
        <w:wordWrap/>
        <w:topLinePunct w:val="0"/>
        <w:autoSpaceDE/>
        <w:autoSpaceDN/>
        <w:bidi w:val="0"/>
        <w:spacing w:line="360" w:lineRule="auto"/>
        <w:ind w:left="0" w:leftChars="0" w:right="0" w:rightChars="0" w:firstLine="482" w:firstLineChars="200"/>
        <w:textAlignment w:val="auto"/>
        <w:rPr>
          <w:rFonts w:hint="eastAsia" w:ascii="宋体" w:hAnsi="宋体" w:eastAsia="宋体" w:cs="宋体"/>
          <w:sz w:val="24"/>
          <w:szCs w:val="28"/>
        </w:rPr>
      </w:pPr>
      <w:r>
        <w:rPr>
          <w:rFonts w:hint="eastAsia" w:ascii="宋体" w:hAnsi="宋体" w:eastAsia="宋体" w:cs="宋体"/>
          <w:sz w:val="24"/>
          <w:szCs w:val="28"/>
        </w:rPr>
        <w:t>响应文件构成和格式</w:t>
      </w:r>
    </w:p>
    <w:p w14:paraId="1630B8DD">
      <w:pPr>
        <w:pageBreakBefore w:val="0"/>
        <w:widowControl/>
        <w:wordWrap/>
        <w:topLinePunct w:val="0"/>
        <w:autoSpaceDE/>
        <w:autoSpaceDN/>
        <w:bidi w:val="0"/>
        <w:spacing w:line="360" w:lineRule="auto"/>
        <w:ind w:left="0" w:leftChars="0" w:right="0" w:rightChars="0" w:firstLine="480" w:firstLineChars="200"/>
        <w:textAlignment w:val="auto"/>
        <w:outlineLvl w:val="1"/>
        <w:rPr>
          <w:rFonts w:hint="eastAsia" w:ascii="宋体" w:hAnsi="宋体" w:eastAsia="宋体" w:cs="宋体"/>
          <w:bCs/>
          <w:kern w:val="0"/>
          <w:sz w:val="24"/>
          <w:szCs w:val="24"/>
        </w:rPr>
      </w:pPr>
      <w:r>
        <w:rPr>
          <w:rFonts w:hint="eastAsia" w:ascii="宋体" w:hAnsi="宋体" w:eastAsia="宋体" w:cs="宋体"/>
          <w:bCs/>
          <w:kern w:val="0"/>
          <w:sz w:val="24"/>
          <w:szCs w:val="24"/>
        </w:rPr>
        <w:t>投标人应按照本须知响应文件构成和格式及第七部分提供的格式编写投标文件，不得缺少</w:t>
      </w:r>
      <w:r>
        <w:rPr>
          <w:rFonts w:hint="eastAsia" w:ascii="宋体" w:hAnsi="宋体" w:cs="宋体"/>
          <w:bCs/>
          <w:kern w:val="0"/>
          <w:sz w:val="24"/>
          <w:szCs w:val="24"/>
          <w:lang w:val="en-US" w:eastAsia="zh-CN"/>
        </w:rPr>
        <w:t>磋商文件</w:t>
      </w:r>
      <w:r>
        <w:rPr>
          <w:rFonts w:hint="eastAsia" w:ascii="宋体" w:hAnsi="宋体" w:eastAsia="宋体" w:cs="宋体"/>
          <w:bCs/>
          <w:kern w:val="0"/>
          <w:sz w:val="24"/>
          <w:szCs w:val="24"/>
        </w:rPr>
        <w:t>要求填写的表格或提交的资料。</w:t>
      </w:r>
    </w:p>
    <w:p w14:paraId="6D40B53F">
      <w:pPr>
        <w:pStyle w:val="5"/>
        <w:pageBreakBefore w:val="0"/>
        <w:numPr>
          <w:ilvl w:val="0"/>
          <w:numId w:val="6"/>
        </w:numPr>
        <w:wordWrap/>
        <w:topLinePunct w:val="0"/>
        <w:autoSpaceDE/>
        <w:autoSpaceDN/>
        <w:bidi w:val="0"/>
        <w:spacing w:line="360" w:lineRule="auto"/>
        <w:ind w:left="0" w:leftChars="0" w:right="0" w:rightChars="0" w:firstLine="482" w:firstLineChars="200"/>
        <w:textAlignment w:val="auto"/>
        <w:rPr>
          <w:rFonts w:hint="eastAsia" w:ascii="宋体" w:hAnsi="宋体" w:eastAsia="宋体" w:cs="宋体"/>
          <w:sz w:val="24"/>
          <w:szCs w:val="28"/>
        </w:rPr>
      </w:pPr>
      <w:bookmarkStart w:id="57" w:name="_Toc536202299"/>
      <w:r>
        <w:rPr>
          <w:rFonts w:hint="eastAsia" w:ascii="宋体" w:hAnsi="宋体" w:eastAsia="宋体" w:cs="宋体"/>
          <w:sz w:val="24"/>
          <w:szCs w:val="28"/>
        </w:rPr>
        <w:t>磋商报价</w:t>
      </w:r>
      <w:bookmarkEnd w:id="57"/>
    </w:p>
    <w:p w14:paraId="3C3D6F75">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8"/>
          <w:szCs w:val="22"/>
        </w:rPr>
      </w:pPr>
      <w:bookmarkStart w:id="58" w:name="_Toc29200"/>
      <w:bookmarkStart w:id="59" w:name="_Toc536202300"/>
      <w:r>
        <w:rPr>
          <w:rFonts w:hint="eastAsia" w:ascii="宋体" w:hAnsi="宋体" w:eastAsia="宋体" w:cs="宋体"/>
          <w:sz w:val="24"/>
        </w:rPr>
        <w:t>（1）磋商报价为供应商充分考虑磋商文件的各项条款和所掌握的市场情况及本项目的实际情况，根据自身情况自主报价。</w:t>
      </w:r>
    </w:p>
    <w:p w14:paraId="2311C487">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（2）供应商应在响应报价表中标明本次招标所要求的货物、服务且验收合格的所有费用。</w:t>
      </w:r>
    </w:p>
    <w:p w14:paraId="49EBE6FD">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（3）凡本磋商文件要求（或允许）及供应商认为需要进行报价的各项费用项目，（不论是否要求进入报价）若磋商时未报或未在响应文件中予以说明，采购人将按这些费用已包含在磋商报价中对待；</w:t>
      </w:r>
      <w:r>
        <w:rPr>
          <w:rFonts w:hint="eastAsia" w:ascii="宋体" w:hAnsi="宋体" w:eastAsia="宋体" w:cs="宋体"/>
          <w:spacing w:val="4"/>
          <w:sz w:val="24"/>
        </w:rPr>
        <w:t>供应商应考虑全部材料的风险，供应商一旦成交，采购人将不再对此部分进行调整；供应商的报价应将此差异考虑在综合单价内，</w:t>
      </w:r>
      <w:r>
        <w:rPr>
          <w:rFonts w:hint="eastAsia" w:ascii="宋体" w:hAnsi="宋体" w:eastAsia="宋体" w:cs="宋体"/>
          <w:sz w:val="24"/>
          <w:szCs w:val="24"/>
        </w:rPr>
        <w:t>采购人不再</w:t>
      </w:r>
      <w:r>
        <w:rPr>
          <w:rFonts w:hint="eastAsia" w:ascii="宋体" w:hAnsi="宋体" w:cs="宋体"/>
          <w:sz w:val="24"/>
          <w:szCs w:val="24"/>
          <w:lang w:eastAsia="zh-CN"/>
        </w:rPr>
        <w:t>承担其他任何</w:t>
      </w:r>
      <w:r>
        <w:rPr>
          <w:rFonts w:hint="eastAsia" w:ascii="宋体" w:hAnsi="宋体" w:eastAsia="宋体" w:cs="宋体"/>
          <w:sz w:val="24"/>
          <w:szCs w:val="24"/>
        </w:rPr>
        <w:t>费用</w:t>
      </w:r>
      <w:r>
        <w:rPr>
          <w:rFonts w:hint="eastAsia" w:ascii="宋体" w:hAnsi="宋体" w:eastAsia="宋体" w:cs="宋体"/>
          <w:spacing w:val="4"/>
          <w:sz w:val="24"/>
        </w:rPr>
        <w:t>。</w:t>
      </w:r>
    </w:p>
    <w:p w14:paraId="17C50F7B">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（4）响应报价表应有法定代表人或被授权人的签字</w:t>
      </w:r>
      <w:r>
        <w:rPr>
          <w:rFonts w:hint="eastAsia" w:ascii="宋体" w:hAnsi="宋体" w:cs="宋体"/>
          <w:sz w:val="24"/>
          <w:lang w:val="en-US" w:eastAsia="zh-CN"/>
        </w:rPr>
        <w:t>或盖章</w:t>
      </w:r>
      <w:r>
        <w:rPr>
          <w:rFonts w:hint="eastAsia" w:ascii="宋体" w:hAnsi="宋体" w:eastAsia="宋体" w:cs="宋体"/>
          <w:sz w:val="24"/>
        </w:rPr>
        <w:t>。</w:t>
      </w:r>
    </w:p>
    <w:p w14:paraId="24469978">
      <w:pPr>
        <w:pStyle w:val="5"/>
        <w:pageBreakBefore w:val="0"/>
        <w:numPr>
          <w:ilvl w:val="0"/>
          <w:numId w:val="6"/>
        </w:numPr>
        <w:wordWrap/>
        <w:topLinePunct w:val="0"/>
        <w:autoSpaceDE/>
        <w:autoSpaceDN/>
        <w:bidi w:val="0"/>
        <w:spacing w:line="360" w:lineRule="auto"/>
        <w:ind w:left="0" w:leftChars="0" w:right="0" w:rightChars="0" w:firstLine="482" w:firstLineChars="200"/>
        <w:textAlignment w:val="auto"/>
        <w:rPr>
          <w:rFonts w:hint="eastAsia" w:ascii="宋体" w:hAnsi="宋体" w:eastAsia="宋体" w:cs="宋体"/>
          <w:sz w:val="24"/>
          <w:szCs w:val="28"/>
        </w:rPr>
      </w:pPr>
      <w:r>
        <w:rPr>
          <w:rFonts w:hint="eastAsia" w:ascii="宋体" w:hAnsi="宋体" w:eastAsia="宋体" w:cs="宋体"/>
          <w:sz w:val="24"/>
          <w:szCs w:val="28"/>
        </w:rPr>
        <w:t xml:space="preserve"> 磋商货币</w:t>
      </w:r>
      <w:bookmarkEnd w:id="58"/>
      <w:bookmarkEnd w:id="59"/>
    </w:p>
    <w:p w14:paraId="06840614">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kern w:val="0"/>
          <w:sz w:val="24"/>
          <w:szCs w:val="28"/>
        </w:rPr>
      </w:pPr>
      <w:r>
        <w:rPr>
          <w:rFonts w:hint="eastAsia" w:ascii="宋体" w:hAnsi="宋体" w:eastAsia="宋体" w:cs="宋体"/>
          <w:kern w:val="0"/>
          <w:sz w:val="24"/>
          <w:szCs w:val="28"/>
        </w:rPr>
        <w:t>采购人只接受人民币作为唯一磋商货币。以人民币为投标货币。以元为报价单位，保留小数点后两位。</w:t>
      </w:r>
    </w:p>
    <w:p w14:paraId="1A5FAB8A">
      <w:pPr>
        <w:pStyle w:val="5"/>
        <w:pageBreakBefore w:val="0"/>
        <w:numPr>
          <w:ilvl w:val="0"/>
          <w:numId w:val="6"/>
        </w:numPr>
        <w:wordWrap/>
        <w:topLinePunct w:val="0"/>
        <w:autoSpaceDE/>
        <w:autoSpaceDN/>
        <w:bidi w:val="0"/>
        <w:spacing w:line="360" w:lineRule="auto"/>
        <w:ind w:left="0" w:leftChars="0" w:right="0" w:rightChars="0" w:firstLine="482" w:firstLineChars="200"/>
        <w:textAlignment w:val="auto"/>
        <w:rPr>
          <w:rFonts w:hint="eastAsia" w:ascii="宋体" w:hAnsi="宋体" w:eastAsia="宋体" w:cs="宋体"/>
          <w:sz w:val="24"/>
          <w:szCs w:val="28"/>
        </w:rPr>
      </w:pPr>
      <w:bookmarkStart w:id="60" w:name="_Toc536202302"/>
      <w:r>
        <w:rPr>
          <w:rFonts w:hint="eastAsia" w:ascii="宋体" w:hAnsi="宋体" w:eastAsia="宋体" w:cs="宋体"/>
          <w:sz w:val="24"/>
          <w:szCs w:val="28"/>
        </w:rPr>
        <w:t>响应有效期</w:t>
      </w:r>
      <w:bookmarkEnd w:id="60"/>
    </w:p>
    <w:p w14:paraId="7EA07D0F">
      <w:pPr>
        <w:pageBreakBefore w:val="0"/>
        <w:wordWrap/>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7CC5E4AF">
      <w:pPr>
        <w:pStyle w:val="5"/>
        <w:pageBreakBefore w:val="0"/>
        <w:numPr>
          <w:ilvl w:val="0"/>
          <w:numId w:val="6"/>
        </w:numPr>
        <w:wordWrap/>
        <w:topLinePunct w:val="0"/>
        <w:autoSpaceDE/>
        <w:autoSpaceDN/>
        <w:bidi w:val="0"/>
        <w:spacing w:line="360" w:lineRule="auto"/>
        <w:ind w:left="0" w:leftChars="0" w:right="0" w:rightChars="0" w:firstLine="482" w:firstLineChars="200"/>
        <w:textAlignment w:val="auto"/>
        <w:rPr>
          <w:rFonts w:hint="eastAsia" w:ascii="宋体" w:hAnsi="宋体" w:eastAsia="宋体" w:cs="宋体"/>
          <w:sz w:val="24"/>
          <w:szCs w:val="28"/>
        </w:rPr>
      </w:pPr>
      <w:bookmarkStart w:id="61" w:name="_Toc536202303"/>
      <w:bookmarkStart w:id="62" w:name="_Toc24827"/>
      <w:r>
        <w:rPr>
          <w:rFonts w:hint="eastAsia" w:ascii="宋体" w:hAnsi="宋体" w:eastAsia="宋体" w:cs="宋体"/>
          <w:sz w:val="24"/>
          <w:szCs w:val="28"/>
        </w:rPr>
        <w:t>响应文件的格式、装订、密封和签署</w:t>
      </w:r>
      <w:bookmarkEnd w:id="61"/>
      <w:bookmarkEnd w:id="62"/>
    </w:p>
    <w:p w14:paraId="190671BC">
      <w:pPr>
        <w:pageBreakBefore w:val="0"/>
        <w:wordWrap/>
        <w:overflowPunct/>
        <w:topLinePunct w:val="0"/>
        <w:autoSpaceDE/>
        <w:autoSpaceDN/>
        <w:bidi w:val="0"/>
        <w:spacing w:line="312" w:lineRule="auto"/>
        <w:ind w:firstLine="480" w:firstLineChars="200"/>
        <w:jc w:val="left"/>
        <w:textAlignment w:val="auto"/>
        <w:rPr>
          <w:rFonts w:hint="eastAsia" w:ascii="宋体" w:hAnsi="宋体" w:eastAsia="宋体" w:cs="宋体"/>
          <w:sz w:val="24"/>
          <w:szCs w:val="28"/>
        </w:rPr>
      </w:pPr>
      <w:r>
        <w:rPr>
          <w:rFonts w:hint="eastAsia" w:ascii="宋体" w:hAnsi="宋体" w:cs="宋体"/>
          <w:sz w:val="24"/>
          <w:szCs w:val="28"/>
          <w:lang w:val="en-US" w:eastAsia="zh-CN"/>
        </w:rPr>
        <w:t>5</w:t>
      </w:r>
      <w:r>
        <w:rPr>
          <w:rFonts w:hint="eastAsia" w:ascii="宋体" w:hAnsi="宋体" w:eastAsia="宋体" w:cs="宋体"/>
          <w:sz w:val="24"/>
          <w:szCs w:val="28"/>
        </w:rPr>
        <w:t>.1供应商须依据竞争性磋商文件内容和响应文件格式的要求编制响应文件；响应文件的正本和副本须用A4纸打印，并编制目录和页码。响应文件的打印（建议双面打印）和书写应清楚工整，任何行间插字、涂改和增删，必须由供应商的法定代表人或其授权代表签字或加盖个人印章，字迹潦草或表达不清或可能导致非唯一理解的响应文件可能视为无效文件</w:t>
      </w:r>
      <w:r>
        <w:rPr>
          <w:rFonts w:hint="eastAsia" w:ascii="宋体" w:hAnsi="宋体" w:cs="宋体"/>
          <w:sz w:val="24"/>
          <w:szCs w:val="28"/>
        </w:rPr>
        <w:t>；所有的副本可以为正本的复印件。</w:t>
      </w:r>
    </w:p>
    <w:p w14:paraId="51CF9BE9">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cs="宋体"/>
          <w:sz w:val="24"/>
          <w:szCs w:val="28"/>
          <w:lang w:val="en-US" w:eastAsia="zh-CN"/>
        </w:rPr>
        <w:t>5</w:t>
      </w:r>
      <w:r>
        <w:rPr>
          <w:rFonts w:hint="eastAsia" w:ascii="宋体" w:hAnsi="宋体" w:eastAsia="宋体" w:cs="宋体"/>
          <w:sz w:val="24"/>
          <w:szCs w:val="28"/>
        </w:rPr>
        <w:t>.2响应文件的装订</w:t>
      </w:r>
    </w:p>
    <w:p w14:paraId="2F1DB55C">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sz w:val="24"/>
          <w:szCs w:val="28"/>
        </w:rPr>
        <w:t>响应文件正本壹份、</w:t>
      </w:r>
      <w:r>
        <w:rPr>
          <w:rFonts w:hint="eastAsia" w:ascii="宋体" w:hAnsi="宋体" w:cs="宋体"/>
          <w:sz w:val="24"/>
          <w:szCs w:val="28"/>
          <w:lang w:eastAsia="zh-CN"/>
        </w:rPr>
        <w:t>副本贰份</w:t>
      </w:r>
      <w:r>
        <w:rPr>
          <w:rFonts w:hint="eastAsia" w:ascii="宋体" w:hAnsi="宋体" w:eastAsia="宋体" w:cs="宋体"/>
          <w:sz w:val="24"/>
          <w:szCs w:val="28"/>
        </w:rPr>
        <w:t>、电子文件U盘一份，</w:t>
      </w:r>
      <w:r>
        <w:rPr>
          <w:rFonts w:hint="eastAsia" w:ascii="宋体" w:hAnsi="宋体" w:cs="宋体"/>
          <w:sz w:val="24"/>
          <w:szCs w:val="28"/>
          <w:lang w:val="en-US" w:eastAsia="zh-CN"/>
        </w:rPr>
        <w:t>正副本</w:t>
      </w:r>
      <w:r>
        <w:rPr>
          <w:rFonts w:hint="eastAsia" w:ascii="宋体" w:hAnsi="宋体" w:eastAsia="宋体" w:cs="宋体"/>
          <w:sz w:val="24"/>
          <w:szCs w:val="28"/>
        </w:rPr>
        <w:t>分别胶装装订成册，且封面须清楚地标明“正本”或“副本”；若正本和副本不符，以正本书面文件为准</w:t>
      </w:r>
      <w:r>
        <w:rPr>
          <w:rFonts w:hint="eastAsia" w:ascii="宋体" w:hAnsi="宋体" w:eastAsia="宋体" w:cs="宋体"/>
          <w:color w:val="000000" w:themeColor="text1"/>
          <w:sz w:val="24"/>
          <w:szCs w:val="28"/>
          <w14:textFill>
            <w14:solidFill>
              <w14:schemeClr w14:val="tx1"/>
            </w14:solidFill>
          </w14:textFill>
        </w:rPr>
        <w:t>。</w:t>
      </w:r>
    </w:p>
    <w:p w14:paraId="7060B548">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cs="宋体"/>
          <w:sz w:val="24"/>
          <w:szCs w:val="28"/>
          <w:lang w:val="en-US" w:eastAsia="zh-CN"/>
        </w:rPr>
        <w:t>5</w:t>
      </w:r>
      <w:r>
        <w:rPr>
          <w:rFonts w:hint="eastAsia" w:ascii="宋体" w:hAnsi="宋体" w:eastAsia="宋体" w:cs="宋体"/>
          <w:sz w:val="24"/>
          <w:szCs w:val="28"/>
        </w:rPr>
        <w:t>.3响应文件的签署</w:t>
      </w:r>
    </w:p>
    <w:p w14:paraId="54A9CD6C">
      <w:pPr>
        <w:pageBreakBefore w:val="0"/>
        <w:numPr>
          <w:ilvl w:val="0"/>
          <w:numId w:val="7"/>
        </w:numPr>
        <w:wordWrap/>
        <w:topLinePunct w:val="0"/>
        <w:autoSpaceDE/>
        <w:autoSpaceDN/>
        <w:bidi w:val="0"/>
        <w:spacing w:line="360" w:lineRule="auto"/>
        <w:ind w:left="0" w:leftChars="0" w:right="0" w:rightChars="0"/>
        <w:jc w:val="left"/>
        <w:textAlignment w:val="auto"/>
        <w:rPr>
          <w:rFonts w:hint="eastAsia" w:ascii="宋体" w:hAnsi="宋体" w:eastAsia="宋体" w:cs="宋体"/>
          <w:sz w:val="24"/>
          <w:szCs w:val="28"/>
        </w:rPr>
      </w:pPr>
      <w:r>
        <w:rPr>
          <w:rFonts w:hint="eastAsia" w:ascii="宋体" w:hAnsi="宋体" w:eastAsia="宋体" w:cs="宋体"/>
          <w:sz w:val="24"/>
          <w:szCs w:val="28"/>
        </w:rPr>
        <w:t>供应商应在投标文件正副本中指定的页面落款处填写供应商全称，并按要求加盖公章</w:t>
      </w:r>
      <w:r>
        <w:rPr>
          <w:rFonts w:hint="eastAsia" w:ascii="宋体" w:hAnsi="宋体" w:cs="宋体"/>
          <w:sz w:val="24"/>
          <w:szCs w:val="28"/>
          <w:lang w:val="en-US" w:eastAsia="zh-CN"/>
        </w:rPr>
        <w:t>或</w:t>
      </w:r>
      <w:r>
        <w:rPr>
          <w:rFonts w:hint="eastAsia" w:ascii="宋体" w:hAnsi="宋体" w:eastAsia="宋体" w:cs="宋体"/>
          <w:sz w:val="24"/>
          <w:szCs w:val="28"/>
        </w:rPr>
        <w:t>签字</w:t>
      </w:r>
      <w:r>
        <w:rPr>
          <w:rFonts w:hint="eastAsia" w:ascii="宋体" w:hAnsi="宋体" w:cs="宋体"/>
          <w:sz w:val="24"/>
          <w:szCs w:val="28"/>
          <w:lang w:eastAsia="zh-CN"/>
        </w:rPr>
        <w:t>（</w:t>
      </w:r>
      <w:r>
        <w:rPr>
          <w:rFonts w:hint="eastAsia" w:ascii="宋体" w:hAnsi="宋体" w:eastAsia="宋体" w:cs="宋体"/>
          <w:sz w:val="24"/>
          <w:szCs w:val="28"/>
        </w:rPr>
        <w:t>包括投标文件的封面）。</w:t>
      </w:r>
    </w:p>
    <w:p w14:paraId="2F911CF2">
      <w:pPr>
        <w:pageBreakBefore w:val="0"/>
        <w:numPr>
          <w:ilvl w:val="0"/>
          <w:numId w:val="7"/>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响应文件应字迹清楚、内容齐全、不得涂改或增删。如有修改和增删，必须有供应商公章及法定代表人或其授权代表签字。</w:t>
      </w:r>
    </w:p>
    <w:p w14:paraId="342B97C3">
      <w:pPr>
        <w:pageBreakBefore w:val="0"/>
        <w:numPr>
          <w:ilvl w:val="0"/>
          <w:numId w:val="7"/>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因响应文件字迹潦草或表达不清所引起的不利后果由供应商承担。</w:t>
      </w:r>
    </w:p>
    <w:p w14:paraId="4AC5361D">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cs="宋体"/>
          <w:sz w:val="24"/>
          <w:szCs w:val="28"/>
          <w:lang w:val="en-US" w:eastAsia="zh-CN"/>
        </w:rPr>
        <w:t>5</w:t>
      </w:r>
      <w:r>
        <w:rPr>
          <w:rFonts w:hint="eastAsia" w:ascii="宋体" w:hAnsi="宋体" w:eastAsia="宋体" w:cs="宋体"/>
          <w:sz w:val="24"/>
          <w:szCs w:val="28"/>
        </w:rPr>
        <w:t>.4响应文件的密封</w:t>
      </w:r>
    </w:p>
    <w:p w14:paraId="483CF9F1">
      <w:pPr>
        <w:pageBreakBefore w:val="0"/>
        <w:wordWrap/>
        <w:topLinePunct w:val="0"/>
        <w:autoSpaceDE/>
        <w:autoSpaceDN/>
        <w:bidi w:val="0"/>
        <w:spacing w:line="360" w:lineRule="auto"/>
        <w:ind w:left="0" w:leftChars="0" w:right="0" w:rightChars="0" w:firstLine="600" w:firstLineChars="250"/>
        <w:jc w:val="left"/>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响应文件正本、</w:t>
      </w:r>
      <w:r>
        <w:rPr>
          <w:rFonts w:hint="eastAsia" w:ascii="宋体" w:hAnsi="宋体" w:eastAsia="宋体" w:cs="宋体"/>
          <w:color w:val="000000" w:themeColor="text1"/>
          <w:sz w:val="24"/>
          <w:szCs w:val="28"/>
          <w:highlight w:val="none"/>
          <w14:textFill>
            <w14:solidFill>
              <w14:schemeClr w14:val="tx1"/>
            </w14:solidFill>
          </w14:textFill>
        </w:rPr>
        <w:t>副本</w:t>
      </w:r>
      <w:r>
        <w:rPr>
          <w:rFonts w:hint="eastAsia" w:ascii="宋体" w:hAnsi="宋体" w:eastAsia="宋体" w:cs="宋体"/>
          <w:color w:val="auto"/>
          <w:sz w:val="24"/>
          <w:szCs w:val="28"/>
          <w:highlight w:val="none"/>
        </w:rPr>
        <w:t>应分开封装</w:t>
      </w:r>
      <w:r>
        <w:rPr>
          <w:rFonts w:hint="eastAsia" w:ascii="宋体" w:hAnsi="宋体" w:eastAsia="宋体" w:cs="宋体"/>
          <w:color w:val="000000" w:themeColor="text1"/>
          <w:sz w:val="24"/>
          <w:szCs w:val="28"/>
          <w:highlight w:val="none"/>
          <w14:textFill>
            <w14:solidFill>
              <w14:schemeClr w14:val="tx1"/>
            </w14:solidFill>
          </w14:textFill>
        </w:rPr>
        <w:t>在单</w:t>
      </w:r>
      <w:r>
        <w:rPr>
          <w:rFonts w:hint="eastAsia" w:ascii="宋体" w:hAnsi="宋体" w:eastAsia="宋体" w:cs="宋体"/>
          <w:color w:val="000000" w:themeColor="text1"/>
          <w:sz w:val="24"/>
          <w:szCs w:val="28"/>
          <w14:textFill>
            <w14:solidFill>
              <w14:schemeClr w14:val="tx1"/>
            </w14:solidFill>
          </w14:textFill>
        </w:rPr>
        <w:t>独的封袋中（封袋不得有破损），且在封袋正面标明“正本”“副本”</w:t>
      </w:r>
      <w:r>
        <w:rPr>
          <w:rFonts w:hint="eastAsia" w:ascii="宋体" w:hAnsi="宋体" w:cs="宋体"/>
          <w:color w:val="000000" w:themeColor="text1"/>
          <w:sz w:val="24"/>
          <w:szCs w:val="28"/>
          <w:lang w:eastAsia="zh-CN"/>
          <w14:textFill>
            <w14:solidFill>
              <w14:schemeClr w14:val="tx1"/>
            </w14:solidFill>
          </w14:textFill>
        </w:rPr>
        <w:t>，电子文件U盘</w:t>
      </w:r>
      <w:r>
        <w:rPr>
          <w:rFonts w:hint="eastAsia" w:ascii="宋体" w:hAnsi="宋体" w:cs="宋体"/>
          <w:color w:val="000000" w:themeColor="text1"/>
          <w:sz w:val="24"/>
          <w:szCs w:val="28"/>
          <w:lang w:val="en-US" w:eastAsia="zh-CN"/>
          <w14:textFill>
            <w14:solidFill>
              <w14:schemeClr w14:val="tx1"/>
            </w14:solidFill>
          </w14:textFill>
        </w:rPr>
        <w:t>装入正本</w:t>
      </w:r>
      <w:r>
        <w:rPr>
          <w:rFonts w:hint="eastAsia" w:ascii="宋体" w:hAnsi="宋体" w:eastAsia="宋体" w:cs="宋体"/>
          <w:color w:val="000000" w:themeColor="text1"/>
          <w:sz w:val="24"/>
          <w:szCs w:val="28"/>
          <w14:textFill>
            <w14:solidFill>
              <w14:schemeClr w14:val="tx1"/>
            </w14:solidFill>
          </w14:textFill>
        </w:rPr>
        <w:t>。封袋应加贴封条，并在封线处加盖供应商鲜章，封袋正面要粘贴供应商全称、项目名称、编号、标段等标识</w:t>
      </w:r>
      <w:r>
        <w:rPr>
          <w:rFonts w:hint="eastAsia" w:ascii="宋体" w:hAnsi="宋体" w:cs="宋体"/>
          <w:color w:val="000000" w:themeColor="text1"/>
          <w:sz w:val="24"/>
          <w:szCs w:val="28"/>
          <w:lang w:eastAsia="zh-CN"/>
          <w14:textFill>
            <w14:solidFill>
              <w14:schemeClr w14:val="tx1"/>
            </w14:solidFill>
          </w14:textFill>
        </w:rPr>
        <w:t>且</w:t>
      </w:r>
      <w:r>
        <w:rPr>
          <w:rFonts w:hint="eastAsia" w:ascii="宋体" w:hAnsi="宋体" w:eastAsia="宋体" w:cs="宋体"/>
          <w:color w:val="000000" w:themeColor="text1"/>
          <w:kern w:val="0"/>
          <w:sz w:val="24"/>
          <w:szCs w:val="28"/>
          <w14:textFill>
            <w14:solidFill>
              <w14:schemeClr w14:val="tx1"/>
            </w14:solidFill>
          </w14:textFill>
        </w:rPr>
        <w:t>响应文件袋上应加盖供应商公章，如果未按上述规定进行密封，供应商的响应文件有权被拒绝</w:t>
      </w:r>
      <w:r>
        <w:rPr>
          <w:rFonts w:hint="eastAsia" w:ascii="宋体" w:hAnsi="宋体" w:eastAsia="宋体" w:cs="宋体"/>
          <w:color w:val="000000" w:themeColor="text1"/>
          <w:sz w:val="24"/>
          <w:szCs w:val="28"/>
          <w14:textFill>
            <w14:solidFill>
              <w14:schemeClr w14:val="tx1"/>
            </w14:solidFill>
          </w14:textFill>
        </w:rPr>
        <w:t>。</w:t>
      </w:r>
    </w:p>
    <w:p w14:paraId="35BB4858">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color w:val="000000" w:themeColor="text1"/>
          <w:sz w:val="24"/>
          <w:szCs w:val="28"/>
          <w14:textFill>
            <w14:solidFill>
              <w14:schemeClr w14:val="tx1"/>
            </w14:solidFill>
          </w14:textFill>
        </w:rPr>
        <w:t>如果供应商未按上述要求密封及加写标</w:t>
      </w:r>
      <w:r>
        <w:rPr>
          <w:rFonts w:hint="eastAsia" w:ascii="宋体" w:hAnsi="宋体" w:eastAsia="宋体" w:cs="宋体"/>
          <w:sz w:val="24"/>
          <w:szCs w:val="28"/>
        </w:rPr>
        <w:t>记，误投或过早启封的响应文件，将自行承担其响应文件被视为无效响应文件的风险。</w:t>
      </w:r>
    </w:p>
    <w:p w14:paraId="22295E5E">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szCs w:val="28"/>
        </w:rPr>
      </w:pPr>
      <w:r>
        <w:rPr>
          <w:rFonts w:hint="eastAsia" w:ascii="宋体" w:hAnsi="宋体" w:cs="宋体"/>
          <w:sz w:val="24"/>
          <w:szCs w:val="28"/>
          <w:lang w:val="en-US" w:eastAsia="zh-CN"/>
        </w:rPr>
        <w:t>5</w:t>
      </w:r>
      <w:r>
        <w:rPr>
          <w:rFonts w:hint="eastAsia" w:ascii="宋体" w:hAnsi="宋体" w:eastAsia="宋体" w:cs="宋体"/>
          <w:sz w:val="24"/>
          <w:szCs w:val="28"/>
        </w:rPr>
        <w:t>.5本次磋商只接受简体中文文字的响应文件；如响应文件中出现外文资料，必须配以中文译文。否则，由此引发的一切责任由供应商自负。</w:t>
      </w:r>
    </w:p>
    <w:p w14:paraId="79505EF0">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kern w:val="0"/>
          <w:sz w:val="24"/>
          <w:szCs w:val="28"/>
        </w:rPr>
      </w:pPr>
      <w:r>
        <w:rPr>
          <w:rFonts w:hint="eastAsia" w:ascii="宋体" w:hAnsi="宋体" w:cs="宋体"/>
          <w:kern w:val="0"/>
          <w:sz w:val="24"/>
          <w:szCs w:val="28"/>
          <w:lang w:val="en-US" w:eastAsia="zh-CN"/>
        </w:rPr>
        <w:t>5</w:t>
      </w:r>
      <w:r>
        <w:rPr>
          <w:rFonts w:hint="eastAsia" w:ascii="宋体" w:hAnsi="宋体" w:eastAsia="宋体" w:cs="宋体"/>
          <w:kern w:val="0"/>
          <w:sz w:val="24"/>
          <w:szCs w:val="28"/>
        </w:rPr>
        <w:t>.6拒绝接受以电话、传真、电子邮件形式的磋商。</w:t>
      </w:r>
    </w:p>
    <w:p w14:paraId="5CB1BB78">
      <w:pPr>
        <w:pageBreakBefore w:val="0"/>
        <w:widowControl/>
        <w:numPr>
          <w:ilvl w:val="0"/>
          <w:numId w:val="3"/>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kern w:val="0"/>
          <w:sz w:val="28"/>
          <w:szCs w:val="32"/>
        </w:rPr>
      </w:pPr>
      <w:bookmarkStart w:id="63" w:name="_Toc536202305"/>
      <w:bookmarkStart w:id="64" w:name="_Toc536429322"/>
      <w:bookmarkStart w:id="65" w:name="_Toc536202382"/>
      <w:bookmarkStart w:id="66" w:name="_Toc536429375"/>
      <w:bookmarkStart w:id="67" w:name="_Toc19543339"/>
      <w:bookmarkStart w:id="68" w:name="_Toc4747"/>
      <w:bookmarkStart w:id="69" w:name="_Toc3565"/>
      <w:bookmarkStart w:id="70" w:name="_Toc3736"/>
      <w:r>
        <w:rPr>
          <w:rFonts w:hint="eastAsia" w:ascii="宋体" w:hAnsi="宋体" w:eastAsia="宋体" w:cs="宋体"/>
          <w:b/>
          <w:bCs/>
          <w:kern w:val="0"/>
          <w:sz w:val="28"/>
          <w:szCs w:val="32"/>
        </w:rPr>
        <w:t>响应文件的递交</w:t>
      </w:r>
      <w:bookmarkEnd w:id="63"/>
      <w:bookmarkEnd w:id="64"/>
      <w:bookmarkEnd w:id="65"/>
      <w:bookmarkEnd w:id="66"/>
      <w:bookmarkEnd w:id="67"/>
      <w:bookmarkEnd w:id="68"/>
      <w:bookmarkEnd w:id="69"/>
      <w:r>
        <w:rPr>
          <w:rFonts w:hint="eastAsia" w:ascii="宋体" w:hAnsi="宋体" w:eastAsia="宋体" w:cs="宋体"/>
          <w:b/>
          <w:bCs/>
          <w:kern w:val="0"/>
          <w:sz w:val="28"/>
          <w:szCs w:val="32"/>
        </w:rPr>
        <w:t xml:space="preserve"> </w:t>
      </w:r>
    </w:p>
    <w:bookmarkEnd w:id="70"/>
    <w:p w14:paraId="1613C14E">
      <w:pPr>
        <w:pStyle w:val="5"/>
        <w:pageBreakBefore w:val="0"/>
        <w:numPr>
          <w:ilvl w:val="0"/>
          <w:numId w:val="8"/>
        </w:numPr>
        <w:wordWrap/>
        <w:topLinePunct w:val="0"/>
        <w:autoSpaceDE/>
        <w:autoSpaceDN/>
        <w:bidi w:val="0"/>
        <w:spacing w:line="360" w:lineRule="auto"/>
        <w:ind w:left="0" w:leftChars="0" w:right="0" w:rightChars="0" w:firstLine="482" w:firstLineChars="200"/>
        <w:textAlignment w:val="auto"/>
        <w:rPr>
          <w:rFonts w:hint="eastAsia" w:ascii="宋体" w:hAnsi="宋体" w:eastAsia="宋体" w:cs="宋体"/>
          <w:sz w:val="24"/>
          <w:szCs w:val="28"/>
        </w:rPr>
      </w:pPr>
      <w:bookmarkStart w:id="71" w:name="_Toc3685"/>
      <w:bookmarkStart w:id="72" w:name="_Toc536202306"/>
      <w:r>
        <w:rPr>
          <w:rFonts w:hint="eastAsia" w:ascii="宋体" w:hAnsi="宋体" w:eastAsia="宋体" w:cs="宋体"/>
          <w:sz w:val="24"/>
          <w:szCs w:val="28"/>
        </w:rPr>
        <w:t>响应文件递交</w:t>
      </w:r>
      <w:bookmarkEnd w:id="71"/>
      <w:bookmarkEnd w:id="72"/>
    </w:p>
    <w:p w14:paraId="02F5E741">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1.1供应商必须在竞争性磋商文件规定的响应文件递交截止时间之前，将全部响应文件递交至采购人项目工作人员；采购人项目承办人在竞争性磋商文件规定的响应文件递交截止时间前，只负责响应文件的接收、清点、造册登记工作，并请供应商代表签字确认，对其有效性不负任何责任。</w:t>
      </w:r>
    </w:p>
    <w:p w14:paraId="068D631E">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1.2采购人在宣布递交响应文件时间截止之后，拒绝接收任何人送达、递交的响应文件及其他资料；</w:t>
      </w:r>
    </w:p>
    <w:p w14:paraId="1DA514A6">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1.3采购人不接受邮寄的响应文件；</w:t>
      </w:r>
    </w:p>
    <w:p w14:paraId="775E8DCD">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1.4无论供应商成交与否，其响应文件恕不退还。</w:t>
      </w:r>
    </w:p>
    <w:p w14:paraId="3CECA301">
      <w:pPr>
        <w:pStyle w:val="5"/>
        <w:pageBreakBefore w:val="0"/>
        <w:numPr>
          <w:ilvl w:val="0"/>
          <w:numId w:val="8"/>
        </w:numPr>
        <w:wordWrap/>
        <w:topLinePunct w:val="0"/>
        <w:autoSpaceDE/>
        <w:autoSpaceDN/>
        <w:bidi w:val="0"/>
        <w:spacing w:line="360" w:lineRule="auto"/>
        <w:ind w:left="0" w:leftChars="0" w:right="0" w:rightChars="0"/>
        <w:textAlignment w:val="auto"/>
        <w:rPr>
          <w:rFonts w:hint="eastAsia" w:ascii="宋体" w:hAnsi="宋体" w:eastAsia="宋体" w:cs="宋体"/>
          <w:sz w:val="24"/>
          <w:szCs w:val="28"/>
        </w:rPr>
      </w:pPr>
      <w:bookmarkStart w:id="73" w:name="_Toc536202307"/>
      <w:bookmarkStart w:id="74" w:name="_Toc12741"/>
      <w:r>
        <w:rPr>
          <w:rFonts w:hint="eastAsia" w:ascii="宋体" w:hAnsi="宋体" w:eastAsia="宋体" w:cs="宋体"/>
          <w:sz w:val="24"/>
          <w:szCs w:val="28"/>
        </w:rPr>
        <w:t>响应文件的修改和撤回</w:t>
      </w:r>
      <w:bookmarkEnd w:id="73"/>
      <w:bookmarkEnd w:id="74"/>
    </w:p>
    <w:p w14:paraId="14138FE3">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2.1供应商在递交响应文件以后，在规定的投标截止时间之前</w:t>
      </w:r>
      <w:r>
        <w:rPr>
          <w:rFonts w:hint="eastAsia" w:ascii="宋体" w:hAnsi="宋体" w:cs="宋体"/>
          <w:sz w:val="24"/>
          <w:szCs w:val="28"/>
          <w:lang w:eastAsia="zh-CN"/>
        </w:rPr>
        <w:t>，</w:t>
      </w:r>
      <w:r>
        <w:rPr>
          <w:rFonts w:hint="eastAsia" w:ascii="宋体" w:hAnsi="宋体" w:eastAsia="宋体" w:cs="宋体"/>
          <w:sz w:val="24"/>
          <w:szCs w:val="28"/>
        </w:rPr>
        <w:t>可以书面形式补充、修改或撤回已递交的响应文件，并以书面形式通知采购人。补充、修改的内容应当按磋商文件要求密封、签署、盖章，并作为响应文件的组成部分；</w:t>
      </w:r>
    </w:p>
    <w:p w14:paraId="344C3B02">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2.2供应商提出修改和撤标要求的，须在投标截止时间前密封送到采购人，并在封面上加注“修改”或“撤回”字样。采购人照相留存后，将响应文件（包含纸质及电子版）退还供应商。</w:t>
      </w:r>
    </w:p>
    <w:p w14:paraId="4656B3AE">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2.3撤回响应文件应以书面形式由有权人（法人代表或授权代表）通知采购人。如采取传真形式撤回投标，随后必须补充有法人代表或授权代表签署的要求撤回投标的正式文件。以在招标开始前送达为准。</w:t>
      </w:r>
    </w:p>
    <w:p w14:paraId="3EAB35FB">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2.4投标截止时间之后，供应商不得补充、修改响应文件。</w:t>
      </w:r>
    </w:p>
    <w:p w14:paraId="595316D5">
      <w:pPr>
        <w:pageBreakBefore w:val="0"/>
        <w:widowControl/>
        <w:numPr>
          <w:ilvl w:val="0"/>
          <w:numId w:val="3"/>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kern w:val="0"/>
          <w:sz w:val="28"/>
          <w:szCs w:val="28"/>
        </w:rPr>
      </w:pPr>
      <w:bookmarkStart w:id="75" w:name="_Toc175"/>
      <w:bookmarkStart w:id="76" w:name="_Toc19543340"/>
      <w:bookmarkStart w:id="77" w:name="_Toc14415"/>
      <w:bookmarkStart w:id="78" w:name="_Toc536429376"/>
      <w:bookmarkStart w:id="79" w:name="_Toc536202308"/>
      <w:bookmarkStart w:id="80" w:name="_Toc27066"/>
      <w:bookmarkStart w:id="81" w:name="_Toc536429323"/>
      <w:bookmarkStart w:id="82" w:name="_Toc536202383"/>
      <w:r>
        <w:rPr>
          <w:rFonts w:hint="eastAsia" w:ascii="宋体" w:hAnsi="宋体" w:eastAsia="宋体" w:cs="宋体"/>
          <w:b/>
          <w:bCs/>
          <w:kern w:val="0"/>
          <w:sz w:val="28"/>
          <w:szCs w:val="28"/>
        </w:rPr>
        <w:t>磋商、评审、定标</w:t>
      </w:r>
      <w:bookmarkEnd w:id="75"/>
      <w:bookmarkEnd w:id="76"/>
      <w:bookmarkEnd w:id="77"/>
      <w:bookmarkEnd w:id="78"/>
      <w:bookmarkEnd w:id="79"/>
      <w:bookmarkEnd w:id="80"/>
      <w:bookmarkEnd w:id="81"/>
      <w:bookmarkEnd w:id="82"/>
    </w:p>
    <w:p w14:paraId="40DF9EBF">
      <w:pPr>
        <w:pStyle w:val="5"/>
        <w:pageBreakBefore w:val="0"/>
        <w:numPr>
          <w:ilvl w:val="0"/>
          <w:numId w:val="9"/>
        </w:numPr>
        <w:wordWrap/>
        <w:topLinePunct w:val="0"/>
        <w:autoSpaceDE/>
        <w:autoSpaceDN/>
        <w:bidi w:val="0"/>
        <w:spacing w:line="360" w:lineRule="auto"/>
        <w:ind w:left="0" w:leftChars="0" w:right="0" w:rightChars="0" w:firstLine="482" w:firstLineChars="200"/>
        <w:textAlignment w:val="auto"/>
        <w:rPr>
          <w:rFonts w:hint="eastAsia" w:ascii="宋体" w:hAnsi="宋体" w:eastAsia="宋体" w:cs="宋体"/>
          <w:sz w:val="24"/>
          <w:szCs w:val="28"/>
        </w:rPr>
      </w:pPr>
      <w:bookmarkStart w:id="83" w:name="_Toc536202309"/>
      <w:r>
        <w:rPr>
          <w:rFonts w:hint="eastAsia" w:ascii="宋体" w:hAnsi="宋体" w:eastAsia="宋体" w:cs="宋体"/>
          <w:sz w:val="24"/>
          <w:szCs w:val="28"/>
        </w:rPr>
        <w:t>磋商</w:t>
      </w:r>
      <w:bookmarkEnd w:id="83"/>
    </w:p>
    <w:p w14:paraId="3F1AF52D">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1.1采购人按磋商公告中规定的时间和地点接收供应商递交的响应文件，主持磋商会议，邀请供应商代表及采购人代表参加。</w:t>
      </w:r>
      <w:r>
        <w:rPr>
          <w:rFonts w:hint="eastAsia" w:ascii="宋体" w:hAnsi="宋体" w:eastAsia="宋体" w:cs="宋体"/>
          <w:sz w:val="24"/>
          <w:szCs w:val="24"/>
        </w:rPr>
        <w:t>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333AAFED">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1.2磋商时，当众查验投标文件密封情况，由投标人或者其推选的代表检查投标文件的密封情况，以确认各投标人的投标文件密封情况是否与递交时一致，没有被提前启封等异常情况。</w:t>
      </w:r>
    </w:p>
    <w:p w14:paraId="73D2B21A">
      <w:pPr>
        <w:pageBreakBefore w:val="0"/>
        <w:wordWrap/>
        <w:overflowPunct w:val="0"/>
        <w:topLinePunct w:val="0"/>
        <w:autoSpaceDE/>
        <w:autoSpaceDN/>
        <w:bidi w:val="0"/>
        <w:adjustRightInd w:val="0"/>
        <w:snapToGrid w:val="0"/>
        <w:spacing w:line="360" w:lineRule="auto"/>
        <w:ind w:left="0" w:leftChars="0" w:right="0" w:rightChars="0" w:firstLine="600" w:firstLineChars="250"/>
        <w:textAlignment w:val="auto"/>
        <w:rPr>
          <w:rFonts w:hint="eastAsia" w:ascii="宋体" w:hAnsi="宋体" w:eastAsia="宋体" w:cs="宋体"/>
          <w:sz w:val="24"/>
          <w:szCs w:val="24"/>
        </w:rPr>
      </w:pPr>
      <w:r>
        <w:rPr>
          <w:rFonts w:hint="eastAsia" w:ascii="宋体" w:hAnsi="宋体" w:eastAsia="宋体" w:cs="宋体"/>
          <w:color w:val="000000"/>
          <w:sz w:val="24"/>
          <w:szCs w:val="28"/>
        </w:rPr>
        <w:t>1.3经确认无误后，</w:t>
      </w:r>
      <w:r>
        <w:rPr>
          <w:rFonts w:hint="eastAsia" w:ascii="宋体" w:hAnsi="宋体" w:eastAsia="宋体" w:cs="宋体"/>
          <w:sz w:val="24"/>
          <w:szCs w:val="24"/>
        </w:rPr>
        <w:t>对密封合格的投标文件由采购人工作人员现场拆封开启，密封不合格的投标文件以及按照“响应文件的修改和撤回”规定，提交了可接受的“撤回”通知书的投标文件将不予拆封。</w:t>
      </w:r>
    </w:p>
    <w:p w14:paraId="30002C5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sz w:val="24"/>
          <w:szCs w:val="28"/>
        </w:rPr>
      </w:pPr>
      <w:r>
        <w:rPr>
          <w:rFonts w:hint="eastAsia" w:ascii="宋体" w:hAnsi="宋体" w:eastAsia="宋体" w:cs="宋体"/>
          <w:sz w:val="24"/>
          <w:szCs w:val="24"/>
        </w:rPr>
        <w:t>1.4投标文件拆封后，宣读投标人名称</w:t>
      </w:r>
      <w:r>
        <w:rPr>
          <w:rFonts w:hint="eastAsia" w:ascii="宋体" w:hAnsi="宋体" w:eastAsia="宋体" w:cs="宋体"/>
          <w:bCs/>
          <w:color w:val="000000"/>
          <w:sz w:val="24"/>
          <w:szCs w:val="24"/>
        </w:rPr>
        <w:t>。</w:t>
      </w:r>
    </w:p>
    <w:p w14:paraId="35BD9E29">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sz w:val="24"/>
          <w:szCs w:val="28"/>
        </w:rPr>
      </w:pPr>
      <w:bookmarkStart w:id="84" w:name="_Toc536202310"/>
      <w:r>
        <w:rPr>
          <w:rFonts w:hint="eastAsia" w:ascii="宋体" w:hAnsi="宋体" w:cs="宋体"/>
          <w:sz w:val="24"/>
          <w:szCs w:val="28"/>
          <w:lang w:val="en-US" w:eastAsia="zh-CN"/>
        </w:rPr>
        <w:t>2、</w:t>
      </w:r>
      <w:r>
        <w:rPr>
          <w:rFonts w:hint="eastAsia" w:ascii="宋体" w:hAnsi="宋体" w:eastAsia="宋体" w:cs="宋体"/>
          <w:sz w:val="24"/>
          <w:szCs w:val="28"/>
        </w:rPr>
        <w:t>磋商小组</w:t>
      </w:r>
      <w:bookmarkEnd w:id="84"/>
    </w:p>
    <w:p w14:paraId="2C7B97A5">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bookmarkStart w:id="85" w:name="_Toc386129876"/>
      <w:bookmarkStart w:id="86" w:name="_Toc28085"/>
      <w:bookmarkStart w:id="87" w:name="_Toc385958808"/>
      <w:bookmarkStart w:id="88" w:name="_Toc536202311"/>
      <w:bookmarkStart w:id="89" w:name="_Toc27940"/>
      <w:r>
        <w:rPr>
          <w:rFonts w:hint="eastAsia" w:ascii="宋体" w:hAnsi="宋体" w:eastAsia="宋体" w:cs="宋体"/>
          <w:sz w:val="24"/>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79247B88">
      <w:pPr>
        <w:pageBreakBefore w:val="0"/>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sz w:val="24"/>
        </w:rPr>
      </w:pPr>
      <w:r>
        <w:rPr>
          <w:rFonts w:hint="eastAsia" w:ascii="宋体" w:hAnsi="宋体" w:eastAsia="宋体" w:cs="宋体"/>
          <w:sz w:val="24"/>
        </w:rPr>
        <w:t>（1）要严格遵守政府采购相关法律制度，依法履行各自职责，公正、客观、审慎地组织和参与评审工作；</w:t>
      </w:r>
    </w:p>
    <w:p w14:paraId="3715CB33">
      <w:pPr>
        <w:pageBreakBefore w:val="0"/>
        <w:tabs>
          <w:tab w:val="left" w:pos="1200"/>
        </w:tabs>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（2）对所有响应文件逐一进行资格性、符合性审查，并</w:t>
      </w:r>
      <w:r>
        <w:rPr>
          <w:rFonts w:hint="eastAsia" w:ascii="宋体" w:hAnsi="宋体" w:cs="宋体"/>
          <w:sz w:val="24"/>
          <w:lang w:eastAsia="zh-CN"/>
        </w:rPr>
        <w:t>作出评价</w:t>
      </w:r>
      <w:r>
        <w:rPr>
          <w:rFonts w:hint="eastAsia" w:ascii="宋体" w:hAnsi="宋体" w:eastAsia="宋体" w:cs="宋体"/>
          <w:sz w:val="24"/>
        </w:rPr>
        <w:t>；</w:t>
      </w:r>
    </w:p>
    <w:p w14:paraId="324D5DC4">
      <w:pPr>
        <w:pageBreakBefore w:val="0"/>
        <w:tabs>
          <w:tab w:val="left" w:pos="1200"/>
        </w:tabs>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sz w:val="24"/>
        </w:rPr>
      </w:pPr>
      <w:r>
        <w:rPr>
          <w:rFonts w:hint="eastAsia" w:ascii="宋体" w:hAnsi="宋体" w:eastAsia="宋体" w:cs="宋体"/>
          <w:sz w:val="24"/>
        </w:rPr>
        <w:t>（3）按磋商文件规定的评审方法和标准，进行比较和评价；对供应商的价格分等客观评分项的评分应当一致；</w:t>
      </w:r>
    </w:p>
    <w:p w14:paraId="4AAFDDDE">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（4）要求供应商对响应文件有关事项作出解释或澄清；</w:t>
      </w:r>
    </w:p>
    <w:p w14:paraId="0C399648">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（5）要依法独立评审，按照磋商文件的要求和评标标准进行评标，推荐成交候选供应商名单，对评审意见承担个人责任；</w:t>
      </w:r>
    </w:p>
    <w:p w14:paraId="5F99CBDA">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rPr>
        <w:t>（6）对需要共同认定的事项存在争议的，按照少数服从多数的原则</w:t>
      </w:r>
      <w:r>
        <w:rPr>
          <w:rFonts w:hint="eastAsia" w:ascii="宋体" w:hAnsi="宋体" w:cs="宋体"/>
          <w:sz w:val="24"/>
          <w:lang w:eastAsia="zh-CN"/>
        </w:rPr>
        <w:t>作出</w:t>
      </w:r>
      <w:r>
        <w:rPr>
          <w:rFonts w:hint="eastAsia" w:ascii="宋体" w:hAnsi="宋体" w:eastAsia="宋体" w:cs="宋体"/>
          <w:sz w:val="24"/>
        </w:rPr>
        <w:t xml:space="preserve">结论。持不同意见的磋商小组成员应当在评审报告上签署不同意见并说明理由，否则视为同意； </w:t>
      </w:r>
    </w:p>
    <w:p w14:paraId="6BE304E1">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rPr>
        <w:t>（7）对评审情况以及在评审过程中获悉的国家秘密、商业秘密负有保密责任；</w:t>
      </w:r>
    </w:p>
    <w:p w14:paraId="77A5D7E8">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8</w:t>
      </w:r>
      <w:r>
        <w:rPr>
          <w:rFonts w:hint="eastAsia" w:ascii="宋体" w:hAnsi="宋体" w:eastAsia="宋体" w:cs="宋体"/>
          <w:sz w:val="24"/>
          <w:lang w:eastAsia="zh-CN"/>
        </w:rPr>
        <w:t>）</w:t>
      </w:r>
      <w:r>
        <w:rPr>
          <w:rFonts w:hint="eastAsia" w:ascii="宋体" w:hAnsi="宋体" w:eastAsia="宋体" w:cs="宋体"/>
          <w:sz w:val="24"/>
        </w:rPr>
        <w:t xml:space="preserve"> 配合财政部门的投诉处理工作；</w:t>
      </w:r>
    </w:p>
    <w:p w14:paraId="7710F606">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9</w:t>
      </w:r>
      <w:r>
        <w:rPr>
          <w:rFonts w:hint="eastAsia" w:ascii="宋体" w:hAnsi="宋体" w:eastAsia="宋体" w:cs="宋体"/>
          <w:sz w:val="24"/>
          <w:lang w:eastAsia="zh-CN"/>
        </w:rPr>
        <w:t>）</w:t>
      </w:r>
      <w:r>
        <w:rPr>
          <w:rFonts w:hint="eastAsia" w:ascii="宋体" w:hAnsi="宋体" w:eastAsia="宋体" w:cs="宋体"/>
          <w:sz w:val="24"/>
        </w:rPr>
        <w:t>配合采购人、采购代理机构答复供应商提出的质疑。</w:t>
      </w:r>
    </w:p>
    <w:bookmarkEnd w:id="85"/>
    <w:bookmarkEnd w:id="86"/>
    <w:bookmarkEnd w:id="87"/>
    <w:bookmarkEnd w:id="88"/>
    <w:bookmarkEnd w:id="89"/>
    <w:p w14:paraId="010B11AE">
      <w:pPr>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b/>
          <w:sz w:val="24"/>
        </w:rPr>
      </w:pPr>
      <w:bookmarkStart w:id="90" w:name="_Toc536202313"/>
      <w:r>
        <w:rPr>
          <w:rFonts w:hint="eastAsia" w:ascii="宋体" w:hAnsi="宋体" w:eastAsia="宋体" w:cs="宋体"/>
          <w:b/>
          <w:sz w:val="24"/>
        </w:rPr>
        <w:t>3、响应文件的初审</w:t>
      </w:r>
    </w:p>
    <w:p w14:paraId="644EBEAE">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（1）初审分为资格性审查和符合性审查。</w:t>
      </w:r>
    </w:p>
    <w:p w14:paraId="4DAA5E01">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（2）资格性审查：依据磋商文件的规定，对供应商的资格证明文件进行审查，以确定供应商是否具备磋商资格。</w:t>
      </w:r>
    </w:p>
    <w:p w14:paraId="6EBCFF7F">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（3）符合性审查：依据磋商文件规定，从响应文件的有效性、完整性和对磋商文件的响应程度进行审查。</w:t>
      </w:r>
    </w:p>
    <w:tbl>
      <w:tblPr>
        <w:tblStyle w:val="3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359"/>
        <w:gridCol w:w="3770"/>
        <w:gridCol w:w="1002"/>
        <w:gridCol w:w="1497"/>
      </w:tblGrid>
      <w:tr w14:paraId="1F7F9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top"/>
          </w:tcPr>
          <w:p w14:paraId="5A1EEE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2359"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2E75EF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符合性审查项</w:t>
            </w:r>
          </w:p>
        </w:tc>
        <w:tc>
          <w:tcPr>
            <w:tcW w:w="3770"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0EC75C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通过条件</w:t>
            </w:r>
          </w:p>
        </w:tc>
        <w:tc>
          <w:tcPr>
            <w:tcW w:w="1002"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4C6D4F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结论</w:t>
            </w:r>
          </w:p>
        </w:tc>
        <w:tc>
          <w:tcPr>
            <w:tcW w:w="1497"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32027D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未通过原因</w:t>
            </w:r>
          </w:p>
        </w:tc>
      </w:tr>
      <w:tr w14:paraId="7333D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369B98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c>
          <w:tcPr>
            <w:tcW w:w="2359" w:type="dxa"/>
            <w:tcBorders>
              <w:top w:val="single" w:color="auto" w:sz="4" w:space="0"/>
              <w:left w:val="single" w:color="auto" w:sz="4" w:space="0"/>
              <w:bottom w:val="single" w:color="auto" w:sz="4" w:space="0"/>
              <w:right w:val="single" w:color="auto" w:sz="4" w:space="0"/>
            </w:tcBorders>
            <w:vAlign w:val="top"/>
          </w:tcPr>
          <w:p w14:paraId="11E03C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投标文件正、副本数量及装订方式</w:t>
            </w:r>
          </w:p>
        </w:tc>
        <w:tc>
          <w:tcPr>
            <w:tcW w:w="3770" w:type="dxa"/>
            <w:tcBorders>
              <w:top w:val="single" w:color="auto" w:sz="4" w:space="0"/>
              <w:left w:val="single" w:color="auto" w:sz="4" w:space="0"/>
              <w:bottom w:val="single" w:color="auto" w:sz="4" w:space="0"/>
              <w:right w:val="single" w:color="auto" w:sz="4" w:space="0"/>
            </w:tcBorders>
            <w:vAlign w:val="center"/>
          </w:tcPr>
          <w:p w14:paraId="4C7112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均符合</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w:t>
            </w:r>
          </w:p>
        </w:tc>
        <w:tc>
          <w:tcPr>
            <w:tcW w:w="1002" w:type="dxa"/>
            <w:tcBorders>
              <w:top w:val="single" w:color="auto" w:sz="4" w:space="0"/>
              <w:left w:val="single" w:color="auto" w:sz="4" w:space="0"/>
              <w:bottom w:val="single" w:color="auto" w:sz="4" w:space="0"/>
              <w:right w:val="single" w:color="auto" w:sz="4" w:space="0"/>
            </w:tcBorders>
            <w:vAlign w:val="top"/>
          </w:tcPr>
          <w:p w14:paraId="3C7548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7A6421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4ECB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auto" w:sz="4" w:space="0"/>
              <w:left w:val="single" w:color="auto" w:sz="4" w:space="0"/>
              <w:bottom w:val="single" w:color="auto" w:sz="4" w:space="0"/>
              <w:right w:val="single" w:color="auto" w:sz="4" w:space="0"/>
            </w:tcBorders>
            <w:vAlign w:val="top"/>
          </w:tcPr>
          <w:p w14:paraId="594F5A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c>
          <w:tcPr>
            <w:tcW w:w="2359" w:type="dxa"/>
            <w:tcBorders>
              <w:top w:val="single" w:color="auto" w:sz="4" w:space="0"/>
              <w:left w:val="single" w:color="auto" w:sz="4" w:space="0"/>
              <w:bottom w:val="single" w:color="auto" w:sz="4" w:space="0"/>
              <w:right w:val="single" w:color="auto" w:sz="4" w:space="0"/>
            </w:tcBorders>
            <w:vAlign w:val="top"/>
          </w:tcPr>
          <w:p w14:paraId="46002A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投标文件封面、投标函、法定代表人委托授权书三处的项目名称、项目编号、标段</w:t>
            </w:r>
          </w:p>
        </w:tc>
        <w:tc>
          <w:tcPr>
            <w:tcW w:w="3770" w:type="dxa"/>
            <w:tcBorders>
              <w:top w:val="single" w:color="auto" w:sz="4" w:space="0"/>
              <w:left w:val="single" w:color="auto" w:sz="4" w:space="0"/>
              <w:bottom w:val="single" w:color="auto" w:sz="4" w:space="0"/>
              <w:right w:val="single" w:color="auto" w:sz="4" w:space="0"/>
            </w:tcBorders>
            <w:vAlign w:val="center"/>
          </w:tcPr>
          <w:p w14:paraId="563151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三处均无遗漏，且与所投项目名称、项目编号、标段完全一致。</w:t>
            </w:r>
          </w:p>
        </w:tc>
        <w:tc>
          <w:tcPr>
            <w:tcW w:w="1002" w:type="dxa"/>
            <w:tcBorders>
              <w:top w:val="single" w:color="auto" w:sz="4" w:space="0"/>
              <w:left w:val="single" w:color="auto" w:sz="4" w:space="0"/>
              <w:bottom w:val="single" w:color="auto" w:sz="4" w:space="0"/>
              <w:right w:val="single" w:color="auto" w:sz="4" w:space="0"/>
            </w:tcBorders>
            <w:vAlign w:val="top"/>
          </w:tcPr>
          <w:p w14:paraId="4702A5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0A68E7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4BF59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30FBFD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p>
        </w:tc>
        <w:tc>
          <w:tcPr>
            <w:tcW w:w="2359" w:type="dxa"/>
            <w:tcBorders>
              <w:top w:val="single" w:color="auto" w:sz="4" w:space="0"/>
              <w:left w:val="single" w:color="auto" w:sz="4" w:space="0"/>
              <w:bottom w:val="single" w:color="auto" w:sz="4" w:space="0"/>
              <w:right w:val="single" w:color="auto" w:sz="4" w:space="0"/>
            </w:tcBorders>
            <w:vAlign w:val="center"/>
          </w:tcPr>
          <w:p w14:paraId="08A519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投标文件签署、盖章</w:t>
            </w:r>
          </w:p>
        </w:tc>
        <w:tc>
          <w:tcPr>
            <w:tcW w:w="3770" w:type="dxa"/>
            <w:tcBorders>
              <w:top w:val="single" w:color="auto" w:sz="4" w:space="0"/>
              <w:left w:val="single" w:color="auto" w:sz="4" w:space="0"/>
              <w:bottom w:val="single" w:color="auto" w:sz="4" w:space="0"/>
              <w:right w:val="single" w:color="auto" w:sz="4" w:space="0"/>
            </w:tcBorders>
            <w:vAlign w:val="top"/>
          </w:tcPr>
          <w:p w14:paraId="24B621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均按</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要求签字、盖章。（《评标要素及分值一览表》中要求提供的证明材料除外）。</w:t>
            </w:r>
          </w:p>
        </w:tc>
        <w:tc>
          <w:tcPr>
            <w:tcW w:w="1002" w:type="dxa"/>
            <w:tcBorders>
              <w:top w:val="single" w:color="auto" w:sz="4" w:space="0"/>
              <w:left w:val="single" w:color="auto" w:sz="4" w:space="0"/>
              <w:bottom w:val="single" w:color="auto" w:sz="4" w:space="0"/>
              <w:right w:val="single" w:color="auto" w:sz="4" w:space="0"/>
            </w:tcBorders>
            <w:vAlign w:val="top"/>
          </w:tcPr>
          <w:p w14:paraId="2243E6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285E19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5D78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59CDCF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w:t>
            </w:r>
          </w:p>
        </w:tc>
        <w:tc>
          <w:tcPr>
            <w:tcW w:w="2359" w:type="dxa"/>
            <w:tcBorders>
              <w:top w:val="single" w:color="auto" w:sz="4" w:space="0"/>
              <w:left w:val="single" w:color="auto" w:sz="4" w:space="0"/>
              <w:bottom w:val="single" w:color="auto" w:sz="4" w:space="0"/>
              <w:right w:val="single" w:color="auto" w:sz="4" w:space="0"/>
            </w:tcBorders>
            <w:vAlign w:val="center"/>
          </w:tcPr>
          <w:p w14:paraId="23EF56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red"/>
              </w:rPr>
            </w:pPr>
            <w:r>
              <w:rPr>
                <w:rFonts w:hint="eastAsia" w:ascii="宋体" w:hAnsi="宋体" w:eastAsia="宋体" w:cs="宋体"/>
                <w:bCs/>
                <w:color w:val="auto"/>
                <w:kern w:val="0"/>
                <w:sz w:val="24"/>
                <w:szCs w:val="24"/>
                <w:highlight w:val="none"/>
              </w:rPr>
              <w:t>投标文件组成</w:t>
            </w:r>
          </w:p>
        </w:tc>
        <w:tc>
          <w:tcPr>
            <w:tcW w:w="3770" w:type="dxa"/>
            <w:tcBorders>
              <w:top w:val="single" w:color="auto" w:sz="4" w:space="0"/>
              <w:left w:val="single" w:color="auto" w:sz="4" w:space="0"/>
              <w:bottom w:val="single" w:color="auto" w:sz="4" w:space="0"/>
              <w:right w:val="single" w:color="auto" w:sz="4" w:space="0"/>
            </w:tcBorders>
            <w:vAlign w:val="top"/>
          </w:tcPr>
          <w:p w14:paraId="1C0333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投标文件应包含以下内容：</w:t>
            </w:r>
          </w:p>
          <w:p w14:paraId="374C0BB5">
            <w:pPr>
              <w:pStyle w:val="23"/>
              <w:keepNext w:val="0"/>
              <w:keepLines w:val="0"/>
              <w:pageBreakBefore w:val="0"/>
              <w:numPr>
                <w:ilvl w:val="0"/>
                <w:numId w:val="10"/>
              </w:numPr>
              <w:suppressLineNumbers w:val="0"/>
              <w:kinsoku/>
              <w:wordWrap/>
              <w:overflowPunct/>
              <w:topLinePunct w:val="0"/>
              <w:autoSpaceDE/>
              <w:autoSpaceDN/>
              <w:bidi w:val="0"/>
              <w:adjustRightInd/>
              <w:spacing w:before="0" w:beforeAutospacing="0" w:after="0" w:afterAutospacing="0" w:line="288" w:lineRule="auto"/>
              <w:ind w:left="0" w:right="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响应函</w:t>
            </w:r>
          </w:p>
          <w:p w14:paraId="54D6620C">
            <w:pPr>
              <w:pStyle w:val="23"/>
              <w:keepNext w:val="0"/>
              <w:keepLines w:val="0"/>
              <w:pageBreakBefore w:val="0"/>
              <w:numPr>
                <w:ilvl w:val="0"/>
                <w:numId w:val="10"/>
              </w:numPr>
              <w:suppressLineNumbers w:val="0"/>
              <w:kinsoku/>
              <w:wordWrap/>
              <w:overflowPunct/>
              <w:topLinePunct w:val="0"/>
              <w:autoSpaceDE/>
              <w:autoSpaceDN/>
              <w:bidi w:val="0"/>
              <w:adjustRightInd/>
              <w:spacing w:before="0" w:beforeAutospacing="0" w:after="0" w:afterAutospacing="0" w:line="288" w:lineRule="auto"/>
              <w:ind w:left="0" w:right="0"/>
              <w:jc w:val="left"/>
              <w:textAlignment w:val="auto"/>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响应报价</w:t>
            </w:r>
            <w:r>
              <w:rPr>
                <w:rFonts w:hint="eastAsia" w:ascii="宋体" w:hAnsi="宋体" w:eastAsia="宋体" w:cs="宋体"/>
                <w:b w:val="0"/>
                <w:bCs w:val="0"/>
                <w:color w:val="auto"/>
                <w:kern w:val="0"/>
                <w:sz w:val="24"/>
                <w:szCs w:val="24"/>
                <w:highlight w:val="none"/>
              </w:rPr>
              <w:t>表</w:t>
            </w:r>
          </w:p>
          <w:p w14:paraId="363A933E">
            <w:pPr>
              <w:pStyle w:val="23"/>
              <w:keepNext w:val="0"/>
              <w:keepLines w:val="0"/>
              <w:pageBreakBefore w:val="0"/>
              <w:numPr>
                <w:ilvl w:val="0"/>
                <w:numId w:val="10"/>
              </w:numPr>
              <w:suppressLineNumbers w:val="0"/>
              <w:kinsoku/>
              <w:wordWrap/>
              <w:overflowPunct/>
              <w:topLinePunct w:val="0"/>
              <w:autoSpaceDE/>
              <w:autoSpaceDN/>
              <w:bidi w:val="0"/>
              <w:adjustRightInd/>
              <w:spacing w:before="0" w:beforeAutospacing="0" w:after="0" w:afterAutospacing="0" w:line="288" w:lineRule="auto"/>
              <w:ind w:left="0" w:right="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资格证明文件</w:t>
            </w:r>
          </w:p>
          <w:p w14:paraId="40BC6520">
            <w:pPr>
              <w:pStyle w:val="23"/>
              <w:keepNext w:val="0"/>
              <w:keepLines w:val="0"/>
              <w:pageBreakBefore w:val="0"/>
              <w:numPr>
                <w:ilvl w:val="0"/>
                <w:numId w:val="10"/>
              </w:numPr>
              <w:suppressLineNumbers w:val="0"/>
              <w:kinsoku/>
              <w:wordWrap/>
              <w:overflowPunct/>
              <w:topLinePunct w:val="0"/>
              <w:autoSpaceDE/>
              <w:autoSpaceDN/>
              <w:bidi w:val="0"/>
              <w:adjustRightInd/>
              <w:spacing w:before="0" w:beforeAutospacing="0" w:after="0" w:afterAutospacing="0" w:line="288" w:lineRule="auto"/>
              <w:ind w:left="0" w:right="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商务响应</w:t>
            </w:r>
            <w:r>
              <w:rPr>
                <w:rFonts w:hint="eastAsia" w:ascii="宋体" w:hAnsi="宋体" w:eastAsia="宋体" w:cs="宋体"/>
                <w:b w:val="0"/>
                <w:bCs w:val="0"/>
                <w:color w:val="auto"/>
                <w:kern w:val="0"/>
                <w:sz w:val="24"/>
                <w:szCs w:val="24"/>
                <w:highlight w:val="none"/>
                <w:lang w:val="en-US" w:eastAsia="zh-CN"/>
              </w:rPr>
              <w:t>偏离表</w:t>
            </w:r>
          </w:p>
          <w:p w14:paraId="55BAEECF">
            <w:pPr>
              <w:pStyle w:val="23"/>
              <w:keepNext w:val="0"/>
              <w:keepLines w:val="0"/>
              <w:pageBreakBefore w:val="0"/>
              <w:numPr>
                <w:ilvl w:val="0"/>
                <w:numId w:val="10"/>
              </w:numPr>
              <w:suppressLineNumbers w:val="0"/>
              <w:kinsoku/>
              <w:wordWrap/>
              <w:overflowPunct/>
              <w:topLinePunct w:val="0"/>
              <w:autoSpaceDE/>
              <w:autoSpaceDN/>
              <w:bidi w:val="0"/>
              <w:adjustRightInd/>
              <w:spacing w:before="0" w:beforeAutospacing="0" w:after="0" w:afterAutospacing="0" w:line="288" w:lineRule="auto"/>
              <w:ind w:left="0" w:right="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投标方案</w:t>
            </w:r>
          </w:p>
          <w:p w14:paraId="550EBC22">
            <w:pPr>
              <w:pStyle w:val="23"/>
              <w:keepNext w:val="0"/>
              <w:keepLines w:val="0"/>
              <w:pageBreakBefore w:val="0"/>
              <w:numPr>
                <w:ilvl w:val="0"/>
                <w:numId w:val="10"/>
              </w:numPr>
              <w:suppressLineNumbers w:val="0"/>
              <w:kinsoku/>
              <w:wordWrap/>
              <w:overflowPunct/>
              <w:topLinePunct w:val="0"/>
              <w:autoSpaceDE/>
              <w:autoSpaceDN/>
              <w:bidi w:val="0"/>
              <w:adjustRightInd/>
              <w:spacing w:before="0" w:beforeAutospacing="0" w:after="0" w:afterAutospacing="0" w:line="288" w:lineRule="auto"/>
              <w:ind w:left="0" w:right="0"/>
              <w:jc w:val="left"/>
              <w:textAlignment w:val="auto"/>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供应商</w:t>
            </w:r>
            <w:r>
              <w:rPr>
                <w:rFonts w:hint="eastAsia" w:ascii="宋体" w:hAnsi="宋体" w:eastAsia="宋体" w:cs="宋体"/>
                <w:b w:val="0"/>
                <w:bCs w:val="0"/>
                <w:color w:val="auto"/>
                <w:kern w:val="0"/>
                <w:sz w:val="24"/>
                <w:szCs w:val="24"/>
                <w:highlight w:val="none"/>
              </w:rPr>
              <w:t>承诺书</w:t>
            </w:r>
          </w:p>
        </w:tc>
        <w:tc>
          <w:tcPr>
            <w:tcW w:w="1002" w:type="dxa"/>
            <w:tcBorders>
              <w:top w:val="single" w:color="auto" w:sz="4" w:space="0"/>
              <w:left w:val="single" w:color="auto" w:sz="4" w:space="0"/>
              <w:bottom w:val="single" w:color="auto" w:sz="4" w:space="0"/>
              <w:right w:val="single" w:color="auto" w:sz="4" w:space="0"/>
            </w:tcBorders>
            <w:vAlign w:val="top"/>
          </w:tcPr>
          <w:p w14:paraId="2CBF0F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11F30F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060D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660" w:type="dxa"/>
            <w:tcBorders>
              <w:top w:val="single" w:color="auto" w:sz="4" w:space="0"/>
              <w:left w:val="single" w:color="auto" w:sz="4" w:space="0"/>
              <w:bottom w:val="single" w:color="auto" w:sz="4" w:space="0"/>
              <w:right w:val="single" w:color="auto" w:sz="4" w:space="0"/>
            </w:tcBorders>
            <w:vAlign w:val="top"/>
          </w:tcPr>
          <w:p w14:paraId="177E9D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w:t>
            </w:r>
          </w:p>
        </w:tc>
        <w:tc>
          <w:tcPr>
            <w:tcW w:w="2359" w:type="dxa"/>
            <w:tcBorders>
              <w:top w:val="single" w:color="auto" w:sz="4" w:space="0"/>
              <w:left w:val="single" w:color="auto" w:sz="4" w:space="0"/>
              <w:bottom w:val="single" w:color="auto" w:sz="4" w:space="0"/>
              <w:right w:val="single" w:color="auto" w:sz="4" w:space="0"/>
            </w:tcBorders>
            <w:vAlign w:val="center"/>
          </w:tcPr>
          <w:p w14:paraId="5C2767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投标文件的计量单位、语言、报价货币、投标有效期</w:t>
            </w:r>
          </w:p>
        </w:tc>
        <w:tc>
          <w:tcPr>
            <w:tcW w:w="3770" w:type="dxa"/>
            <w:tcBorders>
              <w:top w:val="single" w:color="auto" w:sz="4" w:space="0"/>
              <w:left w:val="single" w:color="auto" w:sz="4" w:space="0"/>
              <w:bottom w:val="single" w:color="auto" w:sz="4" w:space="0"/>
              <w:right w:val="single" w:color="auto" w:sz="4" w:space="0"/>
            </w:tcBorders>
            <w:vAlign w:val="center"/>
          </w:tcPr>
          <w:p w14:paraId="0325F2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计量单位、语言、报价货币、投标有效期均符合</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w:t>
            </w:r>
          </w:p>
        </w:tc>
        <w:tc>
          <w:tcPr>
            <w:tcW w:w="1002" w:type="dxa"/>
            <w:tcBorders>
              <w:top w:val="single" w:color="auto" w:sz="4" w:space="0"/>
              <w:left w:val="single" w:color="auto" w:sz="4" w:space="0"/>
              <w:bottom w:val="single" w:color="auto" w:sz="4" w:space="0"/>
              <w:right w:val="single" w:color="auto" w:sz="4" w:space="0"/>
            </w:tcBorders>
            <w:vAlign w:val="center"/>
          </w:tcPr>
          <w:p w14:paraId="05ED73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130E26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7923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01FA2A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6</w:t>
            </w:r>
          </w:p>
        </w:tc>
        <w:tc>
          <w:tcPr>
            <w:tcW w:w="2359" w:type="dxa"/>
            <w:tcBorders>
              <w:top w:val="single" w:color="auto" w:sz="4" w:space="0"/>
              <w:left w:val="single" w:color="auto" w:sz="4" w:space="0"/>
              <w:bottom w:val="single" w:color="auto" w:sz="4" w:space="0"/>
              <w:right w:val="single" w:color="auto" w:sz="4" w:space="0"/>
            </w:tcBorders>
            <w:vAlign w:val="center"/>
          </w:tcPr>
          <w:p w14:paraId="2A8842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报价</w:t>
            </w:r>
          </w:p>
        </w:tc>
        <w:tc>
          <w:tcPr>
            <w:tcW w:w="3770" w:type="dxa"/>
            <w:tcBorders>
              <w:top w:val="single" w:color="auto" w:sz="4" w:space="0"/>
              <w:left w:val="single" w:color="auto" w:sz="4" w:space="0"/>
              <w:bottom w:val="single" w:color="auto" w:sz="4" w:space="0"/>
              <w:right w:val="single" w:color="auto" w:sz="4" w:space="0"/>
            </w:tcBorders>
            <w:vAlign w:val="top"/>
          </w:tcPr>
          <w:p w14:paraId="61C053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报价符合唯一性要求：</w:t>
            </w:r>
          </w:p>
          <w:p w14:paraId="0D5B3D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（2）开标一览表填写符合要求；</w:t>
            </w:r>
          </w:p>
          <w:p w14:paraId="2CEDDC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（3）未超出采购预算或</w:t>
            </w:r>
            <w:r>
              <w:rPr>
                <w:rFonts w:hint="eastAsia" w:ascii="宋体" w:hAnsi="宋体" w:cs="宋体"/>
                <w:bCs/>
                <w:color w:val="auto"/>
                <w:kern w:val="0"/>
                <w:sz w:val="24"/>
                <w:szCs w:val="24"/>
                <w:highlight w:val="none"/>
                <w:lang w:eastAsia="zh-CN"/>
              </w:rPr>
              <w:t>磋商文件</w:t>
            </w:r>
            <w:r>
              <w:rPr>
                <w:rFonts w:hint="eastAsia" w:ascii="宋体" w:hAnsi="宋体" w:eastAsia="宋体" w:cs="宋体"/>
                <w:bCs/>
                <w:color w:val="auto"/>
                <w:kern w:val="0"/>
                <w:sz w:val="24"/>
                <w:szCs w:val="24"/>
                <w:highlight w:val="none"/>
              </w:rPr>
              <w:t>规定的最高限价；</w:t>
            </w:r>
          </w:p>
        </w:tc>
        <w:tc>
          <w:tcPr>
            <w:tcW w:w="1002" w:type="dxa"/>
            <w:tcBorders>
              <w:top w:val="single" w:color="auto" w:sz="4" w:space="0"/>
              <w:left w:val="single" w:color="auto" w:sz="4" w:space="0"/>
              <w:bottom w:val="single" w:color="auto" w:sz="4" w:space="0"/>
              <w:right w:val="single" w:color="auto" w:sz="4" w:space="0"/>
            </w:tcBorders>
            <w:vAlign w:val="top"/>
          </w:tcPr>
          <w:p w14:paraId="6EC8AF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11B9BE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017C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60" w:type="dxa"/>
            <w:tcBorders>
              <w:top w:val="single" w:color="auto" w:sz="4" w:space="0"/>
              <w:left w:val="single" w:color="auto" w:sz="4" w:space="0"/>
              <w:bottom w:val="single" w:color="auto" w:sz="4" w:space="0"/>
              <w:right w:val="single" w:color="auto" w:sz="4" w:space="0"/>
            </w:tcBorders>
            <w:vAlign w:val="top"/>
          </w:tcPr>
          <w:p w14:paraId="1F9220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7</w:t>
            </w:r>
          </w:p>
        </w:tc>
        <w:tc>
          <w:tcPr>
            <w:tcW w:w="2359" w:type="dxa"/>
            <w:tcBorders>
              <w:top w:val="single" w:color="auto" w:sz="4" w:space="0"/>
              <w:left w:val="single" w:color="auto" w:sz="4" w:space="0"/>
              <w:bottom w:val="single" w:color="auto" w:sz="4" w:space="0"/>
              <w:right w:val="single" w:color="auto" w:sz="4" w:space="0"/>
            </w:tcBorders>
            <w:vAlign w:val="center"/>
          </w:tcPr>
          <w:p w14:paraId="413CAF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eastAsia="zh-CN"/>
              </w:rPr>
              <w:t>磋商文件</w:t>
            </w:r>
            <w:r>
              <w:rPr>
                <w:rFonts w:hint="eastAsia" w:ascii="宋体" w:hAnsi="宋体" w:eastAsia="宋体" w:cs="宋体"/>
                <w:bCs/>
                <w:color w:val="auto"/>
                <w:kern w:val="0"/>
                <w:sz w:val="24"/>
                <w:szCs w:val="24"/>
                <w:highlight w:val="none"/>
              </w:rPr>
              <w:t>要求的实质性条款</w:t>
            </w:r>
          </w:p>
        </w:tc>
        <w:tc>
          <w:tcPr>
            <w:tcW w:w="3770" w:type="dxa"/>
            <w:tcBorders>
              <w:top w:val="single" w:color="auto" w:sz="4" w:space="0"/>
              <w:left w:val="single" w:color="auto" w:sz="4" w:space="0"/>
              <w:bottom w:val="single" w:color="auto" w:sz="4" w:space="0"/>
              <w:right w:val="single" w:color="auto" w:sz="4" w:space="0"/>
            </w:tcBorders>
            <w:vAlign w:val="center"/>
          </w:tcPr>
          <w:p w14:paraId="1AB67B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完全响应</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要求的各项实质性条款。</w:t>
            </w:r>
          </w:p>
        </w:tc>
        <w:tc>
          <w:tcPr>
            <w:tcW w:w="1002" w:type="dxa"/>
            <w:tcBorders>
              <w:top w:val="single" w:color="auto" w:sz="4" w:space="0"/>
              <w:left w:val="single" w:color="auto" w:sz="4" w:space="0"/>
              <w:bottom w:val="single" w:color="auto" w:sz="4" w:space="0"/>
              <w:right w:val="single" w:color="auto" w:sz="4" w:space="0"/>
            </w:tcBorders>
            <w:vAlign w:val="top"/>
          </w:tcPr>
          <w:p w14:paraId="03F6D5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03EA37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063C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60" w:type="dxa"/>
            <w:tcBorders>
              <w:top w:val="single" w:color="auto" w:sz="4" w:space="0"/>
              <w:left w:val="single" w:color="auto" w:sz="4" w:space="0"/>
              <w:bottom w:val="single" w:color="auto" w:sz="4" w:space="0"/>
              <w:right w:val="single" w:color="auto" w:sz="4" w:space="0"/>
            </w:tcBorders>
            <w:vAlign w:val="top"/>
          </w:tcPr>
          <w:p w14:paraId="4FAE6D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359" w:type="dxa"/>
            <w:tcBorders>
              <w:top w:val="single" w:color="auto" w:sz="4" w:space="0"/>
              <w:left w:val="single" w:color="auto" w:sz="4" w:space="0"/>
              <w:bottom w:val="single" w:color="auto" w:sz="4" w:space="0"/>
              <w:right w:val="single" w:color="auto" w:sz="4" w:space="0"/>
            </w:tcBorders>
            <w:vAlign w:val="center"/>
          </w:tcPr>
          <w:p w14:paraId="5609D8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合同主要条款响应</w:t>
            </w:r>
          </w:p>
        </w:tc>
        <w:tc>
          <w:tcPr>
            <w:tcW w:w="3770" w:type="dxa"/>
            <w:tcBorders>
              <w:top w:val="single" w:color="auto" w:sz="4" w:space="0"/>
              <w:left w:val="single" w:color="auto" w:sz="4" w:space="0"/>
              <w:bottom w:val="single" w:color="auto" w:sz="4" w:space="0"/>
              <w:right w:val="single" w:color="auto" w:sz="4" w:space="0"/>
            </w:tcBorders>
            <w:vAlign w:val="center"/>
          </w:tcPr>
          <w:p w14:paraId="4A6476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完整响应</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合同主要条款。</w:t>
            </w:r>
          </w:p>
        </w:tc>
        <w:tc>
          <w:tcPr>
            <w:tcW w:w="1002" w:type="dxa"/>
            <w:tcBorders>
              <w:top w:val="single" w:color="auto" w:sz="4" w:space="0"/>
              <w:left w:val="single" w:color="auto" w:sz="4" w:space="0"/>
              <w:bottom w:val="single" w:color="auto" w:sz="4" w:space="0"/>
              <w:right w:val="single" w:color="auto" w:sz="4" w:space="0"/>
            </w:tcBorders>
            <w:vAlign w:val="top"/>
          </w:tcPr>
          <w:p w14:paraId="674538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1202E5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bl>
    <w:p w14:paraId="333B4C34">
      <w:pPr>
        <w:pStyle w:val="11"/>
        <w:rPr>
          <w:rFonts w:hint="eastAsia"/>
        </w:rPr>
      </w:pPr>
    </w:p>
    <w:p w14:paraId="311E1736">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（4）磋商时，响应文件中出现下列情况，修正原则为：</w:t>
      </w:r>
    </w:p>
    <w:p w14:paraId="2C1F3410">
      <w:pPr>
        <w:pageBreakBefore w:val="0"/>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sz w:val="24"/>
        </w:rPr>
      </w:pPr>
      <w:r>
        <w:rPr>
          <w:rFonts w:hint="eastAsia" w:ascii="宋体" w:hAnsi="宋体" w:eastAsia="宋体" w:cs="宋体"/>
          <w:color w:val="000000"/>
          <w:sz w:val="24"/>
        </w:rPr>
        <w:t>A</w:t>
      </w:r>
      <w:r>
        <w:rPr>
          <w:rFonts w:hint="eastAsia" w:ascii="宋体" w:hAnsi="宋体" w:cs="宋体"/>
          <w:color w:val="000000"/>
          <w:sz w:val="24"/>
          <w:lang w:eastAsia="zh-CN"/>
        </w:rPr>
        <w:t>.</w:t>
      </w:r>
      <w:r>
        <w:rPr>
          <w:rFonts w:hint="eastAsia" w:ascii="宋体" w:hAnsi="宋体" w:eastAsia="宋体" w:cs="宋体"/>
          <w:color w:val="000000"/>
          <w:sz w:val="24"/>
        </w:rPr>
        <w:t>响应文件中响应报价表内容与响应文件中明细内容不一致的，以响应报价表为准；</w:t>
      </w:r>
    </w:p>
    <w:p w14:paraId="74EECBC8">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B</w:t>
      </w:r>
      <w:r>
        <w:rPr>
          <w:rFonts w:hint="eastAsia" w:ascii="宋体" w:hAnsi="宋体" w:cs="宋体"/>
          <w:sz w:val="24"/>
          <w:lang w:eastAsia="zh-CN"/>
        </w:rPr>
        <w:t>.</w:t>
      </w:r>
      <w:r>
        <w:rPr>
          <w:rFonts w:hint="eastAsia" w:ascii="宋体" w:hAnsi="宋体" w:eastAsia="宋体" w:cs="宋体"/>
          <w:sz w:val="24"/>
        </w:rPr>
        <w:t>大写金额和小写金额不一致的，以大写金额为准；</w:t>
      </w:r>
    </w:p>
    <w:p w14:paraId="7F5C2946">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C</w:t>
      </w:r>
      <w:r>
        <w:rPr>
          <w:rFonts w:hint="eastAsia" w:ascii="宋体" w:hAnsi="宋体" w:cs="宋体"/>
          <w:sz w:val="24"/>
          <w:lang w:eastAsia="zh-CN"/>
        </w:rPr>
        <w:t>.</w:t>
      </w:r>
      <w:r>
        <w:rPr>
          <w:rFonts w:hint="eastAsia" w:ascii="宋体" w:hAnsi="宋体" w:eastAsia="宋体" w:cs="宋体"/>
          <w:sz w:val="24"/>
        </w:rPr>
        <w:t>单价金额小数点或者百分比有明显错位的，以</w:t>
      </w:r>
      <w:r>
        <w:rPr>
          <w:rFonts w:hint="eastAsia" w:ascii="宋体" w:hAnsi="宋体" w:eastAsia="宋体" w:cs="宋体"/>
          <w:color w:val="000000"/>
          <w:sz w:val="24"/>
        </w:rPr>
        <w:t>响应报价表</w:t>
      </w:r>
      <w:r>
        <w:rPr>
          <w:rFonts w:hint="eastAsia" w:ascii="宋体" w:hAnsi="宋体" w:eastAsia="宋体" w:cs="宋体"/>
          <w:sz w:val="24"/>
        </w:rPr>
        <w:t>的总价为准，并修改单价；</w:t>
      </w:r>
    </w:p>
    <w:p w14:paraId="1ADE75E5">
      <w:pPr>
        <w:pageBreakBefore w:val="0"/>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sz w:val="24"/>
        </w:rPr>
      </w:pPr>
      <w:r>
        <w:rPr>
          <w:rFonts w:hint="eastAsia" w:ascii="宋体" w:hAnsi="宋体" w:eastAsia="宋体" w:cs="宋体"/>
          <w:sz w:val="24"/>
        </w:rPr>
        <w:t>D</w:t>
      </w:r>
      <w:r>
        <w:rPr>
          <w:rFonts w:hint="eastAsia" w:ascii="宋体" w:hAnsi="宋体" w:cs="宋体"/>
          <w:sz w:val="24"/>
          <w:lang w:eastAsia="zh-CN"/>
        </w:rPr>
        <w:t>.</w:t>
      </w:r>
      <w:r>
        <w:rPr>
          <w:rFonts w:hint="eastAsia" w:ascii="宋体" w:hAnsi="宋体" w:eastAsia="宋体" w:cs="宋体"/>
          <w:sz w:val="24"/>
        </w:rPr>
        <w:t xml:space="preserve">总价金额与按单价汇总金额不一致的，以单价金额计算结果为准； </w:t>
      </w:r>
    </w:p>
    <w:p w14:paraId="27245BF9">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E</w:t>
      </w:r>
      <w:r>
        <w:rPr>
          <w:rFonts w:hint="eastAsia" w:ascii="宋体" w:hAnsi="宋体" w:cs="宋体"/>
          <w:sz w:val="24"/>
          <w:lang w:eastAsia="zh-CN"/>
        </w:rPr>
        <w:t>.</w:t>
      </w:r>
      <w:r>
        <w:rPr>
          <w:rFonts w:hint="eastAsia" w:ascii="宋体" w:hAnsi="宋体" w:eastAsia="宋体" w:cs="宋体"/>
          <w:sz w:val="24"/>
        </w:rPr>
        <w:t>响应文件正本与副本不一致的，以正本为准；</w:t>
      </w:r>
    </w:p>
    <w:p w14:paraId="0C834D6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F</w:t>
      </w:r>
      <w:r>
        <w:rPr>
          <w:rFonts w:hint="eastAsia" w:ascii="宋体" w:hAnsi="宋体" w:cs="宋体"/>
          <w:sz w:val="24"/>
          <w:lang w:eastAsia="zh-CN"/>
        </w:rPr>
        <w:t>.</w:t>
      </w:r>
      <w:r>
        <w:rPr>
          <w:rFonts w:hint="eastAsia" w:ascii="宋体" w:hAnsi="宋体" w:eastAsia="宋体" w:cs="宋体"/>
          <w:sz w:val="24"/>
        </w:rPr>
        <w:t>多处内容交叉不符时，以磋商小组评审结果为准；</w:t>
      </w:r>
    </w:p>
    <w:p w14:paraId="1AC63F1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sz w:val="24"/>
          <w:u w:val="none"/>
        </w:rPr>
      </w:pPr>
      <w:r>
        <w:rPr>
          <w:rFonts w:hint="eastAsia" w:ascii="宋体" w:hAnsi="宋体" w:eastAsia="宋体" w:cs="宋体"/>
          <w:sz w:val="24"/>
          <w:u w:val="none"/>
        </w:rPr>
        <w:t xml:space="preserve"> G</w:t>
      </w:r>
      <w:r>
        <w:rPr>
          <w:rFonts w:hint="eastAsia" w:ascii="宋体" w:hAnsi="宋体" w:cs="宋体"/>
          <w:sz w:val="24"/>
          <w:u w:val="none"/>
          <w:lang w:eastAsia="zh-CN"/>
        </w:rPr>
        <w:t>.</w:t>
      </w:r>
      <w:r>
        <w:rPr>
          <w:rFonts w:hint="eastAsia" w:ascii="宋体" w:hAnsi="宋体" w:eastAsia="宋体" w:cs="宋体"/>
          <w:sz w:val="24"/>
          <w:u w:val="none"/>
        </w:rPr>
        <w:t>文字与图表不符的，以文字为准。</w:t>
      </w:r>
    </w:p>
    <w:p w14:paraId="7864F59D">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同时出现两种以上不一致的</w:t>
      </w:r>
    </w:p>
    <w:p w14:paraId="6DF2780F">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按照前款规定的顺序修正。按上述修正错误的原则及方法调整或修正响应文件的报价和内容，供应商同意后，调整后的报价和内容对供应商起约束作用。如果供应商不接受修正后的报价和内容，则其响应文件无效。</w:t>
      </w:r>
    </w:p>
    <w:p w14:paraId="3942303F">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（5）磋商开始后，直到向成交供应商授予合同为止，凡审查、澄清、评价和比较磋商的有关资料，磋商小组成员均不得向供应商及与磋商无关的其他人透露。</w:t>
      </w:r>
    </w:p>
    <w:p w14:paraId="2AD3ED73">
      <w:pPr>
        <w:pageBreakBefore w:val="0"/>
        <w:kinsoku w:val="0"/>
        <w:wordWrap/>
        <w:topLinePunct w:val="0"/>
        <w:autoSpaceDE/>
        <w:autoSpaceDN/>
        <w:bidi w:val="0"/>
        <w:spacing w:line="360" w:lineRule="auto"/>
        <w:ind w:right="0" w:rightChars="0"/>
        <w:textAlignment w:val="auto"/>
        <w:rPr>
          <w:rFonts w:hint="eastAsia" w:ascii="宋体" w:hAnsi="宋体" w:eastAsia="宋体" w:cs="宋体"/>
          <w:b/>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4、</w:t>
      </w:r>
      <w:r>
        <w:rPr>
          <w:rFonts w:hint="eastAsia" w:ascii="宋体" w:hAnsi="宋体" w:eastAsia="宋体" w:cs="宋体"/>
          <w:b/>
          <w:color w:val="000000" w:themeColor="text1"/>
          <w:sz w:val="24"/>
          <w14:textFill>
            <w14:solidFill>
              <w14:schemeClr w14:val="tx1"/>
            </w14:solidFill>
          </w14:textFill>
        </w:rPr>
        <w:t>有下列情形之一的，视为供应商串通投标，磋商小组应当认定其响应文件无效：</w:t>
      </w:r>
    </w:p>
    <w:p w14:paraId="59D51D6C">
      <w:pPr>
        <w:pageBreakBefore w:val="0"/>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不同供应商的响应文件由同一单位或者个人编制；</w:t>
      </w:r>
    </w:p>
    <w:p w14:paraId="5ECA36AE">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B</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xml:space="preserve">不同供应商委托同一单位或者个人办理磋商事宜； </w:t>
      </w:r>
    </w:p>
    <w:p w14:paraId="60819EDF">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C</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不同供应商的响应文件载明的项目管理成员或者联系人员为同一人；</w:t>
      </w:r>
    </w:p>
    <w:p w14:paraId="68825E3A">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D</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不同供应商的响应文件异常一致或者磋商报价呈规律性差异；</w:t>
      </w:r>
    </w:p>
    <w:p w14:paraId="2C61D7B5">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E</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不同供应商的响应文件相互混装；</w:t>
      </w:r>
    </w:p>
    <w:p w14:paraId="689E2C6E">
      <w:pPr>
        <w:pStyle w:val="5"/>
        <w:keepNext w:val="0"/>
        <w:keepLines w:val="0"/>
        <w:pageBreakBefore w:val="0"/>
        <w:wordWrap/>
        <w:topLinePunct w:val="0"/>
        <w:autoSpaceDE/>
        <w:autoSpaceDN/>
        <w:bidi w:val="0"/>
        <w:spacing w:line="360" w:lineRule="auto"/>
        <w:ind w:right="0" w:rightChars="0"/>
        <w:textAlignment w:val="auto"/>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、澄清</w:t>
      </w:r>
    </w:p>
    <w:p w14:paraId="37A95C3B">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BA9CDD5">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color w:val="FF0000"/>
          <w:sz w:val="24"/>
        </w:rPr>
      </w:pPr>
      <w:r>
        <w:rPr>
          <w:rFonts w:hint="eastAsia" w:ascii="宋体" w:hAnsi="宋体" w:eastAsia="宋体" w:cs="宋体"/>
          <w:sz w:val="24"/>
        </w:rPr>
        <w:t>（2）实质性内容包括但不限于：</w:t>
      </w:r>
      <w:r>
        <w:rPr>
          <w:rFonts w:hint="eastAsia" w:ascii="宋体" w:hAnsi="宋体" w:eastAsia="宋体" w:cs="宋体"/>
          <w:color w:val="000000" w:themeColor="text1"/>
          <w:sz w:val="24"/>
          <w14:textFill>
            <w14:solidFill>
              <w14:schemeClr w14:val="tx1"/>
            </w14:solidFill>
          </w14:textFill>
        </w:rPr>
        <w:t>服务期、付款方式、</w:t>
      </w:r>
      <w:r>
        <w:rPr>
          <w:rFonts w:hint="eastAsia" w:ascii="宋体" w:hAnsi="宋体" w:cs="宋体"/>
          <w:color w:val="000000" w:themeColor="text1"/>
          <w:sz w:val="24"/>
          <w:lang w:val="en-US" w:eastAsia="zh-CN"/>
          <w14:textFill>
            <w14:solidFill>
              <w14:schemeClr w14:val="tx1"/>
            </w14:solidFill>
          </w14:textFill>
        </w:rPr>
        <w:t>安全指标、</w:t>
      </w:r>
      <w:r>
        <w:rPr>
          <w:rFonts w:hint="eastAsia" w:ascii="宋体" w:hAnsi="宋体" w:eastAsia="宋体" w:cs="宋体"/>
          <w:color w:val="000000" w:themeColor="text1"/>
          <w:sz w:val="24"/>
          <w14:textFill>
            <w14:solidFill>
              <w14:schemeClr w14:val="tx1"/>
            </w14:solidFill>
          </w14:textFill>
        </w:rPr>
        <w:t>质量指标、主要技术指标等。</w:t>
      </w:r>
    </w:p>
    <w:p w14:paraId="6D8140CB">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（3）磋商小组要求供应商澄清、说明或者更正响应文件应当以书面形式作出，并由其法定代表人或被授权人签字。</w:t>
      </w:r>
    </w:p>
    <w:p w14:paraId="5B2BE41F">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（4）在磋商过程中，磋商小组可以根据磋商文件和磋商情况实质性变动采购需求中的技术、服务要求以及合同草案条款，但不得变动磋商文件中的其他内容。实质性变动的内容，须经采购人代表确认。</w:t>
      </w:r>
    </w:p>
    <w:bookmarkEnd w:id="90"/>
    <w:p w14:paraId="0DA3CC0B">
      <w:pPr>
        <w:pStyle w:val="5"/>
        <w:keepNext w:val="0"/>
        <w:keepLines w:val="0"/>
        <w:pageBreakBefore w:val="0"/>
        <w:wordWrap/>
        <w:topLinePunct w:val="0"/>
        <w:autoSpaceDE/>
        <w:autoSpaceDN/>
        <w:bidi w:val="0"/>
        <w:spacing w:line="360" w:lineRule="auto"/>
        <w:ind w:right="0" w:rightChars="0"/>
        <w:textAlignment w:val="auto"/>
        <w:rPr>
          <w:rFonts w:hint="eastAsia" w:ascii="宋体" w:hAnsi="宋体" w:eastAsia="宋体" w:cs="宋体"/>
          <w:sz w:val="24"/>
          <w:szCs w:val="24"/>
        </w:rPr>
      </w:pPr>
      <w:bookmarkStart w:id="91" w:name="_Toc12947"/>
      <w:bookmarkStart w:id="92" w:name="_Toc536202314"/>
      <w:r>
        <w:rPr>
          <w:rFonts w:hint="eastAsia" w:ascii="宋体" w:hAnsi="宋体" w:cs="宋体"/>
          <w:sz w:val="24"/>
          <w:szCs w:val="24"/>
          <w:lang w:val="en-US" w:eastAsia="zh-CN"/>
        </w:rPr>
        <w:t>6</w:t>
      </w:r>
      <w:r>
        <w:rPr>
          <w:rFonts w:hint="eastAsia" w:ascii="宋体" w:hAnsi="宋体" w:eastAsia="宋体" w:cs="宋体"/>
          <w:sz w:val="24"/>
          <w:szCs w:val="24"/>
        </w:rPr>
        <w:t>、评审方法及内容</w:t>
      </w:r>
      <w:r>
        <w:rPr>
          <w:rFonts w:hint="eastAsia" w:ascii="宋体" w:hAnsi="宋体" w:eastAsia="宋体" w:cs="宋体"/>
          <w:sz w:val="24"/>
          <w:szCs w:val="24"/>
        </w:rPr>
        <w:tab/>
      </w:r>
    </w:p>
    <w:p w14:paraId="1D98961F">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（1）按照磋商文件规定的评审方法和标准，对资格性审查和符合性审查合格的响应文件进行商务和技术评审，综合比较和评价。</w:t>
      </w:r>
    </w:p>
    <w:p w14:paraId="72286005">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2）采用综合评分法：二次报价为最终报价，在满足磋商文件所有实质性要求前提下，提交最终报价。如采购需求没有实质性变化，各供应商的报价应逐次降低，二次报价高于一次报价的，为无效报价，按无效文件处理。最终报价后按照磋商文件中规定的各项因素进行综合评审，以磋商总得分最高的供应商作为成交供应商的磋商方法。若有两个或两个以上最高得分相同，推荐其中报价最低的供应商为成交候选供应商。磋商总得分和最后报价都相同的，按照技术指标优劣顺序推荐。</w:t>
      </w:r>
    </w:p>
    <w:p w14:paraId="7CB9A573">
      <w:pPr>
        <w:pageBreakBefore w:val="0"/>
        <w:wordWrap/>
        <w:topLinePunct w:val="0"/>
        <w:autoSpaceDE/>
        <w:autoSpaceDN/>
        <w:bidi w:val="0"/>
        <w:spacing w:line="360" w:lineRule="auto"/>
        <w:ind w:left="0" w:leftChars="0" w:right="0" w:rightChars="0" w:firstLine="240" w:firstLineChars="100"/>
        <w:textAlignment w:val="auto"/>
        <w:rPr>
          <w:rFonts w:hint="eastAsia" w:ascii="宋体" w:hAnsi="宋体" w:eastAsia="宋体" w:cs="宋体"/>
          <w:sz w:val="24"/>
        </w:rPr>
      </w:pPr>
      <w:r>
        <w:rPr>
          <w:rFonts w:hint="eastAsia" w:ascii="宋体" w:hAnsi="宋体" w:eastAsia="宋体" w:cs="宋体"/>
          <w:sz w:val="24"/>
        </w:rPr>
        <w:t xml:space="preserve"> （3）磋商小组根据以下内容进行综合比较，自主打分，按最后得分由高到低汇总排序，以项目为单位分别推荐三名以上成交候选供应商；磋商小组根据磋商结果写出磋商意见。如果磋商小组出现对磋商结果有不同意见的，应当书面签署不同意见和理由。磋商小组拒绝在磋商意见中签字又不书面说明其不同意见和理由的，视为同意磋商结果。</w:t>
      </w:r>
    </w:p>
    <w:p w14:paraId="493B61AD">
      <w:pPr>
        <w:pageBreakBefore w:val="0"/>
        <w:wordWrap/>
        <w:topLinePunct w:val="0"/>
        <w:autoSpaceDE/>
        <w:autoSpaceDN/>
        <w:bidi w:val="0"/>
        <w:spacing w:line="360" w:lineRule="auto"/>
        <w:ind w:left="0" w:leftChars="0" w:right="0" w:rightChars="0" w:firstLine="240" w:firstLineChars="1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磋商小组须对畸高、畸低的重大差异评分进行复核或书面说明理由。</w:t>
      </w:r>
    </w:p>
    <w:p w14:paraId="62C0CA70">
      <w:pPr>
        <w:pStyle w:val="5"/>
        <w:pageBreakBefore w:val="0"/>
        <w:wordWrap/>
        <w:topLinePunct w:val="0"/>
        <w:autoSpaceDE/>
        <w:autoSpaceDN/>
        <w:bidi w:val="0"/>
        <w:spacing w:line="360" w:lineRule="auto"/>
        <w:ind w:right="0" w:rightChars="0"/>
        <w:textAlignment w:val="auto"/>
        <w:rPr>
          <w:rFonts w:hint="eastAsia" w:ascii="宋体" w:hAnsi="宋体" w:eastAsia="宋体" w:cs="宋体"/>
          <w:sz w:val="24"/>
          <w:szCs w:val="28"/>
        </w:rPr>
      </w:pPr>
      <w:r>
        <w:rPr>
          <w:rFonts w:hint="eastAsia" w:ascii="宋体" w:hAnsi="宋体" w:cs="宋体"/>
          <w:sz w:val="24"/>
          <w:szCs w:val="28"/>
          <w:lang w:val="en-US" w:eastAsia="zh-CN"/>
        </w:rPr>
        <w:t>7</w:t>
      </w:r>
      <w:r>
        <w:rPr>
          <w:rFonts w:hint="eastAsia" w:ascii="宋体" w:hAnsi="宋体" w:eastAsia="宋体" w:cs="宋体"/>
          <w:sz w:val="24"/>
          <w:szCs w:val="28"/>
        </w:rPr>
        <w:t>、定标</w:t>
      </w:r>
      <w:bookmarkEnd w:id="91"/>
      <w:bookmarkEnd w:id="92"/>
    </w:p>
    <w:p w14:paraId="3C1DAD7D">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采购单位在</w:t>
      </w:r>
      <w:r>
        <w:rPr>
          <w:rFonts w:hint="eastAsia" w:ascii="宋体" w:hAnsi="宋体" w:cs="宋体"/>
          <w:sz w:val="24"/>
          <w:szCs w:val="28"/>
          <w:lang w:val="en-US" w:eastAsia="zh-CN"/>
        </w:rPr>
        <w:t>评审结束</w:t>
      </w:r>
      <w:r>
        <w:rPr>
          <w:rFonts w:hint="eastAsia" w:ascii="宋体" w:hAnsi="宋体" w:eastAsia="宋体" w:cs="宋体"/>
          <w:sz w:val="24"/>
          <w:szCs w:val="28"/>
        </w:rPr>
        <w:t>后5个工作日内，按照评审报告中推荐的成交候选人顺序确认第一成交候选人为成交单位，同时</w:t>
      </w:r>
      <w:r>
        <w:rPr>
          <w:rFonts w:hint="eastAsia" w:ascii="宋体" w:hAnsi="宋体" w:cs="宋体"/>
          <w:sz w:val="24"/>
          <w:szCs w:val="28"/>
          <w:lang w:val="en-US" w:eastAsia="zh-CN"/>
        </w:rPr>
        <w:t>公告成交结果并发出成交通知书</w:t>
      </w:r>
      <w:r>
        <w:rPr>
          <w:rFonts w:hint="eastAsia" w:ascii="宋体" w:hAnsi="宋体" w:eastAsia="宋体" w:cs="宋体"/>
          <w:sz w:val="24"/>
          <w:szCs w:val="28"/>
        </w:rPr>
        <w:t>；</w:t>
      </w:r>
    </w:p>
    <w:p w14:paraId="0D90B8FC">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p>
    <w:p w14:paraId="02B1DD6E">
      <w:pPr>
        <w:pageBreakBefore w:val="0"/>
        <w:widowControl/>
        <w:numPr>
          <w:ilvl w:val="0"/>
          <w:numId w:val="3"/>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kern w:val="0"/>
          <w:sz w:val="28"/>
          <w:szCs w:val="28"/>
        </w:rPr>
      </w:pPr>
      <w:bookmarkStart w:id="93" w:name="_Toc536202384"/>
      <w:bookmarkStart w:id="94" w:name="_Toc25308"/>
      <w:bookmarkStart w:id="95" w:name="_Toc19972"/>
      <w:bookmarkStart w:id="96" w:name="_Toc536202315"/>
      <w:bookmarkStart w:id="97" w:name="_Toc11870"/>
      <w:bookmarkStart w:id="98" w:name="_Toc19543341"/>
      <w:bookmarkStart w:id="99" w:name="_Toc536429377"/>
      <w:bookmarkStart w:id="100" w:name="_Toc536429324"/>
      <w:r>
        <w:rPr>
          <w:rFonts w:hint="eastAsia" w:ascii="宋体" w:hAnsi="宋体" w:eastAsia="宋体" w:cs="宋体"/>
          <w:b/>
          <w:bCs/>
          <w:kern w:val="0"/>
          <w:sz w:val="28"/>
          <w:szCs w:val="28"/>
        </w:rPr>
        <w:t>签订合同</w:t>
      </w:r>
      <w:bookmarkEnd w:id="93"/>
      <w:bookmarkEnd w:id="94"/>
      <w:bookmarkEnd w:id="95"/>
      <w:bookmarkEnd w:id="96"/>
      <w:bookmarkEnd w:id="97"/>
      <w:bookmarkEnd w:id="98"/>
      <w:bookmarkEnd w:id="99"/>
      <w:bookmarkEnd w:id="100"/>
    </w:p>
    <w:p w14:paraId="610DADB0">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cs="宋体"/>
          <w:sz w:val="24"/>
          <w:lang w:val="en-US" w:eastAsia="zh-CN"/>
        </w:rPr>
        <w:t>1、</w:t>
      </w:r>
      <w:r>
        <w:rPr>
          <w:rFonts w:hint="eastAsia" w:ascii="宋体" w:hAnsi="宋体" w:eastAsia="宋体" w:cs="宋体"/>
          <w:sz w:val="24"/>
        </w:rPr>
        <w:t>成交后，成交供应商在收到成交通知书后三十（30）个日历日内，应按磋商文件的要求与采购人洽谈合同条款，并签订合同，同时送监督机构备案，磋商文件及成交供应商的响应文件均作为合同的组成部分；</w:t>
      </w:r>
    </w:p>
    <w:p w14:paraId="38FAB499">
      <w:pPr>
        <w:pageBreakBefore w:val="0"/>
        <w:wordWrap/>
        <w:topLinePunct w:val="0"/>
        <w:autoSpaceDE/>
        <w:autoSpaceDN/>
        <w:bidi w:val="0"/>
        <w:spacing w:line="360" w:lineRule="auto"/>
        <w:ind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2、采购人不得向成交供应商提出超出磋商文件以外的任何要求作为签订合同的条件，不得与成交供应商订立背离磋商文件确定的合同文本以及采购服务要求实质性内容的协议。</w:t>
      </w:r>
    </w:p>
    <w:p w14:paraId="0938EAE5">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5886BFDF">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4、政府采购合同在执行过程中，确需修改、变更时，应当按照相应的审核批准程序办理。</w:t>
      </w:r>
    </w:p>
    <w:p w14:paraId="0A1F2196">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5、磋商文件、响应文件、澄清等为政府采购合同的组成部分，具有同等法律效力。</w:t>
      </w:r>
    </w:p>
    <w:p w14:paraId="7E9DC053">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lang w:val="en-US" w:eastAsia="zh-CN"/>
        </w:rPr>
      </w:pPr>
      <w:bookmarkStart w:id="101" w:name="_Toc536429325"/>
      <w:bookmarkStart w:id="102" w:name="_Toc536202316"/>
      <w:bookmarkStart w:id="103" w:name="_Toc26132"/>
      <w:bookmarkStart w:id="104" w:name="_Toc28110"/>
      <w:bookmarkStart w:id="105" w:name="_Toc536202385"/>
      <w:bookmarkStart w:id="106" w:name="_Toc32237"/>
      <w:bookmarkStart w:id="107" w:name="_Toc536429378"/>
      <w:r>
        <w:rPr>
          <w:rFonts w:hint="eastAsia" w:ascii="宋体" w:hAnsi="宋体" w:eastAsia="宋体" w:cs="宋体"/>
          <w:sz w:val="24"/>
          <w:lang w:val="en-US" w:eastAsia="zh-CN"/>
        </w:rPr>
        <w:t>6、政府采购管理部门在合同履行期间以及履行期后，可以随时检查项目的执行情况，对采购标准、采购内容进行调查核实，并对发现的问题进行处理。</w:t>
      </w:r>
    </w:p>
    <w:p w14:paraId="4634A694">
      <w:pPr>
        <w:pageBreakBefore w:val="0"/>
        <w:widowControl/>
        <w:numPr>
          <w:ilvl w:val="0"/>
          <w:numId w:val="3"/>
        </w:numPr>
        <w:wordWrap/>
        <w:topLinePunct w:val="0"/>
        <w:autoSpaceDE/>
        <w:autoSpaceDN/>
        <w:bidi w:val="0"/>
        <w:spacing w:line="360" w:lineRule="auto"/>
        <w:ind w:left="0" w:leftChars="0" w:right="0" w:rightChars="0" w:firstLine="0" w:firstLineChars="0"/>
        <w:jc w:val="center"/>
        <w:textAlignment w:val="auto"/>
        <w:outlineLvl w:val="1"/>
        <w:rPr>
          <w:rFonts w:hint="eastAsia" w:ascii="宋体" w:hAnsi="宋体" w:eastAsia="宋体" w:cs="宋体"/>
          <w:b/>
          <w:bCs/>
          <w:color w:val="auto"/>
          <w:kern w:val="0"/>
          <w:sz w:val="28"/>
          <w:szCs w:val="28"/>
        </w:rPr>
      </w:pPr>
      <w:bookmarkStart w:id="108" w:name="_Toc19543342"/>
      <w:r>
        <w:rPr>
          <w:rFonts w:hint="eastAsia" w:ascii="宋体" w:hAnsi="宋体" w:eastAsia="宋体" w:cs="宋体"/>
          <w:b/>
          <w:bCs/>
          <w:color w:val="auto"/>
          <w:kern w:val="0"/>
          <w:sz w:val="28"/>
          <w:szCs w:val="28"/>
        </w:rPr>
        <w:t>代理服务费</w:t>
      </w:r>
      <w:bookmarkEnd w:id="101"/>
      <w:bookmarkEnd w:id="102"/>
      <w:bookmarkEnd w:id="103"/>
      <w:bookmarkEnd w:id="104"/>
      <w:bookmarkEnd w:id="105"/>
      <w:bookmarkEnd w:id="106"/>
      <w:bookmarkEnd w:id="107"/>
      <w:bookmarkEnd w:id="108"/>
    </w:p>
    <w:p w14:paraId="6B03B9DA">
      <w:pPr>
        <w:pageBreakBefore w:val="0"/>
        <w:numPr>
          <w:ilvl w:val="0"/>
          <w:numId w:val="0"/>
        </w:numPr>
        <w:wordWrap/>
        <w:topLinePunct w:val="0"/>
        <w:autoSpaceDE/>
        <w:autoSpaceDN/>
        <w:bidi w:val="0"/>
        <w:spacing w:line="360" w:lineRule="auto"/>
        <w:ind w:left="0" w:leftChars="0" w:right="0" w:rightChars="0" w:firstLine="638" w:firstLineChars="266"/>
        <w:jc w:val="left"/>
        <w:textAlignment w:val="auto"/>
        <w:rPr>
          <w:rFonts w:hint="eastAsia" w:ascii="宋体" w:hAnsi="宋体" w:eastAsia="宋体" w:cs="宋体"/>
          <w:color w:val="auto"/>
          <w:sz w:val="24"/>
          <w:szCs w:val="28"/>
        </w:rPr>
      </w:pPr>
      <w:r>
        <w:rPr>
          <w:rFonts w:hint="eastAsia" w:ascii="宋体" w:hAnsi="宋体" w:cs="宋体"/>
          <w:color w:val="auto"/>
          <w:sz w:val="24"/>
          <w:szCs w:val="28"/>
          <w:lang w:val="en-US" w:eastAsia="zh-CN"/>
        </w:rPr>
        <w:t>免收</w:t>
      </w:r>
      <w:r>
        <w:rPr>
          <w:rFonts w:hint="eastAsia" w:ascii="宋体" w:hAnsi="宋体" w:eastAsia="宋体" w:cs="宋体"/>
          <w:color w:val="auto"/>
          <w:sz w:val="24"/>
          <w:szCs w:val="28"/>
          <w:highlight w:val="none"/>
        </w:rPr>
        <w:t>。</w:t>
      </w:r>
    </w:p>
    <w:p w14:paraId="6B484543">
      <w:pPr>
        <w:pageBreakBefore w:val="0"/>
        <w:widowControl/>
        <w:numPr>
          <w:ilvl w:val="0"/>
          <w:numId w:val="3"/>
        </w:numPr>
        <w:wordWrap/>
        <w:topLinePunct w:val="0"/>
        <w:autoSpaceDE/>
        <w:autoSpaceDN/>
        <w:bidi w:val="0"/>
        <w:spacing w:line="360" w:lineRule="auto"/>
        <w:ind w:left="0" w:leftChars="0" w:right="0" w:rightChars="0" w:firstLine="0"/>
        <w:jc w:val="center"/>
        <w:textAlignment w:val="auto"/>
        <w:outlineLvl w:val="1"/>
        <w:rPr>
          <w:rFonts w:hint="eastAsia" w:ascii="宋体" w:hAnsi="宋体" w:eastAsia="宋体" w:cs="宋体"/>
          <w:b/>
          <w:bCs/>
          <w:kern w:val="0"/>
          <w:sz w:val="28"/>
          <w:szCs w:val="28"/>
        </w:rPr>
      </w:pPr>
      <w:bookmarkStart w:id="109" w:name="_Toc536202386"/>
      <w:bookmarkStart w:id="110" w:name="_Toc536429326"/>
      <w:bookmarkStart w:id="111" w:name="_Toc11491"/>
      <w:bookmarkStart w:id="112" w:name="_Toc19543343"/>
      <w:bookmarkStart w:id="113" w:name="_Toc536202317"/>
      <w:bookmarkStart w:id="114" w:name="_Toc536429379"/>
      <w:bookmarkStart w:id="115" w:name="_Toc664"/>
      <w:r>
        <w:rPr>
          <w:rFonts w:hint="eastAsia" w:ascii="宋体" w:hAnsi="宋体" w:eastAsia="宋体" w:cs="宋体"/>
          <w:b/>
          <w:bCs/>
          <w:kern w:val="0"/>
          <w:sz w:val="28"/>
          <w:szCs w:val="28"/>
        </w:rPr>
        <w:t>质疑和投诉</w:t>
      </w:r>
      <w:bookmarkEnd w:id="109"/>
      <w:bookmarkEnd w:id="110"/>
      <w:bookmarkEnd w:id="111"/>
      <w:bookmarkEnd w:id="112"/>
      <w:bookmarkEnd w:id="113"/>
      <w:bookmarkEnd w:id="114"/>
      <w:bookmarkEnd w:id="115"/>
    </w:p>
    <w:p w14:paraId="5610592A">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质疑或投诉的接收和处理应当按照《中华人民共和国政府采购法》及其实施条例、《政府采购质疑和投诉办法</w:t>
      </w:r>
      <w:r>
        <w:rPr>
          <w:rFonts w:hint="eastAsia" w:ascii="宋体" w:hAnsi="宋体" w:cs="宋体"/>
          <w:sz w:val="24"/>
          <w:szCs w:val="28"/>
          <w:lang w:eastAsia="zh-CN"/>
        </w:rPr>
        <w:t>》《</w:t>
      </w:r>
      <w:r>
        <w:rPr>
          <w:rFonts w:hint="eastAsia" w:ascii="宋体" w:hAnsi="宋体" w:eastAsia="宋体" w:cs="宋体"/>
          <w:sz w:val="24"/>
          <w:szCs w:val="28"/>
        </w:rPr>
        <w:t>财政部关于加强政府采购供应商投诉受理审查工作的通知》等的相关规定办理。</w:t>
      </w:r>
    </w:p>
    <w:p w14:paraId="10057D1B">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供应商认为采购文件、采购过程和中标、成交结果使自己的权益受到损害的，可以在知道或者应知其权益受到损害之日起七个工作日内，以书面形式向采购人提出质疑，逾期质疑无效。供应商应知其权益受到损害之日，是指：</w:t>
      </w:r>
    </w:p>
    <w:p w14:paraId="4FFFC68C">
      <w:pPr>
        <w:pageBreakBefore w:val="0"/>
        <w:wordWrap/>
        <w:topLinePunct w:val="0"/>
        <w:autoSpaceDE/>
        <w:autoSpaceDN/>
        <w:bidi w:val="0"/>
        <w:spacing w:line="360" w:lineRule="auto"/>
        <w:ind w:left="0" w:leftChars="0" w:right="0" w:rightChars="0" w:firstLine="240" w:firstLineChars="100"/>
        <w:jc w:val="left"/>
        <w:textAlignment w:val="auto"/>
        <w:rPr>
          <w:rFonts w:hint="eastAsia" w:ascii="宋体" w:hAnsi="宋体" w:eastAsia="宋体" w:cs="宋体"/>
          <w:sz w:val="24"/>
          <w:szCs w:val="28"/>
        </w:rPr>
      </w:pPr>
      <w:r>
        <w:rPr>
          <w:rFonts w:hint="eastAsia" w:ascii="宋体" w:hAnsi="宋体" w:eastAsia="宋体" w:cs="宋体"/>
          <w:sz w:val="24"/>
          <w:szCs w:val="28"/>
        </w:rPr>
        <w:t>（1）对采购文件提出质疑的，为收到采购文件之日或者采购文件公告期限届满之日；</w:t>
      </w:r>
    </w:p>
    <w:p w14:paraId="691901DE">
      <w:pPr>
        <w:pageBreakBefore w:val="0"/>
        <w:wordWrap/>
        <w:topLinePunct w:val="0"/>
        <w:autoSpaceDE/>
        <w:autoSpaceDN/>
        <w:bidi w:val="0"/>
        <w:spacing w:line="360" w:lineRule="auto"/>
        <w:ind w:left="0" w:leftChars="0" w:right="0" w:rightChars="0" w:firstLine="240" w:firstLineChars="100"/>
        <w:jc w:val="left"/>
        <w:textAlignment w:val="auto"/>
        <w:rPr>
          <w:rFonts w:hint="eastAsia" w:ascii="宋体" w:hAnsi="宋体" w:eastAsia="宋体" w:cs="宋体"/>
          <w:sz w:val="24"/>
          <w:szCs w:val="28"/>
        </w:rPr>
      </w:pPr>
      <w:r>
        <w:rPr>
          <w:rFonts w:hint="eastAsia" w:ascii="宋体" w:hAnsi="宋体" w:eastAsia="宋体" w:cs="宋体"/>
          <w:sz w:val="24"/>
          <w:szCs w:val="28"/>
        </w:rPr>
        <w:t>（2）对采购过程提出质疑的，为各采购程序环节结束之日；</w:t>
      </w:r>
    </w:p>
    <w:p w14:paraId="4F06591D">
      <w:pPr>
        <w:pageBreakBefore w:val="0"/>
        <w:wordWrap/>
        <w:topLinePunct w:val="0"/>
        <w:autoSpaceDE/>
        <w:autoSpaceDN/>
        <w:bidi w:val="0"/>
        <w:spacing w:line="360" w:lineRule="auto"/>
        <w:ind w:left="0" w:leftChars="0" w:right="0" w:rightChars="0" w:firstLine="240" w:firstLineChars="100"/>
        <w:jc w:val="left"/>
        <w:textAlignment w:val="auto"/>
        <w:rPr>
          <w:rFonts w:hint="eastAsia" w:ascii="宋体" w:hAnsi="宋体" w:eastAsia="宋体" w:cs="宋体"/>
          <w:sz w:val="24"/>
          <w:szCs w:val="28"/>
        </w:rPr>
      </w:pPr>
      <w:r>
        <w:rPr>
          <w:rFonts w:hint="eastAsia" w:ascii="宋体" w:hAnsi="宋体" w:eastAsia="宋体" w:cs="宋体"/>
          <w:sz w:val="24"/>
          <w:szCs w:val="28"/>
        </w:rPr>
        <w:t>（3）对中标或者成交结果提出质疑的，为中标或者成交结果公告期限届满之日。</w:t>
      </w:r>
    </w:p>
    <w:p w14:paraId="77000AE8">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2、供应商应当在法定质疑期内一次性提出针对同一采购程序环节的质疑。</w:t>
      </w:r>
    </w:p>
    <w:p w14:paraId="443ABE78">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3、质疑函应当包括下列主要内容：</w:t>
      </w:r>
    </w:p>
    <w:p w14:paraId="678CCA57">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（1）供应商的姓名或者名称、地址、邮编、联系人及联系电话；</w:t>
      </w:r>
    </w:p>
    <w:p w14:paraId="6D6CD6F2">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（2）质疑项目的名称、编号；</w:t>
      </w:r>
    </w:p>
    <w:p w14:paraId="49C4BAD9">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（3）具体、明确的质疑事项和与质疑事项相关的请求；</w:t>
      </w:r>
    </w:p>
    <w:p w14:paraId="20BCB52E">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（4）事实依据；</w:t>
      </w:r>
    </w:p>
    <w:p w14:paraId="71D9C431">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（5）必要的法律依据；</w:t>
      </w:r>
    </w:p>
    <w:p w14:paraId="1BFDF37C">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（6）提出质疑的日期。</w:t>
      </w:r>
    </w:p>
    <w:p w14:paraId="3B35E7B6">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427C6F6F">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5、质疑函内容不得含有虚假、恶意</w:t>
      </w:r>
      <w:r>
        <w:rPr>
          <w:rFonts w:hint="eastAsia" w:ascii="宋体" w:hAnsi="宋体" w:cs="宋体"/>
          <w:sz w:val="24"/>
          <w:szCs w:val="28"/>
          <w:lang w:eastAsia="zh-CN"/>
        </w:rPr>
        <w:t>成分</w:t>
      </w:r>
      <w:r>
        <w:rPr>
          <w:rFonts w:hint="eastAsia" w:ascii="宋体" w:hAnsi="宋体" w:eastAsia="宋体" w:cs="宋体"/>
          <w:sz w:val="24"/>
          <w:szCs w:val="28"/>
        </w:rPr>
        <w:t>。依照谁主张谁举证的原则，提出质疑者必须同时提交相关确凿的证据材料和注明证据的确切来源，证据来源必须合法，采购人有权将质疑函转发质疑事项各关联方，请其作出解释说明。对捏造事实、提供虚假材料或者以非法手段取得的证明材料，</w:t>
      </w:r>
      <w:r>
        <w:rPr>
          <w:rFonts w:hint="eastAsia" w:ascii="宋体" w:hAnsi="宋体" w:cs="宋体"/>
          <w:sz w:val="24"/>
          <w:szCs w:val="28"/>
          <w:lang w:eastAsia="zh-CN"/>
        </w:rPr>
        <w:t>滥用职权</w:t>
      </w:r>
      <w:r>
        <w:rPr>
          <w:rFonts w:hint="eastAsia" w:ascii="宋体" w:hAnsi="宋体" w:eastAsia="宋体" w:cs="宋体"/>
          <w:sz w:val="24"/>
          <w:szCs w:val="28"/>
        </w:rPr>
        <w:t>扰乱采购秩序的恶意质疑者，采购人应当依法驳回。</w:t>
      </w:r>
    </w:p>
    <w:p w14:paraId="1C371C14">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 xml:space="preserve">6、质疑函接收方式：由自然人本人或法定代表人或者其授权代表携带书面原件及身份证明原件到现场递交，否则不予受理 。 </w:t>
      </w:r>
    </w:p>
    <w:p w14:paraId="68986E50">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lang w:eastAsia="zh-CN"/>
        </w:rPr>
      </w:pPr>
      <w:r>
        <w:rPr>
          <w:rFonts w:hint="eastAsia" w:ascii="宋体" w:hAnsi="宋体" w:eastAsia="宋体" w:cs="宋体"/>
          <w:sz w:val="24"/>
          <w:szCs w:val="28"/>
        </w:rPr>
        <w:t>7、质疑受理部门：汉滨区移民（脱贫）搬迁工作办公室</w:t>
      </w:r>
    </w:p>
    <w:p w14:paraId="1B872F43">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 xml:space="preserve">   质疑受理电话：18992570799</w:t>
      </w:r>
    </w:p>
    <w:p w14:paraId="16EAC08B">
      <w:pPr>
        <w:pageBreakBefore w:val="0"/>
        <w:wordWrap/>
        <w:topLinePunct w:val="0"/>
        <w:autoSpaceDE/>
        <w:autoSpaceDN/>
        <w:bidi w:val="0"/>
        <w:spacing w:line="360" w:lineRule="auto"/>
        <w:ind w:left="0" w:leftChars="0" w:right="0" w:rightChars="0" w:firstLine="480" w:firstLineChars="200"/>
        <w:jc w:val="left"/>
        <w:textAlignment w:val="auto"/>
        <w:rPr>
          <w:rFonts w:hint="default" w:ascii="宋体" w:hAnsi="宋体" w:eastAsia="宋体" w:cs="宋体"/>
          <w:sz w:val="24"/>
          <w:szCs w:val="28"/>
          <w:lang w:val="en-US" w:eastAsia="zh-CN"/>
        </w:rPr>
      </w:pPr>
      <w:r>
        <w:rPr>
          <w:rFonts w:hint="eastAsia" w:ascii="宋体" w:hAnsi="宋体" w:eastAsia="宋体" w:cs="宋体"/>
          <w:sz w:val="24"/>
          <w:szCs w:val="28"/>
        </w:rPr>
        <w:t>8、提交质疑函地点：</w:t>
      </w:r>
      <w:r>
        <w:rPr>
          <w:rFonts w:hint="eastAsia" w:ascii="宋体" w:hAnsi="宋体" w:cs="宋体"/>
          <w:sz w:val="24"/>
          <w:szCs w:val="28"/>
          <w:lang w:val="en-US" w:eastAsia="zh-CN"/>
        </w:rPr>
        <w:t>安康市汉滨区育才路御公馆小区2号楼裙楼7楼</w:t>
      </w:r>
    </w:p>
    <w:p w14:paraId="1026FAE7">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9、本次采购活动中，对质疑函回复的书面文件的送达方式为现场取件。</w:t>
      </w:r>
    </w:p>
    <w:p w14:paraId="71DE1CDA">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如所质疑的问题比较复杂，采购人在规定的答复时间内无法回复，应事先告知提出质疑的供应商，同时向同级政府采购监督管理部门报告。</w:t>
      </w:r>
    </w:p>
    <w:p w14:paraId="794507F2">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10、 质疑供应商对采购人的答复不满意，或者采购人未在规定的时间内作出答复的，可以在答复期满后15个工作日内向采购人的同级政府采购监督管理部门投诉。</w:t>
      </w:r>
    </w:p>
    <w:p w14:paraId="194F6B2B">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11、质疑函应当使用中文。</w:t>
      </w:r>
    </w:p>
    <w:p w14:paraId="6E802BA5">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right="0" w:rightChars="0" w:firstLine="0"/>
        <w:jc w:val="center"/>
        <w:textAlignment w:val="auto"/>
        <w:outlineLvl w:val="1"/>
        <w:rPr>
          <w:rFonts w:hint="eastAsia" w:ascii="宋体" w:hAnsi="宋体" w:eastAsia="宋体" w:cs="宋体"/>
          <w:b/>
          <w:bCs/>
          <w:kern w:val="0"/>
          <w:sz w:val="24"/>
          <w:szCs w:val="28"/>
        </w:rPr>
      </w:pPr>
      <w:bookmarkStart w:id="116" w:name="_Toc536429327"/>
      <w:bookmarkStart w:id="117" w:name="_Toc19543344"/>
      <w:bookmarkStart w:id="118" w:name="_Toc536202318"/>
      <w:bookmarkStart w:id="119" w:name="_Toc536429380"/>
      <w:bookmarkStart w:id="120" w:name="_Toc536202387"/>
      <w:r>
        <w:rPr>
          <w:rFonts w:hint="eastAsia" w:ascii="宋体" w:hAnsi="宋体" w:eastAsia="宋体" w:cs="宋体"/>
          <w:b/>
          <w:bCs/>
          <w:kern w:val="0"/>
          <w:sz w:val="24"/>
          <w:szCs w:val="28"/>
        </w:rPr>
        <w:t>其他</w:t>
      </w:r>
      <w:bookmarkEnd w:id="116"/>
      <w:bookmarkEnd w:id="117"/>
      <w:bookmarkEnd w:id="118"/>
      <w:bookmarkEnd w:id="119"/>
      <w:bookmarkEnd w:id="120"/>
    </w:p>
    <w:p w14:paraId="0FBF8BF5">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bookmarkStart w:id="121" w:name="_Toc3298"/>
      <w:r>
        <w:rPr>
          <w:rFonts w:hint="eastAsia" w:ascii="宋体" w:hAnsi="宋体" w:eastAsia="宋体" w:cs="宋体"/>
          <w:sz w:val="24"/>
          <w:szCs w:val="28"/>
        </w:rPr>
        <w:t>1、根据《政府采购竞争性磋商采购方式管理暂行办法》（财库〔2014〕214号）第三十四条、第三十五条和《财政部关于政府采购竞争性磋商采购方式管理暂行办法有关问题的补充通知》，第一次公告后，磋商过程中出现下列情况之一的，按磋商失败处理：</w:t>
      </w:r>
    </w:p>
    <w:p w14:paraId="106EB65F">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（1）因情况变化，不再符合规定的竞争性磋商采购方式适用情形的；</w:t>
      </w:r>
    </w:p>
    <w:p w14:paraId="7BEA5AAB">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（2）出现影响采购公正的违法、违规行为的；</w:t>
      </w:r>
    </w:p>
    <w:p w14:paraId="26C9E87D">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3）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149F9595">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（4）因重大变故，采购任务取消的。</w:t>
      </w:r>
    </w:p>
    <w:p w14:paraId="418B82EB">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2、磋商失败后，除采购任务取消外，将重新组织采购</w:t>
      </w:r>
      <w:bookmarkEnd w:id="121"/>
      <w:bookmarkStart w:id="122" w:name="_Toc536429381"/>
      <w:bookmarkStart w:id="123" w:name="_Toc536202388"/>
      <w:bookmarkStart w:id="124" w:name="_Toc536202319"/>
      <w:bookmarkStart w:id="125" w:name="_Toc536429328"/>
      <w:bookmarkStart w:id="126" w:name="_Toc25345"/>
      <w:r>
        <w:rPr>
          <w:rFonts w:hint="eastAsia" w:ascii="宋体" w:hAnsi="宋体" w:eastAsia="宋体" w:cs="宋体"/>
          <w:sz w:val="24"/>
          <w:szCs w:val="28"/>
        </w:rPr>
        <w:t>。</w:t>
      </w:r>
      <w:bookmarkEnd w:id="122"/>
      <w:bookmarkEnd w:id="123"/>
      <w:bookmarkEnd w:id="124"/>
      <w:bookmarkEnd w:id="125"/>
      <w:bookmarkEnd w:id="126"/>
    </w:p>
    <w:p w14:paraId="70DCD822">
      <w:pPr>
        <w:pageBreakBefore w:val="0"/>
        <w:widowControl/>
        <w:wordWrap/>
        <w:topLinePunct w:val="0"/>
        <w:autoSpaceDE/>
        <w:autoSpaceDN/>
        <w:bidi w:val="0"/>
        <w:spacing w:line="360" w:lineRule="auto"/>
        <w:ind w:left="0" w:leftChars="0" w:right="0" w:rightChars="0"/>
        <w:jc w:val="left"/>
        <w:textAlignment w:val="auto"/>
        <w:rPr>
          <w:rFonts w:hint="eastAsia" w:ascii="宋体" w:hAnsi="宋体" w:eastAsia="宋体" w:cs="宋体"/>
          <w:b/>
          <w:bCs/>
          <w:caps/>
          <w:color w:val="000000" w:themeColor="text1"/>
          <w:sz w:val="36"/>
          <w:szCs w:val="20"/>
          <w14:textFill>
            <w14:solidFill>
              <w14:schemeClr w14:val="tx1"/>
            </w14:solidFill>
          </w14:textFill>
        </w:rPr>
      </w:pPr>
      <w:bookmarkStart w:id="127" w:name="_Toc19543345"/>
      <w:r>
        <w:rPr>
          <w:rFonts w:hint="eastAsia" w:ascii="宋体" w:hAnsi="宋体" w:eastAsia="宋体" w:cs="宋体"/>
          <w:color w:val="000000" w:themeColor="text1"/>
          <w:sz w:val="36"/>
          <w14:textFill>
            <w14:solidFill>
              <w14:schemeClr w14:val="tx1"/>
            </w14:solidFill>
          </w14:textFill>
        </w:rPr>
        <w:br w:type="page"/>
      </w:r>
    </w:p>
    <w:p w14:paraId="03E9B376">
      <w:pPr>
        <w:pStyle w:val="25"/>
        <w:numPr>
          <w:ilvl w:val="0"/>
          <w:numId w:val="11"/>
        </w:numPr>
        <w:spacing w:before="0" w:after="0" w:line="420" w:lineRule="exact"/>
        <w:jc w:val="center"/>
        <w:outlineLvl w:val="0"/>
        <w:rPr>
          <w:color w:val="auto"/>
          <w:sz w:val="36"/>
          <w:highlight w:val="none"/>
        </w:rPr>
      </w:pPr>
      <w:r>
        <w:rPr>
          <w:rFonts w:hint="eastAsia"/>
          <w:color w:val="auto"/>
          <w:sz w:val="36"/>
          <w:highlight w:val="none"/>
        </w:rPr>
        <w:t xml:space="preserve"> </w:t>
      </w:r>
      <w:bookmarkStart w:id="128" w:name="_Toc26341"/>
      <w:r>
        <w:rPr>
          <w:rFonts w:hint="eastAsia"/>
          <w:color w:val="auto"/>
          <w:sz w:val="36"/>
          <w:highlight w:val="none"/>
        </w:rPr>
        <w:t>评分</w:t>
      </w:r>
      <w:r>
        <w:rPr>
          <w:color w:val="auto"/>
          <w:sz w:val="36"/>
          <w:highlight w:val="none"/>
        </w:rPr>
        <w:t>标准</w:t>
      </w:r>
      <w:bookmarkEnd w:id="127"/>
      <w:bookmarkEnd w:id="128"/>
      <w:bookmarkStart w:id="129" w:name="_Toc262"/>
    </w:p>
    <w:tbl>
      <w:tblPr>
        <w:tblStyle w:val="110"/>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4"/>
        <w:gridCol w:w="913"/>
        <w:gridCol w:w="6537"/>
        <w:gridCol w:w="833"/>
      </w:tblGrid>
      <w:tr w14:paraId="4DAD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43" w:type="pct"/>
            <w:noWrap w:val="0"/>
            <w:vAlign w:val="center"/>
          </w:tcPr>
          <w:p w14:paraId="24FB87E3">
            <w:pPr>
              <w:pStyle w:val="111"/>
              <w:keepNext w:val="0"/>
              <w:keepLines w:val="0"/>
              <w:pageBreakBefore w:val="0"/>
              <w:widowControl w:val="0"/>
              <w:kinsoku/>
              <w:wordWrap/>
              <w:overflowPunct/>
              <w:topLinePunct w:val="0"/>
              <w:autoSpaceDE/>
              <w:autoSpaceDN/>
              <w:bidi w:val="0"/>
              <w:adjustRightInd/>
              <w:snapToGrid/>
              <w:spacing w:before="78" w:line="360" w:lineRule="auto"/>
              <w:ind w:left="207"/>
              <w:jc w:val="center"/>
              <w:textAlignment w:val="auto"/>
              <w:rPr>
                <w:rFonts w:hint="eastAsia" w:ascii="宋体" w:hAnsi="宋体" w:eastAsia="宋体" w:cs="宋体"/>
                <w:sz w:val="24"/>
                <w:szCs w:val="24"/>
                <w:highlight w:val="none"/>
              </w:rPr>
            </w:pPr>
            <w:bookmarkStart w:id="130" w:name="bookmark6"/>
            <w:bookmarkEnd w:id="130"/>
            <w:r>
              <w:rPr>
                <w:rFonts w:hint="eastAsia" w:ascii="宋体" w:hAnsi="宋体" w:eastAsia="宋体" w:cs="宋体"/>
                <w:b/>
                <w:bCs/>
                <w:spacing w:val="-12"/>
                <w:sz w:val="24"/>
                <w:szCs w:val="24"/>
                <w:highlight w:val="none"/>
              </w:rPr>
              <w:t>类别</w:t>
            </w:r>
          </w:p>
        </w:tc>
        <w:tc>
          <w:tcPr>
            <w:tcW w:w="502" w:type="pct"/>
            <w:noWrap w:val="0"/>
            <w:vAlign w:val="center"/>
          </w:tcPr>
          <w:p w14:paraId="13ACF140">
            <w:pPr>
              <w:pStyle w:val="111"/>
              <w:keepNext w:val="0"/>
              <w:keepLines w:val="0"/>
              <w:pageBreakBefore w:val="0"/>
              <w:widowControl w:val="0"/>
              <w:kinsoku/>
              <w:wordWrap/>
              <w:overflowPunct/>
              <w:topLinePunct w:val="0"/>
              <w:autoSpaceDE/>
              <w:autoSpaceDN/>
              <w:bidi w:val="0"/>
              <w:adjustRightInd/>
              <w:snapToGrid/>
              <w:spacing w:before="78" w:line="360" w:lineRule="auto"/>
              <w:ind w:left="270"/>
              <w:jc w:val="center"/>
              <w:textAlignment w:val="auto"/>
              <w:rPr>
                <w:rFonts w:hint="eastAsia" w:ascii="宋体" w:hAnsi="宋体" w:eastAsia="宋体" w:cs="宋体"/>
                <w:sz w:val="24"/>
                <w:szCs w:val="24"/>
                <w:highlight w:val="none"/>
              </w:rPr>
            </w:pPr>
            <w:r>
              <w:rPr>
                <w:rFonts w:hint="eastAsia" w:ascii="宋体" w:hAnsi="宋体" w:eastAsia="宋体" w:cs="宋体"/>
                <w:b/>
                <w:bCs/>
                <w:spacing w:val="-16"/>
                <w:sz w:val="24"/>
                <w:szCs w:val="24"/>
                <w:highlight w:val="none"/>
              </w:rPr>
              <w:t>总分</w:t>
            </w:r>
          </w:p>
        </w:tc>
        <w:tc>
          <w:tcPr>
            <w:tcW w:w="3596" w:type="pct"/>
            <w:noWrap w:val="0"/>
            <w:vAlign w:val="center"/>
          </w:tcPr>
          <w:p w14:paraId="09C5DF49">
            <w:pPr>
              <w:pStyle w:val="111"/>
              <w:keepNext w:val="0"/>
              <w:keepLines w:val="0"/>
              <w:pageBreakBefore w:val="0"/>
              <w:widowControl w:val="0"/>
              <w:kinsoku/>
              <w:wordWrap/>
              <w:overflowPunct/>
              <w:topLinePunct w:val="0"/>
              <w:autoSpaceDE/>
              <w:autoSpaceDN/>
              <w:bidi w:val="0"/>
              <w:adjustRightInd/>
              <w:snapToGrid/>
              <w:spacing w:before="78" w:line="360" w:lineRule="auto"/>
              <w:ind w:left="2182"/>
              <w:jc w:val="center"/>
              <w:textAlignment w:val="auto"/>
              <w:rPr>
                <w:rFonts w:hint="eastAsia" w:ascii="宋体" w:hAnsi="宋体" w:eastAsia="宋体" w:cs="宋体"/>
                <w:sz w:val="24"/>
                <w:szCs w:val="24"/>
                <w:highlight w:val="none"/>
              </w:rPr>
            </w:pPr>
            <w:r>
              <w:rPr>
                <w:rFonts w:hint="eastAsia" w:ascii="宋体" w:hAnsi="宋体" w:eastAsia="宋体" w:cs="宋体"/>
                <w:b/>
                <w:bCs/>
                <w:spacing w:val="-21"/>
                <w:sz w:val="24"/>
                <w:szCs w:val="24"/>
                <w:highlight w:val="none"/>
              </w:rPr>
              <w:t>评</w:t>
            </w:r>
            <w:r>
              <w:rPr>
                <w:rFonts w:hint="eastAsia" w:ascii="宋体" w:hAnsi="宋体" w:eastAsia="宋体" w:cs="宋体"/>
                <w:spacing w:val="18"/>
                <w:sz w:val="24"/>
                <w:szCs w:val="24"/>
                <w:highlight w:val="none"/>
              </w:rPr>
              <w:t xml:space="preserve">  </w:t>
            </w:r>
            <w:r>
              <w:rPr>
                <w:rFonts w:hint="eastAsia" w:ascii="宋体" w:hAnsi="宋体" w:eastAsia="宋体" w:cs="宋体"/>
                <w:b/>
                <w:bCs/>
                <w:spacing w:val="-21"/>
                <w:sz w:val="24"/>
                <w:szCs w:val="24"/>
                <w:highlight w:val="none"/>
              </w:rPr>
              <w:t>审</w:t>
            </w:r>
            <w:r>
              <w:rPr>
                <w:rFonts w:hint="eastAsia" w:ascii="宋体" w:hAnsi="宋体" w:eastAsia="宋体" w:cs="宋体"/>
                <w:spacing w:val="12"/>
                <w:sz w:val="24"/>
                <w:szCs w:val="24"/>
                <w:highlight w:val="none"/>
              </w:rPr>
              <w:t xml:space="preserve">  </w:t>
            </w:r>
            <w:r>
              <w:rPr>
                <w:rFonts w:hint="eastAsia" w:ascii="宋体" w:hAnsi="宋体" w:eastAsia="宋体" w:cs="宋体"/>
                <w:b/>
                <w:bCs/>
                <w:spacing w:val="-21"/>
                <w:sz w:val="24"/>
                <w:szCs w:val="24"/>
                <w:highlight w:val="none"/>
              </w:rPr>
              <w:t>要</w:t>
            </w:r>
            <w:r>
              <w:rPr>
                <w:rFonts w:hint="eastAsia" w:ascii="宋体" w:hAnsi="宋体" w:eastAsia="宋体" w:cs="宋体"/>
                <w:spacing w:val="14"/>
                <w:sz w:val="24"/>
                <w:szCs w:val="24"/>
                <w:highlight w:val="none"/>
              </w:rPr>
              <w:t xml:space="preserve">  </w:t>
            </w:r>
            <w:r>
              <w:rPr>
                <w:rFonts w:hint="eastAsia" w:ascii="宋体" w:hAnsi="宋体" w:eastAsia="宋体" w:cs="宋体"/>
                <w:b/>
                <w:bCs/>
                <w:spacing w:val="-21"/>
                <w:sz w:val="24"/>
                <w:szCs w:val="24"/>
                <w:highlight w:val="none"/>
              </w:rPr>
              <w:t>素</w:t>
            </w:r>
          </w:p>
        </w:tc>
        <w:tc>
          <w:tcPr>
            <w:tcW w:w="457" w:type="pct"/>
            <w:noWrap w:val="0"/>
            <w:vAlign w:val="top"/>
          </w:tcPr>
          <w:p w14:paraId="032AE595">
            <w:pPr>
              <w:pStyle w:val="111"/>
              <w:keepNext w:val="0"/>
              <w:keepLines w:val="0"/>
              <w:pageBreakBefore w:val="0"/>
              <w:widowControl w:val="0"/>
              <w:kinsoku/>
              <w:wordWrap/>
              <w:overflowPunct/>
              <w:topLinePunct w:val="0"/>
              <w:autoSpaceDE/>
              <w:autoSpaceDN/>
              <w:bidi w:val="0"/>
              <w:adjustRightInd/>
              <w:snapToGrid/>
              <w:spacing w:before="129" w:line="360" w:lineRule="auto"/>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b/>
                <w:bCs/>
                <w:spacing w:val="-12"/>
                <w:sz w:val="24"/>
                <w:szCs w:val="24"/>
                <w:highlight w:val="none"/>
              </w:rPr>
              <w:t>分项分值</w:t>
            </w:r>
          </w:p>
        </w:tc>
      </w:tr>
      <w:tr w14:paraId="416A2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43" w:type="pct"/>
            <w:noWrap w:val="0"/>
            <w:vAlign w:val="center"/>
          </w:tcPr>
          <w:p w14:paraId="554B14FD">
            <w:pPr>
              <w:pStyle w:val="111"/>
              <w:spacing w:before="78" w:line="360" w:lineRule="auto"/>
              <w:ind w:firstLine="219" w:firstLineChars="100"/>
              <w:jc w:val="center"/>
              <w:rPr>
                <w:rFonts w:hint="eastAsia" w:ascii="宋体" w:hAnsi="宋体" w:eastAsia="宋体" w:cs="宋体"/>
                <w:sz w:val="24"/>
                <w:szCs w:val="24"/>
                <w:highlight w:val="none"/>
              </w:rPr>
            </w:pPr>
            <w:r>
              <w:rPr>
                <w:rFonts w:hint="eastAsia" w:ascii="宋体" w:hAnsi="宋体" w:eastAsia="宋体" w:cs="宋体"/>
                <w:b/>
                <w:bCs/>
                <w:spacing w:val="-11"/>
                <w:sz w:val="24"/>
                <w:szCs w:val="24"/>
                <w:highlight w:val="none"/>
              </w:rPr>
              <w:t>投标</w:t>
            </w:r>
          </w:p>
          <w:p w14:paraId="71F14215">
            <w:pPr>
              <w:pStyle w:val="111"/>
              <w:spacing w:before="200" w:line="360" w:lineRule="auto"/>
              <w:ind w:left="204"/>
              <w:jc w:val="center"/>
              <w:rPr>
                <w:rFonts w:hint="eastAsia" w:ascii="宋体" w:hAnsi="宋体" w:eastAsia="宋体" w:cs="宋体"/>
                <w:sz w:val="24"/>
                <w:szCs w:val="24"/>
                <w:highlight w:val="none"/>
              </w:rPr>
            </w:pPr>
            <w:r>
              <w:rPr>
                <w:rFonts w:hint="eastAsia" w:ascii="宋体" w:hAnsi="宋体" w:eastAsia="宋体" w:cs="宋体"/>
                <w:b/>
                <w:bCs/>
                <w:spacing w:val="-11"/>
                <w:sz w:val="24"/>
                <w:szCs w:val="24"/>
                <w:highlight w:val="none"/>
              </w:rPr>
              <w:t>报价</w:t>
            </w:r>
          </w:p>
        </w:tc>
        <w:tc>
          <w:tcPr>
            <w:tcW w:w="502" w:type="pct"/>
            <w:noWrap w:val="0"/>
            <w:vAlign w:val="center"/>
          </w:tcPr>
          <w:p w14:paraId="6550E103">
            <w:pPr>
              <w:pStyle w:val="111"/>
              <w:spacing w:before="78" w:line="360" w:lineRule="auto"/>
              <w:ind w:left="241"/>
              <w:jc w:val="center"/>
              <w:rPr>
                <w:rFonts w:hint="eastAsia" w:ascii="宋体" w:hAnsi="宋体" w:eastAsia="宋体" w:cs="宋体"/>
                <w:sz w:val="24"/>
                <w:szCs w:val="24"/>
                <w:highlight w:val="none"/>
              </w:rPr>
            </w:pPr>
            <w:r>
              <w:rPr>
                <w:rFonts w:hint="eastAsia" w:ascii="宋体" w:hAnsi="宋体" w:eastAsia="宋体" w:cs="宋体"/>
                <w:b/>
                <w:bCs/>
                <w:spacing w:val="-11"/>
                <w:sz w:val="24"/>
                <w:szCs w:val="24"/>
                <w:highlight w:val="none"/>
                <w:lang w:val="en-US" w:eastAsia="zh-CN"/>
              </w:rPr>
              <w:t>10</w:t>
            </w:r>
            <w:r>
              <w:rPr>
                <w:rFonts w:hint="eastAsia" w:ascii="宋体" w:hAnsi="宋体" w:eastAsia="宋体" w:cs="宋体"/>
                <w:b/>
                <w:bCs/>
                <w:spacing w:val="-11"/>
                <w:sz w:val="24"/>
                <w:szCs w:val="24"/>
                <w:highlight w:val="none"/>
              </w:rPr>
              <w:t>分</w:t>
            </w:r>
          </w:p>
        </w:tc>
        <w:tc>
          <w:tcPr>
            <w:tcW w:w="3596" w:type="pct"/>
            <w:noWrap w:val="0"/>
            <w:vAlign w:val="top"/>
          </w:tcPr>
          <w:p w14:paraId="32535AA1">
            <w:pPr>
              <w:pStyle w:val="111"/>
              <w:spacing w:before="2" w:line="360" w:lineRule="auto"/>
              <w:ind w:left="123" w:right="40" w:firstLine="6"/>
              <w:jc w:val="both"/>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1.经初审合格的投标文件，其投标报价为有效投标报价。</w:t>
            </w:r>
          </w:p>
          <w:p w14:paraId="58568F03">
            <w:pPr>
              <w:pStyle w:val="111"/>
              <w:spacing w:before="2" w:line="360" w:lineRule="auto"/>
              <w:ind w:left="123" w:right="40" w:firstLine="6"/>
              <w:jc w:val="both"/>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2.满足实质性要求且报价最低的投标人的价格 为投标基准价，其价格分为满分 1</w:t>
            </w:r>
            <w:r>
              <w:rPr>
                <w:rFonts w:hint="eastAsia" w:ascii="宋体" w:hAnsi="宋体" w:eastAsia="宋体" w:cs="宋体"/>
                <w:spacing w:val="1"/>
                <w:sz w:val="24"/>
                <w:szCs w:val="24"/>
                <w:highlight w:val="none"/>
                <w:lang w:val="en-US" w:eastAsia="zh-CN"/>
              </w:rPr>
              <w:t>0</w:t>
            </w:r>
            <w:r>
              <w:rPr>
                <w:rFonts w:hint="eastAsia" w:ascii="宋体" w:hAnsi="宋体" w:eastAsia="宋体" w:cs="宋体"/>
                <w:spacing w:val="1"/>
                <w:sz w:val="24"/>
                <w:szCs w:val="24"/>
                <w:highlight w:val="none"/>
              </w:rPr>
              <w:t>分。</w:t>
            </w:r>
          </w:p>
          <w:p w14:paraId="7E5F787F">
            <w:pPr>
              <w:pStyle w:val="111"/>
              <w:spacing w:before="2" w:line="360" w:lineRule="auto"/>
              <w:ind w:left="123" w:right="40" w:firstLine="6"/>
              <w:jc w:val="both"/>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3.投标报价得分=（投标基准价/投标报价）×1</w:t>
            </w:r>
            <w:r>
              <w:rPr>
                <w:rFonts w:hint="eastAsia" w:ascii="宋体" w:hAnsi="宋体" w:eastAsia="宋体" w:cs="宋体"/>
                <w:spacing w:val="1"/>
                <w:sz w:val="24"/>
                <w:szCs w:val="24"/>
                <w:highlight w:val="none"/>
                <w:lang w:val="en-US" w:eastAsia="zh-CN"/>
              </w:rPr>
              <w:t>0</w:t>
            </w:r>
            <w:r>
              <w:rPr>
                <w:rFonts w:hint="eastAsia" w:ascii="宋体" w:hAnsi="宋体" w:eastAsia="宋体" w:cs="宋体"/>
                <w:spacing w:val="1"/>
                <w:sz w:val="24"/>
                <w:szCs w:val="24"/>
                <w:highlight w:val="none"/>
              </w:rPr>
              <w:t>的公式计算得分。</w:t>
            </w:r>
          </w:p>
          <w:p w14:paraId="468A2418">
            <w:pPr>
              <w:pStyle w:val="111"/>
              <w:spacing w:before="2" w:line="360" w:lineRule="auto"/>
              <w:ind w:left="123" w:right="40" w:firstLine="6"/>
              <w:jc w:val="both"/>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4.投标报价不完整的，不进入评标标准价的计算，本项得 0 分。</w:t>
            </w:r>
          </w:p>
          <w:p w14:paraId="493CFFFC">
            <w:pPr>
              <w:pStyle w:val="111"/>
              <w:spacing w:before="2" w:line="360" w:lineRule="auto"/>
              <w:ind w:left="123" w:right="40" w:firstLine="6"/>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5.经</w:t>
            </w:r>
            <w:r>
              <w:rPr>
                <w:rFonts w:hint="eastAsia" w:ascii="宋体" w:hAnsi="宋体" w:eastAsia="宋体" w:cs="宋体"/>
                <w:spacing w:val="1"/>
                <w:sz w:val="24"/>
                <w:szCs w:val="24"/>
                <w:highlight w:val="none"/>
                <w:lang w:val="en-US" w:eastAsia="zh-CN"/>
              </w:rPr>
              <w:t>磋商小组</w:t>
            </w:r>
            <w:r>
              <w:rPr>
                <w:rFonts w:hint="eastAsia" w:ascii="宋体" w:hAnsi="宋体" w:eastAsia="宋体" w:cs="宋体"/>
                <w:spacing w:val="1"/>
                <w:sz w:val="24"/>
                <w:szCs w:val="24"/>
                <w:highlight w:val="none"/>
              </w:rPr>
              <w:t>一致认定，投标人的投标总报价低于公认市场成本，或超过采购预算,其投标将被拒绝。</w:t>
            </w:r>
          </w:p>
        </w:tc>
        <w:tc>
          <w:tcPr>
            <w:tcW w:w="457" w:type="pct"/>
            <w:noWrap w:val="0"/>
            <w:vAlign w:val="center"/>
          </w:tcPr>
          <w:p w14:paraId="53CC0744">
            <w:pPr>
              <w:pStyle w:val="111"/>
              <w:spacing w:before="78" w:line="360" w:lineRule="auto"/>
              <w:ind w:left="261"/>
              <w:jc w:val="center"/>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1</w:t>
            </w:r>
            <w:r>
              <w:rPr>
                <w:rFonts w:hint="eastAsia" w:ascii="宋体" w:hAnsi="宋体" w:eastAsia="宋体" w:cs="宋体"/>
                <w:spacing w:val="-9"/>
                <w:sz w:val="24"/>
                <w:szCs w:val="24"/>
                <w:highlight w:val="none"/>
                <w:lang w:val="en-US" w:eastAsia="zh-CN"/>
              </w:rPr>
              <w:t>0</w:t>
            </w:r>
            <w:r>
              <w:rPr>
                <w:rFonts w:hint="eastAsia" w:ascii="宋体" w:hAnsi="宋体" w:eastAsia="宋体" w:cs="宋体"/>
                <w:spacing w:val="-9"/>
                <w:sz w:val="24"/>
                <w:szCs w:val="24"/>
                <w:highlight w:val="none"/>
              </w:rPr>
              <w:t>分</w:t>
            </w:r>
          </w:p>
        </w:tc>
      </w:tr>
      <w:tr w14:paraId="2278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5" w:hRule="atLeast"/>
        </w:trPr>
        <w:tc>
          <w:tcPr>
            <w:tcW w:w="443" w:type="pct"/>
            <w:vMerge w:val="restart"/>
            <w:noWrap w:val="0"/>
            <w:vAlign w:val="center"/>
          </w:tcPr>
          <w:p w14:paraId="2D2F6AED">
            <w:pPr>
              <w:pStyle w:val="111"/>
              <w:spacing w:before="78" w:line="360" w:lineRule="auto"/>
              <w:ind w:firstLine="219" w:firstLineChars="100"/>
              <w:jc w:val="center"/>
              <w:rPr>
                <w:rFonts w:hint="eastAsia" w:ascii="宋体" w:hAnsi="宋体" w:eastAsia="宋体" w:cs="宋体"/>
                <w:sz w:val="24"/>
                <w:szCs w:val="24"/>
                <w:highlight w:val="none"/>
              </w:rPr>
            </w:pPr>
            <w:r>
              <w:rPr>
                <w:rFonts w:hint="eastAsia" w:ascii="宋体" w:hAnsi="宋体" w:eastAsia="宋体" w:cs="宋体"/>
                <w:b/>
                <w:bCs/>
                <w:spacing w:val="-11"/>
                <w:sz w:val="24"/>
                <w:szCs w:val="24"/>
                <w:highlight w:val="none"/>
              </w:rPr>
              <w:t>服务</w:t>
            </w:r>
          </w:p>
          <w:p w14:paraId="20E5D694">
            <w:pPr>
              <w:pStyle w:val="111"/>
              <w:spacing w:before="198" w:line="360" w:lineRule="auto"/>
              <w:ind w:left="210"/>
              <w:jc w:val="center"/>
              <w:rPr>
                <w:rFonts w:hint="eastAsia" w:ascii="宋体" w:hAnsi="宋体" w:eastAsia="宋体" w:cs="宋体"/>
                <w:sz w:val="24"/>
                <w:szCs w:val="24"/>
                <w:highlight w:val="none"/>
              </w:rPr>
            </w:pPr>
            <w:r>
              <w:rPr>
                <w:rFonts w:hint="eastAsia" w:ascii="宋体" w:hAnsi="宋体" w:eastAsia="宋体" w:cs="宋体"/>
                <w:b/>
                <w:bCs/>
                <w:spacing w:val="-14"/>
                <w:sz w:val="24"/>
                <w:szCs w:val="24"/>
                <w:highlight w:val="none"/>
              </w:rPr>
              <w:t>方案</w:t>
            </w:r>
          </w:p>
        </w:tc>
        <w:tc>
          <w:tcPr>
            <w:tcW w:w="502" w:type="pct"/>
            <w:vMerge w:val="restart"/>
            <w:noWrap w:val="0"/>
            <w:vAlign w:val="center"/>
          </w:tcPr>
          <w:p w14:paraId="3F7CD918">
            <w:pPr>
              <w:pStyle w:val="111"/>
              <w:spacing w:before="72" w:line="360" w:lineRule="auto"/>
              <w:ind w:left="330"/>
              <w:jc w:val="center"/>
              <w:outlineLvl w:val="1"/>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lang w:val="en-US" w:eastAsia="zh-CN"/>
              </w:rPr>
              <w:t>56</w:t>
            </w:r>
            <w:r>
              <w:rPr>
                <w:rFonts w:hint="eastAsia" w:ascii="宋体" w:hAnsi="宋体" w:eastAsia="宋体" w:cs="宋体"/>
                <w:b/>
                <w:bCs/>
                <w:spacing w:val="-4"/>
                <w:sz w:val="24"/>
                <w:szCs w:val="24"/>
                <w:highlight w:val="none"/>
              </w:rPr>
              <w:t>分</w:t>
            </w:r>
          </w:p>
        </w:tc>
        <w:tc>
          <w:tcPr>
            <w:tcW w:w="3596" w:type="pct"/>
            <w:noWrap w:val="0"/>
            <w:vAlign w:val="top"/>
          </w:tcPr>
          <w:p w14:paraId="130DD3B0">
            <w:pPr>
              <w:pStyle w:val="111"/>
              <w:numPr>
                <w:ilvl w:val="0"/>
                <w:numId w:val="12"/>
              </w:numPr>
              <w:spacing w:before="127" w:line="360" w:lineRule="auto"/>
              <w:ind w:left="130"/>
              <w:rPr>
                <w:rFonts w:hint="eastAsia" w:ascii="宋体" w:hAnsi="宋体" w:eastAsia="宋体" w:cs="宋体"/>
                <w:spacing w:val="-1"/>
                <w:sz w:val="24"/>
                <w:szCs w:val="24"/>
                <w:highlight w:val="none"/>
                <w:lang w:val="en-US" w:eastAsia="zh-CN"/>
              </w:rPr>
            </w:pPr>
            <w:r>
              <w:rPr>
                <w:rFonts w:hint="eastAsia" w:ascii="宋体" w:hAnsi="宋体" w:eastAsia="宋体" w:cs="宋体"/>
                <w:b/>
                <w:bCs/>
                <w:spacing w:val="-5"/>
                <w:sz w:val="24"/>
                <w:szCs w:val="24"/>
                <w:highlight w:val="none"/>
              </w:rPr>
              <w:t>项目背景及政策解读：</w:t>
            </w:r>
            <w:r>
              <w:rPr>
                <w:rFonts w:hint="eastAsia" w:ascii="宋体" w:hAnsi="宋体" w:eastAsia="宋体" w:cs="宋体"/>
                <w:spacing w:val="-1"/>
                <w:sz w:val="24"/>
                <w:szCs w:val="24"/>
                <w:highlight w:val="none"/>
              </w:rPr>
              <w:t>对项目及背景理解和认识深刻，准确把握相关政策与</w:t>
            </w:r>
            <w:r>
              <w:rPr>
                <w:rFonts w:hint="eastAsia" w:ascii="宋体" w:hAnsi="宋体" w:eastAsia="宋体" w:cs="宋体"/>
                <w:spacing w:val="-1"/>
                <w:sz w:val="24"/>
                <w:szCs w:val="24"/>
                <w:highlight w:val="none"/>
                <w:lang w:val="en-US" w:eastAsia="zh-CN"/>
              </w:rPr>
              <w:t>采购需求</w:t>
            </w:r>
          </w:p>
          <w:p w14:paraId="54B82D0F">
            <w:pPr>
              <w:pStyle w:val="111"/>
              <w:numPr>
                <w:ilvl w:val="0"/>
                <w:numId w:val="13"/>
              </w:numPr>
              <w:spacing w:before="127" w:line="360" w:lineRule="auto"/>
              <w:rPr>
                <w:rFonts w:hint="eastAsia" w:ascii="宋体" w:hAnsi="宋体" w:eastAsia="宋体" w:cs="宋体"/>
                <w:spacing w:val="-6"/>
                <w:sz w:val="24"/>
                <w:szCs w:val="24"/>
                <w:highlight w:val="none"/>
              </w:rPr>
            </w:pPr>
            <w:r>
              <w:rPr>
                <w:rFonts w:hint="eastAsia" w:ascii="宋体" w:hAnsi="宋体" w:eastAsia="宋体" w:cs="宋体"/>
                <w:spacing w:val="-1"/>
                <w:sz w:val="24"/>
                <w:szCs w:val="24"/>
                <w:highlight w:val="none"/>
              </w:rPr>
              <w:t>全面深入</w:t>
            </w:r>
            <w:r>
              <w:rPr>
                <w:rFonts w:hint="eastAsia" w:ascii="宋体" w:hAnsi="宋体" w:eastAsia="宋体" w:cs="宋体"/>
                <w:spacing w:val="-6"/>
                <w:sz w:val="24"/>
                <w:szCs w:val="24"/>
                <w:highlight w:val="none"/>
              </w:rPr>
              <w:t>了解的得</w:t>
            </w:r>
            <w:r>
              <w:rPr>
                <w:rFonts w:hint="eastAsia" w:ascii="宋体" w:hAnsi="宋体" w:eastAsia="宋体" w:cs="宋体"/>
                <w:spacing w:val="-28"/>
                <w:sz w:val="24"/>
                <w:szCs w:val="24"/>
                <w:highlight w:val="none"/>
              </w:rPr>
              <w:t xml:space="preserve"> </w:t>
            </w:r>
            <w:r>
              <w:rPr>
                <w:rFonts w:hint="eastAsia" w:ascii="宋体" w:hAnsi="宋体" w:eastAsia="宋体" w:cs="宋体"/>
                <w:spacing w:val="-28"/>
                <w:sz w:val="24"/>
                <w:szCs w:val="24"/>
                <w:highlight w:val="none"/>
                <w:lang w:val="en-US" w:eastAsia="zh-CN"/>
              </w:rPr>
              <w:t>4</w:t>
            </w:r>
            <w:r>
              <w:rPr>
                <w:rFonts w:hint="eastAsia" w:ascii="宋体" w:hAnsi="宋体" w:eastAsia="宋体" w:cs="宋体"/>
                <w:spacing w:val="-6"/>
                <w:sz w:val="24"/>
                <w:szCs w:val="24"/>
                <w:highlight w:val="none"/>
              </w:rPr>
              <w:t>-</w:t>
            </w:r>
            <w:r>
              <w:rPr>
                <w:rFonts w:hint="eastAsia" w:ascii="宋体" w:hAnsi="宋体" w:eastAsia="宋体" w:cs="宋体"/>
                <w:spacing w:val="-6"/>
                <w:sz w:val="24"/>
                <w:szCs w:val="24"/>
                <w:highlight w:val="none"/>
                <w:lang w:val="en-US" w:eastAsia="zh-CN"/>
              </w:rPr>
              <w:t>5</w:t>
            </w:r>
            <w:r>
              <w:rPr>
                <w:rFonts w:hint="eastAsia" w:ascii="宋体" w:hAnsi="宋体" w:eastAsia="宋体" w:cs="宋体"/>
                <w:spacing w:val="-6"/>
                <w:sz w:val="24"/>
                <w:szCs w:val="24"/>
                <w:highlight w:val="none"/>
              </w:rPr>
              <w:t>分；</w:t>
            </w:r>
          </w:p>
          <w:p w14:paraId="5A3D9DED">
            <w:pPr>
              <w:pStyle w:val="111"/>
              <w:numPr>
                <w:ilvl w:val="0"/>
                <w:numId w:val="13"/>
              </w:numPr>
              <w:spacing w:before="127" w:line="360" w:lineRule="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认识和理解一般的得</w:t>
            </w:r>
            <w:r>
              <w:rPr>
                <w:rFonts w:hint="eastAsia" w:ascii="宋体" w:hAnsi="宋体" w:eastAsia="宋体" w:cs="宋体"/>
                <w:spacing w:val="-6"/>
                <w:sz w:val="24"/>
                <w:szCs w:val="24"/>
                <w:highlight w:val="none"/>
                <w:lang w:val="en-US" w:eastAsia="zh-CN"/>
              </w:rPr>
              <w:t>2</w:t>
            </w:r>
            <w:r>
              <w:rPr>
                <w:rFonts w:hint="eastAsia" w:ascii="宋体" w:hAnsi="宋体" w:eastAsia="宋体" w:cs="宋体"/>
                <w:spacing w:val="-6"/>
                <w:sz w:val="24"/>
                <w:szCs w:val="24"/>
                <w:highlight w:val="none"/>
              </w:rPr>
              <w:t>-</w:t>
            </w:r>
            <w:r>
              <w:rPr>
                <w:rFonts w:hint="eastAsia" w:ascii="宋体" w:hAnsi="宋体" w:eastAsia="宋体" w:cs="宋体"/>
                <w:spacing w:val="-6"/>
                <w:sz w:val="24"/>
                <w:szCs w:val="24"/>
                <w:highlight w:val="none"/>
                <w:lang w:val="en-US" w:eastAsia="zh-CN"/>
              </w:rPr>
              <w:t>4</w:t>
            </w:r>
            <w:r>
              <w:rPr>
                <w:rFonts w:hint="eastAsia" w:ascii="宋体" w:hAnsi="宋体" w:eastAsia="宋体" w:cs="宋体"/>
                <w:spacing w:val="-6"/>
                <w:sz w:val="24"/>
                <w:szCs w:val="24"/>
                <w:highlight w:val="none"/>
              </w:rPr>
              <w:t>分；</w:t>
            </w:r>
          </w:p>
          <w:p w14:paraId="1A218035">
            <w:pPr>
              <w:pStyle w:val="111"/>
              <w:numPr>
                <w:ilvl w:val="0"/>
                <w:numId w:val="13"/>
              </w:numPr>
              <w:spacing w:before="127" w:line="360" w:lineRule="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认识</w:t>
            </w:r>
            <w:r>
              <w:rPr>
                <w:rFonts w:hint="eastAsia" w:ascii="宋体" w:hAnsi="宋体" w:eastAsia="宋体" w:cs="宋体"/>
                <w:spacing w:val="2"/>
                <w:sz w:val="24"/>
                <w:szCs w:val="24"/>
                <w:highlight w:val="none"/>
              </w:rPr>
              <w:t>和理解浅显的得0-</w:t>
            </w:r>
            <w:r>
              <w:rPr>
                <w:rFonts w:hint="eastAsia" w:ascii="宋体" w:hAnsi="宋体" w:eastAsia="宋体" w:cs="宋体"/>
                <w:spacing w:val="2"/>
                <w:sz w:val="24"/>
                <w:szCs w:val="24"/>
                <w:highlight w:val="none"/>
                <w:lang w:val="en-US" w:eastAsia="zh-CN"/>
              </w:rPr>
              <w:t>2</w:t>
            </w:r>
            <w:r>
              <w:rPr>
                <w:rFonts w:hint="eastAsia" w:ascii="宋体" w:hAnsi="宋体" w:eastAsia="宋体" w:cs="宋体"/>
                <w:spacing w:val="2"/>
                <w:sz w:val="24"/>
                <w:szCs w:val="24"/>
                <w:highlight w:val="none"/>
              </w:rPr>
              <w:t>分。</w:t>
            </w:r>
          </w:p>
        </w:tc>
        <w:tc>
          <w:tcPr>
            <w:tcW w:w="457" w:type="pct"/>
            <w:noWrap w:val="0"/>
            <w:vAlign w:val="center"/>
          </w:tcPr>
          <w:p w14:paraId="3832EECA">
            <w:pPr>
              <w:pStyle w:val="111"/>
              <w:spacing w:before="78" w:line="360" w:lineRule="auto"/>
              <w:ind w:left="261"/>
              <w:jc w:val="center"/>
              <w:outlineLvl w:val="1"/>
              <w:rPr>
                <w:rFonts w:hint="eastAsia" w:ascii="宋体" w:hAnsi="宋体" w:eastAsia="宋体" w:cs="宋体"/>
                <w:sz w:val="24"/>
                <w:szCs w:val="24"/>
                <w:highlight w:val="none"/>
              </w:rPr>
            </w:pPr>
            <w:r>
              <w:rPr>
                <w:rFonts w:hint="eastAsia" w:ascii="宋体" w:hAnsi="宋体" w:eastAsia="宋体" w:cs="宋体"/>
                <w:spacing w:val="-9"/>
                <w:sz w:val="24"/>
                <w:szCs w:val="24"/>
                <w:highlight w:val="none"/>
                <w:lang w:val="en-US" w:eastAsia="zh-CN"/>
              </w:rPr>
              <w:t>5</w:t>
            </w:r>
            <w:r>
              <w:rPr>
                <w:rFonts w:hint="eastAsia" w:ascii="宋体" w:hAnsi="宋体" w:eastAsia="宋体" w:cs="宋体"/>
                <w:spacing w:val="-9"/>
                <w:sz w:val="24"/>
                <w:szCs w:val="24"/>
                <w:highlight w:val="none"/>
              </w:rPr>
              <w:t>分</w:t>
            </w:r>
          </w:p>
        </w:tc>
      </w:tr>
      <w:tr w14:paraId="4E1BB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6" w:hRule="atLeast"/>
        </w:trPr>
        <w:tc>
          <w:tcPr>
            <w:tcW w:w="443" w:type="pct"/>
            <w:vMerge w:val="continue"/>
            <w:noWrap w:val="0"/>
            <w:vAlign w:val="top"/>
          </w:tcPr>
          <w:p w14:paraId="7958801F">
            <w:pPr>
              <w:spacing w:line="360" w:lineRule="auto"/>
              <w:rPr>
                <w:rFonts w:hint="eastAsia" w:ascii="宋体" w:hAnsi="宋体" w:eastAsia="宋体" w:cs="宋体"/>
                <w:sz w:val="24"/>
                <w:szCs w:val="24"/>
                <w:highlight w:val="none"/>
              </w:rPr>
            </w:pPr>
          </w:p>
        </w:tc>
        <w:tc>
          <w:tcPr>
            <w:tcW w:w="502" w:type="pct"/>
            <w:vMerge w:val="continue"/>
            <w:noWrap w:val="0"/>
            <w:vAlign w:val="top"/>
          </w:tcPr>
          <w:p w14:paraId="0B2AA0E1">
            <w:pPr>
              <w:spacing w:line="360" w:lineRule="auto"/>
              <w:rPr>
                <w:rFonts w:hint="eastAsia" w:ascii="宋体" w:hAnsi="宋体" w:eastAsia="宋体" w:cs="宋体"/>
                <w:sz w:val="24"/>
                <w:szCs w:val="24"/>
                <w:highlight w:val="none"/>
              </w:rPr>
            </w:pPr>
          </w:p>
        </w:tc>
        <w:tc>
          <w:tcPr>
            <w:tcW w:w="3596" w:type="pct"/>
            <w:noWrap w:val="0"/>
            <w:vAlign w:val="top"/>
          </w:tcPr>
          <w:p w14:paraId="35CA8113">
            <w:pPr>
              <w:pStyle w:val="111"/>
              <w:spacing w:before="150" w:line="360" w:lineRule="auto"/>
              <w:ind w:left="115"/>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2.</w:t>
            </w:r>
            <w:r>
              <w:rPr>
                <w:rFonts w:hint="eastAsia" w:ascii="宋体" w:hAnsi="宋体" w:eastAsia="宋体" w:cs="宋体"/>
                <w:spacing w:val="-34"/>
                <w:sz w:val="24"/>
                <w:szCs w:val="24"/>
                <w:highlight w:val="none"/>
              </w:rPr>
              <w:t xml:space="preserve"> </w:t>
            </w:r>
            <w:r>
              <w:rPr>
                <w:rFonts w:hint="eastAsia" w:ascii="宋体" w:hAnsi="宋体" w:eastAsia="宋体" w:cs="宋体"/>
                <w:b/>
                <w:bCs/>
                <w:spacing w:val="-5"/>
                <w:sz w:val="24"/>
                <w:szCs w:val="24"/>
                <w:highlight w:val="none"/>
                <w:lang w:val="en-US" w:eastAsia="zh-CN"/>
              </w:rPr>
              <w:t>总体实施</w:t>
            </w:r>
            <w:r>
              <w:rPr>
                <w:rFonts w:hint="eastAsia" w:ascii="宋体" w:hAnsi="宋体" w:eastAsia="宋体" w:cs="宋体"/>
                <w:b/>
                <w:bCs/>
                <w:spacing w:val="-5"/>
                <w:sz w:val="24"/>
                <w:szCs w:val="24"/>
                <w:highlight w:val="none"/>
              </w:rPr>
              <w:t>方案：</w:t>
            </w:r>
          </w:p>
          <w:p w14:paraId="458CB7DD">
            <w:pPr>
              <w:pStyle w:val="111"/>
              <w:spacing w:before="2" w:line="360" w:lineRule="auto"/>
              <w:ind w:left="123" w:right="40" w:firstLine="6"/>
              <w:jc w:val="both"/>
              <w:rPr>
                <w:rFonts w:hint="eastAsia" w:ascii="宋体" w:hAnsi="宋体" w:eastAsia="宋体" w:cs="宋体"/>
                <w:kern w:val="0"/>
                <w:sz w:val="24"/>
                <w:szCs w:val="24"/>
                <w:highlight w:val="none"/>
                <w:lang w:val="zh-CN"/>
              </w:rPr>
            </w:pPr>
            <w:r>
              <w:rPr>
                <w:rFonts w:hint="eastAsia" w:ascii="宋体" w:hAnsi="宋体" w:eastAsia="宋体" w:cs="宋体"/>
                <w:spacing w:val="1"/>
                <w:sz w:val="24"/>
                <w:szCs w:val="24"/>
                <w:highlight w:val="none"/>
              </w:rPr>
              <w:t>根据供应商对本项目的理解并结合采购人实际情况，提供的整体服务方案，</w:t>
            </w:r>
            <w:r>
              <w:rPr>
                <w:rFonts w:hint="eastAsia" w:ascii="宋体" w:hAnsi="宋体" w:eastAsia="宋体" w:cs="宋体"/>
                <w:spacing w:val="1"/>
                <w:sz w:val="24"/>
                <w:szCs w:val="24"/>
                <w:highlight w:val="none"/>
                <w:lang w:val="en-US" w:eastAsia="zh-CN"/>
              </w:rPr>
              <w:t>要求</w:t>
            </w:r>
            <w:r>
              <w:rPr>
                <w:rFonts w:hint="eastAsia" w:ascii="宋体" w:hAnsi="宋体" w:eastAsia="宋体" w:cs="宋体"/>
                <w:kern w:val="0"/>
                <w:sz w:val="24"/>
                <w:szCs w:val="24"/>
                <w:highlight w:val="none"/>
                <w:lang w:val="zh-CN"/>
              </w:rPr>
              <w:t>内容全面、具体可行。</w:t>
            </w:r>
          </w:p>
          <w:p w14:paraId="3710446B">
            <w:pPr>
              <w:pStyle w:val="111"/>
              <w:numPr>
                <w:ilvl w:val="0"/>
                <w:numId w:val="14"/>
              </w:numPr>
              <w:spacing w:before="2" w:line="360" w:lineRule="auto"/>
              <w:ind w:left="123" w:right="40" w:firstLine="6"/>
              <w:jc w:val="both"/>
              <w:rPr>
                <w:rFonts w:hint="eastAsia" w:ascii="宋体" w:hAnsi="宋体" w:eastAsia="宋体" w:cs="宋体"/>
                <w:spacing w:val="1"/>
                <w:sz w:val="24"/>
                <w:szCs w:val="24"/>
                <w:highlight w:val="none"/>
              </w:rPr>
            </w:pPr>
            <w:r>
              <w:rPr>
                <w:rFonts w:hint="eastAsia" w:ascii="宋体" w:hAnsi="宋体" w:eastAsia="宋体" w:cs="宋体"/>
                <w:kern w:val="0"/>
                <w:sz w:val="24"/>
                <w:szCs w:val="24"/>
                <w:highlight w:val="none"/>
                <w:lang w:val="zh-CN"/>
              </w:rPr>
              <w:t>分工明确、责任清晰</w:t>
            </w:r>
            <w:r>
              <w:rPr>
                <w:rFonts w:hint="eastAsia" w:ascii="宋体" w:hAnsi="宋体" w:eastAsia="宋体" w:cs="宋体"/>
                <w:spacing w:val="1"/>
                <w:sz w:val="24"/>
                <w:szCs w:val="24"/>
                <w:highlight w:val="none"/>
              </w:rPr>
              <w:t>、针对性强</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lang w:val="en-US" w:eastAsia="zh-CN"/>
              </w:rPr>
              <w:t>满足本项目需要且可操作性强7</w:t>
            </w:r>
            <w:r>
              <w:rPr>
                <w:rFonts w:hint="eastAsia" w:ascii="宋体" w:hAnsi="宋体" w:eastAsia="宋体" w:cs="宋体"/>
                <w:spacing w:val="1"/>
                <w:sz w:val="24"/>
                <w:szCs w:val="24"/>
                <w:highlight w:val="none"/>
              </w:rPr>
              <w:t>-</w:t>
            </w:r>
            <w:r>
              <w:rPr>
                <w:rFonts w:hint="eastAsia" w:ascii="宋体" w:hAnsi="宋体" w:eastAsia="宋体" w:cs="宋体"/>
                <w:spacing w:val="1"/>
                <w:sz w:val="24"/>
                <w:szCs w:val="24"/>
                <w:highlight w:val="none"/>
                <w:lang w:val="en-US" w:eastAsia="zh-CN"/>
              </w:rPr>
              <w:t>10</w:t>
            </w:r>
            <w:r>
              <w:rPr>
                <w:rFonts w:hint="eastAsia" w:ascii="宋体" w:hAnsi="宋体" w:eastAsia="宋体" w:cs="宋体"/>
                <w:spacing w:val="1"/>
                <w:sz w:val="24"/>
                <w:szCs w:val="24"/>
                <w:highlight w:val="none"/>
              </w:rPr>
              <w:t>分</w:t>
            </w:r>
            <w:bookmarkStart w:id="201" w:name="_GoBack"/>
            <w:bookmarkEnd w:id="201"/>
          </w:p>
          <w:p w14:paraId="7CC16755">
            <w:pPr>
              <w:pStyle w:val="111"/>
              <w:numPr>
                <w:ilvl w:val="0"/>
                <w:numId w:val="14"/>
              </w:numPr>
              <w:spacing w:before="2" w:line="360" w:lineRule="auto"/>
              <w:ind w:left="123" w:right="40" w:firstLine="6"/>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zh-CN"/>
              </w:rPr>
              <w:t>分工、责任</w:t>
            </w:r>
            <w:r>
              <w:rPr>
                <w:rFonts w:hint="eastAsia" w:ascii="宋体" w:hAnsi="宋体" w:eastAsia="宋体" w:cs="宋体"/>
                <w:spacing w:val="1"/>
                <w:sz w:val="24"/>
                <w:szCs w:val="24"/>
                <w:highlight w:val="none"/>
              </w:rPr>
              <w:t>、针对性</w:t>
            </w:r>
            <w:r>
              <w:rPr>
                <w:rFonts w:hint="eastAsia" w:ascii="宋体" w:hAnsi="宋体" w:eastAsia="宋体" w:cs="宋体"/>
                <w:spacing w:val="1"/>
                <w:sz w:val="24"/>
                <w:szCs w:val="24"/>
                <w:highlight w:val="none"/>
                <w:lang w:val="en-US" w:eastAsia="zh-CN"/>
              </w:rPr>
              <w:t>均一般</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lang w:val="en-US" w:eastAsia="zh-CN"/>
              </w:rPr>
              <w:t>基本满足本项目需要且有可操作性4</w:t>
            </w:r>
            <w:r>
              <w:rPr>
                <w:rFonts w:hint="eastAsia" w:ascii="宋体" w:hAnsi="宋体" w:eastAsia="宋体" w:cs="宋体"/>
                <w:spacing w:val="1"/>
                <w:sz w:val="24"/>
                <w:szCs w:val="24"/>
                <w:highlight w:val="none"/>
              </w:rPr>
              <w:t>-</w:t>
            </w:r>
            <w:r>
              <w:rPr>
                <w:rFonts w:hint="eastAsia" w:ascii="宋体" w:hAnsi="宋体" w:eastAsia="宋体" w:cs="宋体"/>
                <w:spacing w:val="1"/>
                <w:sz w:val="24"/>
                <w:szCs w:val="24"/>
                <w:highlight w:val="none"/>
                <w:lang w:val="en-US" w:eastAsia="zh-CN"/>
              </w:rPr>
              <w:t>7</w:t>
            </w:r>
            <w:r>
              <w:rPr>
                <w:rFonts w:hint="eastAsia" w:ascii="宋体" w:hAnsi="宋体" w:eastAsia="宋体" w:cs="宋体"/>
                <w:spacing w:val="1"/>
                <w:sz w:val="24"/>
                <w:szCs w:val="24"/>
                <w:highlight w:val="none"/>
              </w:rPr>
              <w:t>分</w:t>
            </w:r>
          </w:p>
          <w:p w14:paraId="4C9F2DA7">
            <w:pPr>
              <w:pStyle w:val="111"/>
              <w:numPr>
                <w:ilvl w:val="0"/>
                <w:numId w:val="14"/>
              </w:numPr>
              <w:spacing w:before="2" w:line="360" w:lineRule="auto"/>
              <w:ind w:left="123" w:right="40" w:firstLine="6"/>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zh-CN"/>
              </w:rPr>
              <w:t>分工、责任</w:t>
            </w:r>
            <w:r>
              <w:rPr>
                <w:rFonts w:hint="eastAsia" w:ascii="宋体" w:hAnsi="宋体" w:eastAsia="宋体" w:cs="宋体"/>
                <w:spacing w:val="1"/>
                <w:sz w:val="24"/>
                <w:szCs w:val="24"/>
                <w:highlight w:val="none"/>
              </w:rPr>
              <w:t>、针对性</w:t>
            </w:r>
            <w:r>
              <w:rPr>
                <w:rFonts w:hint="eastAsia" w:ascii="宋体" w:hAnsi="宋体" w:eastAsia="宋体" w:cs="宋体"/>
                <w:spacing w:val="1"/>
                <w:sz w:val="24"/>
                <w:szCs w:val="24"/>
                <w:highlight w:val="none"/>
                <w:lang w:val="en-US" w:eastAsia="zh-CN"/>
              </w:rPr>
              <w:t>均差</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lang w:val="en-US" w:eastAsia="zh-CN"/>
              </w:rPr>
              <w:t>不满足本项目需要、照搬其他项目方案0</w:t>
            </w:r>
            <w:r>
              <w:rPr>
                <w:rFonts w:hint="eastAsia" w:ascii="宋体" w:hAnsi="宋体" w:eastAsia="宋体" w:cs="宋体"/>
                <w:spacing w:val="1"/>
                <w:sz w:val="24"/>
                <w:szCs w:val="24"/>
                <w:highlight w:val="none"/>
              </w:rPr>
              <w:t>-</w:t>
            </w:r>
            <w:r>
              <w:rPr>
                <w:rFonts w:hint="eastAsia" w:ascii="宋体" w:hAnsi="宋体" w:eastAsia="宋体" w:cs="宋体"/>
                <w:spacing w:val="1"/>
                <w:sz w:val="24"/>
                <w:szCs w:val="24"/>
                <w:highlight w:val="none"/>
                <w:lang w:val="en-US" w:eastAsia="zh-CN"/>
              </w:rPr>
              <w:t>4</w:t>
            </w:r>
            <w:r>
              <w:rPr>
                <w:rFonts w:hint="eastAsia" w:ascii="宋体" w:hAnsi="宋体" w:eastAsia="宋体" w:cs="宋体"/>
                <w:spacing w:val="1"/>
                <w:sz w:val="24"/>
                <w:szCs w:val="24"/>
                <w:highlight w:val="none"/>
              </w:rPr>
              <w:t>分。</w:t>
            </w:r>
          </w:p>
        </w:tc>
        <w:tc>
          <w:tcPr>
            <w:tcW w:w="457" w:type="pct"/>
            <w:noWrap w:val="0"/>
            <w:vAlign w:val="center"/>
          </w:tcPr>
          <w:p w14:paraId="5A808239">
            <w:pPr>
              <w:pStyle w:val="111"/>
              <w:spacing w:before="78" w:line="360" w:lineRule="auto"/>
              <w:jc w:val="center"/>
              <w:outlineLvl w:val="1"/>
              <w:rPr>
                <w:rFonts w:hint="eastAsia" w:ascii="宋体" w:hAnsi="宋体" w:eastAsia="宋体" w:cs="宋体"/>
                <w:sz w:val="24"/>
                <w:szCs w:val="24"/>
                <w:highlight w:val="none"/>
              </w:rPr>
            </w:pPr>
            <w:r>
              <w:rPr>
                <w:rFonts w:hint="eastAsia" w:ascii="宋体" w:hAnsi="宋体" w:eastAsia="宋体" w:cs="宋体"/>
                <w:spacing w:val="-9"/>
                <w:sz w:val="24"/>
                <w:szCs w:val="24"/>
                <w:highlight w:val="none"/>
                <w:lang w:val="en-US" w:eastAsia="zh-CN"/>
              </w:rPr>
              <w:t>10</w:t>
            </w:r>
            <w:r>
              <w:rPr>
                <w:rFonts w:hint="eastAsia" w:ascii="宋体" w:hAnsi="宋体" w:eastAsia="宋体" w:cs="宋体"/>
                <w:spacing w:val="-9"/>
                <w:sz w:val="24"/>
                <w:szCs w:val="24"/>
                <w:highlight w:val="none"/>
              </w:rPr>
              <w:t>分</w:t>
            </w:r>
          </w:p>
        </w:tc>
      </w:tr>
      <w:tr w14:paraId="1CD2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43" w:type="pct"/>
            <w:vMerge w:val="continue"/>
            <w:noWrap w:val="0"/>
            <w:vAlign w:val="top"/>
          </w:tcPr>
          <w:p w14:paraId="286167C6">
            <w:pPr>
              <w:spacing w:line="360" w:lineRule="auto"/>
              <w:rPr>
                <w:rFonts w:hint="eastAsia" w:ascii="宋体" w:hAnsi="宋体" w:eastAsia="宋体" w:cs="宋体"/>
                <w:sz w:val="24"/>
                <w:szCs w:val="24"/>
                <w:highlight w:val="none"/>
              </w:rPr>
            </w:pPr>
          </w:p>
        </w:tc>
        <w:tc>
          <w:tcPr>
            <w:tcW w:w="502" w:type="pct"/>
            <w:vMerge w:val="continue"/>
            <w:noWrap w:val="0"/>
            <w:vAlign w:val="top"/>
          </w:tcPr>
          <w:p w14:paraId="3BD89B59">
            <w:pPr>
              <w:spacing w:line="360" w:lineRule="auto"/>
              <w:rPr>
                <w:rFonts w:hint="eastAsia" w:ascii="宋体" w:hAnsi="宋体" w:eastAsia="宋体" w:cs="宋体"/>
                <w:sz w:val="24"/>
                <w:szCs w:val="24"/>
                <w:highlight w:val="none"/>
              </w:rPr>
            </w:pPr>
          </w:p>
        </w:tc>
        <w:tc>
          <w:tcPr>
            <w:tcW w:w="3596" w:type="pct"/>
            <w:noWrap w:val="0"/>
            <w:vAlign w:val="top"/>
          </w:tcPr>
          <w:p w14:paraId="20F321FB">
            <w:pPr>
              <w:pStyle w:val="111"/>
              <w:spacing w:before="2" w:line="360" w:lineRule="auto"/>
              <w:ind w:left="123" w:right="40" w:firstLine="6"/>
              <w:jc w:val="both"/>
              <w:rPr>
                <w:rFonts w:hint="eastAsia" w:ascii="宋体" w:hAnsi="宋体" w:eastAsia="宋体" w:cs="宋体"/>
                <w:b/>
                <w:bCs/>
                <w:spacing w:val="1"/>
                <w:sz w:val="24"/>
                <w:szCs w:val="24"/>
                <w:highlight w:val="none"/>
                <w:lang w:val="en-US" w:eastAsia="zh-CN"/>
              </w:rPr>
            </w:pPr>
            <w:r>
              <w:rPr>
                <w:rFonts w:hint="eastAsia" w:ascii="宋体" w:hAnsi="宋体" w:eastAsia="宋体" w:cs="宋体"/>
                <w:b/>
                <w:bCs/>
                <w:spacing w:val="1"/>
                <w:sz w:val="24"/>
                <w:szCs w:val="24"/>
                <w:highlight w:val="none"/>
                <w:lang w:val="en-US" w:eastAsia="zh-CN"/>
              </w:rPr>
              <w:t>3.专业化方案：</w:t>
            </w:r>
          </w:p>
          <w:p w14:paraId="6857456E">
            <w:pPr>
              <w:pStyle w:val="111"/>
              <w:spacing w:before="2" w:line="360" w:lineRule="auto"/>
              <w:ind w:left="123" w:right="40" w:firstLine="6"/>
              <w:jc w:val="both"/>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提供的专业化方案详细合理、清晰完整，方案内容应包括但不限于对本项目内容目标的理解和分析、项目重点难点分析及项目难点重点应对策略等方面，</w:t>
            </w:r>
          </w:p>
          <w:p w14:paraId="548C83A8">
            <w:pPr>
              <w:pStyle w:val="111"/>
              <w:numPr>
                <w:ilvl w:val="0"/>
                <w:numId w:val="15"/>
              </w:numPr>
              <w:spacing w:before="2" w:line="360" w:lineRule="auto"/>
              <w:ind w:left="123" w:right="40" w:firstLine="6"/>
              <w:jc w:val="both"/>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方案全面、完善、针对性强7-10分</w:t>
            </w:r>
          </w:p>
          <w:p w14:paraId="65F74AEB">
            <w:pPr>
              <w:pStyle w:val="111"/>
              <w:numPr>
                <w:ilvl w:val="0"/>
                <w:numId w:val="15"/>
              </w:numPr>
              <w:spacing w:before="2" w:line="360" w:lineRule="auto"/>
              <w:ind w:left="123" w:right="40" w:firstLine="6"/>
              <w:jc w:val="both"/>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方案全面、</w:t>
            </w:r>
            <w:r>
              <w:rPr>
                <w:rFonts w:hint="eastAsia" w:ascii="宋体" w:hAnsi="宋体" w:eastAsia="宋体" w:cs="宋体"/>
                <w:spacing w:val="1"/>
                <w:sz w:val="24"/>
                <w:szCs w:val="24"/>
                <w:highlight w:val="none"/>
                <w:lang w:val="en-US" w:eastAsia="zh-CN"/>
              </w:rPr>
              <w:t>基本</w:t>
            </w:r>
            <w:r>
              <w:rPr>
                <w:rFonts w:hint="eastAsia" w:ascii="宋体" w:hAnsi="宋体" w:eastAsia="宋体" w:cs="宋体"/>
                <w:spacing w:val="1"/>
                <w:sz w:val="24"/>
                <w:szCs w:val="24"/>
                <w:highlight w:val="none"/>
              </w:rPr>
              <w:t>完善、针对性</w:t>
            </w:r>
            <w:r>
              <w:rPr>
                <w:rFonts w:hint="eastAsia" w:ascii="宋体" w:hAnsi="宋体" w:eastAsia="宋体" w:cs="宋体"/>
                <w:spacing w:val="1"/>
                <w:sz w:val="24"/>
                <w:szCs w:val="24"/>
                <w:highlight w:val="none"/>
                <w:lang w:val="en-US" w:eastAsia="zh-CN"/>
              </w:rPr>
              <w:t>一般</w:t>
            </w:r>
            <w:r>
              <w:rPr>
                <w:rFonts w:hint="eastAsia" w:ascii="宋体" w:hAnsi="宋体" w:eastAsia="宋体" w:cs="宋体"/>
                <w:spacing w:val="1"/>
                <w:sz w:val="24"/>
                <w:szCs w:val="24"/>
                <w:highlight w:val="none"/>
              </w:rPr>
              <w:t>4-7分</w:t>
            </w:r>
          </w:p>
          <w:p w14:paraId="2E2C5588">
            <w:pPr>
              <w:pStyle w:val="111"/>
              <w:numPr>
                <w:ilvl w:val="0"/>
                <w:numId w:val="15"/>
              </w:numPr>
              <w:spacing w:before="2" w:line="360" w:lineRule="auto"/>
              <w:ind w:left="123" w:right="40" w:firstLine="6"/>
              <w:jc w:val="both"/>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方案</w:t>
            </w:r>
            <w:r>
              <w:rPr>
                <w:rFonts w:hint="eastAsia" w:ascii="宋体" w:hAnsi="宋体" w:eastAsia="宋体" w:cs="宋体"/>
                <w:spacing w:val="1"/>
                <w:sz w:val="24"/>
                <w:szCs w:val="24"/>
                <w:highlight w:val="none"/>
                <w:lang w:val="en-US" w:eastAsia="zh-CN"/>
              </w:rPr>
              <w:t>照搬其他项目、针对性差</w:t>
            </w:r>
            <w:r>
              <w:rPr>
                <w:rFonts w:hint="eastAsia" w:ascii="宋体" w:hAnsi="宋体" w:eastAsia="宋体" w:cs="宋体"/>
                <w:spacing w:val="1"/>
                <w:sz w:val="24"/>
                <w:szCs w:val="24"/>
                <w:highlight w:val="none"/>
              </w:rPr>
              <w:t>0-4分。</w:t>
            </w:r>
          </w:p>
        </w:tc>
        <w:tc>
          <w:tcPr>
            <w:tcW w:w="457" w:type="pct"/>
            <w:noWrap w:val="0"/>
            <w:vAlign w:val="center"/>
          </w:tcPr>
          <w:p w14:paraId="5ECC6AFB">
            <w:pPr>
              <w:pStyle w:val="111"/>
              <w:spacing w:before="78" w:line="360" w:lineRule="auto"/>
              <w:ind w:left="261"/>
              <w:jc w:val="center"/>
              <w:outlineLvl w:val="1"/>
              <w:rPr>
                <w:rFonts w:hint="eastAsia" w:ascii="宋体" w:hAnsi="宋体" w:eastAsia="宋体" w:cs="宋体"/>
                <w:spacing w:val="-9"/>
                <w:sz w:val="24"/>
                <w:szCs w:val="24"/>
                <w:highlight w:val="none"/>
                <w:lang w:val="en-US" w:eastAsia="zh-CN"/>
              </w:rPr>
            </w:pPr>
            <w:r>
              <w:rPr>
                <w:rFonts w:hint="eastAsia" w:ascii="宋体" w:hAnsi="宋体" w:eastAsia="宋体" w:cs="宋体"/>
                <w:spacing w:val="-9"/>
                <w:sz w:val="24"/>
                <w:szCs w:val="24"/>
                <w:highlight w:val="none"/>
                <w:lang w:val="en-US" w:eastAsia="zh-CN"/>
              </w:rPr>
              <w:t>10分</w:t>
            </w:r>
          </w:p>
        </w:tc>
      </w:tr>
      <w:tr w14:paraId="199A9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8" w:hRule="atLeast"/>
        </w:trPr>
        <w:tc>
          <w:tcPr>
            <w:tcW w:w="443" w:type="pct"/>
            <w:vMerge w:val="continue"/>
            <w:noWrap w:val="0"/>
            <w:vAlign w:val="top"/>
          </w:tcPr>
          <w:p w14:paraId="47AF153D">
            <w:pPr>
              <w:spacing w:line="360" w:lineRule="auto"/>
              <w:rPr>
                <w:rFonts w:hint="eastAsia" w:ascii="宋体" w:hAnsi="宋体" w:eastAsia="宋体" w:cs="宋体"/>
                <w:sz w:val="24"/>
                <w:szCs w:val="24"/>
                <w:highlight w:val="none"/>
              </w:rPr>
            </w:pPr>
          </w:p>
        </w:tc>
        <w:tc>
          <w:tcPr>
            <w:tcW w:w="502" w:type="pct"/>
            <w:vMerge w:val="continue"/>
            <w:noWrap w:val="0"/>
            <w:vAlign w:val="top"/>
          </w:tcPr>
          <w:p w14:paraId="4E8B0A59">
            <w:pPr>
              <w:spacing w:line="360" w:lineRule="auto"/>
              <w:rPr>
                <w:rFonts w:hint="eastAsia" w:ascii="宋体" w:hAnsi="宋体" w:eastAsia="宋体" w:cs="宋体"/>
                <w:sz w:val="24"/>
                <w:szCs w:val="24"/>
                <w:highlight w:val="none"/>
              </w:rPr>
            </w:pPr>
          </w:p>
        </w:tc>
        <w:tc>
          <w:tcPr>
            <w:tcW w:w="3596" w:type="pct"/>
            <w:noWrap w:val="0"/>
            <w:vAlign w:val="top"/>
          </w:tcPr>
          <w:p w14:paraId="60216634">
            <w:pPr>
              <w:pStyle w:val="111"/>
              <w:numPr>
                <w:ilvl w:val="0"/>
                <w:numId w:val="0"/>
              </w:numPr>
              <w:spacing w:before="2" w:line="360" w:lineRule="auto"/>
              <w:ind w:right="40" w:rightChars="0"/>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4.服务质量保障方案：</w:t>
            </w:r>
          </w:p>
          <w:p w14:paraId="0807E337">
            <w:pPr>
              <w:pStyle w:val="111"/>
              <w:spacing w:before="2" w:line="360" w:lineRule="auto"/>
              <w:ind w:left="123" w:right="40" w:firstLine="6"/>
              <w:jc w:val="both"/>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结合项目需求，提供针详细完整的服务质量保证方案，内容包括 但不限于服务承诺、服务响应时间、服务质量保障措施等方面</w:t>
            </w:r>
          </w:p>
          <w:p w14:paraId="3927829E">
            <w:pPr>
              <w:pStyle w:val="111"/>
              <w:numPr>
                <w:ilvl w:val="0"/>
                <w:numId w:val="16"/>
              </w:numPr>
              <w:spacing w:before="2" w:line="360" w:lineRule="auto"/>
              <w:ind w:left="123" w:right="40" w:firstLine="6"/>
              <w:jc w:val="both"/>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方案全面、完善、针对性强10-8 分</w:t>
            </w:r>
          </w:p>
          <w:p w14:paraId="517DB528">
            <w:pPr>
              <w:pStyle w:val="111"/>
              <w:numPr>
                <w:ilvl w:val="0"/>
                <w:numId w:val="16"/>
              </w:numPr>
              <w:spacing w:before="2" w:line="360" w:lineRule="auto"/>
              <w:ind w:left="123" w:right="40" w:firstLine="6"/>
              <w:jc w:val="both"/>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方案全面、</w:t>
            </w:r>
            <w:r>
              <w:rPr>
                <w:rFonts w:hint="eastAsia" w:ascii="宋体" w:hAnsi="宋体" w:eastAsia="宋体" w:cs="宋体"/>
                <w:spacing w:val="1"/>
                <w:sz w:val="24"/>
                <w:szCs w:val="24"/>
                <w:highlight w:val="none"/>
                <w:lang w:val="en-US" w:eastAsia="zh-CN"/>
              </w:rPr>
              <w:t>基本</w:t>
            </w:r>
            <w:r>
              <w:rPr>
                <w:rFonts w:hint="eastAsia" w:ascii="宋体" w:hAnsi="宋体" w:eastAsia="宋体" w:cs="宋体"/>
                <w:spacing w:val="1"/>
                <w:sz w:val="24"/>
                <w:szCs w:val="24"/>
                <w:highlight w:val="none"/>
              </w:rPr>
              <w:t>完善、针对性</w:t>
            </w:r>
            <w:r>
              <w:rPr>
                <w:rFonts w:hint="eastAsia" w:ascii="宋体" w:hAnsi="宋体" w:eastAsia="宋体" w:cs="宋体"/>
                <w:spacing w:val="1"/>
                <w:sz w:val="24"/>
                <w:szCs w:val="24"/>
                <w:highlight w:val="none"/>
                <w:lang w:val="en-US" w:eastAsia="zh-CN"/>
              </w:rPr>
              <w:t>一般</w:t>
            </w:r>
            <w:r>
              <w:rPr>
                <w:rFonts w:hint="eastAsia" w:ascii="宋体" w:hAnsi="宋体" w:eastAsia="宋体" w:cs="宋体"/>
                <w:spacing w:val="1"/>
                <w:sz w:val="24"/>
                <w:szCs w:val="24"/>
                <w:highlight w:val="none"/>
              </w:rPr>
              <w:t>8-4分</w:t>
            </w:r>
          </w:p>
          <w:p w14:paraId="5E9392F0">
            <w:pPr>
              <w:pStyle w:val="111"/>
              <w:numPr>
                <w:ilvl w:val="0"/>
                <w:numId w:val="16"/>
              </w:numPr>
              <w:spacing w:before="2" w:line="360" w:lineRule="auto"/>
              <w:ind w:left="123" w:right="40" w:firstLine="6"/>
              <w:jc w:val="both"/>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方案</w:t>
            </w:r>
            <w:r>
              <w:rPr>
                <w:rFonts w:hint="eastAsia" w:ascii="宋体" w:hAnsi="宋体" w:eastAsia="宋体" w:cs="宋体"/>
                <w:spacing w:val="1"/>
                <w:sz w:val="24"/>
                <w:szCs w:val="24"/>
                <w:highlight w:val="none"/>
                <w:lang w:val="en-US" w:eastAsia="zh-CN"/>
              </w:rPr>
              <w:t>照搬其他项目、针对性差</w:t>
            </w:r>
            <w:r>
              <w:rPr>
                <w:rFonts w:hint="eastAsia" w:ascii="宋体" w:hAnsi="宋体" w:eastAsia="宋体" w:cs="宋体"/>
                <w:spacing w:val="1"/>
                <w:sz w:val="24"/>
                <w:szCs w:val="24"/>
                <w:highlight w:val="none"/>
              </w:rPr>
              <w:t>4-0分。</w:t>
            </w:r>
          </w:p>
        </w:tc>
        <w:tc>
          <w:tcPr>
            <w:tcW w:w="457" w:type="pct"/>
            <w:noWrap w:val="0"/>
            <w:vAlign w:val="center"/>
          </w:tcPr>
          <w:p w14:paraId="7D5972FA">
            <w:pPr>
              <w:pStyle w:val="111"/>
              <w:spacing w:before="78" w:line="360" w:lineRule="auto"/>
              <w:ind w:left="261"/>
              <w:jc w:val="center"/>
              <w:outlineLvl w:val="1"/>
              <w:rPr>
                <w:rFonts w:hint="eastAsia" w:ascii="宋体" w:hAnsi="宋体" w:eastAsia="宋体" w:cs="宋体"/>
                <w:spacing w:val="-9"/>
                <w:sz w:val="24"/>
                <w:szCs w:val="24"/>
                <w:highlight w:val="none"/>
                <w:lang w:val="en-US" w:eastAsia="zh-CN"/>
              </w:rPr>
            </w:pPr>
            <w:r>
              <w:rPr>
                <w:rFonts w:hint="eastAsia" w:ascii="宋体" w:hAnsi="宋体" w:eastAsia="宋体" w:cs="宋体"/>
                <w:spacing w:val="-9"/>
                <w:sz w:val="24"/>
                <w:szCs w:val="24"/>
                <w:highlight w:val="none"/>
                <w:lang w:val="en-US" w:eastAsia="zh-CN"/>
              </w:rPr>
              <w:t>10分</w:t>
            </w:r>
          </w:p>
        </w:tc>
      </w:tr>
      <w:tr w14:paraId="4D47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8" w:hRule="atLeast"/>
        </w:trPr>
        <w:tc>
          <w:tcPr>
            <w:tcW w:w="443" w:type="pct"/>
            <w:vMerge w:val="continue"/>
            <w:noWrap w:val="0"/>
            <w:vAlign w:val="top"/>
          </w:tcPr>
          <w:p w14:paraId="004A7A1C">
            <w:pPr>
              <w:spacing w:line="360" w:lineRule="auto"/>
              <w:rPr>
                <w:rFonts w:hint="eastAsia" w:ascii="宋体" w:hAnsi="宋体" w:eastAsia="宋体" w:cs="宋体"/>
                <w:sz w:val="24"/>
                <w:szCs w:val="24"/>
                <w:highlight w:val="none"/>
              </w:rPr>
            </w:pPr>
          </w:p>
        </w:tc>
        <w:tc>
          <w:tcPr>
            <w:tcW w:w="502" w:type="pct"/>
            <w:vMerge w:val="continue"/>
            <w:noWrap w:val="0"/>
            <w:vAlign w:val="top"/>
          </w:tcPr>
          <w:p w14:paraId="65E667DC">
            <w:pPr>
              <w:spacing w:line="360" w:lineRule="auto"/>
              <w:rPr>
                <w:rFonts w:hint="eastAsia" w:ascii="宋体" w:hAnsi="宋体" w:eastAsia="宋体" w:cs="宋体"/>
                <w:sz w:val="24"/>
                <w:szCs w:val="24"/>
                <w:highlight w:val="none"/>
              </w:rPr>
            </w:pPr>
          </w:p>
        </w:tc>
        <w:tc>
          <w:tcPr>
            <w:tcW w:w="3596" w:type="pct"/>
            <w:noWrap w:val="0"/>
            <w:vAlign w:val="top"/>
          </w:tcPr>
          <w:p w14:paraId="3FB9C068">
            <w:pPr>
              <w:pStyle w:val="111"/>
              <w:spacing w:before="2" w:line="360" w:lineRule="auto"/>
              <w:ind w:left="123" w:right="40" w:firstLine="6"/>
              <w:jc w:val="both"/>
              <w:rPr>
                <w:rFonts w:hint="eastAsia" w:ascii="宋体" w:hAnsi="宋体" w:eastAsia="宋体" w:cs="宋体"/>
                <w:spacing w:val="1"/>
                <w:sz w:val="24"/>
                <w:szCs w:val="24"/>
                <w:highlight w:val="none"/>
              </w:rPr>
            </w:pPr>
            <w:r>
              <w:rPr>
                <w:rFonts w:hint="eastAsia" w:ascii="宋体" w:hAnsi="宋体" w:eastAsia="宋体" w:cs="宋体"/>
                <w:b/>
                <w:bCs/>
                <w:spacing w:val="1"/>
                <w:sz w:val="24"/>
                <w:szCs w:val="24"/>
                <w:highlight w:val="none"/>
                <w:lang w:val="en-US" w:eastAsia="zh-CN"/>
              </w:rPr>
              <w:t>5.项目实施进度方案：</w:t>
            </w:r>
          </w:p>
          <w:p w14:paraId="53BD8D23">
            <w:pPr>
              <w:pStyle w:val="111"/>
              <w:spacing w:before="2" w:line="360" w:lineRule="auto"/>
              <w:ind w:left="123" w:right="40" w:firstLine="6"/>
              <w:jc w:val="both"/>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根据项目需求提供项目进度计划实施方案，内容包括但不限于项 目进度计划、进度计划保证措施等内容</w:t>
            </w:r>
          </w:p>
          <w:p w14:paraId="7A75D151">
            <w:pPr>
              <w:pStyle w:val="111"/>
              <w:spacing w:before="2" w:line="360" w:lineRule="auto"/>
              <w:ind w:left="123" w:right="40" w:firstLine="6"/>
              <w:jc w:val="both"/>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lang w:val="en-US" w:eastAsia="zh-CN"/>
              </w:rPr>
              <w:t>(1)</w:t>
            </w:r>
            <w:r>
              <w:rPr>
                <w:rFonts w:hint="eastAsia" w:ascii="宋体" w:hAnsi="宋体" w:eastAsia="宋体" w:cs="宋体"/>
                <w:spacing w:val="1"/>
                <w:sz w:val="24"/>
                <w:szCs w:val="24"/>
                <w:highlight w:val="none"/>
              </w:rPr>
              <w:t>项目进度计划实施方案全面、完善、针对性强，</w:t>
            </w:r>
            <w:r>
              <w:rPr>
                <w:rFonts w:hint="eastAsia" w:ascii="宋体" w:hAnsi="宋体" w:eastAsia="宋体" w:cs="宋体"/>
                <w:spacing w:val="1"/>
                <w:sz w:val="24"/>
                <w:szCs w:val="24"/>
                <w:highlight w:val="none"/>
                <w:lang w:val="en-US" w:eastAsia="zh-CN"/>
              </w:rPr>
              <w:t>8-10</w:t>
            </w:r>
            <w:r>
              <w:rPr>
                <w:rFonts w:hint="eastAsia" w:ascii="宋体" w:hAnsi="宋体" w:eastAsia="宋体" w:cs="宋体"/>
                <w:spacing w:val="1"/>
                <w:sz w:val="24"/>
                <w:szCs w:val="24"/>
                <w:highlight w:val="none"/>
              </w:rPr>
              <w:t>分</w:t>
            </w:r>
          </w:p>
          <w:p w14:paraId="10D5CBEE">
            <w:pPr>
              <w:pStyle w:val="111"/>
              <w:spacing w:before="2" w:line="360" w:lineRule="auto"/>
              <w:ind w:left="123" w:right="40" w:firstLine="6"/>
              <w:jc w:val="both"/>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lang w:val="en-US" w:eastAsia="zh-CN"/>
              </w:rPr>
              <w:t>(2)</w:t>
            </w:r>
            <w:r>
              <w:rPr>
                <w:rFonts w:hint="eastAsia" w:ascii="宋体" w:hAnsi="宋体" w:eastAsia="宋体" w:cs="宋体"/>
                <w:spacing w:val="1"/>
                <w:sz w:val="24"/>
                <w:szCs w:val="24"/>
                <w:highlight w:val="none"/>
              </w:rPr>
              <w:t>项目进度计划实施方案全面、</w:t>
            </w:r>
            <w:r>
              <w:rPr>
                <w:rFonts w:hint="eastAsia" w:ascii="宋体" w:hAnsi="宋体" w:eastAsia="宋体" w:cs="宋体"/>
                <w:spacing w:val="1"/>
                <w:sz w:val="24"/>
                <w:szCs w:val="24"/>
                <w:highlight w:val="none"/>
                <w:lang w:val="en-US" w:eastAsia="zh-CN"/>
              </w:rPr>
              <w:t>基本</w:t>
            </w:r>
            <w:r>
              <w:rPr>
                <w:rFonts w:hint="eastAsia" w:ascii="宋体" w:hAnsi="宋体" w:eastAsia="宋体" w:cs="宋体"/>
                <w:spacing w:val="1"/>
                <w:sz w:val="24"/>
                <w:szCs w:val="24"/>
                <w:highlight w:val="none"/>
              </w:rPr>
              <w:t>完善、针对性</w:t>
            </w:r>
            <w:r>
              <w:rPr>
                <w:rFonts w:hint="eastAsia" w:ascii="宋体" w:hAnsi="宋体" w:eastAsia="宋体" w:cs="宋体"/>
                <w:spacing w:val="1"/>
                <w:sz w:val="24"/>
                <w:szCs w:val="24"/>
                <w:highlight w:val="none"/>
                <w:lang w:val="en-US" w:eastAsia="zh-CN"/>
              </w:rPr>
              <w:t>一般4-7</w:t>
            </w:r>
            <w:r>
              <w:rPr>
                <w:rFonts w:hint="eastAsia" w:ascii="宋体" w:hAnsi="宋体" w:eastAsia="宋体" w:cs="宋体"/>
                <w:spacing w:val="1"/>
                <w:sz w:val="24"/>
                <w:szCs w:val="24"/>
                <w:highlight w:val="none"/>
              </w:rPr>
              <w:t>分</w:t>
            </w:r>
          </w:p>
          <w:p w14:paraId="77732543">
            <w:pPr>
              <w:pStyle w:val="111"/>
              <w:spacing w:before="2" w:line="360" w:lineRule="auto"/>
              <w:ind w:left="123" w:right="40" w:firstLine="6"/>
              <w:jc w:val="both"/>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lang w:val="en-US" w:eastAsia="zh-CN"/>
              </w:rPr>
              <w:t>(2)</w:t>
            </w:r>
            <w:r>
              <w:rPr>
                <w:rFonts w:hint="eastAsia" w:ascii="宋体" w:hAnsi="宋体" w:eastAsia="宋体" w:cs="宋体"/>
                <w:spacing w:val="1"/>
                <w:sz w:val="24"/>
                <w:szCs w:val="24"/>
                <w:highlight w:val="none"/>
              </w:rPr>
              <w:t>项目进度计划实施方案</w:t>
            </w:r>
            <w:r>
              <w:rPr>
                <w:rFonts w:hint="eastAsia" w:ascii="宋体" w:hAnsi="宋体" w:eastAsia="宋体" w:cs="宋体"/>
                <w:spacing w:val="1"/>
                <w:sz w:val="24"/>
                <w:szCs w:val="24"/>
                <w:highlight w:val="none"/>
                <w:lang w:val="en-US" w:eastAsia="zh-CN"/>
              </w:rPr>
              <w:t>照搬其他项目、无针对性0-3</w:t>
            </w:r>
            <w:r>
              <w:rPr>
                <w:rFonts w:hint="eastAsia" w:ascii="宋体" w:hAnsi="宋体" w:eastAsia="宋体" w:cs="宋体"/>
                <w:spacing w:val="1"/>
                <w:sz w:val="24"/>
                <w:szCs w:val="24"/>
                <w:highlight w:val="none"/>
              </w:rPr>
              <w:t>分。</w:t>
            </w:r>
          </w:p>
        </w:tc>
        <w:tc>
          <w:tcPr>
            <w:tcW w:w="457" w:type="pct"/>
            <w:noWrap w:val="0"/>
            <w:vAlign w:val="center"/>
          </w:tcPr>
          <w:p w14:paraId="0A6BFBEA">
            <w:pPr>
              <w:pStyle w:val="111"/>
              <w:spacing w:before="78" w:line="360" w:lineRule="auto"/>
              <w:ind w:left="261"/>
              <w:jc w:val="center"/>
              <w:outlineLvl w:val="1"/>
              <w:rPr>
                <w:rFonts w:hint="eastAsia" w:ascii="宋体" w:hAnsi="宋体" w:eastAsia="宋体" w:cs="宋体"/>
                <w:spacing w:val="-9"/>
                <w:sz w:val="24"/>
                <w:szCs w:val="24"/>
                <w:highlight w:val="none"/>
                <w:lang w:val="en-US" w:eastAsia="zh-CN"/>
              </w:rPr>
            </w:pPr>
            <w:r>
              <w:rPr>
                <w:rFonts w:hint="eastAsia" w:ascii="宋体" w:hAnsi="宋体" w:eastAsia="宋体" w:cs="宋体"/>
                <w:spacing w:val="-9"/>
                <w:sz w:val="24"/>
                <w:szCs w:val="24"/>
                <w:highlight w:val="none"/>
                <w:lang w:val="en-US" w:eastAsia="zh-CN"/>
              </w:rPr>
              <w:t>10分</w:t>
            </w:r>
          </w:p>
        </w:tc>
      </w:tr>
      <w:tr w14:paraId="4DA2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443" w:type="pct"/>
            <w:vMerge w:val="continue"/>
            <w:noWrap w:val="0"/>
            <w:vAlign w:val="top"/>
          </w:tcPr>
          <w:p w14:paraId="30C32081">
            <w:pPr>
              <w:spacing w:line="360" w:lineRule="auto"/>
              <w:rPr>
                <w:rFonts w:hint="eastAsia" w:ascii="宋体" w:hAnsi="宋体" w:eastAsia="宋体" w:cs="宋体"/>
                <w:sz w:val="24"/>
                <w:szCs w:val="24"/>
                <w:highlight w:val="none"/>
              </w:rPr>
            </w:pPr>
          </w:p>
        </w:tc>
        <w:tc>
          <w:tcPr>
            <w:tcW w:w="502" w:type="pct"/>
            <w:vMerge w:val="continue"/>
            <w:noWrap w:val="0"/>
            <w:vAlign w:val="top"/>
          </w:tcPr>
          <w:p w14:paraId="30E0B5AA">
            <w:pPr>
              <w:spacing w:line="360" w:lineRule="auto"/>
              <w:rPr>
                <w:rFonts w:hint="eastAsia" w:ascii="宋体" w:hAnsi="宋体" w:eastAsia="宋体" w:cs="宋体"/>
                <w:sz w:val="24"/>
                <w:szCs w:val="24"/>
                <w:highlight w:val="none"/>
              </w:rPr>
            </w:pPr>
          </w:p>
        </w:tc>
        <w:tc>
          <w:tcPr>
            <w:tcW w:w="3596" w:type="pct"/>
            <w:noWrap w:val="0"/>
            <w:vAlign w:val="top"/>
          </w:tcPr>
          <w:p w14:paraId="16037BBF">
            <w:pPr>
              <w:pStyle w:val="111"/>
              <w:numPr>
                <w:ilvl w:val="0"/>
                <w:numId w:val="17"/>
              </w:numPr>
              <w:spacing w:before="2" w:line="360" w:lineRule="auto"/>
              <w:ind w:left="123" w:right="40" w:firstLine="6"/>
              <w:jc w:val="both"/>
              <w:rPr>
                <w:rFonts w:hint="eastAsia" w:ascii="宋体" w:hAnsi="宋体" w:eastAsia="宋体" w:cs="宋体"/>
                <w:b/>
                <w:bCs/>
                <w:spacing w:val="1"/>
                <w:sz w:val="24"/>
                <w:szCs w:val="24"/>
                <w:highlight w:val="none"/>
              </w:rPr>
            </w:pPr>
            <w:r>
              <w:rPr>
                <w:rFonts w:hint="eastAsia" w:ascii="宋体" w:hAnsi="宋体" w:eastAsia="宋体" w:cs="宋体"/>
                <w:b/>
                <w:bCs/>
                <w:spacing w:val="1"/>
                <w:sz w:val="24"/>
                <w:szCs w:val="24"/>
                <w:highlight w:val="none"/>
              </w:rPr>
              <w:t>保密措施：</w:t>
            </w:r>
            <w:r>
              <w:rPr>
                <w:rFonts w:hint="eastAsia" w:ascii="宋体" w:hAnsi="宋体" w:eastAsia="宋体" w:cs="宋体"/>
                <w:b w:val="0"/>
                <w:bCs w:val="0"/>
                <w:spacing w:val="1"/>
                <w:sz w:val="24"/>
                <w:szCs w:val="24"/>
                <w:highlight w:val="none"/>
              </w:rPr>
              <w:t>有科学、合理、可行的措施。</w:t>
            </w:r>
          </w:p>
          <w:p w14:paraId="4DBB93E3">
            <w:pPr>
              <w:keepNext w:val="0"/>
              <w:keepLines w:val="0"/>
              <w:widowControl/>
              <w:suppressLineNumbers w:val="0"/>
              <w:spacing w:line="360" w:lineRule="auto"/>
              <w:jc w:val="left"/>
              <w:rPr>
                <w:rFonts w:hint="eastAsia" w:ascii="宋体" w:hAnsi="宋体" w:eastAsia="宋体" w:cs="宋体"/>
                <w:b w:val="0"/>
                <w:bCs w:val="0"/>
                <w:color w:val="000000"/>
                <w:spacing w:val="-1"/>
                <w:kern w:val="2"/>
                <w:sz w:val="24"/>
                <w:szCs w:val="24"/>
                <w:highlight w:val="none"/>
                <w:lang w:val="en-US" w:eastAsia="en-US" w:bidi="ar-SA"/>
              </w:rPr>
            </w:pPr>
            <w:r>
              <w:rPr>
                <w:rFonts w:hint="eastAsia" w:ascii="宋体" w:hAnsi="宋体" w:eastAsia="宋体" w:cs="宋体"/>
                <w:b w:val="0"/>
                <w:bCs w:val="0"/>
                <w:color w:val="000000"/>
                <w:spacing w:val="-1"/>
                <w:kern w:val="2"/>
                <w:sz w:val="24"/>
                <w:szCs w:val="24"/>
                <w:highlight w:val="none"/>
                <w:lang w:val="en-US" w:eastAsia="zh-CN" w:bidi="ar-SA"/>
              </w:rPr>
              <w:t xml:space="preserve">（1）措施完善、内容合理可行的计 </w:t>
            </w:r>
            <w:r>
              <w:rPr>
                <w:rFonts w:hint="eastAsia" w:ascii="宋体" w:hAnsi="宋体" w:cs="宋体"/>
                <w:b w:val="0"/>
                <w:bCs w:val="0"/>
                <w:color w:val="000000"/>
                <w:spacing w:val="-1"/>
                <w:kern w:val="2"/>
                <w:sz w:val="24"/>
                <w:szCs w:val="24"/>
                <w:highlight w:val="none"/>
                <w:lang w:val="en-US" w:eastAsia="zh-CN" w:bidi="ar-SA"/>
              </w:rPr>
              <w:t>5</w:t>
            </w:r>
            <w:r>
              <w:rPr>
                <w:rFonts w:hint="eastAsia" w:ascii="宋体" w:hAnsi="宋体" w:eastAsia="宋体" w:cs="宋体"/>
                <w:b w:val="0"/>
                <w:bCs w:val="0"/>
                <w:color w:val="000000"/>
                <w:spacing w:val="-1"/>
                <w:kern w:val="2"/>
                <w:sz w:val="24"/>
                <w:szCs w:val="24"/>
                <w:highlight w:val="none"/>
                <w:lang w:val="en-US" w:eastAsia="zh-CN" w:bidi="ar-SA"/>
              </w:rPr>
              <w:t>-</w:t>
            </w:r>
            <w:r>
              <w:rPr>
                <w:rFonts w:hint="eastAsia" w:ascii="宋体" w:hAnsi="宋体" w:cs="宋体"/>
                <w:b w:val="0"/>
                <w:bCs w:val="0"/>
                <w:color w:val="000000"/>
                <w:spacing w:val="-1"/>
                <w:kern w:val="2"/>
                <w:sz w:val="24"/>
                <w:szCs w:val="24"/>
                <w:highlight w:val="none"/>
                <w:lang w:val="en-US" w:eastAsia="zh-CN" w:bidi="ar-SA"/>
              </w:rPr>
              <w:t>6</w:t>
            </w:r>
            <w:r>
              <w:rPr>
                <w:rFonts w:hint="eastAsia" w:ascii="宋体" w:hAnsi="宋体" w:eastAsia="宋体" w:cs="宋体"/>
                <w:b w:val="0"/>
                <w:bCs w:val="0"/>
                <w:color w:val="000000"/>
                <w:spacing w:val="-1"/>
                <w:kern w:val="2"/>
                <w:sz w:val="24"/>
                <w:szCs w:val="24"/>
                <w:highlight w:val="none"/>
                <w:lang w:val="en-US" w:eastAsia="zh-CN" w:bidi="ar-SA"/>
              </w:rPr>
              <w:t xml:space="preserve">分； </w:t>
            </w:r>
          </w:p>
          <w:p w14:paraId="37726E82">
            <w:pPr>
              <w:keepNext w:val="0"/>
              <w:keepLines w:val="0"/>
              <w:widowControl/>
              <w:suppressLineNumbers w:val="0"/>
              <w:spacing w:line="360" w:lineRule="auto"/>
              <w:jc w:val="left"/>
              <w:rPr>
                <w:rFonts w:hint="eastAsia" w:ascii="宋体" w:hAnsi="宋体" w:eastAsia="宋体" w:cs="宋体"/>
                <w:b w:val="0"/>
                <w:bCs w:val="0"/>
                <w:color w:val="000000"/>
                <w:spacing w:val="-1"/>
                <w:kern w:val="2"/>
                <w:sz w:val="24"/>
                <w:szCs w:val="24"/>
                <w:highlight w:val="none"/>
                <w:lang w:val="en-US" w:eastAsia="zh-CN" w:bidi="ar-SA"/>
              </w:rPr>
            </w:pPr>
            <w:r>
              <w:rPr>
                <w:rFonts w:hint="eastAsia" w:ascii="宋体" w:hAnsi="宋体" w:eastAsia="宋体" w:cs="宋体"/>
                <w:b w:val="0"/>
                <w:bCs w:val="0"/>
                <w:color w:val="000000"/>
                <w:spacing w:val="-1"/>
                <w:kern w:val="2"/>
                <w:sz w:val="24"/>
                <w:szCs w:val="24"/>
                <w:highlight w:val="none"/>
                <w:lang w:val="en-US" w:eastAsia="zh-CN" w:bidi="ar-SA"/>
              </w:rPr>
              <w:t xml:space="preserve">（2）措施基本完善、内容基本合理可行的计 </w:t>
            </w:r>
            <w:r>
              <w:rPr>
                <w:rFonts w:hint="eastAsia" w:ascii="宋体" w:hAnsi="宋体" w:cs="宋体"/>
                <w:b w:val="0"/>
                <w:bCs w:val="0"/>
                <w:color w:val="000000"/>
                <w:spacing w:val="-1"/>
                <w:kern w:val="2"/>
                <w:sz w:val="24"/>
                <w:szCs w:val="24"/>
                <w:highlight w:val="none"/>
                <w:lang w:val="en-US" w:eastAsia="zh-CN" w:bidi="ar-SA"/>
              </w:rPr>
              <w:t>3</w:t>
            </w:r>
            <w:r>
              <w:rPr>
                <w:rFonts w:hint="eastAsia" w:ascii="宋体" w:hAnsi="宋体" w:eastAsia="宋体" w:cs="宋体"/>
                <w:b w:val="0"/>
                <w:bCs w:val="0"/>
                <w:color w:val="000000"/>
                <w:spacing w:val="-1"/>
                <w:kern w:val="2"/>
                <w:sz w:val="24"/>
                <w:szCs w:val="24"/>
                <w:highlight w:val="none"/>
                <w:lang w:val="en-US" w:eastAsia="zh-CN" w:bidi="ar-SA"/>
              </w:rPr>
              <w:t>-</w:t>
            </w:r>
            <w:r>
              <w:rPr>
                <w:rFonts w:hint="eastAsia" w:ascii="宋体" w:hAnsi="宋体" w:cs="宋体"/>
                <w:b w:val="0"/>
                <w:bCs w:val="0"/>
                <w:color w:val="000000"/>
                <w:spacing w:val="-1"/>
                <w:kern w:val="2"/>
                <w:sz w:val="24"/>
                <w:szCs w:val="24"/>
                <w:highlight w:val="none"/>
                <w:lang w:val="en-US" w:eastAsia="zh-CN" w:bidi="ar-SA"/>
              </w:rPr>
              <w:t>4</w:t>
            </w:r>
            <w:r>
              <w:rPr>
                <w:rFonts w:hint="eastAsia" w:ascii="宋体" w:hAnsi="宋体" w:eastAsia="宋体" w:cs="宋体"/>
                <w:b w:val="0"/>
                <w:bCs w:val="0"/>
                <w:color w:val="000000"/>
                <w:spacing w:val="-1"/>
                <w:kern w:val="2"/>
                <w:sz w:val="24"/>
                <w:szCs w:val="24"/>
                <w:highlight w:val="none"/>
                <w:lang w:val="en-US" w:eastAsia="zh-CN" w:bidi="ar-SA"/>
              </w:rPr>
              <w:t xml:space="preserve">分； </w:t>
            </w:r>
          </w:p>
          <w:p w14:paraId="514E1429">
            <w:pPr>
              <w:pStyle w:val="111"/>
              <w:numPr>
                <w:numId w:val="0"/>
              </w:numPr>
              <w:spacing w:before="2" w:line="360" w:lineRule="auto"/>
              <w:ind w:left="129" w:leftChars="0" w:right="40" w:rightChars="0"/>
              <w:jc w:val="both"/>
              <w:rPr>
                <w:rFonts w:hint="eastAsia" w:ascii="宋体" w:hAnsi="宋体" w:eastAsia="宋体" w:cs="宋体"/>
                <w:b/>
                <w:bCs/>
                <w:spacing w:val="1"/>
                <w:sz w:val="24"/>
                <w:szCs w:val="24"/>
                <w:highlight w:val="none"/>
              </w:rPr>
            </w:pPr>
            <w:r>
              <w:rPr>
                <w:rFonts w:hint="eastAsia" w:ascii="宋体" w:hAnsi="宋体" w:eastAsia="宋体" w:cs="宋体"/>
                <w:b w:val="0"/>
                <w:bCs w:val="0"/>
                <w:color w:val="000000"/>
                <w:spacing w:val="-1"/>
                <w:kern w:val="2"/>
                <w:sz w:val="24"/>
                <w:szCs w:val="24"/>
                <w:highlight w:val="none"/>
                <w:lang w:val="en-US" w:eastAsia="zh-CN" w:bidi="ar-SA"/>
              </w:rPr>
              <w:t>（3）措施欠合理，存在部分缺陷和不足，可操作性不强的计0-</w:t>
            </w:r>
            <w:r>
              <w:rPr>
                <w:rFonts w:hint="eastAsia" w:ascii="宋体" w:hAnsi="宋体" w:cs="宋体"/>
                <w:b w:val="0"/>
                <w:bCs w:val="0"/>
                <w:color w:val="000000"/>
                <w:spacing w:val="-1"/>
                <w:kern w:val="2"/>
                <w:sz w:val="24"/>
                <w:szCs w:val="24"/>
                <w:highlight w:val="none"/>
                <w:lang w:val="en-US" w:eastAsia="zh-CN" w:bidi="ar-SA"/>
              </w:rPr>
              <w:t>1</w:t>
            </w:r>
            <w:r>
              <w:rPr>
                <w:rFonts w:hint="eastAsia" w:ascii="宋体" w:hAnsi="宋体" w:eastAsia="宋体" w:cs="宋体"/>
                <w:b w:val="0"/>
                <w:bCs w:val="0"/>
                <w:color w:val="000000"/>
                <w:spacing w:val="-1"/>
                <w:kern w:val="2"/>
                <w:sz w:val="24"/>
                <w:szCs w:val="24"/>
                <w:highlight w:val="none"/>
                <w:lang w:val="en-US" w:eastAsia="zh-CN" w:bidi="ar-SA"/>
              </w:rPr>
              <w:t>分。</w:t>
            </w:r>
            <w:r>
              <w:rPr>
                <w:rFonts w:hint="eastAsia" w:ascii="宋体" w:hAnsi="宋体" w:eastAsia="宋体" w:cs="宋体"/>
                <w:b w:val="0"/>
                <w:bCs w:val="0"/>
                <w:color w:val="000000"/>
                <w:spacing w:val="-3"/>
                <w:sz w:val="24"/>
                <w:szCs w:val="24"/>
                <w:highlight w:val="none"/>
                <w:lang w:val="en-US" w:eastAsia="zh-CN"/>
              </w:rPr>
              <w:t xml:space="preserve"> </w:t>
            </w:r>
          </w:p>
        </w:tc>
        <w:tc>
          <w:tcPr>
            <w:tcW w:w="457" w:type="pct"/>
            <w:noWrap w:val="0"/>
            <w:vAlign w:val="center"/>
          </w:tcPr>
          <w:p w14:paraId="2DC90C2D">
            <w:pPr>
              <w:pStyle w:val="111"/>
              <w:spacing w:before="78" w:line="360" w:lineRule="auto"/>
              <w:jc w:val="center"/>
              <w:outlineLvl w:val="1"/>
              <w:rPr>
                <w:rFonts w:hint="eastAsia" w:ascii="宋体" w:hAnsi="宋体" w:eastAsia="宋体" w:cs="宋体"/>
                <w:spacing w:val="-9"/>
                <w:sz w:val="24"/>
                <w:szCs w:val="24"/>
                <w:highlight w:val="none"/>
                <w:lang w:val="en-US" w:eastAsia="zh-CN"/>
              </w:rPr>
            </w:pPr>
            <w:r>
              <w:rPr>
                <w:rFonts w:hint="eastAsia" w:ascii="宋体" w:hAnsi="宋体" w:eastAsia="宋体" w:cs="宋体"/>
                <w:spacing w:val="-9"/>
                <w:sz w:val="24"/>
                <w:szCs w:val="24"/>
                <w:highlight w:val="none"/>
                <w:lang w:val="en-US" w:eastAsia="zh-CN"/>
              </w:rPr>
              <w:t>6分</w:t>
            </w:r>
          </w:p>
        </w:tc>
      </w:tr>
      <w:tr w14:paraId="09F71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443" w:type="pct"/>
            <w:vMerge w:val="continue"/>
            <w:noWrap w:val="0"/>
            <w:vAlign w:val="top"/>
          </w:tcPr>
          <w:p w14:paraId="53374688">
            <w:pPr>
              <w:spacing w:line="360" w:lineRule="auto"/>
              <w:rPr>
                <w:rFonts w:hint="eastAsia" w:ascii="宋体" w:hAnsi="宋体" w:eastAsia="宋体" w:cs="宋体"/>
                <w:sz w:val="24"/>
                <w:szCs w:val="24"/>
                <w:highlight w:val="none"/>
              </w:rPr>
            </w:pPr>
          </w:p>
        </w:tc>
        <w:tc>
          <w:tcPr>
            <w:tcW w:w="502" w:type="pct"/>
            <w:vMerge w:val="continue"/>
            <w:noWrap w:val="0"/>
            <w:vAlign w:val="top"/>
          </w:tcPr>
          <w:p w14:paraId="4606B58D">
            <w:pPr>
              <w:spacing w:line="360" w:lineRule="auto"/>
              <w:rPr>
                <w:rFonts w:hint="eastAsia" w:ascii="宋体" w:hAnsi="宋体" w:eastAsia="宋体" w:cs="宋体"/>
                <w:sz w:val="24"/>
                <w:szCs w:val="24"/>
                <w:highlight w:val="none"/>
              </w:rPr>
            </w:pPr>
          </w:p>
        </w:tc>
        <w:tc>
          <w:tcPr>
            <w:tcW w:w="3596" w:type="pct"/>
            <w:noWrap w:val="0"/>
            <w:vAlign w:val="top"/>
          </w:tcPr>
          <w:p w14:paraId="5AAA78F6">
            <w:pPr>
              <w:pStyle w:val="111"/>
              <w:numPr>
                <w:ilvl w:val="0"/>
                <w:numId w:val="17"/>
              </w:numPr>
              <w:spacing w:before="2" w:line="360" w:lineRule="auto"/>
              <w:ind w:left="123" w:leftChars="0" w:right="40" w:rightChars="0" w:firstLine="6" w:firstLineChars="0"/>
              <w:jc w:val="both"/>
              <w:rPr>
                <w:rFonts w:hint="eastAsia" w:ascii="宋体" w:hAnsi="宋体" w:eastAsia="宋体" w:cs="宋体"/>
                <w:b/>
                <w:bCs/>
                <w:spacing w:val="1"/>
                <w:sz w:val="24"/>
                <w:szCs w:val="24"/>
                <w:highlight w:val="none"/>
                <w:lang w:val="en-US" w:eastAsia="zh-CN"/>
              </w:rPr>
            </w:pPr>
            <w:r>
              <w:rPr>
                <w:rFonts w:hint="eastAsia" w:ascii="宋体" w:hAnsi="宋体" w:eastAsia="宋体" w:cs="宋体"/>
                <w:b/>
                <w:bCs/>
                <w:spacing w:val="1"/>
                <w:sz w:val="24"/>
                <w:szCs w:val="24"/>
                <w:highlight w:val="none"/>
                <w:lang w:val="en-US" w:eastAsia="zh-CN"/>
              </w:rPr>
              <w:t>廉洁从业措施 ：</w:t>
            </w:r>
            <w:r>
              <w:rPr>
                <w:rFonts w:hint="eastAsia" w:ascii="宋体" w:hAnsi="宋体" w:eastAsia="宋体" w:cs="宋体"/>
                <w:b w:val="0"/>
                <w:bCs w:val="0"/>
                <w:spacing w:val="1"/>
                <w:sz w:val="24"/>
                <w:szCs w:val="24"/>
                <w:highlight w:val="none"/>
                <w:lang w:val="en-US" w:eastAsia="zh-CN"/>
              </w:rPr>
              <w:t>有科学、合理、可行的措施。</w:t>
            </w:r>
          </w:p>
          <w:p w14:paraId="41481C3E">
            <w:pPr>
              <w:keepNext w:val="0"/>
              <w:keepLines w:val="0"/>
              <w:widowControl/>
              <w:suppressLineNumbers w:val="0"/>
              <w:spacing w:line="360" w:lineRule="auto"/>
              <w:jc w:val="left"/>
              <w:rPr>
                <w:rFonts w:hint="eastAsia" w:ascii="宋体" w:hAnsi="宋体" w:eastAsia="宋体" w:cs="宋体"/>
                <w:b w:val="0"/>
                <w:bCs w:val="0"/>
                <w:color w:val="000000"/>
                <w:spacing w:val="-1"/>
                <w:kern w:val="2"/>
                <w:sz w:val="24"/>
                <w:szCs w:val="24"/>
                <w:highlight w:val="none"/>
                <w:lang w:val="en-US" w:eastAsia="en-US" w:bidi="ar-SA"/>
              </w:rPr>
            </w:pPr>
            <w:r>
              <w:rPr>
                <w:rFonts w:hint="eastAsia" w:ascii="宋体" w:hAnsi="宋体" w:eastAsia="宋体" w:cs="宋体"/>
                <w:b w:val="0"/>
                <w:bCs w:val="0"/>
                <w:color w:val="000000"/>
                <w:spacing w:val="-1"/>
                <w:kern w:val="2"/>
                <w:sz w:val="24"/>
                <w:szCs w:val="24"/>
                <w:highlight w:val="none"/>
                <w:lang w:val="en-US" w:eastAsia="zh-CN" w:bidi="ar-SA"/>
              </w:rPr>
              <w:t xml:space="preserve">（1）措施完善、内容合理可行的计 </w:t>
            </w:r>
            <w:r>
              <w:rPr>
                <w:rFonts w:hint="eastAsia" w:ascii="宋体" w:hAnsi="宋体" w:cs="宋体"/>
                <w:b w:val="0"/>
                <w:bCs w:val="0"/>
                <w:color w:val="000000"/>
                <w:spacing w:val="-1"/>
                <w:kern w:val="2"/>
                <w:sz w:val="24"/>
                <w:szCs w:val="24"/>
                <w:highlight w:val="none"/>
                <w:lang w:val="en-US" w:eastAsia="zh-CN" w:bidi="ar-SA"/>
              </w:rPr>
              <w:t>4</w:t>
            </w:r>
            <w:r>
              <w:rPr>
                <w:rFonts w:hint="eastAsia" w:ascii="宋体" w:hAnsi="宋体" w:eastAsia="宋体" w:cs="宋体"/>
                <w:b w:val="0"/>
                <w:bCs w:val="0"/>
                <w:color w:val="000000"/>
                <w:spacing w:val="-1"/>
                <w:kern w:val="2"/>
                <w:sz w:val="24"/>
                <w:szCs w:val="24"/>
                <w:highlight w:val="none"/>
                <w:lang w:val="en-US" w:eastAsia="zh-CN" w:bidi="ar-SA"/>
              </w:rPr>
              <w:t>-</w:t>
            </w:r>
            <w:r>
              <w:rPr>
                <w:rFonts w:hint="eastAsia" w:ascii="宋体" w:hAnsi="宋体" w:cs="宋体"/>
                <w:b w:val="0"/>
                <w:bCs w:val="0"/>
                <w:color w:val="000000"/>
                <w:spacing w:val="-1"/>
                <w:kern w:val="2"/>
                <w:sz w:val="24"/>
                <w:szCs w:val="24"/>
                <w:highlight w:val="none"/>
                <w:lang w:val="en-US" w:eastAsia="zh-CN" w:bidi="ar-SA"/>
              </w:rPr>
              <w:t>5</w:t>
            </w:r>
            <w:r>
              <w:rPr>
                <w:rFonts w:hint="eastAsia" w:ascii="宋体" w:hAnsi="宋体" w:eastAsia="宋体" w:cs="宋体"/>
                <w:b w:val="0"/>
                <w:bCs w:val="0"/>
                <w:color w:val="000000"/>
                <w:spacing w:val="-1"/>
                <w:kern w:val="2"/>
                <w:sz w:val="24"/>
                <w:szCs w:val="24"/>
                <w:highlight w:val="none"/>
                <w:lang w:val="en-US" w:eastAsia="zh-CN" w:bidi="ar-SA"/>
              </w:rPr>
              <w:t xml:space="preserve">分； </w:t>
            </w:r>
          </w:p>
          <w:p w14:paraId="220FF65C">
            <w:pPr>
              <w:keepNext w:val="0"/>
              <w:keepLines w:val="0"/>
              <w:widowControl/>
              <w:suppressLineNumbers w:val="0"/>
              <w:spacing w:line="360" w:lineRule="auto"/>
              <w:jc w:val="left"/>
              <w:rPr>
                <w:rFonts w:hint="eastAsia" w:ascii="宋体" w:hAnsi="宋体" w:eastAsia="宋体" w:cs="宋体"/>
                <w:b w:val="0"/>
                <w:bCs w:val="0"/>
                <w:color w:val="000000"/>
                <w:spacing w:val="-1"/>
                <w:kern w:val="2"/>
                <w:sz w:val="24"/>
                <w:szCs w:val="24"/>
                <w:highlight w:val="none"/>
                <w:lang w:val="en-US" w:eastAsia="zh-CN" w:bidi="ar-SA"/>
              </w:rPr>
            </w:pPr>
            <w:r>
              <w:rPr>
                <w:rFonts w:hint="eastAsia" w:ascii="宋体" w:hAnsi="宋体" w:eastAsia="宋体" w:cs="宋体"/>
                <w:b w:val="0"/>
                <w:bCs w:val="0"/>
                <w:color w:val="000000"/>
                <w:spacing w:val="-1"/>
                <w:kern w:val="2"/>
                <w:sz w:val="24"/>
                <w:szCs w:val="24"/>
                <w:highlight w:val="none"/>
                <w:lang w:val="en-US" w:eastAsia="zh-CN" w:bidi="ar-SA"/>
              </w:rPr>
              <w:t xml:space="preserve">（2）措施基本完善、内容基本合理可行的计 </w:t>
            </w:r>
            <w:r>
              <w:rPr>
                <w:rFonts w:hint="eastAsia" w:ascii="宋体" w:hAnsi="宋体" w:cs="宋体"/>
                <w:b w:val="0"/>
                <w:bCs w:val="0"/>
                <w:color w:val="000000"/>
                <w:spacing w:val="-1"/>
                <w:kern w:val="2"/>
                <w:sz w:val="24"/>
                <w:szCs w:val="24"/>
                <w:highlight w:val="none"/>
                <w:lang w:val="en-US" w:eastAsia="zh-CN" w:bidi="ar-SA"/>
              </w:rPr>
              <w:t>2</w:t>
            </w:r>
            <w:r>
              <w:rPr>
                <w:rFonts w:hint="eastAsia" w:ascii="宋体" w:hAnsi="宋体" w:eastAsia="宋体" w:cs="宋体"/>
                <w:b w:val="0"/>
                <w:bCs w:val="0"/>
                <w:color w:val="000000"/>
                <w:spacing w:val="-1"/>
                <w:kern w:val="2"/>
                <w:sz w:val="24"/>
                <w:szCs w:val="24"/>
                <w:highlight w:val="none"/>
                <w:lang w:val="en-US" w:eastAsia="zh-CN" w:bidi="ar-SA"/>
              </w:rPr>
              <w:t>-</w:t>
            </w:r>
            <w:r>
              <w:rPr>
                <w:rFonts w:hint="eastAsia" w:ascii="宋体" w:hAnsi="宋体" w:cs="宋体"/>
                <w:b w:val="0"/>
                <w:bCs w:val="0"/>
                <w:color w:val="000000"/>
                <w:spacing w:val="-1"/>
                <w:kern w:val="2"/>
                <w:sz w:val="24"/>
                <w:szCs w:val="24"/>
                <w:highlight w:val="none"/>
                <w:lang w:val="en-US" w:eastAsia="zh-CN" w:bidi="ar-SA"/>
              </w:rPr>
              <w:t>3</w:t>
            </w:r>
            <w:r>
              <w:rPr>
                <w:rFonts w:hint="eastAsia" w:ascii="宋体" w:hAnsi="宋体" w:eastAsia="宋体" w:cs="宋体"/>
                <w:b w:val="0"/>
                <w:bCs w:val="0"/>
                <w:color w:val="000000"/>
                <w:spacing w:val="-1"/>
                <w:kern w:val="2"/>
                <w:sz w:val="24"/>
                <w:szCs w:val="24"/>
                <w:highlight w:val="none"/>
                <w:lang w:val="en-US" w:eastAsia="zh-CN" w:bidi="ar-SA"/>
              </w:rPr>
              <w:t xml:space="preserve">分； </w:t>
            </w:r>
          </w:p>
          <w:p w14:paraId="1609F445">
            <w:pPr>
              <w:keepNext w:val="0"/>
              <w:keepLines w:val="0"/>
              <w:widowControl/>
              <w:suppressLineNumbers w:val="0"/>
              <w:spacing w:line="360" w:lineRule="auto"/>
              <w:jc w:val="left"/>
              <w:rPr>
                <w:rFonts w:hint="eastAsia" w:ascii="宋体" w:hAnsi="宋体" w:eastAsia="宋体" w:cs="宋体"/>
                <w:b/>
                <w:bCs/>
                <w:spacing w:val="1"/>
                <w:sz w:val="24"/>
                <w:szCs w:val="24"/>
                <w:highlight w:val="none"/>
                <w:lang w:val="en-US" w:eastAsia="zh-CN"/>
              </w:rPr>
            </w:pPr>
            <w:r>
              <w:rPr>
                <w:rFonts w:hint="eastAsia" w:ascii="宋体" w:hAnsi="宋体" w:eastAsia="宋体" w:cs="宋体"/>
                <w:b w:val="0"/>
                <w:bCs w:val="0"/>
                <w:color w:val="000000"/>
                <w:spacing w:val="-1"/>
                <w:kern w:val="2"/>
                <w:sz w:val="24"/>
                <w:szCs w:val="24"/>
                <w:highlight w:val="none"/>
                <w:lang w:val="en-US" w:eastAsia="zh-CN" w:bidi="ar-SA"/>
              </w:rPr>
              <w:t>（3）措施欠合理，存在部分缺陷和不足，可操作性不强的计0-</w:t>
            </w:r>
            <w:r>
              <w:rPr>
                <w:rFonts w:hint="eastAsia" w:ascii="宋体" w:hAnsi="宋体" w:cs="宋体"/>
                <w:b w:val="0"/>
                <w:bCs w:val="0"/>
                <w:color w:val="000000"/>
                <w:spacing w:val="-1"/>
                <w:kern w:val="2"/>
                <w:sz w:val="24"/>
                <w:szCs w:val="24"/>
                <w:highlight w:val="none"/>
                <w:lang w:val="en-US" w:eastAsia="zh-CN" w:bidi="ar-SA"/>
              </w:rPr>
              <w:t>1</w:t>
            </w:r>
            <w:r>
              <w:rPr>
                <w:rFonts w:hint="eastAsia" w:ascii="宋体" w:hAnsi="宋体" w:eastAsia="宋体" w:cs="宋体"/>
                <w:b w:val="0"/>
                <w:bCs w:val="0"/>
                <w:color w:val="000000"/>
                <w:spacing w:val="-1"/>
                <w:kern w:val="2"/>
                <w:sz w:val="24"/>
                <w:szCs w:val="24"/>
                <w:highlight w:val="none"/>
                <w:lang w:val="en-US" w:eastAsia="zh-CN" w:bidi="ar-SA"/>
              </w:rPr>
              <w:t>分。</w:t>
            </w:r>
            <w:r>
              <w:rPr>
                <w:rFonts w:hint="eastAsia" w:ascii="宋体" w:hAnsi="宋体" w:eastAsia="宋体" w:cs="宋体"/>
                <w:b w:val="0"/>
                <w:bCs w:val="0"/>
                <w:color w:val="000000"/>
                <w:spacing w:val="-3"/>
                <w:sz w:val="24"/>
                <w:szCs w:val="24"/>
                <w:highlight w:val="none"/>
                <w:lang w:val="en-US" w:eastAsia="zh-CN"/>
              </w:rPr>
              <w:t xml:space="preserve"> </w:t>
            </w:r>
          </w:p>
        </w:tc>
        <w:tc>
          <w:tcPr>
            <w:tcW w:w="457" w:type="pct"/>
            <w:noWrap w:val="0"/>
            <w:vAlign w:val="center"/>
          </w:tcPr>
          <w:p w14:paraId="3F87E8AB">
            <w:pPr>
              <w:pStyle w:val="111"/>
              <w:spacing w:before="78" w:line="360" w:lineRule="auto"/>
              <w:jc w:val="center"/>
              <w:outlineLvl w:val="1"/>
              <w:rPr>
                <w:rFonts w:hint="eastAsia" w:ascii="宋体" w:hAnsi="宋体" w:eastAsia="宋体" w:cs="宋体"/>
                <w:spacing w:val="-9"/>
                <w:sz w:val="24"/>
                <w:szCs w:val="24"/>
                <w:highlight w:val="none"/>
                <w:lang w:val="en-US" w:eastAsia="zh-CN"/>
              </w:rPr>
            </w:pPr>
            <w:r>
              <w:rPr>
                <w:rFonts w:hint="eastAsia" w:ascii="宋体" w:hAnsi="宋体" w:eastAsia="宋体" w:cs="宋体"/>
                <w:spacing w:val="-9"/>
                <w:sz w:val="24"/>
                <w:szCs w:val="24"/>
                <w:highlight w:val="none"/>
                <w:lang w:val="en-US" w:eastAsia="zh-CN"/>
              </w:rPr>
              <w:t>5分</w:t>
            </w:r>
          </w:p>
        </w:tc>
      </w:tr>
      <w:tr w14:paraId="228D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6" w:hRule="atLeast"/>
        </w:trPr>
        <w:tc>
          <w:tcPr>
            <w:tcW w:w="443" w:type="pct"/>
            <w:vMerge w:val="restart"/>
            <w:noWrap w:val="0"/>
            <w:vAlign w:val="center"/>
          </w:tcPr>
          <w:p w14:paraId="3B5C9B19">
            <w:pPr>
              <w:spacing w:line="360" w:lineRule="auto"/>
              <w:ind w:firstLine="241" w:firstLineChars="10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人员</w:t>
            </w:r>
          </w:p>
          <w:p w14:paraId="165AE5C3">
            <w:pPr>
              <w:spacing w:line="360" w:lineRule="auto"/>
              <w:ind w:firstLine="241" w:firstLineChars="10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安排</w:t>
            </w:r>
          </w:p>
        </w:tc>
        <w:tc>
          <w:tcPr>
            <w:tcW w:w="502" w:type="pct"/>
            <w:vMerge w:val="restart"/>
            <w:noWrap w:val="0"/>
            <w:vAlign w:val="center"/>
          </w:tcPr>
          <w:p w14:paraId="67DB3FDC">
            <w:pPr>
              <w:spacing w:line="360" w:lineRule="auto"/>
              <w:ind w:firstLine="241" w:firstLineChars="10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16分</w:t>
            </w:r>
          </w:p>
        </w:tc>
        <w:tc>
          <w:tcPr>
            <w:tcW w:w="3596" w:type="pct"/>
            <w:noWrap w:val="0"/>
            <w:vAlign w:val="top"/>
          </w:tcPr>
          <w:p w14:paraId="5C5E9B6E">
            <w:pPr>
              <w:adjustRightInd w:val="0"/>
              <w:spacing w:line="360" w:lineRule="auto"/>
              <w:ind w:firstLine="241" w:firstLineChars="100"/>
              <w:jc w:val="left"/>
              <w:rPr>
                <w:rFonts w:hint="eastAsia" w:ascii="宋体" w:hAnsi="宋体" w:eastAsia="宋体" w:cs="宋体"/>
                <w:b/>
                <w:bCs/>
                <w:kern w:val="2"/>
                <w:sz w:val="24"/>
                <w:szCs w:val="24"/>
                <w:highlight w:val="none"/>
                <w:lang w:val="zh-CN" w:eastAsia="zh-CN" w:bidi="ar-SA"/>
              </w:rPr>
            </w:pPr>
            <w:r>
              <w:rPr>
                <w:rFonts w:hint="eastAsia" w:ascii="宋体" w:hAnsi="宋体" w:eastAsia="宋体" w:cs="宋体"/>
                <w:b/>
                <w:bCs/>
                <w:kern w:val="2"/>
                <w:sz w:val="24"/>
                <w:szCs w:val="24"/>
                <w:highlight w:val="none"/>
                <w:lang w:val="en-US" w:eastAsia="zh-CN" w:bidi="ar-SA"/>
              </w:rPr>
              <w:t>1.</w:t>
            </w:r>
            <w:r>
              <w:rPr>
                <w:rFonts w:hint="eastAsia" w:ascii="宋体" w:hAnsi="宋体" w:eastAsia="宋体" w:cs="宋体"/>
                <w:b/>
                <w:bCs/>
                <w:kern w:val="2"/>
                <w:sz w:val="24"/>
                <w:szCs w:val="24"/>
                <w:highlight w:val="none"/>
                <w:lang w:val="zh-CN" w:eastAsia="zh-CN" w:bidi="ar-SA"/>
              </w:rPr>
              <w:t>项目负责人</w:t>
            </w:r>
          </w:p>
          <w:p w14:paraId="7581CD01">
            <w:pPr>
              <w:adjustRightInd w:val="0"/>
              <w:spacing w:line="360" w:lineRule="auto"/>
              <w:ind w:firstLine="242" w:firstLineChars="100"/>
              <w:jc w:val="left"/>
              <w:rPr>
                <w:rFonts w:hint="eastAsia" w:ascii="宋体" w:hAnsi="宋体" w:eastAsia="宋体" w:cs="宋体"/>
                <w:spacing w:val="1"/>
                <w:kern w:val="2"/>
                <w:sz w:val="24"/>
                <w:szCs w:val="24"/>
                <w:highlight w:val="none"/>
                <w:lang w:val="zh-CN" w:eastAsia="en-US" w:bidi="ar-SA"/>
              </w:rPr>
            </w:pPr>
            <w:r>
              <w:rPr>
                <w:rFonts w:hint="eastAsia" w:ascii="宋体" w:hAnsi="宋体" w:eastAsia="宋体" w:cs="宋体"/>
                <w:spacing w:val="1"/>
                <w:kern w:val="2"/>
                <w:sz w:val="24"/>
                <w:szCs w:val="24"/>
                <w:highlight w:val="none"/>
                <w:lang w:val="zh-CN" w:eastAsia="en-US" w:bidi="ar-SA"/>
              </w:rPr>
              <w:t>①</w:t>
            </w:r>
            <w:r>
              <w:rPr>
                <w:rFonts w:hint="eastAsia" w:ascii="宋体" w:hAnsi="宋体" w:eastAsia="宋体" w:cs="宋体"/>
                <w:spacing w:val="1"/>
                <w:kern w:val="2"/>
                <w:sz w:val="24"/>
                <w:szCs w:val="24"/>
                <w:highlight w:val="none"/>
                <w:lang w:val="en-US" w:eastAsia="zh-CN" w:bidi="ar-SA"/>
              </w:rPr>
              <w:t>拟派</w:t>
            </w:r>
            <w:r>
              <w:rPr>
                <w:rFonts w:hint="eastAsia" w:ascii="宋体" w:hAnsi="宋体" w:eastAsia="宋体" w:cs="宋体"/>
                <w:spacing w:val="1"/>
                <w:kern w:val="2"/>
                <w:sz w:val="24"/>
                <w:szCs w:val="24"/>
                <w:highlight w:val="none"/>
                <w:lang w:val="zh-CN" w:eastAsia="en-US" w:bidi="ar-SA"/>
              </w:rPr>
              <w:t>项目负责人</w:t>
            </w:r>
            <w:r>
              <w:rPr>
                <w:rFonts w:hint="eastAsia" w:ascii="宋体" w:hAnsi="宋体" w:eastAsia="宋体" w:cs="宋体"/>
                <w:spacing w:val="1"/>
                <w:kern w:val="2"/>
                <w:sz w:val="24"/>
                <w:szCs w:val="24"/>
                <w:highlight w:val="none"/>
                <w:lang w:val="en-US" w:eastAsia="zh-CN" w:bidi="ar-SA"/>
              </w:rPr>
              <w:t>为</w:t>
            </w:r>
            <w:r>
              <w:rPr>
                <w:rFonts w:hint="eastAsia" w:ascii="宋体" w:hAnsi="宋体" w:eastAsia="宋体" w:cs="宋体"/>
                <w:spacing w:val="1"/>
                <w:kern w:val="2"/>
                <w:sz w:val="24"/>
                <w:szCs w:val="24"/>
                <w:highlight w:val="none"/>
                <w:lang w:val="zh-CN" w:eastAsia="en-US" w:bidi="ar-SA"/>
              </w:rPr>
              <w:t>注册会计师，得</w:t>
            </w:r>
            <w:r>
              <w:rPr>
                <w:rFonts w:hint="eastAsia" w:ascii="宋体" w:hAnsi="宋体" w:eastAsia="宋体" w:cs="宋体"/>
                <w:spacing w:val="1"/>
                <w:kern w:val="2"/>
                <w:sz w:val="24"/>
                <w:szCs w:val="24"/>
                <w:highlight w:val="none"/>
                <w:lang w:val="en-US" w:eastAsia="en-US" w:bidi="ar-SA"/>
              </w:rPr>
              <w:t>2</w:t>
            </w:r>
            <w:r>
              <w:rPr>
                <w:rFonts w:hint="eastAsia" w:ascii="宋体" w:hAnsi="宋体" w:eastAsia="宋体" w:cs="宋体"/>
                <w:spacing w:val="1"/>
                <w:kern w:val="2"/>
                <w:sz w:val="24"/>
                <w:szCs w:val="24"/>
                <w:highlight w:val="none"/>
                <w:lang w:val="zh-CN" w:eastAsia="en-US" w:bidi="ar-SA"/>
              </w:rPr>
              <w:t>分</w:t>
            </w:r>
            <w:r>
              <w:rPr>
                <w:rFonts w:hint="eastAsia" w:ascii="宋体" w:hAnsi="宋体" w:eastAsia="宋体" w:cs="宋体"/>
                <w:spacing w:val="1"/>
                <w:kern w:val="2"/>
                <w:sz w:val="24"/>
                <w:szCs w:val="24"/>
                <w:highlight w:val="none"/>
                <w:lang w:val="en-US" w:eastAsia="en-US" w:bidi="ar-SA"/>
              </w:rPr>
              <w:t>；</w:t>
            </w:r>
          </w:p>
          <w:p w14:paraId="29BA1D4F">
            <w:pPr>
              <w:adjustRightInd w:val="0"/>
              <w:spacing w:line="360" w:lineRule="auto"/>
              <w:ind w:firstLine="242" w:firstLineChars="100"/>
              <w:jc w:val="left"/>
              <w:rPr>
                <w:rFonts w:hint="eastAsia" w:ascii="宋体" w:hAnsi="宋体" w:eastAsia="宋体" w:cs="宋体"/>
                <w:spacing w:val="1"/>
                <w:kern w:val="2"/>
                <w:sz w:val="24"/>
                <w:szCs w:val="24"/>
                <w:highlight w:val="yellow"/>
                <w:lang w:val="en-US" w:eastAsia="en-US" w:bidi="ar-SA"/>
              </w:rPr>
            </w:pPr>
            <w:r>
              <w:rPr>
                <w:rFonts w:hint="eastAsia" w:ascii="宋体" w:hAnsi="宋体" w:eastAsia="宋体" w:cs="宋体"/>
                <w:spacing w:val="1"/>
                <w:kern w:val="2"/>
                <w:sz w:val="24"/>
                <w:szCs w:val="24"/>
                <w:highlight w:val="none"/>
                <w:lang w:val="zh-CN" w:eastAsia="en-US" w:bidi="ar-SA"/>
              </w:rPr>
              <w:t>②</w:t>
            </w:r>
            <w:r>
              <w:rPr>
                <w:rFonts w:hint="eastAsia" w:ascii="宋体" w:hAnsi="宋体" w:eastAsia="宋体" w:cs="宋体"/>
                <w:spacing w:val="1"/>
                <w:kern w:val="2"/>
                <w:sz w:val="24"/>
                <w:szCs w:val="24"/>
                <w:highlight w:val="none"/>
                <w:lang w:val="en-US" w:eastAsia="zh-CN" w:bidi="ar-SA"/>
              </w:rPr>
              <w:t>拟派</w:t>
            </w:r>
            <w:r>
              <w:rPr>
                <w:rFonts w:hint="eastAsia" w:ascii="宋体" w:hAnsi="宋体" w:eastAsia="宋体" w:cs="宋体"/>
                <w:spacing w:val="1"/>
                <w:kern w:val="2"/>
                <w:sz w:val="24"/>
                <w:szCs w:val="24"/>
                <w:highlight w:val="none"/>
                <w:lang w:val="zh-CN" w:eastAsia="en-US" w:bidi="ar-SA"/>
              </w:rPr>
              <w:t>项目负责人</w:t>
            </w:r>
            <w:r>
              <w:rPr>
                <w:rFonts w:hint="eastAsia" w:ascii="宋体" w:hAnsi="宋体" w:eastAsia="宋体" w:cs="宋体"/>
                <w:spacing w:val="1"/>
                <w:kern w:val="2"/>
                <w:sz w:val="24"/>
                <w:szCs w:val="24"/>
                <w:highlight w:val="none"/>
                <w:lang w:val="en-US" w:eastAsia="zh-CN" w:bidi="ar-SA"/>
              </w:rPr>
              <w:t>为</w:t>
            </w:r>
            <w:r>
              <w:rPr>
                <w:rFonts w:hint="eastAsia" w:ascii="宋体" w:hAnsi="宋体" w:cs="宋体"/>
                <w:spacing w:val="1"/>
                <w:kern w:val="2"/>
                <w:sz w:val="24"/>
                <w:szCs w:val="24"/>
                <w:highlight w:val="none"/>
                <w:lang w:val="en-US" w:eastAsia="zh-CN" w:bidi="ar-SA"/>
              </w:rPr>
              <w:t>中级以上</w:t>
            </w:r>
            <w:r>
              <w:rPr>
                <w:rFonts w:hint="eastAsia" w:ascii="宋体" w:hAnsi="宋体" w:eastAsia="宋体" w:cs="宋体"/>
                <w:spacing w:val="1"/>
                <w:kern w:val="2"/>
                <w:sz w:val="24"/>
                <w:szCs w:val="24"/>
                <w:highlight w:val="none"/>
                <w:lang w:val="en-US" w:eastAsia="zh-CN" w:bidi="ar-SA"/>
              </w:rPr>
              <w:t>职称</w:t>
            </w:r>
            <w:r>
              <w:rPr>
                <w:rFonts w:hint="eastAsia" w:ascii="宋体" w:hAnsi="宋体" w:eastAsia="宋体" w:cs="宋体"/>
                <w:spacing w:val="1"/>
                <w:kern w:val="2"/>
                <w:sz w:val="24"/>
                <w:szCs w:val="24"/>
                <w:highlight w:val="none"/>
                <w:lang w:val="zh-CN" w:eastAsia="en-US" w:bidi="ar-SA"/>
              </w:rPr>
              <w:t>，</w:t>
            </w:r>
            <w:r>
              <w:rPr>
                <w:rFonts w:hint="eastAsia" w:ascii="宋体" w:hAnsi="宋体" w:eastAsia="宋体" w:cs="宋体"/>
                <w:spacing w:val="1"/>
                <w:kern w:val="2"/>
                <w:sz w:val="24"/>
                <w:szCs w:val="24"/>
                <w:highlight w:val="none"/>
                <w:lang w:val="en-US" w:eastAsia="en-US" w:bidi="ar-SA"/>
              </w:rPr>
              <w:t>得2</w:t>
            </w:r>
            <w:r>
              <w:rPr>
                <w:rFonts w:hint="eastAsia" w:ascii="宋体" w:hAnsi="宋体" w:eastAsia="宋体" w:cs="宋体"/>
                <w:spacing w:val="1"/>
                <w:kern w:val="2"/>
                <w:sz w:val="24"/>
                <w:szCs w:val="24"/>
                <w:highlight w:val="none"/>
                <w:lang w:val="zh-CN" w:eastAsia="en-US" w:bidi="ar-SA"/>
              </w:rPr>
              <w:t>分</w:t>
            </w:r>
            <w:r>
              <w:rPr>
                <w:rFonts w:hint="eastAsia" w:ascii="宋体" w:hAnsi="宋体" w:eastAsia="宋体" w:cs="宋体"/>
                <w:spacing w:val="1"/>
                <w:kern w:val="2"/>
                <w:sz w:val="24"/>
                <w:szCs w:val="24"/>
                <w:highlight w:val="none"/>
                <w:lang w:val="en-US" w:eastAsia="en-US" w:bidi="ar-SA"/>
              </w:rPr>
              <w:t>；</w:t>
            </w:r>
          </w:p>
          <w:p w14:paraId="5328D2AF">
            <w:pPr>
              <w:pStyle w:val="111"/>
              <w:keepNext w:val="0"/>
              <w:keepLines w:val="0"/>
              <w:pageBreakBefore w:val="0"/>
              <w:widowControl w:val="0"/>
              <w:numPr>
                <w:ilvl w:val="0"/>
                <w:numId w:val="0"/>
              </w:numPr>
              <w:kinsoku/>
              <w:wordWrap/>
              <w:overflowPunct/>
              <w:topLinePunct w:val="0"/>
              <w:autoSpaceDE/>
              <w:autoSpaceDN/>
              <w:bidi w:val="0"/>
              <w:adjustRightInd/>
              <w:snapToGrid/>
              <w:spacing w:before="2" w:line="360" w:lineRule="auto"/>
              <w:ind w:left="130" w:leftChars="0" w:right="40" w:rightChars="0" w:firstLine="242" w:firstLineChars="100"/>
              <w:jc w:val="both"/>
              <w:textAlignment w:val="auto"/>
              <w:rPr>
                <w:rFonts w:hint="eastAsia" w:ascii="宋体" w:hAnsi="宋体" w:eastAsia="宋体" w:cs="宋体"/>
                <w:spacing w:val="1"/>
                <w:sz w:val="24"/>
                <w:szCs w:val="24"/>
                <w:highlight w:val="none"/>
                <w:lang w:eastAsia="zh-CN"/>
              </w:rPr>
            </w:pPr>
            <w:r>
              <w:rPr>
                <w:rFonts w:hint="eastAsia" w:ascii="宋体" w:hAnsi="宋体" w:eastAsia="宋体" w:cs="宋体"/>
                <w:spacing w:val="1"/>
                <w:kern w:val="2"/>
                <w:sz w:val="24"/>
                <w:szCs w:val="24"/>
                <w:highlight w:val="none"/>
                <w:lang w:val="zh-CN" w:eastAsia="en-US" w:bidi="ar-SA"/>
              </w:rPr>
              <w:t>（提供拟投入项目负责人的</w:t>
            </w:r>
            <w:r>
              <w:rPr>
                <w:rFonts w:hint="eastAsia" w:ascii="宋体" w:hAnsi="宋体" w:eastAsia="宋体" w:cs="宋体"/>
                <w:spacing w:val="1"/>
                <w:kern w:val="2"/>
                <w:sz w:val="24"/>
                <w:szCs w:val="24"/>
                <w:highlight w:val="none"/>
                <w:lang w:val="en-US" w:eastAsia="zh-CN" w:bidi="ar-SA"/>
              </w:rPr>
              <w:t>注册证、</w:t>
            </w:r>
            <w:r>
              <w:rPr>
                <w:rFonts w:hint="eastAsia" w:ascii="宋体" w:hAnsi="宋体" w:eastAsia="宋体" w:cs="宋体"/>
                <w:spacing w:val="1"/>
                <w:kern w:val="2"/>
                <w:sz w:val="24"/>
                <w:szCs w:val="24"/>
                <w:highlight w:val="none"/>
                <w:lang w:val="zh-CN" w:eastAsia="en-US" w:bidi="ar-SA"/>
              </w:rPr>
              <w:t>职称证书复印件加盖投标人公章及202</w:t>
            </w:r>
            <w:r>
              <w:rPr>
                <w:rFonts w:hint="eastAsia" w:ascii="宋体" w:hAnsi="宋体" w:eastAsia="宋体" w:cs="宋体"/>
                <w:spacing w:val="1"/>
                <w:kern w:val="2"/>
                <w:sz w:val="24"/>
                <w:szCs w:val="24"/>
                <w:highlight w:val="none"/>
                <w:lang w:val="en-US" w:eastAsia="zh-CN" w:bidi="ar-SA"/>
              </w:rPr>
              <w:t>5</w:t>
            </w:r>
            <w:r>
              <w:rPr>
                <w:rFonts w:hint="eastAsia" w:ascii="宋体" w:hAnsi="宋体" w:eastAsia="宋体" w:cs="宋体"/>
                <w:spacing w:val="1"/>
                <w:kern w:val="2"/>
                <w:sz w:val="24"/>
                <w:szCs w:val="24"/>
                <w:highlight w:val="none"/>
                <w:lang w:val="zh-CN" w:eastAsia="en-US" w:bidi="ar-SA"/>
              </w:rPr>
              <w:t>年</w:t>
            </w:r>
            <w:r>
              <w:rPr>
                <w:rFonts w:hint="eastAsia" w:ascii="宋体" w:hAnsi="宋体" w:eastAsia="宋体" w:cs="宋体"/>
                <w:spacing w:val="1"/>
                <w:kern w:val="2"/>
                <w:sz w:val="24"/>
                <w:szCs w:val="24"/>
                <w:highlight w:val="none"/>
                <w:lang w:val="en-US" w:eastAsia="zh-CN" w:bidi="ar-SA"/>
              </w:rPr>
              <w:t>1</w:t>
            </w:r>
            <w:r>
              <w:rPr>
                <w:rFonts w:hint="eastAsia" w:ascii="宋体" w:hAnsi="宋体" w:eastAsia="宋体" w:cs="宋体"/>
                <w:spacing w:val="1"/>
                <w:kern w:val="2"/>
                <w:sz w:val="24"/>
                <w:szCs w:val="24"/>
                <w:highlight w:val="none"/>
                <w:lang w:val="zh-CN" w:eastAsia="en-US" w:bidi="ar-SA"/>
              </w:rPr>
              <w:t>月至今任意一个月社会保险缴纳证明）</w:t>
            </w:r>
          </w:p>
        </w:tc>
        <w:tc>
          <w:tcPr>
            <w:tcW w:w="457" w:type="pct"/>
            <w:noWrap w:val="0"/>
            <w:vAlign w:val="center"/>
          </w:tcPr>
          <w:p w14:paraId="7F994EEB">
            <w:pPr>
              <w:pStyle w:val="111"/>
              <w:spacing w:before="78" w:line="360" w:lineRule="auto"/>
              <w:ind w:left="261"/>
              <w:jc w:val="center"/>
              <w:outlineLvl w:val="1"/>
              <w:rPr>
                <w:rFonts w:hint="eastAsia" w:ascii="宋体" w:hAnsi="宋体" w:eastAsia="宋体" w:cs="宋体"/>
                <w:spacing w:val="-9"/>
                <w:sz w:val="24"/>
                <w:szCs w:val="24"/>
                <w:highlight w:val="none"/>
                <w:lang w:val="en-US" w:eastAsia="zh-CN"/>
              </w:rPr>
            </w:pPr>
            <w:r>
              <w:rPr>
                <w:rFonts w:hint="eastAsia" w:ascii="宋体" w:hAnsi="宋体" w:eastAsia="宋体" w:cs="宋体"/>
                <w:spacing w:val="-9"/>
                <w:sz w:val="24"/>
                <w:szCs w:val="24"/>
                <w:highlight w:val="none"/>
                <w:lang w:val="en-US" w:eastAsia="zh-CN"/>
              </w:rPr>
              <w:t>4分</w:t>
            </w:r>
          </w:p>
        </w:tc>
      </w:tr>
      <w:tr w14:paraId="3D5E9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7" w:hRule="atLeast"/>
        </w:trPr>
        <w:tc>
          <w:tcPr>
            <w:tcW w:w="443" w:type="pct"/>
            <w:vMerge w:val="continue"/>
            <w:noWrap w:val="0"/>
            <w:vAlign w:val="center"/>
          </w:tcPr>
          <w:p w14:paraId="68ECD204">
            <w:pPr>
              <w:spacing w:line="360" w:lineRule="auto"/>
              <w:ind w:firstLine="241" w:firstLineChars="100"/>
              <w:jc w:val="center"/>
              <w:rPr>
                <w:rFonts w:hint="eastAsia" w:ascii="宋体" w:hAnsi="宋体" w:eastAsia="宋体" w:cs="宋体"/>
                <w:b/>
                <w:bCs/>
                <w:sz w:val="24"/>
                <w:szCs w:val="24"/>
                <w:highlight w:val="none"/>
                <w:lang w:val="en-US" w:eastAsia="zh-CN"/>
              </w:rPr>
            </w:pPr>
          </w:p>
        </w:tc>
        <w:tc>
          <w:tcPr>
            <w:tcW w:w="502" w:type="pct"/>
            <w:vMerge w:val="continue"/>
            <w:noWrap w:val="0"/>
            <w:vAlign w:val="center"/>
          </w:tcPr>
          <w:p w14:paraId="447C769C">
            <w:pPr>
              <w:spacing w:line="360" w:lineRule="auto"/>
              <w:ind w:firstLine="241" w:firstLineChars="100"/>
              <w:jc w:val="center"/>
              <w:rPr>
                <w:rFonts w:hint="eastAsia" w:ascii="宋体" w:hAnsi="宋体" w:eastAsia="宋体" w:cs="宋体"/>
                <w:b/>
                <w:bCs/>
                <w:sz w:val="24"/>
                <w:szCs w:val="24"/>
                <w:highlight w:val="none"/>
                <w:lang w:val="en-US" w:eastAsia="zh-CN"/>
              </w:rPr>
            </w:pPr>
          </w:p>
        </w:tc>
        <w:tc>
          <w:tcPr>
            <w:tcW w:w="3596" w:type="pct"/>
            <w:noWrap w:val="0"/>
            <w:vAlign w:val="top"/>
          </w:tcPr>
          <w:p w14:paraId="30348ADF">
            <w:pPr>
              <w:adjustRightInd w:val="0"/>
              <w:spacing w:line="360" w:lineRule="auto"/>
              <w:ind w:firstLine="241" w:firstLineChars="100"/>
              <w:jc w:val="left"/>
              <w:rPr>
                <w:rFonts w:hint="eastAsia" w:ascii="宋体" w:hAnsi="宋体" w:eastAsia="宋体" w:cs="宋体"/>
                <w:b/>
                <w:bCs/>
                <w:kern w:val="2"/>
                <w:sz w:val="24"/>
                <w:szCs w:val="24"/>
                <w:highlight w:val="none"/>
                <w:lang w:val="zh-CN" w:eastAsia="en-US" w:bidi="ar-SA"/>
              </w:rPr>
            </w:pPr>
            <w:r>
              <w:rPr>
                <w:rFonts w:hint="eastAsia" w:ascii="宋体" w:hAnsi="宋体" w:eastAsia="宋体" w:cs="宋体"/>
                <w:b/>
                <w:bCs/>
                <w:kern w:val="2"/>
                <w:sz w:val="24"/>
                <w:szCs w:val="24"/>
                <w:highlight w:val="none"/>
                <w:lang w:val="en-US" w:eastAsia="zh-CN" w:bidi="ar-SA"/>
              </w:rPr>
              <w:t>2.</w:t>
            </w:r>
            <w:r>
              <w:rPr>
                <w:rFonts w:hint="eastAsia" w:ascii="宋体" w:hAnsi="宋体" w:eastAsia="宋体" w:cs="宋体"/>
                <w:b/>
                <w:bCs/>
                <w:kern w:val="2"/>
                <w:sz w:val="24"/>
                <w:szCs w:val="24"/>
                <w:highlight w:val="none"/>
                <w:lang w:val="zh-CN" w:eastAsia="zh-CN" w:bidi="ar-SA"/>
              </w:rPr>
              <w:t>技术人员配备</w:t>
            </w:r>
          </w:p>
          <w:p w14:paraId="0C5303E7">
            <w:pPr>
              <w:adjustRightInd w:val="0"/>
              <w:spacing w:line="360" w:lineRule="auto"/>
              <w:ind w:firstLine="242" w:firstLineChars="100"/>
              <w:jc w:val="left"/>
              <w:rPr>
                <w:rFonts w:hint="eastAsia" w:ascii="宋体" w:hAnsi="宋体" w:eastAsia="宋体" w:cs="宋体"/>
                <w:spacing w:val="1"/>
                <w:kern w:val="2"/>
                <w:sz w:val="24"/>
                <w:szCs w:val="24"/>
                <w:highlight w:val="none"/>
                <w:lang w:val="zh-CN" w:eastAsia="en-US" w:bidi="ar-SA"/>
              </w:rPr>
            </w:pPr>
            <w:r>
              <w:rPr>
                <w:rFonts w:hint="eastAsia" w:ascii="宋体" w:hAnsi="宋体" w:eastAsia="宋体" w:cs="宋体"/>
                <w:spacing w:val="1"/>
                <w:kern w:val="2"/>
                <w:sz w:val="24"/>
                <w:szCs w:val="24"/>
                <w:highlight w:val="none"/>
                <w:lang w:val="zh-CN" w:eastAsia="en-US" w:bidi="ar-SA"/>
              </w:rPr>
              <w:t>①</w:t>
            </w:r>
            <w:r>
              <w:rPr>
                <w:rFonts w:hint="eastAsia" w:ascii="宋体" w:hAnsi="宋体" w:eastAsia="宋体" w:cs="宋体"/>
                <w:spacing w:val="1"/>
                <w:kern w:val="2"/>
                <w:sz w:val="24"/>
                <w:szCs w:val="24"/>
                <w:highlight w:val="none"/>
                <w:lang w:val="en-US" w:eastAsia="zh-CN" w:bidi="ar-SA"/>
              </w:rPr>
              <w:t>项目投入人员</w:t>
            </w:r>
            <w:r>
              <w:rPr>
                <w:rFonts w:hint="eastAsia" w:ascii="宋体" w:hAnsi="宋体" w:eastAsia="宋体" w:cs="宋体"/>
                <w:spacing w:val="1"/>
                <w:kern w:val="2"/>
                <w:sz w:val="24"/>
                <w:szCs w:val="24"/>
                <w:highlight w:val="none"/>
                <w:lang w:val="zh-CN" w:eastAsia="en-US" w:bidi="ar-SA"/>
              </w:rPr>
              <w:t>除项目负责人外每增加一名注册会计师加</w:t>
            </w:r>
            <w:r>
              <w:rPr>
                <w:rFonts w:hint="eastAsia" w:ascii="宋体" w:hAnsi="宋体" w:eastAsia="宋体" w:cs="宋体"/>
                <w:spacing w:val="1"/>
                <w:kern w:val="2"/>
                <w:sz w:val="24"/>
                <w:szCs w:val="24"/>
                <w:highlight w:val="none"/>
                <w:lang w:val="en-US" w:eastAsia="zh-CN" w:bidi="ar-SA"/>
              </w:rPr>
              <w:t>2</w:t>
            </w:r>
            <w:r>
              <w:rPr>
                <w:rFonts w:hint="eastAsia" w:ascii="宋体" w:hAnsi="宋体" w:eastAsia="宋体" w:cs="宋体"/>
                <w:spacing w:val="1"/>
                <w:kern w:val="2"/>
                <w:sz w:val="24"/>
                <w:szCs w:val="24"/>
                <w:highlight w:val="none"/>
                <w:lang w:val="zh-CN" w:eastAsia="en-US" w:bidi="ar-SA"/>
              </w:rPr>
              <w:t>分，最高</w:t>
            </w:r>
            <w:r>
              <w:rPr>
                <w:rFonts w:hint="eastAsia" w:ascii="宋体" w:hAnsi="宋体" w:eastAsia="宋体" w:cs="宋体"/>
                <w:spacing w:val="1"/>
                <w:kern w:val="2"/>
                <w:sz w:val="24"/>
                <w:szCs w:val="24"/>
                <w:highlight w:val="none"/>
                <w:lang w:val="en-US" w:eastAsia="zh-CN" w:bidi="ar-SA"/>
              </w:rPr>
              <w:t>得</w:t>
            </w:r>
            <w:r>
              <w:rPr>
                <w:rFonts w:hint="eastAsia" w:ascii="宋体" w:hAnsi="宋体" w:eastAsia="宋体" w:cs="宋体"/>
                <w:spacing w:val="1"/>
                <w:kern w:val="2"/>
                <w:sz w:val="24"/>
                <w:szCs w:val="24"/>
                <w:highlight w:val="none"/>
                <w:lang w:val="zh-CN" w:eastAsia="en-US" w:bidi="ar-SA"/>
              </w:rPr>
              <w:t>6分；</w:t>
            </w:r>
          </w:p>
          <w:p w14:paraId="44B228F6">
            <w:pPr>
              <w:adjustRightInd w:val="0"/>
              <w:spacing w:line="360" w:lineRule="auto"/>
              <w:ind w:firstLine="242" w:firstLineChars="100"/>
              <w:jc w:val="left"/>
              <w:rPr>
                <w:rFonts w:hint="eastAsia" w:ascii="宋体" w:hAnsi="宋体" w:eastAsia="宋体" w:cs="宋体"/>
                <w:spacing w:val="1"/>
                <w:kern w:val="2"/>
                <w:sz w:val="24"/>
                <w:szCs w:val="24"/>
                <w:highlight w:val="none"/>
                <w:lang w:val="zh-CN" w:eastAsia="en-US" w:bidi="ar-SA"/>
              </w:rPr>
            </w:pPr>
            <w:r>
              <w:rPr>
                <w:rFonts w:hint="eastAsia" w:ascii="宋体" w:hAnsi="宋体" w:eastAsia="宋体" w:cs="宋体"/>
                <w:spacing w:val="1"/>
                <w:kern w:val="2"/>
                <w:sz w:val="24"/>
                <w:szCs w:val="24"/>
                <w:highlight w:val="none"/>
                <w:lang w:val="zh-CN" w:eastAsia="en-US" w:bidi="ar-SA"/>
              </w:rPr>
              <w:t>②</w:t>
            </w:r>
            <w:r>
              <w:rPr>
                <w:rFonts w:hint="eastAsia" w:ascii="宋体" w:hAnsi="宋体" w:eastAsia="宋体" w:cs="宋体"/>
                <w:spacing w:val="1"/>
                <w:kern w:val="2"/>
                <w:sz w:val="24"/>
                <w:szCs w:val="24"/>
                <w:highlight w:val="none"/>
                <w:lang w:val="en-US" w:eastAsia="zh-CN" w:bidi="ar-SA"/>
              </w:rPr>
              <w:t>项</w:t>
            </w:r>
            <w:r>
              <w:rPr>
                <w:rFonts w:hint="eastAsia" w:ascii="宋体" w:hAnsi="宋体" w:eastAsia="宋体" w:cs="宋体"/>
                <w:spacing w:val="1"/>
                <w:kern w:val="2"/>
                <w:sz w:val="24"/>
                <w:szCs w:val="24"/>
                <w:highlight w:val="none"/>
                <w:lang w:val="zh-CN" w:eastAsia="en-US" w:bidi="ar-SA"/>
              </w:rPr>
              <w:t>目投入人员除项目负责人外每增加一名中级</w:t>
            </w:r>
            <w:r>
              <w:rPr>
                <w:rFonts w:hint="eastAsia" w:ascii="宋体" w:hAnsi="宋体" w:cs="宋体"/>
                <w:spacing w:val="1"/>
                <w:kern w:val="2"/>
                <w:sz w:val="24"/>
                <w:szCs w:val="24"/>
                <w:highlight w:val="none"/>
                <w:lang w:val="en-US" w:eastAsia="zh-CN" w:bidi="ar-SA"/>
              </w:rPr>
              <w:t>以上</w:t>
            </w:r>
            <w:r>
              <w:rPr>
                <w:rFonts w:hint="eastAsia" w:ascii="宋体" w:hAnsi="宋体" w:eastAsia="宋体" w:cs="宋体"/>
                <w:spacing w:val="1"/>
                <w:kern w:val="2"/>
                <w:sz w:val="24"/>
                <w:szCs w:val="24"/>
                <w:highlight w:val="none"/>
                <w:lang w:val="zh-CN" w:eastAsia="en-US" w:bidi="ar-SA"/>
              </w:rPr>
              <w:t>职称</w:t>
            </w:r>
            <w:r>
              <w:rPr>
                <w:rFonts w:hint="eastAsia" w:ascii="宋体" w:hAnsi="宋体" w:eastAsia="宋体" w:cs="宋体"/>
                <w:spacing w:val="1"/>
                <w:kern w:val="2"/>
                <w:sz w:val="24"/>
                <w:szCs w:val="24"/>
                <w:highlight w:val="none"/>
                <w:lang w:val="en-US" w:eastAsia="zh-CN" w:bidi="ar-SA"/>
              </w:rPr>
              <w:t>得</w:t>
            </w:r>
            <w:r>
              <w:rPr>
                <w:rFonts w:hint="eastAsia" w:ascii="宋体" w:hAnsi="宋体" w:cs="宋体"/>
                <w:spacing w:val="1"/>
                <w:kern w:val="2"/>
                <w:sz w:val="24"/>
                <w:szCs w:val="24"/>
                <w:highlight w:val="none"/>
                <w:lang w:val="en-US" w:eastAsia="zh-CN" w:bidi="ar-SA"/>
              </w:rPr>
              <w:t>2</w:t>
            </w:r>
            <w:r>
              <w:rPr>
                <w:rFonts w:hint="eastAsia" w:ascii="宋体" w:hAnsi="宋体" w:eastAsia="宋体" w:cs="宋体"/>
                <w:spacing w:val="1"/>
                <w:kern w:val="2"/>
                <w:sz w:val="24"/>
                <w:szCs w:val="24"/>
                <w:highlight w:val="none"/>
                <w:lang w:val="zh-CN" w:eastAsia="en-US" w:bidi="ar-SA"/>
              </w:rPr>
              <w:t>分，最高</w:t>
            </w:r>
            <w:r>
              <w:rPr>
                <w:rFonts w:hint="eastAsia" w:ascii="宋体" w:hAnsi="宋体" w:eastAsia="宋体" w:cs="宋体"/>
                <w:spacing w:val="1"/>
                <w:kern w:val="2"/>
                <w:sz w:val="24"/>
                <w:szCs w:val="24"/>
                <w:highlight w:val="none"/>
                <w:lang w:val="en-US" w:eastAsia="zh-CN" w:bidi="ar-SA"/>
              </w:rPr>
              <w:t>得</w:t>
            </w:r>
            <w:r>
              <w:rPr>
                <w:rFonts w:hint="eastAsia" w:ascii="宋体" w:hAnsi="宋体" w:eastAsia="宋体" w:cs="宋体"/>
                <w:spacing w:val="1"/>
                <w:kern w:val="2"/>
                <w:sz w:val="24"/>
                <w:szCs w:val="24"/>
                <w:highlight w:val="none"/>
                <w:lang w:val="zh-CN" w:eastAsia="en-US" w:bidi="ar-SA"/>
              </w:rPr>
              <w:t>6分；</w:t>
            </w:r>
          </w:p>
          <w:p w14:paraId="2306F116">
            <w:pPr>
              <w:adjustRightInd w:val="0"/>
              <w:spacing w:line="360" w:lineRule="auto"/>
              <w:ind w:firstLine="242" w:firstLineChars="100"/>
              <w:jc w:val="left"/>
              <w:rPr>
                <w:rFonts w:hint="eastAsia" w:ascii="宋体" w:hAnsi="宋体" w:eastAsia="宋体" w:cs="宋体"/>
                <w:spacing w:val="1"/>
                <w:sz w:val="24"/>
                <w:szCs w:val="24"/>
                <w:highlight w:val="none"/>
                <w:lang w:eastAsia="zh-CN"/>
              </w:rPr>
            </w:pPr>
            <w:r>
              <w:rPr>
                <w:rFonts w:hint="eastAsia" w:ascii="宋体" w:hAnsi="宋体" w:eastAsia="宋体" w:cs="宋体"/>
                <w:spacing w:val="1"/>
                <w:kern w:val="2"/>
                <w:sz w:val="24"/>
                <w:szCs w:val="24"/>
                <w:highlight w:val="none"/>
                <w:lang w:val="zh-CN" w:eastAsia="en-US" w:bidi="ar-SA"/>
              </w:rPr>
              <w:t>备注：磋商响应文件中附以上所有人员身份证、</w:t>
            </w:r>
            <w:r>
              <w:rPr>
                <w:rFonts w:hint="eastAsia" w:ascii="宋体" w:hAnsi="宋体" w:eastAsia="宋体" w:cs="宋体"/>
                <w:spacing w:val="1"/>
                <w:kern w:val="2"/>
                <w:sz w:val="24"/>
                <w:szCs w:val="24"/>
                <w:highlight w:val="none"/>
                <w:lang w:val="en-US" w:eastAsia="zh-CN" w:bidi="ar-SA"/>
              </w:rPr>
              <w:t>职称证、</w:t>
            </w:r>
            <w:r>
              <w:rPr>
                <w:rFonts w:hint="eastAsia" w:ascii="宋体" w:hAnsi="宋体" w:eastAsia="宋体" w:cs="宋体"/>
                <w:spacing w:val="1"/>
                <w:kern w:val="2"/>
                <w:sz w:val="24"/>
                <w:szCs w:val="24"/>
                <w:highlight w:val="none"/>
                <w:lang w:val="zh-CN" w:eastAsia="en-US" w:bidi="ar-SA"/>
              </w:rPr>
              <w:t>资格证书及2025年1月至今任意一个月社会保险缴纳证明。以磋商响应文件中提供的证书复印件为准，复印件须清晰可辨，不能按要求提供或未提供将不予计分。</w:t>
            </w:r>
          </w:p>
        </w:tc>
        <w:tc>
          <w:tcPr>
            <w:tcW w:w="457" w:type="pct"/>
            <w:noWrap w:val="0"/>
            <w:vAlign w:val="center"/>
          </w:tcPr>
          <w:p w14:paraId="2AE67621">
            <w:pPr>
              <w:pStyle w:val="111"/>
              <w:spacing w:before="78" w:line="360" w:lineRule="auto"/>
              <w:ind w:left="261"/>
              <w:jc w:val="center"/>
              <w:outlineLvl w:val="1"/>
              <w:rPr>
                <w:rFonts w:hint="eastAsia" w:ascii="宋体" w:hAnsi="宋体" w:eastAsia="宋体" w:cs="宋体"/>
                <w:spacing w:val="-9"/>
                <w:sz w:val="24"/>
                <w:szCs w:val="24"/>
                <w:highlight w:val="none"/>
                <w:lang w:val="en-US" w:eastAsia="zh-CN"/>
              </w:rPr>
            </w:pPr>
            <w:r>
              <w:rPr>
                <w:rFonts w:hint="eastAsia" w:ascii="宋体" w:hAnsi="宋体" w:eastAsia="宋体" w:cs="宋体"/>
                <w:spacing w:val="-9"/>
                <w:sz w:val="24"/>
                <w:szCs w:val="24"/>
                <w:highlight w:val="none"/>
                <w:lang w:val="en-US" w:eastAsia="zh-CN"/>
              </w:rPr>
              <w:t>12分</w:t>
            </w:r>
          </w:p>
        </w:tc>
      </w:tr>
      <w:tr w14:paraId="1C5F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trPr>
        <w:tc>
          <w:tcPr>
            <w:tcW w:w="443" w:type="pct"/>
            <w:noWrap w:val="0"/>
            <w:vAlign w:val="center"/>
          </w:tcPr>
          <w:p w14:paraId="7C7212A2">
            <w:pPr>
              <w:spacing w:line="360" w:lineRule="auto"/>
              <w:ind w:firstLine="241" w:firstLineChars="10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业绩</w:t>
            </w:r>
          </w:p>
        </w:tc>
        <w:tc>
          <w:tcPr>
            <w:tcW w:w="502" w:type="pct"/>
            <w:noWrap w:val="0"/>
            <w:vAlign w:val="center"/>
          </w:tcPr>
          <w:p w14:paraId="5C40AB6B">
            <w:pPr>
              <w:spacing w:line="360" w:lineRule="auto"/>
              <w:ind w:firstLine="241" w:firstLineChars="10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8分</w:t>
            </w:r>
          </w:p>
        </w:tc>
        <w:tc>
          <w:tcPr>
            <w:tcW w:w="3596" w:type="pct"/>
            <w:noWrap w:val="0"/>
            <w:vAlign w:val="top"/>
          </w:tcPr>
          <w:p w14:paraId="09D10CE1">
            <w:pPr>
              <w:pStyle w:val="111"/>
              <w:numPr>
                <w:ilvl w:val="0"/>
                <w:numId w:val="0"/>
              </w:numPr>
              <w:spacing w:before="2" w:line="360" w:lineRule="auto"/>
              <w:ind w:left="129" w:leftChars="0" w:right="40" w:rightChars="0" w:firstLine="242" w:firstLineChars="100"/>
              <w:jc w:val="both"/>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供应商2020年至今完成的易地搬迁决算和资金清算审计类项目业绩，每提供一个得2分，最多得8分；（业绩要求提供合同，印证资料须清晰可辨，无法辨认的将不予评分。）</w:t>
            </w:r>
          </w:p>
        </w:tc>
        <w:tc>
          <w:tcPr>
            <w:tcW w:w="457" w:type="pct"/>
            <w:noWrap w:val="0"/>
            <w:vAlign w:val="center"/>
          </w:tcPr>
          <w:p w14:paraId="18FD4C76">
            <w:pPr>
              <w:pStyle w:val="111"/>
              <w:spacing w:before="78" w:line="360" w:lineRule="auto"/>
              <w:ind w:left="261"/>
              <w:jc w:val="center"/>
              <w:outlineLvl w:val="1"/>
              <w:rPr>
                <w:rFonts w:hint="eastAsia" w:ascii="宋体" w:hAnsi="宋体" w:eastAsia="宋体" w:cs="宋体"/>
                <w:spacing w:val="-9"/>
                <w:sz w:val="24"/>
                <w:szCs w:val="24"/>
                <w:highlight w:val="none"/>
                <w:lang w:val="en-US" w:eastAsia="zh-CN"/>
              </w:rPr>
            </w:pPr>
            <w:r>
              <w:rPr>
                <w:rFonts w:hint="eastAsia" w:ascii="宋体" w:hAnsi="宋体" w:eastAsia="宋体" w:cs="宋体"/>
                <w:spacing w:val="-9"/>
                <w:sz w:val="24"/>
                <w:szCs w:val="24"/>
                <w:highlight w:val="none"/>
                <w:lang w:val="en-US" w:eastAsia="zh-CN"/>
              </w:rPr>
              <w:t>8分</w:t>
            </w:r>
          </w:p>
        </w:tc>
      </w:tr>
      <w:tr w14:paraId="1BE87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443" w:type="pct"/>
            <w:noWrap w:val="0"/>
            <w:vAlign w:val="center"/>
          </w:tcPr>
          <w:p w14:paraId="55618F3B">
            <w:pPr>
              <w:spacing w:line="36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color w:val="000000"/>
                <w:sz w:val="24"/>
                <w:szCs w:val="24"/>
                <w:highlight w:val="none"/>
                <w:lang w:val="en-US" w:eastAsia="zh-CN"/>
              </w:rPr>
              <w:t>后期服务配合计划</w:t>
            </w:r>
          </w:p>
        </w:tc>
        <w:tc>
          <w:tcPr>
            <w:tcW w:w="502" w:type="pct"/>
            <w:noWrap w:val="0"/>
            <w:vAlign w:val="center"/>
          </w:tcPr>
          <w:p w14:paraId="7112284E">
            <w:pPr>
              <w:spacing w:line="36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color w:val="000000"/>
                <w:sz w:val="24"/>
                <w:szCs w:val="24"/>
                <w:highlight w:val="none"/>
                <w:lang w:val="en-US" w:eastAsia="zh-CN"/>
              </w:rPr>
              <w:t>10分</w:t>
            </w:r>
          </w:p>
        </w:tc>
        <w:tc>
          <w:tcPr>
            <w:tcW w:w="3596" w:type="pct"/>
            <w:noWrap w:val="0"/>
            <w:vAlign w:val="top"/>
          </w:tcPr>
          <w:p w14:paraId="04832523">
            <w:pPr>
              <w:keepNext w:val="0"/>
              <w:keepLines w:val="0"/>
              <w:widowControl/>
              <w:suppressLineNumbers w:val="0"/>
              <w:spacing w:line="360" w:lineRule="auto"/>
              <w:ind w:firstLine="476" w:firstLineChars="200"/>
              <w:jc w:val="left"/>
              <w:rPr>
                <w:rFonts w:hint="eastAsia" w:ascii="宋体" w:hAnsi="宋体" w:eastAsia="宋体" w:cs="宋体"/>
                <w:b w:val="0"/>
                <w:bCs w:val="0"/>
                <w:color w:val="000000"/>
                <w:spacing w:val="-1"/>
                <w:kern w:val="2"/>
                <w:sz w:val="24"/>
                <w:szCs w:val="24"/>
                <w:highlight w:val="none"/>
                <w:lang w:val="en-US" w:eastAsia="en-US" w:bidi="ar-SA"/>
              </w:rPr>
            </w:pPr>
            <w:r>
              <w:rPr>
                <w:rFonts w:hint="eastAsia" w:ascii="宋体" w:hAnsi="宋体" w:eastAsia="宋体" w:cs="宋体"/>
                <w:b w:val="0"/>
                <w:bCs w:val="0"/>
                <w:color w:val="000000"/>
                <w:spacing w:val="-1"/>
                <w:kern w:val="2"/>
                <w:sz w:val="24"/>
                <w:szCs w:val="24"/>
                <w:highlight w:val="none"/>
                <w:lang w:val="en-US" w:eastAsia="zh-CN" w:bidi="ar-SA"/>
              </w:rPr>
              <w:t xml:space="preserve">针对本项目现场审计资料的对接及保管有具体的保证措施，保证措施完整、详细、全面，服务配合计划完备、可行性强，不得超过24小时，配合采购人提供相应的规范文本及相关材料、报批等相关工作等作出实质性承诺。 </w:t>
            </w:r>
          </w:p>
          <w:p w14:paraId="0DCB0D40">
            <w:pPr>
              <w:keepNext w:val="0"/>
              <w:keepLines w:val="0"/>
              <w:widowControl/>
              <w:suppressLineNumbers w:val="0"/>
              <w:spacing w:line="360" w:lineRule="auto"/>
              <w:jc w:val="left"/>
              <w:rPr>
                <w:rFonts w:hint="eastAsia" w:ascii="宋体" w:hAnsi="宋体" w:eastAsia="宋体" w:cs="宋体"/>
                <w:b w:val="0"/>
                <w:bCs w:val="0"/>
                <w:color w:val="000000"/>
                <w:spacing w:val="-1"/>
                <w:kern w:val="2"/>
                <w:sz w:val="24"/>
                <w:szCs w:val="24"/>
                <w:highlight w:val="none"/>
                <w:lang w:val="en-US" w:eastAsia="en-US" w:bidi="ar-SA"/>
              </w:rPr>
            </w:pPr>
            <w:r>
              <w:rPr>
                <w:rFonts w:hint="eastAsia" w:ascii="宋体" w:hAnsi="宋体" w:eastAsia="宋体" w:cs="宋体"/>
                <w:b w:val="0"/>
                <w:bCs w:val="0"/>
                <w:color w:val="000000"/>
                <w:spacing w:val="-1"/>
                <w:kern w:val="2"/>
                <w:sz w:val="24"/>
                <w:szCs w:val="24"/>
                <w:highlight w:val="none"/>
                <w:lang w:val="en-US" w:eastAsia="zh-CN" w:bidi="ar-SA"/>
              </w:rPr>
              <w:t xml:space="preserve">（1）服务计划完善、内容合理可行的计 7-10分； </w:t>
            </w:r>
          </w:p>
          <w:p w14:paraId="579B42CE">
            <w:pPr>
              <w:keepNext w:val="0"/>
              <w:keepLines w:val="0"/>
              <w:widowControl/>
              <w:suppressLineNumbers w:val="0"/>
              <w:spacing w:line="360" w:lineRule="auto"/>
              <w:jc w:val="left"/>
              <w:rPr>
                <w:rFonts w:hint="eastAsia" w:ascii="宋体" w:hAnsi="宋体" w:eastAsia="宋体" w:cs="宋体"/>
                <w:b w:val="0"/>
                <w:bCs w:val="0"/>
                <w:color w:val="000000"/>
                <w:spacing w:val="-1"/>
                <w:kern w:val="2"/>
                <w:sz w:val="24"/>
                <w:szCs w:val="24"/>
                <w:highlight w:val="none"/>
                <w:lang w:val="en-US" w:eastAsia="en-US" w:bidi="ar-SA"/>
              </w:rPr>
            </w:pPr>
            <w:r>
              <w:rPr>
                <w:rFonts w:hint="eastAsia" w:ascii="宋体" w:hAnsi="宋体" w:eastAsia="宋体" w:cs="宋体"/>
                <w:b w:val="0"/>
                <w:bCs w:val="0"/>
                <w:color w:val="000000"/>
                <w:spacing w:val="-1"/>
                <w:kern w:val="2"/>
                <w:sz w:val="24"/>
                <w:szCs w:val="24"/>
                <w:highlight w:val="none"/>
                <w:lang w:val="en-US" w:eastAsia="zh-CN" w:bidi="ar-SA"/>
              </w:rPr>
              <w:t xml:space="preserve">（2）服务计划基本完善、内容基本合理可行的计 4-7分； </w:t>
            </w:r>
          </w:p>
          <w:p w14:paraId="711DF14D">
            <w:pPr>
              <w:keepNext w:val="0"/>
              <w:keepLines w:val="0"/>
              <w:widowControl/>
              <w:suppressLineNumbers w:val="0"/>
              <w:spacing w:line="360" w:lineRule="auto"/>
              <w:jc w:val="left"/>
              <w:rPr>
                <w:rFonts w:hint="eastAsia" w:ascii="宋体" w:hAnsi="宋体" w:eastAsia="宋体" w:cs="宋体"/>
                <w:spacing w:val="1"/>
                <w:sz w:val="24"/>
                <w:szCs w:val="24"/>
                <w:highlight w:val="none"/>
                <w:lang w:val="en-US" w:eastAsia="zh-CN"/>
              </w:rPr>
            </w:pPr>
            <w:r>
              <w:rPr>
                <w:rFonts w:hint="eastAsia" w:ascii="宋体" w:hAnsi="宋体" w:eastAsia="宋体" w:cs="宋体"/>
                <w:b w:val="0"/>
                <w:bCs w:val="0"/>
                <w:color w:val="000000"/>
                <w:spacing w:val="-1"/>
                <w:kern w:val="2"/>
                <w:sz w:val="24"/>
                <w:szCs w:val="24"/>
                <w:highlight w:val="none"/>
                <w:lang w:val="en-US" w:eastAsia="zh-CN" w:bidi="ar-SA"/>
              </w:rPr>
              <w:t>（3）服务计划欠合理，存在部分缺陷和不足，可操作性不强的计0-4分。</w:t>
            </w:r>
            <w:r>
              <w:rPr>
                <w:rFonts w:hint="eastAsia" w:ascii="宋体" w:hAnsi="宋体" w:eastAsia="宋体" w:cs="宋体"/>
                <w:b w:val="0"/>
                <w:bCs w:val="0"/>
                <w:color w:val="000000"/>
                <w:spacing w:val="-3"/>
                <w:sz w:val="24"/>
                <w:szCs w:val="24"/>
                <w:highlight w:val="none"/>
                <w:lang w:val="en-US" w:eastAsia="zh-CN"/>
              </w:rPr>
              <w:t xml:space="preserve"> </w:t>
            </w:r>
          </w:p>
        </w:tc>
        <w:tc>
          <w:tcPr>
            <w:tcW w:w="457" w:type="pct"/>
            <w:noWrap w:val="0"/>
            <w:vAlign w:val="center"/>
          </w:tcPr>
          <w:p w14:paraId="02789223">
            <w:pPr>
              <w:spacing w:line="360" w:lineRule="auto"/>
              <w:jc w:val="center"/>
              <w:rPr>
                <w:rFonts w:hint="eastAsia" w:ascii="宋体" w:hAnsi="宋体" w:eastAsia="宋体" w:cs="宋体"/>
                <w:spacing w:val="-9"/>
                <w:sz w:val="24"/>
                <w:szCs w:val="24"/>
                <w:highlight w:val="none"/>
                <w:lang w:val="en-US" w:eastAsia="zh-CN"/>
              </w:rPr>
            </w:pPr>
            <w:r>
              <w:rPr>
                <w:rFonts w:hint="eastAsia" w:ascii="宋体" w:hAnsi="宋体" w:eastAsia="宋体" w:cs="宋体"/>
                <w:b w:val="0"/>
                <w:bCs w:val="0"/>
                <w:sz w:val="24"/>
                <w:szCs w:val="24"/>
                <w:highlight w:val="none"/>
                <w:lang w:val="en-US" w:eastAsia="zh-CN"/>
              </w:rPr>
              <w:t>10分</w:t>
            </w:r>
          </w:p>
        </w:tc>
      </w:tr>
      <w:tr w14:paraId="446B1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8" w:hRule="atLeast"/>
        </w:trPr>
        <w:tc>
          <w:tcPr>
            <w:tcW w:w="443" w:type="pct"/>
            <w:noWrap w:val="0"/>
            <w:vAlign w:val="center"/>
          </w:tcPr>
          <w:p w14:paraId="66260BC6">
            <w:pPr>
              <w:pStyle w:val="111"/>
              <w:spacing w:before="78" w:line="360" w:lineRule="auto"/>
              <w:ind w:left="207" w:leftChars="0"/>
              <w:jc w:val="center"/>
              <w:rPr>
                <w:rFonts w:hint="eastAsia" w:ascii="宋体" w:hAnsi="宋体" w:eastAsia="宋体" w:cs="宋体"/>
                <w:sz w:val="24"/>
                <w:szCs w:val="24"/>
                <w:highlight w:val="none"/>
                <w:lang w:val="en-US" w:eastAsia="zh-CN"/>
              </w:rPr>
            </w:pPr>
            <w:r>
              <w:rPr>
                <w:rFonts w:hint="eastAsia" w:ascii="宋体" w:hAnsi="宋体" w:eastAsia="宋体" w:cs="宋体"/>
                <w:spacing w:val="-9"/>
                <w:sz w:val="24"/>
                <w:szCs w:val="24"/>
                <w:highlight w:val="none"/>
              </w:rPr>
              <w:t>说明</w:t>
            </w:r>
          </w:p>
        </w:tc>
        <w:tc>
          <w:tcPr>
            <w:tcW w:w="4556" w:type="pct"/>
            <w:gridSpan w:val="3"/>
            <w:noWrap w:val="0"/>
            <w:vAlign w:val="top"/>
          </w:tcPr>
          <w:p w14:paraId="3ED8AFB3">
            <w:pPr>
              <w:pStyle w:val="111"/>
              <w:spacing w:before="128" w:line="360" w:lineRule="auto"/>
              <w:ind w:left="128"/>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w:t>
            </w:r>
            <w:r>
              <w:rPr>
                <w:rFonts w:hint="eastAsia" w:ascii="宋体" w:hAnsi="宋体" w:eastAsia="宋体" w:cs="宋体"/>
                <w:spacing w:val="-2"/>
                <w:sz w:val="24"/>
                <w:szCs w:val="24"/>
                <w:highlight w:val="none"/>
                <w:lang w:eastAsia="zh-CN"/>
              </w:rPr>
              <w:t>磋商小组</w:t>
            </w:r>
            <w:r>
              <w:rPr>
                <w:rFonts w:hint="eastAsia" w:ascii="宋体" w:hAnsi="宋体" w:eastAsia="宋体" w:cs="宋体"/>
                <w:spacing w:val="-2"/>
                <w:sz w:val="24"/>
                <w:szCs w:val="24"/>
                <w:highlight w:val="none"/>
              </w:rPr>
              <w:t>各成员独立打分。</w:t>
            </w:r>
          </w:p>
          <w:p w14:paraId="23CE4811">
            <w:pPr>
              <w:pStyle w:val="111"/>
              <w:spacing w:before="199" w:line="360" w:lineRule="auto"/>
              <w:ind w:left="118" w:right="109" w:hanging="4"/>
              <w:rPr>
                <w:rFonts w:hint="eastAsia" w:ascii="宋体" w:hAnsi="宋体" w:eastAsia="宋体" w:cs="宋体"/>
                <w:sz w:val="24"/>
                <w:szCs w:val="24"/>
                <w:highlight w:val="none"/>
              </w:rPr>
            </w:pPr>
            <w:r>
              <w:rPr>
                <w:rFonts w:hint="eastAsia" w:ascii="宋体" w:hAnsi="宋体" w:eastAsia="宋体" w:cs="宋体"/>
                <w:sz w:val="24"/>
                <w:szCs w:val="24"/>
                <w:highlight w:val="none"/>
              </w:rPr>
              <w:t>2、评委打分超过得分界限或未按本表规定赋分时，该评</w:t>
            </w:r>
            <w:r>
              <w:rPr>
                <w:rFonts w:hint="eastAsia" w:ascii="宋体" w:hAnsi="宋体" w:eastAsia="宋体" w:cs="宋体"/>
                <w:spacing w:val="-1"/>
                <w:sz w:val="24"/>
                <w:szCs w:val="24"/>
                <w:highlight w:val="none"/>
              </w:rPr>
              <w:t>委的打分作废，不</w:t>
            </w:r>
            <w:r>
              <w:rPr>
                <w:rFonts w:hint="eastAsia" w:ascii="宋体" w:hAnsi="宋体" w:eastAsia="宋体" w:cs="宋体"/>
                <w:spacing w:val="-3"/>
                <w:sz w:val="24"/>
                <w:szCs w:val="24"/>
                <w:highlight w:val="none"/>
              </w:rPr>
              <w:t>计入汇总分。</w:t>
            </w:r>
          </w:p>
          <w:p w14:paraId="2CE02C2A">
            <w:pPr>
              <w:pStyle w:val="111"/>
              <w:spacing w:before="199" w:line="360" w:lineRule="auto"/>
              <w:ind w:left="119" w:right="107" w:hanging="3"/>
              <w:rPr>
                <w:rFonts w:hint="eastAsia" w:ascii="宋体" w:hAnsi="宋体" w:eastAsia="宋体" w:cs="宋体"/>
                <w:sz w:val="24"/>
                <w:szCs w:val="24"/>
                <w:highlight w:val="none"/>
              </w:rPr>
            </w:pPr>
            <w:r>
              <w:rPr>
                <w:rFonts w:hint="eastAsia" w:ascii="宋体" w:hAnsi="宋体" w:eastAsia="宋体" w:cs="宋体"/>
                <w:sz w:val="24"/>
                <w:szCs w:val="24"/>
                <w:highlight w:val="none"/>
              </w:rPr>
              <w:t>3、若出现综合得分并列时，比较价格得分，此分项</w:t>
            </w:r>
            <w:r>
              <w:rPr>
                <w:rFonts w:hint="eastAsia" w:ascii="宋体" w:hAnsi="宋体" w:eastAsia="宋体" w:cs="宋体"/>
                <w:spacing w:val="-1"/>
                <w:sz w:val="24"/>
                <w:szCs w:val="24"/>
                <w:highlight w:val="none"/>
              </w:rPr>
              <w:t>得分高者排序在前；若</w:t>
            </w:r>
            <w:r>
              <w:rPr>
                <w:rFonts w:hint="eastAsia" w:ascii="宋体" w:hAnsi="宋体" w:eastAsia="宋体" w:cs="宋体"/>
                <w:spacing w:val="-4"/>
                <w:sz w:val="24"/>
                <w:szCs w:val="24"/>
                <w:highlight w:val="none"/>
              </w:rPr>
              <w:t>价格得分仍相同，比较技术得分，此分项得分高者排序在前；若技术得分仍</w:t>
            </w:r>
            <w:r>
              <w:rPr>
                <w:rFonts w:hint="eastAsia" w:ascii="宋体" w:hAnsi="宋体" w:eastAsia="宋体" w:cs="宋体"/>
                <w:spacing w:val="-1"/>
                <w:sz w:val="24"/>
                <w:szCs w:val="24"/>
                <w:highlight w:val="none"/>
              </w:rPr>
              <w:t>相同，则由全体</w:t>
            </w:r>
            <w:r>
              <w:rPr>
                <w:rFonts w:hint="eastAsia" w:ascii="宋体" w:hAnsi="宋体" w:eastAsia="宋体" w:cs="宋体"/>
                <w:spacing w:val="-1"/>
                <w:sz w:val="24"/>
                <w:szCs w:val="24"/>
                <w:highlight w:val="none"/>
                <w:lang w:eastAsia="zh-CN"/>
              </w:rPr>
              <w:t>磋商小组</w:t>
            </w:r>
            <w:r>
              <w:rPr>
                <w:rFonts w:hint="eastAsia" w:ascii="宋体" w:hAnsi="宋体" w:eastAsia="宋体" w:cs="宋体"/>
                <w:spacing w:val="-1"/>
                <w:sz w:val="24"/>
                <w:szCs w:val="24"/>
                <w:highlight w:val="none"/>
              </w:rPr>
              <w:t>成员无记名投票，得票高者排序在前。</w:t>
            </w:r>
          </w:p>
          <w:p w14:paraId="6168C0B5">
            <w:pPr>
              <w:pStyle w:val="111"/>
              <w:spacing w:before="204" w:line="360" w:lineRule="auto"/>
              <w:ind w:left="11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4、各种计算采用插入法，数字均保留一位小数，第二位“</w:t>
            </w:r>
            <w:r>
              <w:rPr>
                <w:rFonts w:hint="eastAsia" w:ascii="宋体" w:hAnsi="宋体" w:eastAsia="宋体" w:cs="宋体"/>
                <w:spacing w:val="-63"/>
                <w:sz w:val="24"/>
                <w:szCs w:val="24"/>
                <w:highlight w:val="none"/>
              </w:rPr>
              <w:t xml:space="preserve"> </w:t>
            </w:r>
            <w:r>
              <w:rPr>
                <w:rFonts w:hint="eastAsia" w:ascii="宋体" w:hAnsi="宋体" w:eastAsia="宋体" w:cs="宋体"/>
                <w:spacing w:val="-2"/>
                <w:sz w:val="24"/>
                <w:szCs w:val="24"/>
                <w:highlight w:val="none"/>
              </w:rPr>
              <w:t>四舍五入</w:t>
            </w:r>
            <w:r>
              <w:rPr>
                <w:rFonts w:hint="eastAsia" w:ascii="宋体" w:hAnsi="宋体" w:eastAsia="宋体" w:cs="宋体"/>
                <w:spacing w:val="-88"/>
                <w:sz w:val="24"/>
                <w:szCs w:val="24"/>
                <w:highlight w:val="none"/>
              </w:rPr>
              <w:t xml:space="preserve"> </w:t>
            </w:r>
            <w:r>
              <w:rPr>
                <w:rFonts w:hint="eastAsia" w:ascii="宋体" w:hAnsi="宋体" w:eastAsia="宋体" w:cs="宋体"/>
                <w:spacing w:val="-2"/>
                <w:sz w:val="24"/>
                <w:szCs w:val="24"/>
                <w:highlight w:val="none"/>
              </w:rPr>
              <w:t>”。</w:t>
            </w:r>
          </w:p>
          <w:p w14:paraId="74956428">
            <w:pPr>
              <w:spacing w:line="360" w:lineRule="auto"/>
              <w:jc w:val="both"/>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rPr>
              <w:t>5、评标过程中，若出现特殊情况时，由</w:t>
            </w:r>
            <w:r>
              <w:rPr>
                <w:rFonts w:hint="eastAsia" w:ascii="宋体" w:hAnsi="宋体" w:eastAsia="宋体" w:cs="宋体"/>
                <w:sz w:val="24"/>
                <w:szCs w:val="24"/>
                <w:highlight w:val="none"/>
                <w:lang w:eastAsia="zh-CN"/>
              </w:rPr>
              <w:t>磋商小组</w:t>
            </w:r>
            <w:r>
              <w:rPr>
                <w:rFonts w:hint="eastAsia" w:ascii="宋体" w:hAnsi="宋体" w:eastAsia="宋体" w:cs="宋体"/>
                <w:spacing w:val="-1"/>
                <w:sz w:val="24"/>
                <w:szCs w:val="24"/>
                <w:highlight w:val="none"/>
              </w:rPr>
              <w:t>决定暂停评标，并提出</w:t>
            </w:r>
            <w:r>
              <w:rPr>
                <w:rFonts w:hint="eastAsia" w:ascii="宋体" w:hAnsi="宋体" w:eastAsia="宋体" w:cs="宋体"/>
                <w:spacing w:val="-3"/>
                <w:sz w:val="24"/>
                <w:szCs w:val="24"/>
                <w:highlight w:val="none"/>
              </w:rPr>
              <w:t>具体处理意见。</w:t>
            </w:r>
          </w:p>
        </w:tc>
      </w:tr>
    </w:tbl>
    <w:p w14:paraId="61EF6325">
      <w:pPr>
        <w:spacing w:line="360" w:lineRule="auto"/>
        <w:rPr>
          <w:rFonts w:hint="eastAsia" w:cs="宋体" w:asciiTheme="minorEastAsia" w:hAnsiTheme="minorEastAsia" w:eastAsiaTheme="minorEastAsia"/>
          <w:b/>
          <w:bCs/>
          <w:sz w:val="24"/>
          <w:szCs w:val="24"/>
        </w:rPr>
      </w:pPr>
    </w:p>
    <w:p w14:paraId="672BB204">
      <w:pPr>
        <w:spacing w:line="360" w:lineRule="auto"/>
        <w:rPr>
          <w:rFonts w:hint="eastAsia" w:cs="宋体" w:asciiTheme="minorEastAsia" w:hAnsiTheme="minorEastAsia" w:eastAsiaTheme="minorEastAsia"/>
          <w:bCs/>
          <w:sz w:val="24"/>
          <w:szCs w:val="24"/>
        </w:rPr>
      </w:pPr>
      <w:r>
        <w:rPr>
          <w:rFonts w:hint="eastAsia" w:cs="宋体" w:asciiTheme="minorEastAsia" w:hAnsiTheme="minorEastAsia" w:eastAsiaTheme="minorEastAsia"/>
          <w:b/>
          <w:bCs/>
          <w:sz w:val="24"/>
          <w:szCs w:val="24"/>
        </w:rPr>
        <w:t>备注</w:t>
      </w:r>
      <w:r>
        <w:rPr>
          <w:rFonts w:hint="eastAsia" w:cs="宋体" w:asciiTheme="minorEastAsia" w:hAnsiTheme="minorEastAsia" w:eastAsiaTheme="minorEastAsia"/>
          <w:bCs/>
          <w:sz w:val="24"/>
          <w:szCs w:val="24"/>
        </w:rPr>
        <w:t>：</w:t>
      </w:r>
    </w:p>
    <w:p w14:paraId="482EDA3D">
      <w:pPr>
        <w:spacing w:line="360" w:lineRule="auto"/>
        <w:ind w:firstLine="600" w:firstLineChars="250"/>
        <w:rPr>
          <w:rFonts w:cs="宋体" w:asciiTheme="minorEastAsia" w:hAnsiTheme="minorEastAsia" w:eastAsiaTheme="minorEastAsia"/>
          <w:bCs/>
          <w:sz w:val="24"/>
          <w:szCs w:val="24"/>
        </w:rPr>
      </w:pPr>
      <w:r>
        <w:rPr>
          <w:rFonts w:cs="宋体" w:asciiTheme="minorEastAsia" w:hAnsiTheme="minorEastAsia" w:eastAsiaTheme="minorEastAsia"/>
          <w:bCs/>
          <w:sz w:val="24"/>
          <w:szCs w:val="24"/>
        </w:rPr>
        <w:t>1</w:t>
      </w:r>
      <w:r>
        <w:rPr>
          <w:rFonts w:hint="eastAsia" w:cs="宋体" w:asciiTheme="minorEastAsia" w:hAnsiTheme="minorEastAsia" w:eastAsiaTheme="minorEastAsia"/>
          <w:bCs/>
          <w:sz w:val="24"/>
          <w:szCs w:val="24"/>
        </w:rPr>
        <w:t>、以上各项打分均由评标委员会独立评分，评分相邻</w:t>
      </w:r>
      <w:r>
        <w:rPr>
          <w:rFonts w:hint="eastAsia" w:cs="宋体" w:asciiTheme="minorEastAsia" w:hAnsiTheme="minorEastAsia" w:eastAsiaTheme="minorEastAsia"/>
          <w:bCs/>
          <w:sz w:val="24"/>
          <w:szCs w:val="24"/>
          <w:lang w:eastAsia="zh-CN"/>
        </w:rPr>
        <w:t>两挡之间的</w:t>
      </w:r>
      <w:r>
        <w:rPr>
          <w:rFonts w:hint="eastAsia" w:cs="宋体" w:asciiTheme="minorEastAsia" w:hAnsiTheme="minorEastAsia" w:eastAsiaTheme="minorEastAsia"/>
          <w:bCs/>
          <w:sz w:val="24"/>
          <w:szCs w:val="24"/>
        </w:rPr>
        <w:t>得分，归属于较低一档</w:t>
      </w:r>
      <w:r>
        <w:rPr>
          <w:rFonts w:hint="eastAsia" w:cs="宋体" w:asciiTheme="minorEastAsia" w:hAnsiTheme="minorEastAsia" w:eastAsiaTheme="minorEastAsia"/>
          <w:bCs/>
          <w:sz w:val="24"/>
          <w:szCs w:val="24"/>
          <w:lang w:eastAsia="zh-CN"/>
        </w:rPr>
        <w:t>，</w:t>
      </w:r>
      <w:r>
        <w:rPr>
          <w:rFonts w:hint="eastAsia" w:cs="宋体" w:asciiTheme="minorEastAsia" w:hAnsiTheme="minorEastAsia" w:eastAsiaTheme="minorEastAsia"/>
          <w:bCs/>
          <w:sz w:val="24"/>
          <w:szCs w:val="24"/>
        </w:rPr>
        <w:t>两档之间可取小数点进行打分，按评审后综合得分由高到低推荐一至三名中标候选人。</w:t>
      </w:r>
    </w:p>
    <w:p w14:paraId="5E5C2BB1">
      <w:pPr>
        <w:spacing w:line="360" w:lineRule="auto"/>
        <w:ind w:firstLine="600" w:firstLineChars="250"/>
        <w:rPr>
          <w:rFonts w:cs="宋体" w:asciiTheme="minorEastAsia" w:hAnsiTheme="minorEastAsia" w:eastAsiaTheme="minorEastAsia"/>
          <w:bCs/>
          <w:sz w:val="24"/>
          <w:szCs w:val="24"/>
        </w:rPr>
      </w:pPr>
      <w:r>
        <w:rPr>
          <w:rFonts w:cs="宋体" w:asciiTheme="minorEastAsia" w:hAnsiTheme="minorEastAsia" w:eastAsiaTheme="minorEastAsia"/>
          <w:bCs/>
          <w:sz w:val="24"/>
          <w:szCs w:val="24"/>
        </w:rPr>
        <w:t>2</w:t>
      </w:r>
      <w:r>
        <w:rPr>
          <w:rFonts w:hint="eastAsia" w:cs="宋体" w:asciiTheme="minorEastAsia" w:hAnsiTheme="minorEastAsia" w:eastAsiaTheme="minorEastAsia"/>
          <w:bCs/>
          <w:sz w:val="24"/>
          <w:szCs w:val="24"/>
        </w:rPr>
        <w:t>、对于非专门面向中小企业的项目，对小型和微型企业产品的价格给予</w:t>
      </w:r>
      <w:r>
        <w:rPr>
          <w:rFonts w:hint="eastAsia" w:cs="宋体" w:asciiTheme="minorEastAsia" w:hAnsiTheme="minorEastAsia" w:eastAsiaTheme="minorEastAsia"/>
          <w:bCs/>
          <w:sz w:val="24"/>
          <w:szCs w:val="24"/>
          <w:lang w:val="en-US" w:eastAsia="zh-CN"/>
        </w:rPr>
        <w:t>10</w:t>
      </w:r>
      <w:r>
        <w:rPr>
          <w:rFonts w:hint="eastAsia" w:cs="宋体" w:asciiTheme="minorEastAsia" w:hAnsiTheme="minorEastAsia" w:eastAsiaTheme="minorEastAsia"/>
          <w:bCs/>
          <w:sz w:val="24"/>
          <w:szCs w:val="24"/>
        </w:rPr>
        <w:t>%的扣除，用扣除后的价格参与评审；</w:t>
      </w:r>
    </w:p>
    <w:p w14:paraId="03C593CD">
      <w:pPr>
        <w:spacing w:line="360" w:lineRule="auto"/>
        <w:ind w:firstLine="600" w:firstLineChars="250"/>
        <w:rPr>
          <w:rFonts w:cs="宋体" w:asciiTheme="minorEastAsia" w:hAnsiTheme="minorEastAsia" w:eastAsiaTheme="minorEastAsia"/>
          <w:bCs/>
          <w:sz w:val="24"/>
          <w:szCs w:val="24"/>
        </w:rPr>
      </w:pPr>
      <w:r>
        <w:rPr>
          <w:rFonts w:cs="宋体" w:asciiTheme="minorEastAsia" w:hAnsiTheme="minorEastAsia" w:eastAsiaTheme="minorEastAsia"/>
          <w:bCs/>
          <w:sz w:val="24"/>
          <w:szCs w:val="24"/>
        </w:rPr>
        <w:t>3</w:t>
      </w:r>
      <w:r>
        <w:rPr>
          <w:rFonts w:hint="eastAsia" w:cs="宋体" w:asciiTheme="minorEastAsia" w:hAnsiTheme="minorEastAsia" w:eastAsiaTheme="minorEastAsia"/>
          <w:bCs/>
          <w:sz w:val="24"/>
          <w:szCs w:val="24"/>
        </w:rPr>
        <w:t>、对于非专门面向残疾人福利性单位的项目，对残疾人福利性单位产品的价格给予</w:t>
      </w:r>
      <w:r>
        <w:rPr>
          <w:rFonts w:hint="eastAsia" w:cs="宋体" w:asciiTheme="minorEastAsia" w:hAnsiTheme="minorEastAsia" w:eastAsiaTheme="minorEastAsia"/>
          <w:bCs/>
          <w:sz w:val="24"/>
          <w:szCs w:val="24"/>
          <w:lang w:val="en-US" w:eastAsia="zh-CN"/>
        </w:rPr>
        <w:t>6</w:t>
      </w:r>
      <w:r>
        <w:rPr>
          <w:rFonts w:hint="eastAsia" w:cs="宋体" w:asciiTheme="minorEastAsia" w:hAnsiTheme="minorEastAsia" w:eastAsiaTheme="minorEastAsia"/>
          <w:bCs/>
          <w:sz w:val="24"/>
          <w:szCs w:val="24"/>
        </w:rPr>
        <w:t>%的扣除，用扣除后的价格参与评审，残疾人福利性单位属于小型、微型企业的，不重复享受政策；</w:t>
      </w:r>
    </w:p>
    <w:p w14:paraId="2D365ED5">
      <w:pPr>
        <w:spacing w:line="360" w:lineRule="auto"/>
        <w:ind w:firstLine="600" w:firstLineChars="250"/>
        <w:rPr>
          <w:rFonts w:cs="宋体" w:asciiTheme="minorEastAsia" w:hAnsiTheme="minorEastAsia" w:eastAsiaTheme="minorEastAsia"/>
          <w:bCs/>
          <w:sz w:val="24"/>
          <w:szCs w:val="24"/>
        </w:rPr>
      </w:pPr>
      <w:r>
        <w:rPr>
          <w:rFonts w:cs="宋体" w:asciiTheme="minorEastAsia" w:hAnsiTheme="minorEastAsia" w:eastAsiaTheme="minorEastAsia"/>
          <w:bCs/>
          <w:sz w:val="24"/>
          <w:szCs w:val="24"/>
        </w:rPr>
        <w:t>4</w:t>
      </w:r>
      <w:r>
        <w:rPr>
          <w:rFonts w:hint="eastAsia" w:cs="宋体" w:asciiTheme="minorEastAsia" w:hAnsiTheme="minorEastAsia" w:eastAsiaTheme="minorEastAsia"/>
          <w:bCs/>
          <w:sz w:val="24"/>
          <w:szCs w:val="24"/>
        </w:rPr>
        <w:t>、《关于政府采购支持监狱企业发展有关问题的通知》（财库[2014]68号）的规定，对监狱企业给予</w:t>
      </w:r>
      <w:r>
        <w:rPr>
          <w:rFonts w:hint="eastAsia" w:cs="宋体" w:asciiTheme="minorEastAsia" w:hAnsiTheme="minorEastAsia" w:eastAsiaTheme="minorEastAsia"/>
          <w:bCs/>
          <w:sz w:val="24"/>
          <w:szCs w:val="24"/>
          <w:lang w:val="en-US" w:eastAsia="zh-CN"/>
        </w:rPr>
        <w:t>10</w:t>
      </w:r>
      <w:r>
        <w:rPr>
          <w:rFonts w:hint="eastAsia" w:cs="宋体" w:asciiTheme="minorEastAsia" w:hAnsiTheme="minorEastAsia" w:eastAsiaTheme="minorEastAsia"/>
          <w:bCs/>
          <w:sz w:val="24"/>
          <w:szCs w:val="24"/>
        </w:rPr>
        <w:t>%的价格扣除，用扣除后的价格参与评审。（提供由省级以上监狱管理局、戒毒管理局（含新疆生产建设兵团）出具的属于监狱企业的证明文件）</w:t>
      </w:r>
    </w:p>
    <w:p w14:paraId="17741FE8">
      <w:pPr>
        <w:spacing w:line="360" w:lineRule="auto"/>
        <w:ind w:firstLine="600" w:firstLineChars="250"/>
        <w:rPr>
          <w:rFonts w:cs="宋体" w:asciiTheme="minorEastAsia" w:hAnsiTheme="minorEastAsia" w:eastAsiaTheme="minorEastAsia"/>
          <w:bCs/>
          <w:sz w:val="24"/>
          <w:szCs w:val="24"/>
        </w:rPr>
      </w:pPr>
      <w:r>
        <w:rPr>
          <w:rFonts w:cs="宋体" w:asciiTheme="minorEastAsia" w:hAnsiTheme="minorEastAsia" w:eastAsiaTheme="minorEastAsia"/>
          <w:bCs/>
          <w:sz w:val="24"/>
          <w:szCs w:val="24"/>
        </w:rPr>
        <w:t>5</w:t>
      </w:r>
      <w:r>
        <w:rPr>
          <w:rFonts w:hint="eastAsia" w:cs="宋体" w:asciiTheme="minorEastAsia" w:hAnsiTheme="minorEastAsia" w:eastAsiaTheme="minorEastAsia"/>
          <w:bCs/>
          <w:sz w:val="24"/>
          <w:szCs w:val="24"/>
        </w:rPr>
        <w:t>、评标委员会认为投标人的报价明显低于其他通过符合性审</w:t>
      </w:r>
      <w:r>
        <w:rPr>
          <w:rFonts w:hint="eastAsia" w:cs="宋体" w:asciiTheme="minorEastAsia" w:hAnsiTheme="minorEastAsia" w:eastAsiaTheme="minorEastAsia"/>
          <w:bCs/>
          <w:sz w:val="24"/>
          <w:szCs w:val="24"/>
          <w:lang w:eastAsia="zh-CN"/>
        </w:rPr>
        <w:t>查的</w:t>
      </w:r>
      <w:r>
        <w:rPr>
          <w:rFonts w:hint="eastAsia" w:cs="宋体" w:asciiTheme="minorEastAsia" w:hAnsiTheme="minorEastAsia" w:eastAsiaTheme="minorEastAsia"/>
          <w:bCs/>
          <w:sz w:val="24"/>
          <w:szCs w:val="24"/>
        </w:rPr>
        <w:t>投标人的报价，有可能影响产品质量或者不能诚信履约的，应当要求其在评标现场合理的时间内提供书面说明，必要时提交相关证明材料；投标人不能证明其报价合理性的，评标委员会应当将其作为无效投标处理。</w:t>
      </w:r>
    </w:p>
    <w:bookmarkEnd w:id="129"/>
    <w:p w14:paraId="3D3A084C">
      <w:pPr>
        <w:pStyle w:val="2"/>
        <w:keepNext/>
        <w:keepLines/>
        <w:pageBreakBefore/>
        <w:widowControl w:val="0"/>
        <w:numPr>
          <w:ilvl w:val="0"/>
          <w:numId w:val="11"/>
        </w:numPr>
        <w:kinsoku/>
        <w:wordWrap/>
        <w:overflowPunct/>
        <w:topLinePunct w:val="0"/>
        <w:autoSpaceDE/>
        <w:autoSpaceDN/>
        <w:bidi w:val="0"/>
        <w:adjustRightInd/>
        <w:snapToGrid/>
        <w:spacing w:line="360" w:lineRule="auto"/>
        <w:textAlignment w:val="auto"/>
        <w:rPr>
          <w:rFonts w:ascii="宋体" w:hAnsi="宋体" w:cs="宋体"/>
        </w:rPr>
      </w:pPr>
      <w:bookmarkStart w:id="131" w:name="_Toc11449"/>
      <w:bookmarkStart w:id="132" w:name="_Toc15647"/>
      <w:bookmarkStart w:id="133" w:name="_Toc6835"/>
      <w:r>
        <w:rPr>
          <w:rFonts w:hint="eastAsia" w:ascii="宋体" w:hAnsi="宋体" w:cs="宋体"/>
        </w:rPr>
        <w:t>采购内容及</w:t>
      </w:r>
      <w:r>
        <w:rPr>
          <w:rFonts w:hint="eastAsia" w:ascii="宋体" w:hAnsi="宋体" w:cs="宋体"/>
          <w:lang w:eastAsia="zh-CN"/>
        </w:rPr>
        <w:t>要求</w:t>
      </w:r>
      <w:bookmarkEnd w:id="131"/>
    </w:p>
    <w:p w14:paraId="7B6E5824">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一、项目概述 </w:t>
      </w:r>
    </w:p>
    <w:p w14:paraId="29516A6A">
      <w:pPr>
        <w:keepNext w:val="0"/>
        <w:keepLines w:val="0"/>
        <w:widowControl/>
        <w:suppressLineNumbers w:val="0"/>
        <w:spacing w:line="360" w:lineRule="auto"/>
        <w:ind w:left="0" w:leftChars="0" w:firstLine="547" w:firstLineChars="228"/>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 项目名称：汉滨区”十三五“易地扶贫搬迁清盘决算审计</w:t>
      </w:r>
    </w:p>
    <w:p w14:paraId="7A18B0A4">
      <w:pPr>
        <w:keepNext w:val="0"/>
        <w:keepLines w:val="0"/>
        <w:widowControl/>
        <w:suppressLineNumbers w:val="0"/>
        <w:spacing w:line="360" w:lineRule="auto"/>
        <w:ind w:left="0" w:leftChars="0" w:firstLine="547" w:firstLineChars="228"/>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 项目地点：汉滨区境内。 </w:t>
      </w:r>
    </w:p>
    <w:p w14:paraId="4D91B466">
      <w:pPr>
        <w:keepNext w:val="0"/>
        <w:keepLines w:val="0"/>
        <w:widowControl/>
        <w:suppressLineNumbers w:val="0"/>
        <w:spacing w:line="360" w:lineRule="auto"/>
        <w:ind w:left="0" w:leftChars="0" w:firstLine="547" w:firstLineChars="228"/>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 项目范围：与23个镇4个街道办"十三五"易地扶贫搬迁财务决算资金定案。 </w:t>
      </w:r>
    </w:p>
    <w:p w14:paraId="3C403DA6">
      <w:pPr>
        <w:keepNext w:val="0"/>
        <w:keepLines w:val="0"/>
        <w:widowControl/>
        <w:suppressLineNumbers w:val="0"/>
        <w:spacing w:line="360" w:lineRule="auto"/>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二、采购内容 </w:t>
      </w:r>
    </w:p>
    <w:p w14:paraId="0736CFB6">
      <w:pPr>
        <w:keepNext w:val="0"/>
        <w:keepLines w:val="0"/>
        <w:widowControl/>
        <w:suppressLineNumbers w:val="0"/>
        <w:spacing w:line="360" w:lineRule="auto"/>
        <w:ind w:left="0" w:leftChars="0" w:firstLine="547" w:firstLineChars="228"/>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审计任务与依据。审计认定汉滨区”十三五“易地扶贫搬迁任务完成及实施投资情况，按照《中国注册会计师审计准则》《会计师事务所从事基本建设工程预算、结算、决算审核暂行办法》的要求，对汉滨区”十三五“易地扶贫搬迁项目进行清盘决算审计，准确认定搬迁任务完成情况及实施投资状况。</w:t>
      </w:r>
    </w:p>
    <w:p w14:paraId="713FC8A0">
      <w:pPr>
        <w:keepNext w:val="0"/>
        <w:keepLines w:val="0"/>
        <w:widowControl/>
        <w:suppressLineNumbers w:val="0"/>
        <w:spacing w:line="360" w:lineRule="auto"/>
        <w:ind w:left="0" w:leftChars="0" w:firstLine="547" w:firstLineChars="228"/>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审计内容与要求。对汉滨区"十三五"易地扶贫搬迁资金的筹集、分配、使用、管理及项目决算等进行全面审计，重点核查资金使用的合规性和效益性。审计工作应当坚持依法审计原则，严格按照国家审计准则、十三五搬迁政策及汉滨区实际实施模式开展清理清算工作，确保审计质量。</w:t>
      </w:r>
    </w:p>
    <w:p w14:paraId="7001EEFF">
      <w:pPr>
        <w:keepNext w:val="0"/>
        <w:keepLines w:val="0"/>
        <w:widowControl/>
        <w:suppressLineNumbers w:val="0"/>
        <w:spacing w:line="360" w:lineRule="auto"/>
        <w:ind w:left="0" w:leftChars="0" w:firstLine="547" w:firstLineChars="228"/>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审计范围与处理原则。与23个镇、4个街道办（包括原合并镇）进行易地扶贫搬迁资金对账和决算审计，形成各镇（办）易地扶贫搬迁定案意见。审计工作必须坚持客观公正、严格执法的原则，有效防范审计风险。对审计发现的问题要做到事实清楚、定性准确、查深查透、责任明确、处理到位。及时报告审计情况，对发现的重大问题要一查到底，严肃追究。</w:t>
      </w:r>
    </w:p>
    <w:p w14:paraId="5EF945B1">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三、服务要求 </w:t>
      </w:r>
    </w:p>
    <w:p w14:paraId="3F4D5100">
      <w:pPr>
        <w:pStyle w:val="34"/>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r>
        <w:rPr>
          <w:rFonts w:hint="eastAsia" w:ascii="宋体" w:hAnsi="宋体" w:eastAsia="宋体" w:cs="宋体"/>
          <w:sz w:val="24"/>
          <w:szCs w:val="24"/>
          <w:lang w:val="en-US" w:eastAsia="zh-CN"/>
        </w:rPr>
        <w:t xml:space="preserve">. </w:t>
      </w:r>
      <w:r>
        <w:rPr>
          <w:rFonts w:hint="eastAsia" w:ascii="宋体" w:hAnsi="宋体" w:eastAsia="宋体" w:cs="宋体"/>
          <w:color w:val="000000"/>
          <w:kern w:val="0"/>
          <w:sz w:val="24"/>
          <w:szCs w:val="24"/>
          <w:lang w:val="en-US" w:eastAsia="zh-CN" w:bidi="ar"/>
        </w:rPr>
        <w:t>按照《中国注册会计师审计准则》《会计师事务所从事基本建设工程预算、结算、决算审核暂行办法》的要求，对汉滨区”十三五“易地扶贫搬迁清盘决算审计。</w:t>
      </w:r>
    </w:p>
    <w:p w14:paraId="111BC6E0">
      <w:pPr>
        <w:pStyle w:val="34"/>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 坚持依法审计，按国家审计准则要求和十三五搬迁政策及汉滨区实际实施模式进行审计清理清算，保证审计质量。</w:t>
      </w:r>
    </w:p>
    <w:p w14:paraId="324D69CC">
      <w:pPr>
        <w:pStyle w:val="34"/>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 审计人员要通力协作，及时反映审计情况，对发现的重大问题要一查到底。</w:t>
      </w:r>
    </w:p>
    <w:p w14:paraId="41D185B2">
      <w:pPr>
        <w:pStyle w:val="34"/>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 客观公正，严格执法，防范审计风险。对审计查出的问题做到事实清楚、定性准确、查深查透、分清责任、严肃处理。审计评价力求恰如其分。</w:t>
      </w:r>
    </w:p>
    <w:p w14:paraId="61E5E87E">
      <w:pPr>
        <w:pStyle w:val="34"/>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 按照《审计人员廉政纪律》规定和《审计人员职业道德准则》的要求，接受各方面监督，在约定时间内完成审计任务。</w:t>
      </w:r>
    </w:p>
    <w:p w14:paraId="2C8D266F">
      <w:pPr>
        <w:pStyle w:val="34"/>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 注意保守秘密。审计人员不得随意对外透露审计情况，不得私自接受新闻媒体采访，确保信息安全。</w:t>
      </w:r>
    </w:p>
    <w:p w14:paraId="58E7D53A">
      <w:pPr>
        <w:keepNext w:val="0"/>
        <w:keepLines w:val="0"/>
        <w:widowControl/>
        <w:suppressLineNumbers w:val="0"/>
        <w:spacing w:line="360" w:lineRule="auto"/>
        <w:ind w:left="0" w:leftChars="0" w:firstLine="549" w:firstLineChars="228"/>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四、其他要求 </w:t>
      </w:r>
    </w:p>
    <w:p w14:paraId="1CC096A8">
      <w:pPr>
        <w:keepNext w:val="0"/>
        <w:keepLines w:val="0"/>
        <w:widowControl/>
        <w:suppressLineNumbers w:val="0"/>
        <w:spacing w:line="360" w:lineRule="auto"/>
        <w:ind w:left="0" w:leftChars="0" w:firstLine="547" w:firstLineChars="228"/>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 按照国家法律、法规的规定，遵照客观公正、实事求是的原则开展基本建设竣工财务决算审计业务；</w:t>
      </w:r>
    </w:p>
    <w:p w14:paraId="08D98381">
      <w:pPr>
        <w:keepNext w:val="0"/>
        <w:keepLines w:val="0"/>
        <w:widowControl/>
        <w:suppressLineNumbers w:val="0"/>
        <w:spacing w:line="360" w:lineRule="auto"/>
        <w:ind w:left="0" w:leftChars="0" w:firstLine="547" w:firstLineChars="228"/>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 独立完成基本项目竣工财务决算审计任务，不得以任何形式将已接收的审计任务再委托给其他机构;</w:t>
      </w:r>
    </w:p>
    <w:p w14:paraId="40DE595F">
      <w:pPr>
        <w:keepNext w:val="0"/>
        <w:keepLines w:val="0"/>
        <w:widowControl/>
        <w:suppressLineNumbers w:val="0"/>
        <w:spacing w:line="360" w:lineRule="auto"/>
        <w:ind w:left="0" w:leftChars="0" w:firstLine="547" w:firstLineChars="228"/>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 定期向采购人报告审计进展情况，及时答复有关问题;重大问题及时向采购人报告；</w:t>
      </w:r>
    </w:p>
    <w:p w14:paraId="5137716B">
      <w:pPr>
        <w:keepNext w:val="0"/>
        <w:keepLines w:val="0"/>
        <w:widowControl/>
        <w:suppressLineNumbers w:val="0"/>
        <w:spacing w:line="360" w:lineRule="auto"/>
        <w:ind w:left="0" w:leftChars="0" w:firstLine="547" w:firstLineChars="228"/>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 在规定时间内向采购人出具基本建设竣工财务决算审计结论，并对其真实性、合法性、准确性负责永久的法律责任；</w:t>
      </w:r>
    </w:p>
    <w:p w14:paraId="692FF138">
      <w:pPr>
        <w:keepNext w:val="0"/>
        <w:keepLines w:val="0"/>
        <w:widowControl/>
        <w:suppressLineNumbers w:val="0"/>
        <w:spacing w:line="360" w:lineRule="auto"/>
        <w:ind w:left="0" w:leftChars="0" w:firstLine="547" w:firstLineChars="228"/>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 未经采购人批准，不得以任何形式向任何单位或个人披露审计项目的有关信息，不得对外提供、泄露、公开审计项目的有关情况；</w:t>
      </w:r>
    </w:p>
    <w:p w14:paraId="1BFD3CAD">
      <w:pPr>
        <w:keepNext w:val="0"/>
        <w:keepLines w:val="0"/>
        <w:widowControl/>
        <w:suppressLineNumbers w:val="0"/>
        <w:spacing w:line="360" w:lineRule="auto"/>
        <w:ind w:left="0" w:leftChars="0" w:firstLine="547" w:firstLineChars="228"/>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 严格遵守审计工作纪律。</w:t>
      </w:r>
    </w:p>
    <w:p w14:paraId="26E76381">
      <w:pPr>
        <w:spacing w:line="360" w:lineRule="auto"/>
        <w:rPr>
          <w:rFonts w:hint="eastAsia" w:ascii="宋体" w:hAnsi="宋体" w:cs="宋体"/>
          <w:lang w:eastAsia="zh-CN"/>
        </w:rPr>
      </w:pPr>
    </w:p>
    <w:p w14:paraId="64F53C8A">
      <w:pPr>
        <w:spacing w:line="360" w:lineRule="auto"/>
        <w:ind w:firstLine="638" w:firstLineChars="228"/>
        <w:rPr>
          <w:rFonts w:hint="default" w:ascii="宋体" w:hAnsi="宋体" w:eastAsia="宋体" w:cs="宋体"/>
          <w:color w:val="auto"/>
          <w:sz w:val="28"/>
          <w:szCs w:val="28"/>
          <w:lang w:val="en-US" w:eastAsia="zh-CN"/>
        </w:rPr>
      </w:pPr>
    </w:p>
    <w:bookmarkEnd w:id="132"/>
    <w:bookmarkEnd w:id="133"/>
    <w:p w14:paraId="271FF58F">
      <w:pPr>
        <w:pStyle w:val="2"/>
        <w:keepNext/>
        <w:keepLines/>
        <w:pageBreakBefore/>
        <w:widowControl w:val="0"/>
        <w:kinsoku/>
        <w:wordWrap/>
        <w:overflowPunct/>
        <w:topLinePunct w:val="0"/>
        <w:autoSpaceDE/>
        <w:autoSpaceDN/>
        <w:bidi w:val="0"/>
        <w:adjustRightInd/>
        <w:snapToGrid/>
        <w:textAlignment w:val="auto"/>
        <w:rPr>
          <w:color w:val="000000" w:themeColor="text1"/>
          <w:sz w:val="40"/>
          <w:szCs w:val="56"/>
          <w14:textFill>
            <w14:solidFill>
              <w14:schemeClr w14:val="tx1"/>
            </w14:solidFill>
          </w14:textFill>
        </w:rPr>
      </w:pPr>
      <w:bookmarkStart w:id="134" w:name="_Toc536202322"/>
      <w:bookmarkStart w:id="135" w:name="_Toc536429384"/>
      <w:bookmarkStart w:id="136" w:name="_Toc536429331"/>
      <w:bookmarkStart w:id="137" w:name="_Toc536202391"/>
      <w:bookmarkStart w:id="138" w:name="_Toc10286"/>
      <w:bookmarkStart w:id="139" w:name="_Toc14318"/>
      <w:bookmarkStart w:id="140" w:name="_Toc9190"/>
      <w:bookmarkStart w:id="141" w:name="_Toc19543347"/>
      <w:bookmarkStart w:id="142" w:name="_Toc30668"/>
      <w:r>
        <w:rPr>
          <w:rFonts w:hint="eastAsia" w:ascii="宋体" w:hAnsi="宋体" w:cs="宋体"/>
          <w:color w:val="000000" w:themeColor="text1"/>
          <w:sz w:val="44"/>
          <w:szCs w:val="44"/>
          <w14:textFill>
            <w14:solidFill>
              <w14:schemeClr w14:val="tx1"/>
            </w14:solidFill>
          </w14:textFill>
        </w:rPr>
        <w:t>第六部分</w:t>
      </w:r>
      <w:r>
        <w:rPr>
          <w:rFonts w:ascii="宋体" w:hAnsi="宋体" w:cs="宋体"/>
          <w:color w:val="000000" w:themeColor="text1"/>
          <w:sz w:val="44"/>
          <w:szCs w:val="44"/>
          <w14:textFill>
            <w14:solidFill>
              <w14:schemeClr w14:val="tx1"/>
            </w14:solidFill>
          </w14:textFill>
        </w:rPr>
        <w:t xml:space="preserve">  </w:t>
      </w:r>
      <w:bookmarkEnd w:id="134"/>
      <w:bookmarkEnd w:id="135"/>
      <w:bookmarkEnd w:id="136"/>
      <w:bookmarkEnd w:id="137"/>
      <w:bookmarkEnd w:id="138"/>
      <w:bookmarkStart w:id="143" w:name="_Toc3837039"/>
      <w:r>
        <w:rPr>
          <w:rFonts w:hint="eastAsia" w:ascii="宋体" w:hAnsi="宋体" w:cs="宋体"/>
          <w:color w:val="000000" w:themeColor="text1"/>
          <w:sz w:val="44"/>
          <w:szCs w:val="44"/>
          <w14:textFill>
            <w14:solidFill>
              <w14:schemeClr w14:val="tx1"/>
            </w14:solidFill>
          </w14:textFill>
        </w:rPr>
        <w:t>商务及合同主要条款</w:t>
      </w:r>
      <w:bookmarkEnd w:id="139"/>
      <w:bookmarkEnd w:id="140"/>
      <w:bookmarkEnd w:id="141"/>
      <w:bookmarkEnd w:id="142"/>
      <w:bookmarkEnd w:id="143"/>
    </w:p>
    <w:p w14:paraId="4C538974">
      <w:pPr>
        <w:spacing w:before="78" w:line="360" w:lineRule="auto"/>
        <w:jc w:val="center"/>
        <w:rPr>
          <w:rFonts w:hint="eastAsia" w:ascii="宋体" w:hAnsi="宋体" w:eastAsia="宋体" w:cs="宋体"/>
          <w:b w:val="0"/>
          <w:bCs w:val="0"/>
          <w:spacing w:val="-2"/>
          <w:sz w:val="28"/>
          <w:szCs w:val="28"/>
        </w:rPr>
      </w:pPr>
      <w:r>
        <w:rPr>
          <w:rFonts w:hint="eastAsia" w:ascii="宋体" w:hAnsi="宋体" w:eastAsia="宋体" w:cs="宋体"/>
          <w:b w:val="0"/>
          <w:bCs w:val="0"/>
          <w:spacing w:val="-2"/>
          <w:sz w:val="28"/>
          <w:szCs w:val="28"/>
        </w:rPr>
        <w:t>（仅供参考，具体以实际签订为准）</w:t>
      </w:r>
    </w:p>
    <w:p w14:paraId="2B8ED191">
      <w:pPr>
        <w:spacing w:before="78" w:line="360" w:lineRule="auto"/>
        <w:jc w:val="center"/>
        <w:rPr>
          <w:rFonts w:hint="eastAsia" w:ascii="宋体" w:hAnsi="宋体" w:eastAsia="宋体" w:cs="宋体"/>
          <w:b/>
          <w:bCs/>
          <w:spacing w:val="-2"/>
          <w:sz w:val="44"/>
          <w:szCs w:val="44"/>
          <w:lang w:val="en-US" w:eastAsia="zh-CN"/>
        </w:rPr>
      </w:pPr>
      <w:r>
        <w:rPr>
          <w:rFonts w:hint="eastAsia" w:ascii="宋体" w:hAnsi="宋体" w:eastAsia="宋体" w:cs="宋体"/>
          <w:b/>
          <w:bCs/>
          <w:spacing w:val="-2"/>
          <w:sz w:val="44"/>
          <w:szCs w:val="44"/>
          <w:lang w:val="en-US" w:eastAsia="zh-CN"/>
        </w:rPr>
        <w:t>协议书</w:t>
      </w:r>
    </w:p>
    <w:p w14:paraId="6856411D">
      <w:pPr>
        <w:pStyle w:val="18"/>
        <w:keepNext w:val="0"/>
        <w:keepLines w:val="0"/>
        <w:pageBreakBefore w:val="0"/>
        <w:widowControl w:val="0"/>
        <w:kinsoku/>
        <w:wordWrap/>
        <w:overflowPunct/>
        <w:topLinePunct w:val="0"/>
        <w:autoSpaceDE/>
        <w:bidi w:val="0"/>
        <w:spacing w:line="360" w:lineRule="auto"/>
        <w:ind w:right="0" w:rightChars="0"/>
        <w:textAlignment w:val="auto"/>
        <w:rPr>
          <w:rFonts w:hint="eastAsia" w:ascii="宋体" w:hAnsi="宋体" w:eastAsia="宋体" w:cs="宋体"/>
          <w:b w:val="0"/>
          <w:bCs w:val="0"/>
          <w:sz w:val="24"/>
          <w:szCs w:val="24"/>
          <w:lang w:eastAsia="zh-CN"/>
        </w:rPr>
      </w:pPr>
      <w:bookmarkStart w:id="144" w:name="bookmark9"/>
      <w:bookmarkEnd w:id="144"/>
      <w:bookmarkStart w:id="145" w:name="bookmark10"/>
      <w:bookmarkEnd w:id="145"/>
      <w:r>
        <w:rPr>
          <w:rFonts w:hint="eastAsia" w:ascii="宋体" w:hAnsi="宋体" w:eastAsia="宋体" w:cs="宋体"/>
          <w:b w:val="0"/>
          <w:bCs w:val="0"/>
          <w:sz w:val="24"/>
          <w:szCs w:val="24"/>
        </w:rPr>
        <w:t>甲方：</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lang w:val="en-US" w:eastAsia="zh-CN"/>
        </w:rPr>
        <w:t xml:space="preserve"> </w:t>
      </w:r>
    </w:p>
    <w:p w14:paraId="22F6B753">
      <w:pPr>
        <w:pStyle w:val="18"/>
        <w:keepNext w:val="0"/>
        <w:keepLines w:val="0"/>
        <w:pageBreakBefore w:val="0"/>
        <w:widowControl w:val="0"/>
        <w:kinsoku/>
        <w:wordWrap/>
        <w:overflowPunct/>
        <w:topLinePunct w:val="0"/>
        <w:autoSpaceDE/>
        <w:bidi w:val="0"/>
        <w:spacing w:line="360" w:lineRule="auto"/>
        <w:ind w:right="0" w:right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乙方：</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 xml:space="preserve"> </w:t>
      </w:r>
    </w:p>
    <w:p w14:paraId="19BF114B">
      <w:pPr>
        <w:pStyle w:val="18"/>
        <w:keepNext w:val="0"/>
        <w:keepLines w:val="0"/>
        <w:pageBreakBefore w:val="0"/>
        <w:widowControl w:val="0"/>
        <w:kinsoku/>
        <w:wordWrap/>
        <w:overflowPunct/>
        <w:topLinePunct w:val="0"/>
        <w:autoSpaceDE/>
        <w:bidi w:val="0"/>
        <w:spacing w:line="360" w:lineRule="auto"/>
        <w:ind w:right="0" w:rightChars="0" w:firstLine="480" w:firstLineChars="20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sz w:val="24"/>
          <w:szCs w:val="24"/>
        </w:rPr>
        <w:t>根据《中华人民共和国政府采购法》及相关规定，甲乙</w:t>
      </w:r>
      <w:r>
        <w:rPr>
          <w:rFonts w:hint="eastAsia" w:ascii="宋体" w:hAnsi="宋体" w:eastAsia="宋体" w:cs="宋体"/>
          <w:b w:val="0"/>
          <w:bCs w:val="0"/>
          <w:sz w:val="24"/>
          <w:szCs w:val="24"/>
          <w:lang w:val="en-US" w:eastAsia="zh-CN"/>
        </w:rPr>
        <w:t>双</w:t>
      </w:r>
      <w:r>
        <w:rPr>
          <w:rFonts w:hint="eastAsia" w:ascii="宋体" w:hAnsi="宋体" w:eastAsia="宋体" w:cs="宋体"/>
          <w:b w:val="0"/>
          <w:bCs w:val="0"/>
          <w:sz w:val="24"/>
          <w:szCs w:val="24"/>
        </w:rPr>
        <w:t>方签订本</w:t>
      </w:r>
      <w:r>
        <w:rPr>
          <w:rFonts w:hint="eastAsia" w:ascii="宋体" w:hAnsi="宋体" w:eastAsia="宋体" w:cs="宋体"/>
          <w:b w:val="0"/>
          <w:bCs w:val="0"/>
          <w:sz w:val="24"/>
          <w:szCs w:val="24"/>
          <w:lang w:val="en-US" w:eastAsia="zh-CN"/>
        </w:rPr>
        <w:t>协议书</w:t>
      </w:r>
      <w:r>
        <w:rPr>
          <w:rFonts w:hint="eastAsia" w:ascii="宋体" w:hAnsi="宋体" w:eastAsia="宋体" w:cs="宋体"/>
          <w:b w:val="0"/>
          <w:bCs w:val="0"/>
          <w:sz w:val="24"/>
          <w:szCs w:val="24"/>
        </w:rPr>
        <w:t>，就</w:t>
      </w:r>
      <w:r>
        <w:rPr>
          <w:rFonts w:hint="eastAsia" w:ascii="宋体" w:hAnsi="宋体" w:eastAsia="宋体" w:cs="宋体"/>
          <w:b w:val="0"/>
          <w:bCs w:val="0"/>
          <w:sz w:val="24"/>
          <w:szCs w:val="24"/>
          <w:u w:val="single"/>
          <w:lang w:val="en-US" w:eastAsia="zh-CN"/>
        </w:rPr>
        <w:t xml:space="preserve">   （项目名称及项目编号）      </w:t>
      </w:r>
      <w:r>
        <w:rPr>
          <w:rFonts w:hint="eastAsia" w:ascii="宋体" w:hAnsi="宋体" w:eastAsia="宋体" w:cs="宋体"/>
          <w:b w:val="0"/>
          <w:bCs w:val="0"/>
          <w:color w:val="000000"/>
          <w:kern w:val="0"/>
          <w:sz w:val="24"/>
          <w:szCs w:val="24"/>
        </w:rPr>
        <w:t>达成如下协议条款，共同遵守：</w:t>
      </w:r>
    </w:p>
    <w:p w14:paraId="5CEA79F8">
      <w:pPr>
        <w:keepNext w:val="0"/>
        <w:keepLines w:val="0"/>
        <w:pageBreakBefore w:val="0"/>
        <w:widowControl w:val="0"/>
        <w:kinsoku/>
        <w:wordWrap/>
        <w:overflowPunct/>
        <w:topLinePunct w:val="0"/>
        <w:autoSpaceDE/>
        <w:autoSpaceDN w:val="0"/>
        <w:bidi w:val="0"/>
        <w:adjustRightInd w:val="0"/>
        <w:snapToGrid w:val="0"/>
        <w:spacing w:line="360" w:lineRule="auto"/>
        <w:ind w:right="0" w:rightChars="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一、</w:t>
      </w:r>
      <w:r>
        <w:rPr>
          <w:rFonts w:hint="eastAsia" w:ascii="宋体" w:hAnsi="宋体" w:eastAsia="宋体" w:cs="宋体"/>
          <w:b w:val="0"/>
          <w:bCs w:val="0"/>
          <w:sz w:val="24"/>
          <w:szCs w:val="24"/>
          <w:lang w:val="en-US" w:eastAsia="zh-CN"/>
        </w:rPr>
        <w:t>服务</w:t>
      </w:r>
      <w:r>
        <w:rPr>
          <w:rFonts w:hint="eastAsia" w:ascii="宋体" w:hAnsi="宋体" w:eastAsia="宋体" w:cs="宋体"/>
          <w:b w:val="0"/>
          <w:bCs w:val="0"/>
          <w:sz w:val="24"/>
          <w:szCs w:val="24"/>
        </w:rPr>
        <w:t>目标：</w:t>
      </w:r>
    </w:p>
    <w:p w14:paraId="69CF9CE3">
      <w:pPr>
        <w:keepNext w:val="0"/>
        <w:keepLines w:val="0"/>
        <w:pageBreakBefore w:val="0"/>
        <w:widowControl w:val="0"/>
        <w:kinsoku/>
        <w:wordWrap/>
        <w:overflowPunct/>
        <w:topLinePunct w:val="0"/>
        <w:autoSpaceDE/>
        <w:bidi w:val="0"/>
        <w:spacing w:line="360" w:lineRule="auto"/>
        <w:ind w:right="0" w:rightChars="0" w:firstLine="525"/>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（一）核实搬迁对象与搬迁任务完成情况。</w:t>
      </w:r>
    </w:p>
    <w:p w14:paraId="4C00AD16">
      <w:pPr>
        <w:keepNext w:val="0"/>
        <w:keepLines w:val="0"/>
        <w:pageBreakBefore w:val="0"/>
        <w:widowControl w:val="0"/>
        <w:kinsoku/>
        <w:wordWrap/>
        <w:overflowPunct/>
        <w:topLinePunct w:val="0"/>
        <w:autoSpaceDE/>
        <w:bidi w:val="0"/>
        <w:spacing w:line="360" w:lineRule="auto"/>
        <w:ind w:right="0" w:rightChars="0" w:firstLine="525"/>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（二）核实各类型安置投资完成情况。</w:t>
      </w:r>
    </w:p>
    <w:p w14:paraId="5C431A90">
      <w:pPr>
        <w:keepNext w:val="0"/>
        <w:keepLines w:val="0"/>
        <w:pageBreakBefore w:val="0"/>
        <w:widowControl w:val="0"/>
        <w:kinsoku/>
        <w:wordWrap/>
        <w:overflowPunct/>
        <w:topLinePunct w:val="0"/>
        <w:autoSpaceDE/>
        <w:bidi w:val="0"/>
        <w:spacing w:line="360" w:lineRule="auto"/>
        <w:ind w:right="0" w:rightChars="0" w:firstLine="525"/>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（三）清算搬迁办与各镇实施的搬迁资金。</w:t>
      </w:r>
    </w:p>
    <w:p w14:paraId="2B12C41B">
      <w:pPr>
        <w:keepNext w:val="0"/>
        <w:keepLines w:val="0"/>
        <w:pageBreakBefore w:val="0"/>
        <w:widowControl w:val="0"/>
        <w:kinsoku/>
        <w:wordWrap/>
        <w:overflowPunct/>
        <w:topLinePunct w:val="0"/>
        <w:autoSpaceDE/>
        <w:bidi w:val="0"/>
        <w:spacing w:line="360" w:lineRule="auto"/>
        <w:ind w:right="0" w:rightChars="0" w:firstLine="525"/>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（四）对实施的各类型搬迁进行资金清算</w:t>
      </w:r>
    </w:p>
    <w:p w14:paraId="40D8D9CB">
      <w:pPr>
        <w:keepNext w:val="0"/>
        <w:keepLines w:val="0"/>
        <w:pageBreakBefore w:val="0"/>
        <w:widowControl w:val="0"/>
        <w:kinsoku/>
        <w:wordWrap/>
        <w:overflowPunct/>
        <w:topLinePunct w:val="0"/>
        <w:autoSpaceDE/>
        <w:bidi w:val="0"/>
        <w:spacing w:line="360" w:lineRule="auto"/>
        <w:ind w:right="0" w:rightChars="0" w:firstLine="525"/>
        <w:textAlignment w:val="auto"/>
        <w:rPr>
          <w:rFonts w:hint="eastAsia" w:ascii="仿宋" w:hAnsi="仿宋" w:eastAsia="仿宋" w:cs="仿宋"/>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五）</w:t>
      </w:r>
      <w:r>
        <w:rPr>
          <w:rFonts w:hint="eastAsia" w:ascii="宋体" w:hAnsi="宋体" w:eastAsia="宋体" w:cs="宋体"/>
          <w:b w:val="0"/>
          <w:bCs w:val="0"/>
          <w:sz w:val="24"/>
          <w:szCs w:val="24"/>
        </w:rPr>
        <w:t>核实搬迁债务存量、剩余资产状态、待收自筹资金情况。</w:t>
      </w:r>
    </w:p>
    <w:p w14:paraId="7FA49E0D">
      <w:pPr>
        <w:keepNext w:val="0"/>
        <w:keepLines w:val="0"/>
        <w:pageBreakBefore w:val="0"/>
        <w:widowControl w:val="0"/>
        <w:kinsoku/>
        <w:wordWrap/>
        <w:overflowPunct/>
        <w:topLinePunct w:val="0"/>
        <w:autoSpaceDE/>
        <w:bidi w:val="0"/>
        <w:spacing w:line="360" w:lineRule="auto"/>
        <w:ind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二</w:t>
      </w:r>
      <w:r>
        <w:rPr>
          <w:rFonts w:hint="eastAsia" w:ascii="宋体" w:hAnsi="宋体" w:eastAsia="宋体" w:cs="宋体"/>
          <w:b w:val="0"/>
          <w:bCs w:val="0"/>
          <w:sz w:val="24"/>
          <w:szCs w:val="24"/>
        </w:rPr>
        <w:t>、双方权利和义务</w:t>
      </w:r>
    </w:p>
    <w:p w14:paraId="65BC7C79">
      <w:pPr>
        <w:keepNext w:val="0"/>
        <w:keepLines w:val="0"/>
        <w:pageBreakBefore w:val="0"/>
        <w:widowControl w:val="0"/>
        <w:kinsoku/>
        <w:wordWrap/>
        <w:overflowPunct/>
        <w:topLinePunct w:val="0"/>
        <w:autoSpaceDE/>
        <w:bidi w:val="0"/>
        <w:spacing w:line="360" w:lineRule="auto"/>
        <w:ind w:right="0" w:rightChars="0" w:firstLine="525"/>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（一）甲方权利及义务</w:t>
      </w:r>
    </w:p>
    <w:p w14:paraId="782BB6CF">
      <w:pPr>
        <w:keepNext w:val="0"/>
        <w:keepLines w:val="0"/>
        <w:pageBreakBefore w:val="0"/>
        <w:widowControl w:val="0"/>
        <w:numPr>
          <w:ilvl w:val="0"/>
          <w:numId w:val="18"/>
        </w:numPr>
        <w:kinsoku/>
        <w:wordWrap/>
        <w:overflowPunct/>
        <w:topLinePunct w:val="0"/>
        <w:autoSpaceDE/>
        <w:bidi w:val="0"/>
        <w:spacing w:line="360" w:lineRule="auto"/>
        <w:ind w:right="0" w:rightChars="0" w:firstLine="525"/>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甲方</w:t>
      </w:r>
      <w:r>
        <w:rPr>
          <w:rFonts w:hint="eastAsia" w:ascii="宋体" w:hAnsi="宋体" w:eastAsia="宋体" w:cs="宋体"/>
          <w:b w:val="0"/>
          <w:bCs w:val="0"/>
          <w:sz w:val="24"/>
          <w:szCs w:val="24"/>
          <w:lang w:val="en-US" w:eastAsia="zh-CN"/>
        </w:rPr>
        <w:t>应</w:t>
      </w:r>
      <w:r>
        <w:rPr>
          <w:rFonts w:hint="eastAsia" w:ascii="宋体" w:hAnsi="宋体" w:eastAsia="宋体" w:cs="宋体"/>
          <w:b w:val="0"/>
          <w:bCs w:val="0"/>
          <w:sz w:val="24"/>
          <w:szCs w:val="24"/>
        </w:rPr>
        <w:t>及时为乙方的审计及咨询工作提供有关记录、文件和所需的其他的信息，并保证所提供资料的真实性和完整性。在服务过程中需要补充资料，亦应及时提供。</w:t>
      </w:r>
    </w:p>
    <w:p w14:paraId="66E9E5CB">
      <w:pPr>
        <w:keepNext w:val="0"/>
        <w:keepLines w:val="0"/>
        <w:pageBreakBefore w:val="0"/>
        <w:widowControl w:val="0"/>
        <w:numPr>
          <w:ilvl w:val="0"/>
          <w:numId w:val="18"/>
        </w:numPr>
        <w:kinsoku/>
        <w:wordWrap/>
        <w:overflowPunct/>
        <w:topLinePunct w:val="0"/>
        <w:autoSpaceDE/>
        <w:bidi w:val="0"/>
        <w:spacing w:line="360" w:lineRule="auto"/>
        <w:ind w:right="0" w:rightChars="0" w:firstLine="525"/>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甲方负责协调被审计单位按乙方要求</w:t>
      </w:r>
      <w:r>
        <w:rPr>
          <w:rFonts w:hint="eastAsia" w:ascii="宋体" w:hAnsi="宋体" w:eastAsia="宋体" w:cs="宋体"/>
          <w:b w:val="0"/>
          <w:bCs w:val="0"/>
          <w:sz w:val="24"/>
          <w:szCs w:val="24"/>
        </w:rPr>
        <w:t>及时提供</w:t>
      </w:r>
      <w:r>
        <w:rPr>
          <w:rFonts w:hint="eastAsia" w:ascii="宋体" w:hAnsi="宋体" w:eastAsia="宋体" w:cs="宋体"/>
          <w:b w:val="0"/>
          <w:bCs w:val="0"/>
          <w:sz w:val="24"/>
          <w:szCs w:val="24"/>
          <w:lang w:val="en-US" w:eastAsia="zh-CN"/>
        </w:rPr>
        <w:t>乙方进行审计及咨询工作所需要的相关资料</w:t>
      </w:r>
      <w:r>
        <w:rPr>
          <w:rFonts w:hint="eastAsia" w:ascii="宋体" w:hAnsi="宋体" w:eastAsia="宋体" w:cs="宋体"/>
          <w:b w:val="0"/>
          <w:bCs w:val="0"/>
          <w:sz w:val="24"/>
          <w:szCs w:val="24"/>
        </w:rPr>
        <w:t>。</w:t>
      </w:r>
    </w:p>
    <w:p w14:paraId="29A49BD8">
      <w:pPr>
        <w:keepNext w:val="0"/>
        <w:keepLines w:val="0"/>
        <w:pageBreakBefore w:val="0"/>
        <w:widowControl w:val="0"/>
        <w:numPr>
          <w:ilvl w:val="0"/>
          <w:numId w:val="0"/>
        </w:numPr>
        <w:kinsoku/>
        <w:wordWrap/>
        <w:overflowPunct/>
        <w:topLinePunct w:val="0"/>
        <w:autoSpaceDE/>
        <w:autoSpaceDN w:val="0"/>
        <w:bidi w:val="0"/>
        <w:spacing w:line="360" w:lineRule="auto"/>
        <w:ind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3.甲方指派专人配合乙方工作，对乙方需要资料及需要了解信息及时配合提供及协调。协调被单位指派专人配合乙方工作，对乙方需要资料及需要了解信息及时配合提供,并答复乙方询问信息。</w:t>
      </w:r>
    </w:p>
    <w:p w14:paraId="73859AC2">
      <w:pPr>
        <w:keepNext w:val="0"/>
        <w:keepLines w:val="0"/>
        <w:pageBreakBefore w:val="0"/>
        <w:widowControl w:val="0"/>
        <w:numPr>
          <w:ilvl w:val="0"/>
          <w:numId w:val="0"/>
        </w:numPr>
        <w:kinsoku/>
        <w:wordWrap/>
        <w:overflowPunct/>
        <w:topLinePunct w:val="0"/>
        <w:autoSpaceDE/>
        <w:autoSpaceDN w:val="0"/>
        <w:bidi w:val="0"/>
        <w:spacing w:line="360" w:lineRule="auto"/>
        <w:ind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4.甲方有权对委托事项提出规范性、合理性、可行性咨询及建议。</w:t>
      </w:r>
    </w:p>
    <w:p w14:paraId="5AB569DF">
      <w:pPr>
        <w:keepNext w:val="0"/>
        <w:keepLines w:val="0"/>
        <w:pageBreakBefore w:val="0"/>
        <w:widowControl w:val="0"/>
        <w:numPr>
          <w:ilvl w:val="0"/>
          <w:numId w:val="0"/>
        </w:numPr>
        <w:kinsoku/>
        <w:wordWrap/>
        <w:overflowPunct/>
        <w:topLinePunct w:val="0"/>
        <w:autoSpaceDE/>
        <w:autoSpaceDN w:val="0"/>
        <w:bidi w:val="0"/>
        <w:spacing w:line="360" w:lineRule="auto"/>
        <w:ind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5.为乙方派出的有关工作人员提供必要的工作条件和协助。</w:t>
      </w:r>
    </w:p>
    <w:p w14:paraId="1D40D422">
      <w:pPr>
        <w:keepNext w:val="0"/>
        <w:keepLines w:val="0"/>
        <w:pageBreakBefore w:val="0"/>
        <w:widowControl w:val="0"/>
        <w:numPr>
          <w:ilvl w:val="0"/>
          <w:numId w:val="0"/>
        </w:numPr>
        <w:kinsoku/>
        <w:wordWrap/>
        <w:overflowPunct/>
        <w:topLinePunct w:val="0"/>
        <w:autoSpaceDE/>
        <w:autoSpaceDN w:val="0"/>
        <w:bidi w:val="0"/>
        <w:spacing w:line="360" w:lineRule="auto"/>
        <w:ind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6.甲方按照本合同的约定及时足额支付乙方服务费用。</w:t>
      </w:r>
    </w:p>
    <w:p w14:paraId="31DDA942">
      <w:pPr>
        <w:keepNext w:val="0"/>
        <w:keepLines w:val="0"/>
        <w:pageBreakBefore w:val="0"/>
        <w:widowControl w:val="0"/>
        <w:numPr>
          <w:ilvl w:val="0"/>
          <w:numId w:val="0"/>
        </w:numPr>
        <w:kinsoku/>
        <w:wordWrap/>
        <w:overflowPunct/>
        <w:topLinePunct w:val="0"/>
        <w:autoSpaceDE/>
        <w:autoSpaceDN w:val="0"/>
        <w:bidi w:val="0"/>
        <w:spacing w:line="360" w:lineRule="auto"/>
        <w:ind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7.由于甲方原因，导致乙方工作延误、返工或中途终止，除支付合同约定费用外，应根据完成工作量和延误期，给乙方增付劳务费，并延长工作时间。</w:t>
      </w:r>
    </w:p>
    <w:p w14:paraId="6D23E90F">
      <w:pPr>
        <w:keepNext w:val="0"/>
        <w:keepLines w:val="0"/>
        <w:pageBreakBefore w:val="0"/>
        <w:widowControl w:val="0"/>
        <w:numPr>
          <w:ilvl w:val="0"/>
          <w:numId w:val="0"/>
        </w:numPr>
        <w:kinsoku/>
        <w:wordWrap/>
        <w:overflowPunct/>
        <w:topLinePunct w:val="0"/>
        <w:autoSpaceDE/>
        <w:autoSpaceDN w:val="0"/>
        <w:bidi w:val="0"/>
        <w:spacing w:line="360" w:lineRule="auto"/>
        <w:ind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甲方积极配合乙方工作，甲方对其作出的与本次服务有关的声明、陈述予以书面确认;对乙方的审计报告/咨询报告(征求意见稿)及时沟通回复，自接到审计报告/咨询报告(征求意见稿)之日起10个工作日内如甲方未将书面意见回复乙方，视同甲方同意乙方审计报告/咨询报告(征求意见稿)，无异议。</w:t>
      </w:r>
    </w:p>
    <w:p w14:paraId="3A0E74A5">
      <w:pPr>
        <w:keepNext w:val="0"/>
        <w:keepLines w:val="0"/>
        <w:pageBreakBefore w:val="0"/>
        <w:widowControl w:val="0"/>
        <w:numPr>
          <w:ilvl w:val="0"/>
          <w:numId w:val="0"/>
        </w:numPr>
        <w:kinsoku/>
        <w:wordWrap/>
        <w:overflowPunct/>
        <w:topLinePunct w:val="0"/>
        <w:autoSpaceDE/>
        <w:autoSpaceDN w:val="0"/>
        <w:bidi w:val="0"/>
        <w:spacing w:line="360" w:lineRule="auto"/>
        <w:ind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9.乙方的服务工作不能替代或减轻甲方及甲方管理层的责任。</w:t>
      </w:r>
    </w:p>
    <w:p w14:paraId="0380E140">
      <w:pPr>
        <w:keepNext w:val="0"/>
        <w:keepLines w:val="0"/>
        <w:pageBreakBefore w:val="0"/>
        <w:widowControl w:val="0"/>
        <w:kinsoku/>
        <w:wordWrap/>
        <w:overflowPunct/>
        <w:topLinePunct w:val="0"/>
        <w:autoSpaceDE/>
        <w:bidi w:val="0"/>
        <w:spacing w:line="360" w:lineRule="auto"/>
        <w:ind w:right="0" w:rightChars="0" w:firstLine="525"/>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（二）乙方的权利及义务</w:t>
      </w:r>
    </w:p>
    <w:p w14:paraId="2852E751">
      <w:pPr>
        <w:keepNext w:val="0"/>
        <w:keepLines w:val="0"/>
        <w:pageBreakBefore w:val="0"/>
        <w:widowControl w:val="0"/>
        <w:kinsoku/>
        <w:wordWrap/>
        <w:overflowPunct/>
        <w:topLinePunct w:val="0"/>
        <w:autoSpaceDE/>
        <w:bidi w:val="0"/>
        <w:spacing w:line="360" w:lineRule="auto"/>
        <w:ind w:right="0" w:rightChars="0" w:firstLine="540" w:firstLineChars="225"/>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1.乙方</w:t>
      </w:r>
      <w:r>
        <w:rPr>
          <w:rFonts w:hint="eastAsia" w:ascii="宋体" w:hAnsi="宋体" w:eastAsia="宋体" w:cs="宋体"/>
          <w:b w:val="0"/>
          <w:bCs w:val="0"/>
          <w:sz w:val="24"/>
          <w:szCs w:val="24"/>
          <w:lang w:val="en-US" w:eastAsia="zh-CN"/>
        </w:rPr>
        <w:t>应</w:t>
      </w:r>
      <w:r>
        <w:rPr>
          <w:rFonts w:hint="eastAsia" w:ascii="宋体" w:hAnsi="宋体" w:eastAsia="宋体" w:cs="宋体"/>
          <w:b w:val="0"/>
          <w:bCs w:val="0"/>
          <w:sz w:val="24"/>
          <w:szCs w:val="24"/>
        </w:rPr>
        <w:t>遵守相关执业准则、会计准则和职业道德规范，在执行审计和咨询服务的过程中，乙方需要运用职业判断，保持职业怀疑，恪守独立、客观、公正原则，勤勉尽责，及时高效完成委托事项。</w:t>
      </w:r>
    </w:p>
    <w:p w14:paraId="300A04FB">
      <w:pPr>
        <w:keepNext w:val="0"/>
        <w:keepLines w:val="0"/>
        <w:pageBreakBefore w:val="0"/>
        <w:widowControl w:val="0"/>
        <w:kinsoku/>
        <w:wordWrap/>
        <w:overflowPunct/>
        <w:topLinePunct w:val="0"/>
        <w:autoSpaceDE/>
        <w:bidi w:val="0"/>
        <w:spacing w:line="360" w:lineRule="auto"/>
        <w:ind w:right="0" w:rightChars="0" w:firstLine="540" w:firstLineChars="225"/>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2.乙方对甲方提出的涉及委托事项问题，在专业范围内及时向甲方作以解释、并提供合规合理的解决方案。</w:t>
      </w:r>
    </w:p>
    <w:p w14:paraId="2E62CF7E">
      <w:pPr>
        <w:keepNext w:val="0"/>
        <w:keepLines w:val="0"/>
        <w:pageBreakBefore w:val="0"/>
        <w:widowControl w:val="0"/>
        <w:kinsoku/>
        <w:wordWrap/>
        <w:overflowPunct/>
        <w:topLinePunct w:val="0"/>
        <w:autoSpaceDE/>
        <w:bidi w:val="0"/>
        <w:spacing w:line="360" w:lineRule="auto"/>
        <w:ind w:right="0" w:rightChars="0" w:firstLine="540" w:firstLineChars="225"/>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3.乙方及时出具本项目相关审计报告/咨询报告(征求意见稿)。非无法预见的原因，乙方按照约定时间完成服务工作。</w:t>
      </w:r>
    </w:p>
    <w:p w14:paraId="7ABDB70E">
      <w:pPr>
        <w:keepNext w:val="0"/>
        <w:keepLines w:val="0"/>
        <w:pageBreakBefore w:val="0"/>
        <w:widowControl w:val="0"/>
        <w:kinsoku/>
        <w:wordWrap/>
        <w:overflowPunct/>
        <w:topLinePunct w:val="0"/>
        <w:autoSpaceDE/>
        <w:bidi w:val="0"/>
        <w:spacing w:line="360" w:lineRule="auto"/>
        <w:ind w:right="0" w:rightChars="0" w:firstLine="540" w:firstLineChars="225"/>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4.除下列情况外，乙方应当对执行业务过程中知悉的甲方信息予以保密:(1)法律法规允许披露，并取得甲方的授权;(2)根据法律法规的要求，为法律诉讼、仲裁准备文件或提供证据,以及向监管机构报告发现的违法行为(3)在法律法规允许的情况下，在法律诉讼、仲裁中维护自己的合法权益;(4)接受注册会计师协会或监管机构的执业质量检查，答复其询问和调查:(5)向注册会计师协会或监管机构进行报备:(6)法律法规、执业准则和职业道德规范规定的其他</w:t>
      </w:r>
      <w:r>
        <w:rPr>
          <w:rFonts w:hint="eastAsia" w:ascii="宋体" w:hAnsi="宋体" w:eastAsia="宋体" w:cs="宋体"/>
          <w:b w:val="0"/>
          <w:bCs w:val="0"/>
          <w:sz w:val="24"/>
          <w:szCs w:val="24"/>
          <w:lang w:val="en-US" w:eastAsia="zh-CN"/>
        </w:rPr>
        <w:t>情形。</w:t>
      </w:r>
      <w:r>
        <w:rPr>
          <w:rFonts w:hint="eastAsia" w:ascii="宋体" w:hAnsi="宋体" w:eastAsia="宋体" w:cs="宋体"/>
          <w:b w:val="0"/>
          <w:bCs w:val="0"/>
          <w:sz w:val="24"/>
          <w:szCs w:val="24"/>
        </w:rPr>
        <w:t>非经甲方书面同意，乙方及乙方工作人员不得对外泄露，也不得用于本约定书以外之使用目的，否则应赔偿甲方因此遭受的损失及承担甲方索赔损失产生的律师费、诉讼费等相关费用。</w:t>
      </w:r>
    </w:p>
    <w:p w14:paraId="56B053F8">
      <w:pPr>
        <w:keepNext w:val="0"/>
        <w:keepLines w:val="0"/>
        <w:pageBreakBefore w:val="0"/>
        <w:widowControl w:val="0"/>
        <w:kinsoku/>
        <w:wordWrap/>
        <w:overflowPunct/>
        <w:topLinePunct w:val="0"/>
        <w:autoSpaceDE/>
        <w:bidi w:val="0"/>
        <w:spacing w:line="360" w:lineRule="auto"/>
        <w:ind w:right="0" w:rightChars="0" w:firstLine="540" w:firstLineChars="225"/>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乙方</w:t>
      </w:r>
      <w:r>
        <w:rPr>
          <w:rFonts w:hint="eastAsia" w:ascii="宋体" w:hAnsi="宋体" w:eastAsia="宋体" w:cs="宋体"/>
          <w:b w:val="0"/>
          <w:bCs w:val="0"/>
          <w:sz w:val="24"/>
          <w:szCs w:val="24"/>
          <w:lang w:val="en-US" w:eastAsia="zh-CN"/>
        </w:rPr>
        <w:t>服务</w:t>
      </w:r>
      <w:r>
        <w:rPr>
          <w:rFonts w:hint="eastAsia" w:ascii="宋体" w:hAnsi="宋体" w:eastAsia="宋体" w:cs="宋体"/>
          <w:b w:val="0"/>
          <w:bCs w:val="0"/>
          <w:sz w:val="24"/>
          <w:szCs w:val="24"/>
        </w:rPr>
        <w:t>人员应恪守职业道德，勤勉尽职，严格遵守廉洁自律的有关规定，不得接受被审计单位的招待及任何馈赠。</w:t>
      </w:r>
    </w:p>
    <w:p w14:paraId="0C3F87CE">
      <w:pPr>
        <w:keepNext w:val="0"/>
        <w:keepLines w:val="0"/>
        <w:pageBreakBefore w:val="0"/>
        <w:widowControl w:val="0"/>
        <w:kinsoku/>
        <w:wordWrap/>
        <w:overflowPunct/>
        <w:topLinePunct w:val="0"/>
        <w:autoSpaceDE/>
        <w:bidi w:val="0"/>
        <w:spacing w:line="360" w:lineRule="auto"/>
        <w:ind w:right="0" w:rightChars="0" w:firstLine="525"/>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三</w:t>
      </w:r>
      <w:r>
        <w:rPr>
          <w:rFonts w:hint="eastAsia" w:ascii="宋体" w:hAnsi="宋体" w:eastAsia="宋体" w:cs="宋体"/>
          <w:b w:val="0"/>
          <w:bCs w:val="0"/>
          <w:sz w:val="24"/>
          <w:szCs w:val="24"/>
        </w:rPr>
        <w:t>、服务费用及支付要求</w:t>
      </w:r>
    </w:p>
    <w:p w14:paraId="38435DEF">
      <w:pPr>
        <w:keepNext w:val="0"/>
        <w:keepLines w:val="0"/>
        <w:pageBreakBefore w:val="0"/>
        <w:widowControl w:val="0"/>
        <w:kinsoku/>
        <w:wordWrap/>
        <w:overflowPunct/>
        <w:topLinePunct w:val="0"/>
        <w:autoSpaceDE/>
        <w:bidi w:val="0"/>
        <w:snapToGrid w:val="0"/>
        <w:spacing w:line="360" w:lineRule="auto"/>
        <w:ind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本</w:t>
      </w:r>
      <w:r>
        <w:rPr>
          <w:rFonts w:hint="eastAsia" w:ascii="宋体" w:hAnsi="宋体" w:eastAsia="宋体" w:cs="宋体"/>
          <w:b w:val="0"/>
          <w:bCs w:val="0"/>
          <w:sz w:val="24"/>
          <w:szCs w:val="24"/>
          <w:lang w:val="en-US" w:eastAsia="zh-CN"/>
        </w:rPr>
        <w:t>次服务</w:t>
      </w:r>
      <w:r>
        <w:rPr>
          <w:rFonts w:hint="eastAsia" w:ascii="宋体" w:hAnsi="宋体" w:eastAsia="宋体" w:cs="宋体"/>
          <w:b w:val="0"/>
          <w:bCs w:val="0"/>
          <w:sz w:val="24"/>
          <w:szCs w:val="24"/>
        </w:rPr>
        <w:t>费用共计人民币</w:t>
      </w:r>
      <w:r>
        <w:rPr>
          <w:rFonts w:hint="eastAsia" w:ascii="宋体" w:hAnsi="宋体" w:eastAsia="宋体" w:cs="宋体"/>
          <w:b w:val="0"/>
          <w:bCs w:val="0"/>
          <w:sz w:val="24"/>
          <w:szCs w:val="24"/>
          <w:u w:val="single"/>
        </w:rPr>
        <w:t xml:space="preserve">    元</w:t>
      </w:r>
      <w:r>
        <w:rPr>
          <w:rFonts w:hint="eastAsia" w:ascii="宋体" w:hAnsi="宋体" w:eastAsia="宋体" w:cs="宋体"/>
          <w:b w:val="0"/>
          <w:bCs w:val="0"/>
          <w:sz w:val="24"/>
          <w:szCs w:val="24"/>
        </w:rPr>
        <w:t>（￥</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），该费用包含乙方为履行本约定书项下义务和提供本约定书项下服务所需全部费用，除上述费用外，甲方无需另行支付任何其他费用。</w:t>
      </w:r>
    </w:p>
    <w:p w14:paraId="76ED70EB">
      <w:pPr>
        <w:keepNext w:val="0"/>
        <w:keepLines w:val="0"/>
        <w:pageBreakBefore w:val="0"/>
        <w:widowControl w:val="0"/>
        <w:kinsoku/>
        <w:wordWrap/>
        <w:overflowPunct/>
        <w:topLinePunct w:val="0"/>
        <w:autoSpaceDE/>
        <w:bidi w:val="0"/>
        <w:spacing w:line="360" w:lineRule="auto"/>
        <w:ind w:right="0" w:rightChars="0" w:firstLine="56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甲方于本服务合同签署之日起7日内预支付</w:t>
      </w:r>
      <w:r>
        <w:rPr>
          <w:rFonts w:hint="eastAsia" w:ascii="宋体" w:hAnsi="宋体" w:eastAsia="宋体" w:cs="宋体"/>
          <w:b w:val="0"/>
          <w:bCs w:val="0"/>
          <w:sz w:val="24"/>
          <w:szCs w:val="24"/>
          <w:u w:val="single"/>
          <w:lang w:val="en-US" w:eastAsia="zh-CN"/>
        </w:rPr>
        <w:t>合同价40%</w:t>
      </w:r>
      <w:r>
        <w:rPr>
          <w:rFonts w:hint="eastAsia" w:ascii="宋体" w:hAnsi="宋体" w:eastAsia="宋体" w:cs="宋体"/>
          <w:b w:val="0"/>
          <w:bCs w:val="0"/>
          <w:sz w:val="24"/>
          <w:szCs w:val="24"/>
        </w:rPr>
        <w:t>的服务费用，其余款项于甲方收到乙方审计报告/咨询报告(征求意见稿)结清</w:t>
      </w:r>
      <w:r>
        <w:rPr>
          <w:rFonts w:hint="eastAsia" w:ascii="宋体" w:hAnsi="宋体" w:eastAsia="宋体" w:cs="宋体"/>
          <w:b w:val="0"/>
          <w:bCs w:val="0"/>
          <w:sz w:val="24"/>
          <w:szCs w:val="24"/>
          <w:lang w:eastAsia="zh-CN"/>
        </w:rPr>
        <w:t>。</w:t>
      </w:r>
    </w:p>
    <w:p w14:paraId="57AA4AD3">
      <w:pPr>
        <w:keepNext w:val="0"/>
        <w:keepLines w:val="0"/>
        <w:pageBreakBefore w:val="0"/>
        <w:widowControl w:val="0"/>
        <w:kinsoku/>
        <w:wordWrap/>
        <w:overflowPunct/>
        <w:topLinePunct w:val="0"/>
        <w:autoSpaceDE/>
        <w:bidi w:val="0"/>
        <w:spacing w:line="360" w:lineRule="auto"/>
        <w:ind w:right="0" w:rightChars="0" w:firstLine="56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甲方支付价款前，乙方应向甲方提供正式等额、合法合规并符合甲方要求的增值税普通发票，否则，甲方有权拒绝付款并不承担任何逾期付款的违约责任。</w:t>
      </w:r>
    </w:p>
    <w:p w14:paraId="6BB3800B">
      <w:pPr>
        <w:keepNext w:val="0"/>
        <w:keepLines w:val="0"/>
        <w:pageBreakBefore w:val="0"/>
        <w:widowControl w:val="0"/>
        <w:kinsoku/>
        <w:wordWrap/>
        <w:overflowPunct/>
        <w:topLinePunct w:val="0"/>
        <w:autoSpaceDE/>
        <w:bidi w:val="0"/>
        <w:spacing w:line="360" w:lineRule="auto"/>
        <w:ind w:right="0" w:rightChars="0"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四</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服务期限：自合同签订之日起90日历日。</w:t>
      </w:r>
    </w:p>
    <w:p w14:paraId="307FE71B">
      <w:pPr>
        <w:keepNext w:val="0"/>
        <w:keepLines w:val="0"/>
        <w:pageBreakBefore w:val="0"/>
        <w:widowControl w:val="0"/>
        <w:kinsoku/>
        <w:wordWrap/>
        <w:overflowPunct/>
        <w:topLinePunct w:val="0"/>
        <w:autoSpaceDE/>
        <w:bidi w:val="0"/>
        <w:spacing w:line="360" w:lineRule="auto"/>
        <w:ind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五、</w:t>
      </w:r>
      <w:r>
        <w:rPr>
          <w:rFonts w:hint="eastAsia" w:ascii="宋体" w:hAnsi="宋体" w:eastAsia="宋体" w:cs="宋体"/>
          <w:b w:val="0"/>
          <w:bCs w:val="0"/>
          <w:sz w:val="24"/>
          <w:szCs w:val="24"/>
        </w:rPr>
        <w:t>保密</w:t>
      </w:r>
    </w:p>
    <w:p w14:paraId="38681F26">
      <w:pPr>
        <w:keepNext w:val="0"/>
        <w:keepLines w:val="0"/>
        <w:pageBreakBefore w:val="0"/>
        <w:widowControl w:val="0"/>
        <w:kinsoku/>
        <w:wordWrap/>
        <w:overflowPunct/>
        <w:topLinePunct w:val="0"/>
        <w:autoSpaceDE/>
        <w:bidi w:val="0"/>
        <w:spacing w:line="360" w:lineRule="auto"/>
        <w:ind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乙方因对履行本协议而从甲方处获得的全部资料严格保密，未经甲方书面许可，不得向其他任何第三方透露。本条款长期有效，不因本协议的提前解除、终止而失效。</w:t>
      </w:r>
    </w:p>
    <w:p w14:paraId="0E9FBE57">
      <w:pPr>
        <w:keepNext w:val="0"/>
        <w:keepLines w:val="0"/>
        <w:pageBreakBefore w:val="0"/>
        <w:widowControl w:val="0"/>
        <w:kinsoku/>
        <w:wordWrap/>
        <w:overflowPunct/>
        <w:topLinePunct w:val="0"/>
        <w:autoSpaceDE/>
        <w:bidi w:val="0"/>
        <w:spacing w:line="360" w:lineRule="auto"/>
        <w:ind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六</w:t>
      </w:r>
      <w:r>
        <w:rPr>
          <w:rFonts w:hint="eastAsia" w:ascii="宋体" w:hAnsi="宋体" w:eastAsia="宋体" w:cs="宋体"/>
          <w:b w:val="0"/>
          <w:bCs w:val="0"/>
          <w:sz w:val="24"/>
          <w:szCs w:val="24"/>
        </w:rPr>
        <w:t>、违约责任</w:t>
      </w:r>
    </w:p>
    <w:p w14:paraId="48F9A530">
      <w:pPr>
        <w:keepNext w:val="0"/>
        <w:keepLines w:val="0"/>
        <w:pageBreakBefore w:val="0"/>
        <w:widowControl w:val="0"/>
        <w:kinsoku/>
        <w:wordWrap/>
        <w:overflowPunct/>
        <w:topLinePunct w:val="0"/>
        <w:autoSpaceDE/>
        <w:bidi w:val="0"/>
        <w:spacing w:line="360" w:lineRule="auto"/>
        <w:ind w:right="0" w:rightChars="0" w:firstLine="540" w:firstLineChars="225"/>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1.本协议签订并生效后，甲乙双方均应认真履行各自义务和责任，对因任何一方违反承诺、行为过失或疏忽而违约的，过错方应承担相应的违约责任。</w:t>
      </w:r>
    </w:p>
    <w:p w14:paraId="08CFBC40">
      <w:pPr>
        <w:keepNext w:val="0"/>
        <w:keepLines w:val="0"/>
        <w:pageBreakBefore w:val="0"/>
        <w:widowControl w:val="0"/>
        <w:kinsoku/>
        <w:wordWrap/>
        <w:overflowPunct/>
        <w:topLinePunct w:val="0"/>
        <w:autoSpaceDE/>
        <w:bidi w:val="0"/>
        <w:spacing w:line="360" w:lineRule="auto"/>
        <w:ind w:right="0" w:rightChars="0" w:firstLine="540" w:firstLineChars="225"/>
        <w:textAlignment w:val="auto"/>
        <w:rPr>
          <w:rFonts w:hint="eastAsia" w:ascii="宋体" w:hAnsi="宋体" w:eastAsia="宋体" w:cs="宋体"/>
          <w:b w:val="0"/>
          <w:bCs w:val="0"/>
          <w:spacing w:val="-3"/>
          <w:sz w:val="24"/>
          <w:szCs w:val="24"/>
        </w:rPr>
      </w:pPr>
      <w:r>
        <w:rPr>
          <w:rFonts w:hint="eastAsia" w:ascii="宋体" w:hAnsi="宋体" w:eastAsia="宋体" w:cs="宋体"/>
          <w:b w:val="0"/>
          <w:bCs w:val="0"/>
          <w:sz w:val="24"/>
          <w:szCs w:val="24"/>
        </w:rPr>
        <w:t>2.本约定书实施过程中出现工作不利因素，</w:t>
      </w:r>
      <w:r>
        <w:rPr>
          <w:rFonts w:hint="eastAsia" w:ascii="宋体" w:hAnsi="宋体" w:eastAsia="宋体" w:cs="宋体"/>
          <w:b w:val="0"/>
          <w:bCs w:val="0"/>
          <w:spacing w:val="-3"/>
          <w:sz w:val="24"/>
          <w:szCs w:val="24"/>
        </w:rPr>
        <w:t>甲乙双方均应在不利因素发生后，积极采取合理措施尽可能减少不利因素影响，避免给双方造成额外费用和损失。</w:t>
      </w:r>
    </w:p>
    <w:p w14:paraId="2B0087F3">
      <w:pPr>
        <w:keepNext w:val="0"/>
        <w:keepLines w:val="0"/>
        <w:pageBreakBefore w:val="0"/>
        <w:widowControl w:val="0"/>
        <w:kinsoku/>
        <w:wordWrap/>
        <w:overflowPunct/>
        <w:topLinePunct w:val="0"/>
        <w:autoSpaceDE/>
        <w:bidi w:val="0"/>
        <w:spacing w:line="360" w:lineRule="auto"/>
        <w:ind w:right="0" w:rightChars="0" w:firstLine="533" w:firstLineChars="228"/>
        <w:textAlignment w:val="auto"/>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3.乙方出具的</w:t>
      </w:r>
      <w:r>
        <w:rPr>
          <w:rFonts w:hint="eastAsia" w:ascii="宋体" w:hAnsi="宋体" w:eastAsia="宋体" w:cs="宋体"/>
          <w:b w:val="0"/>
          <w:bCs w:val="0"/>
          <w:spacing w:val="-3"/>
          <w:sz w:val="24"/>
          <w:szCs w:val="24"/>
          <w:lang w:val="en-US" w:eastAsia="zh-CN"/>
        </w:rPr>
        <w:t>成果文件</w:t>
      </w:r>
      <w:r>
        <w:rPr>
          <w:rFonts w:hint="eastAsia" w:ascii="宋体" w:hAnsi="宋体" w:eastAsia="宋体" w:cs="宋体"/>
          <w:b w:val="0"/>
          <w:bCs w:val="0"/>
          <w:spacing w:val="-3"/>
          <w:sz w:val="24"/>
          <w:szCs w:val="24"/>
        </w:rPr>
        <w:t>报告不符合相关法律法规的规定、本约定书约定及甲方要求的，应按照甲方要求限期补正，因此产生的费用、逾期责任均由乙方承担；未按照甲方要求补正或经补正仍不合格的，甲方有权单方解除本约定书，乙方应向甲方支付本约定书约定的</w:t>
      </w:r>
      <w:r>
        <w:rPr>
          <w:rFonts w:hint="eastAsia" w:ascii="宋体" w:hAnsi="宋体" w:eastAsia="宋体" w:cs="宋体"/>
          <w:b w:val="0"/>
          <w:bCs w:val="0"/>
          <w:spacing w:val="-3"/>
          <w:sz w:val="24"/>
          <w:szCs w:val="24"/>
          <w:lang w:val="en-US" w:eastAsia="zh-CN"/>
        </w:rPr>
        <w:t>服务</w:t>
      </w:r>
      <w:r>
        <w:rPr>
          <w:rFonts w:hint="eastAsia" w:ascii="宋体" w:hAnsi="宋体" w:eastAsia="宋体" w:cs="宋体"/>
          <w:b w:val="0"/>
          <w:bCs w:val="0"/>
          <w:spacing w:val="-3"/>
          <w:sz w:val="24"/>
          <w:szCs w:val="24"/>
        </w:rPr>
        <w:t>费用总额20%的违约金，违约金不足以弥补因此给甲方造成得损失的，乙方应予以补足。</w:t>
      </w:r>
    </w:p>
    <w:p w14:paraId="4B34B27E">
      <w:pPr>
        <w:keepNext w:val="0"/>
        <w:keepLines w:val="0"/>
        <w:pageBreakBefore w:val="0"/>
        <w:widowControl w:val="0"/>
        <w:kinsoku/>
        <w:wordWrap/>
        <w:overflowPunct/>
        <w:topLinePunct w:val="0"/>
        <w:autoSpaceDE/>
        <w:bidi w:val="0"/>
        <w:spacing w:line="360" w:lineRule="auto"/>
        <w:ind w:right="0" w:rightChars="0" w:firstLine="533" w:firstLineChars="228"/>
        <w:textAlignment w:val="auto"/>
        <w:rPr>
          <w:rFonts w:hint="eastAsia" w:ascii="宋体" w:hAnsi="宋体" w:eastAsia="宋体" w:cs="宋体"/>
          <w:b w:val="0"/>
          <w:bCs w:val="0"/>
          <w:spacing w:val="-3"/>
          <w:sz w:val="24"/>
          <w:szCs w:val="24"/>
          <w:lang w:val="en-US" w:eastAsia="zh-CN"/>
        </w:rPr>
      </w:pPr>
      <w:r>
        <w:rPr>
          <w:rFonts w:hint="eastAsia" w:ascii="宋体" w:hAnsi="宋体" w:eastAsia="宋体" w:cs="宋体"/>
          <w:b w:val="0"/>
          <w:bCs w:val="0"/>
          <w:spacing w:val="-3"/>
          <w:sz w:val="24"/>
          <w:szCs w:val="24"/>
          <w:lang w:val="en-US" w:eastAsia="zh-CN"/>
        </w:rPr>
        <w:t>4</w:t>
      </w:r>
      <w:r>
        <w:rPr>
          <w:rFonts w:hint="eastAsia" w:ascii="宋体" w:hAnsi="宋体" w:eastAsia="宋体" w:cs="宋体"/>
          <w:b w:val="0"/>
          <w:bCs w:val="0"/>
          <w:spacing w:val="-3"/>
          <w:sz w:val="24"/>
          <w:szCs w:val="24"/>
        </w:rPr>
        <w:t>.</w:t>
      </w:r>
      <w:r>
        <w:rPr>
          <w:rFonts w:hint="eastAsia" w:ascii="宋体" w:hAnsi="宋体" w:eastAsia="宋体" w:cs="宋体"/>
          <w:b w:val="0"/>
          <w:bCs w:val="0"/>
          <w:spacing w:val="-3"/>
          <w:sz w:val="24"/>
          <w:szCs w:val="24"/>
          <w:lang w:val="en-US" w:eastAsia="zh-CN"/>
        </w:rPr>
        <w:t>由于甲方原因，导致乙方工作延误、返工或中途终止，除支付合同约定费用外，应根据完成工作量和延误期，给乙方增付劳务费，并延长工作时间。</w:t>
      </w:r>
    </w:p>
    <w:p w14:paraId="67E56FF3">
      <w:pPr>
        <w:keepNext w:val="0"/>
        <w:keepLines w:val="0"/>
        <w:pageBreakBefore w:val="0"/>
        <w:widowControl w:val="0"/>
        <w:kinsoku/>
        <w:wordWrap/>
        <w:overflowPunct/>
        <w:topLinePunct w:val="0"/>
        <w:autoSpaceDE/>
        <w:bidi w:val="0"/>
        <w:spacing w:line="360" w:lineRule="auto"/>
        <w:ind w:right="0" w:rightChars="0" w:firstLine="537" w:firstLineChars="224"/>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七</w:t>
      </w:r>
      <w:r>
        <w:rPr>
          <w:rFonts w:hint="eastAsia" w:ascii="宋体" w:hAnsi="宋体" w:eastAsia="宋体" w:cs="宋体"/>
          <w:b w:val="0"/>
          <w:bCs w:val="0"/>
          <w:sz w:val="24"/>
          <w:szCs w:val="24"/>
        </w:rPr>
        <w:t>、争议的解决办法</w:t>
      </w:r>
    </w:p>
    <w:p w14:paraId="0A4087ED">
      <w:pPr>
        <w:keepNext w:val="0"/>
        <w:keepLines w:val="0"/>
        <w:pageBreakBefore w:val="0"/>
        <w:widowControl w:val="0"/>
        <w:kinsoku/>
        <w:wordWrap/>
        <w:overflowPunct/>
        <w:topLinePunct w:val="0"/>
        <w:autoSpaceDE/>
        <w:bidi w:val="0"/>
        <w:spacing w:line="360" w:lineRule="auto"/>
        <w:ind w:right="0" w:right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甲乙双方所有争议应先采取友好协商的解决方式。协商未达成一致意见的，均应向甲方住所地有管辖权的人民法院起诉解决。</w:t>
      </w:r>
    </w:p>
    <w:p w14:paraId="2E75032D">
      <w:pPr>
        <w:keepNext w:val="0"/>
        <w:keepLines w:val="0"/>
        <w:pageBreakBefore w:val="0"/>
        <w:widowControl w:val="0"/>
        <w:kinsoku/>
        <w:wordWrap/>
        <w:overflowPunct/>
        <w:topLinePunct w:val="0"/>
        <w:autoSpaceDE/>
        <w:bidi w:val="0"/>
        <w:spacing w:line="360" w:lineRule="auto"/>
        <w:ind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八</w:t>
      </w:r>
      <w:r>
        <w:rPr>
          <w:rFonts w:hint="eastAsia" w:ascii="宋体" w:hAnsi="宋体" w:eastAsia="宋体" w:cs="宋体"/>
          <w:b w:val="0"/>
          <w:bCs w:val="0"/>
          <w:sz w:val="24"/>
          <w:szCs w:val="24"/>
        </w:rPr>
        <w:t>、</w:t>
      </w:r>
      <w:r>
        <w:rPr>
          <w:rFonts w:hint="eastAsia" w:ascii="宋体" w:hAnsi="宋体" w:eastAsia="宋体" w:cs="宋体"/>
          <w:b w:val="0"/>
          <w:bCs w:val="0"/>
          <w:kern w:val="0"/>
          <w:sz w:val="24"/>
          <w:szCs w:val="24"/>
        </w:rPr>
        <w:t>本约定书一式</w:t>
      </w:r>
      <w:r>
        <w:rPr>
          <w:rFonts w:hint="eastAsia" w:ascii="宋体" w:hAnsi="宋体" w:eastAsia="宋体" w:cs="宋体"/>
          <w:b w:val="0"/>
          <w:bCs w:val="0"/>
          <w:kern w:val="0"/>
          <w:sz w:val="24"/>
          <w:szCs w:val="24"/>
          <w:u w:val="single"/>
          <w:lang w:val="en-US" w:eastAsia="zh-CN"/>
        </w:rPr>
        <w:t>肆</w:t>
      </w:r>
      <w:r>
        <w:rPr>
          <w:rFonts w:hint="eastAsia" w:ascii="宋体" w:hAnsi="宋体" w:eastAsia="宋体" w:cs="宋体"/>
          <w:b w:val="0"/>
          <w:bCs w:val="0"/>
          <w:kern w:val="0"/>
          <w:sz w:val="24"/>
          <w:szCs w:val="24"/>
        </w:rPr>
        <w:t>份，甲方执</w:t>
      </w:r>
      <w:r>
        <w:rPr>
          <w:rFonts w:hint="eastAsia" w:ascii="宋体" w:hAnsi="宋体" w:eastAsia="宋体" w:cs="宋体"/>
          <w:b w:val="0"/>
          <w:bCs w:val="0"/>
          <w:kern w:val="0"/>
          <w:sz w:val="24"/>
          <w:szCs w:val="24"/>
          <w:u w:val="single"/>
          <w:lang w:val="en-US" w:eastAsia="zh-CN"/>
        </w:rPr>
        <w:t>贰</w:t>
      </w:r>
      <w:r>
        <w:rPr>
          <w:rFonts w:hint="eastAsia" w:ascii="宋体" w:hAnsi="宋体" w:eastAsia="宋体" w:cs="宋体"/>
          <w:b w:val="0"/>
          <w:bCs w:val="0"/>
          <w:kern w:val="0"/>
          <w:sz w:val="24"/>
          <w:szCs w:val="24"/>
        </w:rPr>
        <w:t>份，乙方执</w:t>
      </w:r>
      <w:r>
        <w:rPr>
          <w:rFonts w:hint="eastAsia" w:ascii="宋体" w:hAnsi="宋体" w:eastAsia="宋体" w:cs="宋体"/>
          <w:b w:val="0"/>
          <w:bCs w:val="0"/>
          <w:kern w:val="0"/>
          <w:sz w:val="24"/>
          <w:szCs w:val="24"/>
          <w:u w:val="single"/>
        </w:rPr>
        <w:t>贰</w:t>
      </w:r>
      <w:r>
        <w:rPr>
          <w:rFonts w:hint="eastAsia" w:ascii="宋体" w:hAnsi="宋体" w:eastAsia="宋体" w:cs="宋体"/>
          <w:b w:val="0"/>
          <w:bCs w:val="0"/>
          <w:kern w:val="0"/>
          <w:sz w:val="24"/>
          <w:szCs w:val="24"/>
        </w:rPr>
        <w:t>份 ，具有同等法律效力；本约定书甲乙双方法定代表人签字或盖章（或委托代理人签字），并加盖双方公章（或合同专用章）后生效。</w:t>
      </w:r>
    </w:p>
    <w:p w14:paraId="0090DF15">
      <w:pPr>
        <w:keepNext w:val="0"/>
        <w:keepLines w:val="0"/>
        <w:pageBreakBefore w:val="0"/>
        <w:widowControl w:val="0"/>
        <w:kinsoku/>
        <w:wordWrap/>
        <w:overflowPunct/>
        <w:topLinePunct w:val="0"/>
        <w:autoSpaceDE/>
        <w:bidi w:val="0"/>
        <w:spacing w:line="360" w:lineRule="auto"/>
        <w:ind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九</w:t>
      </w:r>
      <w:r>
        <w:rPr>
          <w:rFonts w:hint="eastAsia" w:ascii="宋体" w:hAnsi="宋体" w:eastAsia="宋体" w:cs="宋体"/>
          <w:b w:val="0"/>
          <w:bCs w:val="0"/>
          <w:sz w:val="24"/>
          <w:szCs w:val="24"/>
        </w:rPr>
        <w:t>、未尽事宜双方另行协商</w:t>
      </w:r>
      <w:r>
        <w:rPr>
          <w:rFonts w:hint="eastAsia" w:ascii="宋体" w:hAnsi="宋体" w:eastAsia="宋体" w:cs="宋体"/>
          <w:b w:val="0"/>
          <w:bCs w:val="0"/>
          <w:sz w:val="24"/>
          <w:szCs w:val="24"/>
          <w:lang w:eastAsia="zh-Hans"/>
        </w:rPr>
        <w:t>签订</w:t>
      </w:r>
      <w:r>
        <w:rPr>
          <w:rFonts w:hint="eastAsia" w:ascii="宋体" w:hAnsi="宋体" w:eastAsia="宋体" w:cs="宋体"/>
          <w:b w:val="0"/>
          <w:bCs w:val="0"/>
          <w:sz w:val="24"/>
          <w:szCs w:val="24"/>
        </w:rPr>
        <w:t>补充</w:t>
      </w:r>
      <w:r>
        <w:rPr>
          <w:rFonts w:hint="eastAsia" w:ascii="宋体" w:hAnsi="宋体" w:eastAsia="宋体" w:cs="宋体"/>
          <w:b w:val="0"/>
          <w:bCs w:val="0"/>
          <w:sz w:val="24"/>
          <w:szCs w:val="24"/>
          <w:lang w:eastAsia="zh-Hans"/>
        </w:rPr>
        <w:t>协议，补充协议与本约定书具有同等法律效力</w:t>
      </w:r>
      <w:r>
        <w:rPr>
          <w:rFonts w:hint="eastAsia" w:ascii="宋体" w:hAnsi="宋体" w:eastAsia="宋体" w:cs="宋体"/>
          <w:b w:val="0"/>
          <w:bCs w:val="0"/>
          <w:sz w:val="24"/>
          <w:szCs w:val="24"/>
        </w:rPr>
        <w:t>。</w:t>
      </w:r>
    </w:p>
    <w:p w14:paraId="409A43F8">
      <w:pPr>
        <w:keepNext w:val="0"/>
        <w:keepLines w:val="0"/>
        <w:pageBreakBefore w:val="0"/>
        <w:widowControl w:val="0"/>
        <w:tabs>
          <w:tab w:val="left" w:pos="1710"/>
        </w:tabs>
        <w:kinsoku/>
        <w:wordWrap/>
        <w:overflowPunct/>
        <w:topLinePunct w:val="0"/>
        <w:autoSpaceDE/>
        <w:bidi w:val="0"/>
        <w:adjustRightInd w:val="0"/>
        <w:spacing w:line="360" w:lineRule="auto"/>
        <w:ind w:left="0" w:leftChars="0" w:right="0" w:rightChars="0" w:firstLine="0" w:firstLineChars="0"/>
        <w:jc w:val="left"/>
        <w:textAlignment w:val="auto"/>
        <w:rPr>
          <w:rFonts w:hint="eastAsia" w:ascii="宋体" w:hAnsi="宋体" w:eastAsia="宋体" w:cs="宋体"/>
          <w:b w:val="0"/>
          <w:bCs w:val="0"/>
          <w:kern w:val="0"/>
          <w:sz w:val="24"/>
          <w:szCs w:val="24"/>
          <w:lang w:val="zh-CN"/>
        </w:rPr>
      </w:pPr>
    </w:p>
    <w:p w14:paraId="563AE056">
      <w:pPr>
        <w:keepNext w:val="0"/>
        <w:keepLines w:val="0"/>
        <w:pageBreakBefore w:val="0"/>
        <w:widowControl w:val="0"/>
        <w:tabs>
          <w:tab w:val="left" w:pos="1710"/>
        </w:tabs>
        <w:kinsoku/>
        <w:wordWrap/>
        <w:overflowPunct/>
        <w:topLinePunct w:val="0"/>
        <w:autoSpaceDE/>
        <w:bidi w:val="0"/>
        <w:adjustRightInd w:val="0"/>
        <w:spacing w:line="360" w:lineRule="auto"/>
        <w:ind w:left="0" w:leftChars="0" w:right="0" w:rightChars="0" w:firstLine="0" w:firstLineChars="0"/>
        <w:jc w:val="left"/>
        <w:textAlignment w:val="auto"/>
        <w:rPr>
          <w:rFonts w:hint="eastAsia" w:ascii="宋体" w:hAnsi="宋体" w:eastAsia="宋体" w:cs="宋体"/>
          <w:b w:val="0"/>
          <w:bCs w:val="0"/>
          <w:color w:val="000000"/>
          <w:kern w:val="0"/>
          <w:sz w:val="24"/>
          <w:szCs w:val="24"/>
          <w:lang w:val="zh-CN"/>
        </w:rPr>
      </w:pPr>
      <w:r>
        <w:rPr>
          <w:rFonts w:hint="eastAsia" w:ascii="宋体" w:hAnsi="宋体" w:eastAsia="宋体" w:cs="宋体"/>
          <w:b w:val="0"/>
          <w:bCs w:val="0"/>
          <w:kern w:val="0"/>
          <w:sz w:val="24"/>
          <w:szCs w:val="24"/>
          <w:lang w:val="zh-CN"/>
        </w:rPr>
        <w:t>甲方（</w:t>
      </w:r>
      <w:r>
        <w:rPr>
          <w:rFonts w:hint="eastAsia" w:ascii="宋体" w:hAnsi="宋体" w:eastAsia="宋体" w:cs="宋体"/>
          <w:b w:val="0"/>
          <w:bCs w:val="0"/>
          <w:kern w:val="0"/>
          <w:sz w:val="24"/>
          <w:szCs w:val="24"/>
          <w:lang w:val="en-US" w:eastAsia="zh-CN"/>
        </w:rPr>
        <w:t>盖章）</w:t>
      </w:r>
      <w:r>
        <w:rPr>
          <w:rFonts w:hint="eastAsia" w:ascii="宋体" w:hAnsi="宋体" w:eastAsia="宋体" w:cs="宋体"/>
          <w:b w:val="0"/>
          <w:bCs w:val="0"/>
          <w:color w:val="000000"/>
          <w:kern w:val="0"/>
          <w:sz w:val="24"/>
          <w:szCs w:val="24"/>
          <w:lang w:val="zh-CN"/>
        </w:rPr>
        <w:t>：</w:t>
      </w:r>
      <w:r>
        <w:rPr>
          <w:rFonts w:hint="eastAsia" w:ascii="宋体" w:hAnsi="宋体" w:eastAsia="宋体" w:cs="宋体"/>
          <w:b w:val="0"/>
          <w:bCs w:val="0"/>
          <w:color w:val="000000"/>
          <w:kern w:val="0"/>
          <w:sz w:val="24"/>
          <w:szCs w:val="24"/>
        </w:rPr>
        <w:t xml:space="preserve">                 </w:t>
      </w:r>
      <w:r>
        <w:rPr>
          <w:rFonts w:hint="eastAsia" w:ascii="宋体" w:hAnsi="宋体" w:eastAsia="宋体" w:cs="宋体"/>
          <w:b w:val="0"/>
          <w:bCs w:val="0"/>
          <w:color w:val="000000"/>
          <w:kern w:val="0"/>
          <w:sz w:val="24"/>
          <w:szCs w:val="24"/>
          <w:lang w:val="en-US" w:eastAsia="zh-CN"/>
        </w:rPr>
        <w:t xml:space="preserve">             </w:t>
      </w:r>
      <w:r>
        <w:rPr>
          <w:rFonts w:hint="eastAsia" w:ascii="宋体" w:hAnsi="宋体" w:eastAsia="宋体" w:cs="宋体"/>
          <w:b w:val="0"/>
          <w:bCs w:val="0"/>
          <w:kern w:val="0"/>
          <w:sz w:val="24"/>
          <w:szCs w:val="24"/>
          <w:lang w:val="zh-CN"/>
        </w:rPr>
        <w:t>乙方（</w:t>
      </w:r>
      <w:r>
        <w:rPr>
          <w:rFonts w:hint="eastAsia" w:ascii="宋体" w:hAnsi="宋体" w:eastAsia="宋体" w:cs="宋体"/>
          <w:b w:val="0"/>
          <w:bCs w:val="0"/>
          <w:kern w:val="0"/>
          <w:sz w:val="24"/>
          <w:szCs w:val="24"/>
          <w:lang w:val="en-US" w:eastAsia="zh-CN"/>
        </w:rPr>
        <w:t>盖章）</w:t>
      </w:r>
      <w:r>
        <w:rPr>
          <w:rFonts w:hint="eastAsia" w:ascii="宋体" w:hAnsi="宋体" w:eastAsia="宋体" w:cs="宋体"/>
          <w:b w:val="0"/>
          <w:bCs w:val="0"/>
          <w:kern w:val="0"/>
          <w:sz w:val="24"/>
          <w:szCs w:val="24"/>
          <w:lang w:val="zh-CN"/>
        </w:rPr>
        <w:t>：</w:t>
      </w:r>
    </w:p>
    <w:p w14:paraId="0F4D0C29">
      <w:pPr>
        <w:keepNext w:val="0"/>
        <w:keepLines w:val="0"/>
        <w:pageBreakBefore w:val="0"/>
        <w:widowControl w:val="0"/>
        <w:tabs>
          <w:tab w:val="left" w:pos="1710"/>
        </w:tabs>
        <w:kinsoku/>
        <w:wordWrap/>
        <w:overflowPunct/>
        <w:topLinePunct w:val="0"/>
        <w:autoSpaceDE/>
        <w:bidi w:val="0"/>
        <w:adjustRightInd w:val="0"/>
        <w:spacing w:line="360" w:lineRule="auto"/>
        <w:ind w:left="0" w:leftChars="0" w:right="0" w:rightChars="0" w:firstLine="0" w:firstLineChars="0"/>
        <w:jc w:val="left"/>
        <w:textAlignment w:val="auto"/>
        <w:rPr>
          <w:rFonts w:hint="eastAsia" w:ascii="宋体" w:hAnsi="宋体" w:eastAsia="宋体" w:cs="宋体"/>
          <w:b w:val="0"/>
          <w:bCs w:val="0"/>
          <w:color w:val="000000"/>
          <w:kern w:val="0"/>
          <w:sz w:val="24"/>
          <w:szCs w:val="24"/>
          <w:lang w:val="zh-CN"/>
        </w:rPr>
      </w:pPr>
      <w:r>
        <w:rPr>
          <w:rFonts w:hint="eastAsia" w:ascii="宋体" w:hAnsi="宋体" w:eastAsia="宋体" w:cs="宋体"/>
          <w:b w:val="0"/>
          <w:bCs w:val="0"/>
          <w:kern w:val="0"/>
          <w:sz w:val="24"/>
          <w:szCs w:val="24"/>
        </w:rPr>
        <w:t>甲方法定代表人或委托代理人</w:t>
      </w:r>
      <w:r>
        <w:rPr>
          <w:rFonts w:hint="eastAsia" w:ascii="宋体" w:hAnsi="宋体" w:eastAsia="宋体" w:cs="宋体"/>
          <w:b w:val="0"/>
          <w:bCs w:val="0"/>
          <w:color w:val="000000"/>
          <w:kern w:val="0"/>
          <w:sz w:val="24"/>
          <w:szCs w:val="24"/>
          <w:lang w:val="zh-CN"/>
        </w:rPr>
        <w:t>：</w:t>
      </w:r>
      <w:r>
        <w:rPr>
          <w:rFonts w:hint="eastAsia" w:ascii="宋体" w:hAnsi="宋体" w:eastAsia="宋体" w:cs="宋体"/>
          <w:b w:val="0"/>
          <w:bCs w:val="0"/>
          <w:color w:val="000000"/>
          <w:kern w:val="0"/>
          <w:sz w:val="24"/>
          <w:szCs w:val="24"/>
        </w:rPr>
        <w:t xml:space="preserve">                </w:t>
      </w:r>
      <w:r>
        <w:rPr>
          <w:rFonts w:hint="eastAsia" w:ascii="宋体" w:hAnsi="宋体" w:eastAsia="宋体" w:cs="宋体"/>
          <w:b w:val="0"/>
          <w:bCs w:val="0"/>
          <w:kern w:val="0"/>
          <w:sz w:val="24"/>
          <w:szCs w:val="24"/>
        </w:rPr>
        <w:t>乙方法定代表人或委托代理人</w:t>
      </w:r>
      <w:r>
        <w:rPr>
          <w:rFonts w:hint="eastAsia" w:ascii="宋体" w:hAnsi="宋体" w:eastAsia="宋体" w:cs="宋体"/>
          <w:b w:val="0"/>
          <w:bCs w:val="0"/>
          <w:color w:val="000000"/>
          <w:kern w:val="0"/>
          <w:sz w:val="24"/>
          <w:szCs w:val="24"/>
          <w:lang w:val="zh-CN"/>
        </w:rPr>
        <w:t>：</w:t>
      </w:r>
    </w:p>
    <w:p w14:paraId="71E6B8F1">
      <w:pPr>
        <w:keepNext w:val="0"/>
        <w:keepLines w:val="0"/>
        <w:pageBreakBefore w:val="0"/>
        <w:widowControl w:val="0"/>
        <w:tabs>
          <w:tab w:val="left" w:pos="1710"/>
        </w:tabs>
        <w:kinsoku/>
        <w:wordWrap/>
        <w:overflowPunct/>
        <w:topLinePunct w:val="0"/>
        <w:autoSpaceDE/>
        <w:bidi w:val="0"/>
        <w:adjustRightInd w:val="0"/>
        <w:spacing w:line="360" w:lineRule="auto"/>
        <w:ind w:left="0" w:leftChars="0" w:right="0" w:rightChars="0" w:firstLine="0" w:firstLineChars="0"/>
        <w:jc w:val="left"/>
        <w:textAlignment w:val="auto"/>
        <w:rPr>
          <w:rFonts w:hint="eastAsia" w:ascii="宋体" w:hAnsi="宋体" w:eastAsia="宋体" w:cs="宋体"/>
          <w:b w:val="0"/>
          <w:bCs w:val="0"/>
          <w:kern w:val="0"/>
          <w:sz w:val="24"/>
          <w:szCs w:val="24"/>
          <w:lang w:val="zh-CN"/>
        </w:rPr>
      </w:pPr>
      <w:r>
        <w:rPr>
          <w:rFonts w:hint="eastAsia" w:ascii="宋体" w:hAnsi="宋体" w:eastAsia="宋体" w:cs="宋体"/>
          <w:b w:val="0"/>
          <w:bCs w:val="0"/>
          <w:kern w:val="0"/>
          <w:sz w:val="24"/>
          <w:szCs w:val="24"/>
          <w:lang w:val="zh-CN"/>
        </w:rPr>
        <w:t>电话：</w:t>
      </w:r>
      <w:r>
        <w:rPr>
          <w:rFonts w:hint="eastAsia" w:ascii="宋体" w:hAnsi="宋体" w:eastAsia="宋体" w:cs="宋体"/>
          <w:b w:val="0"/>
          <w:bCs w:val="0"/>
          <w:kern w:val="0"/>
          <w:sz w:val="24"/>
          <w:szCs w:val="24"/>
        </w:rPr>
        <w:t xml:space="preserve">   </w:t>
      </w:r>
      <w:r>
        <w:rPr>
          <w:rFonts w:hint="eastAsia" w:ascii="宋体" w:hAnsi="宋体" w:eastAsia="宋体" w:cs="宋体"/>
          <w:b w:val="0"/>
          <w:bCs w:val="0"/>
          <w:color w:val="000000"/>
          <w:kern w:val="0"/>
          <w:sz w:val="24"/>
          <w:szCs w:val="24"/>
        </w:rPr>
        <w:t xml:space="preserve">                  </w:t>
      </w:r>
      <w:r>
        <w:rPr>
          <w:rFonts w:hint="eastAsia" w:ascii="宋体" w:hAnsi="宋体" w:eastAsia="宋体" w:cs="宋体"/>
          <w:b w:val="0"/>
          <w:bCs w:val="0"/>
          <w:color w:val="000000"/>
          <w:kern w:val="0"/>
          <w:sz w:val="24"/>
          <w:szCs w:val="24"/>
          <w:lang w:val="en-US" w:eastAsia="zh-CN"/>
        </w:rPr>
        <w:t xml:space="preserve">                </w:t>
      </w:r>
      <w:r>
        <w:rPr>
          <w:rFonts w:hint="eastAsia" w:ascii="宋体" w:hAnsi="宋体" w:eastAsia="宋体" w:cs="宋体"/>
          <w:b w:val="0"/>
          <w:bCs w:val="0"/>
          <w:kern w:val="0"/>
          <w:sz w:val="24"/>
          <w:szCs w:val="24"/>
          <w:lang w:val="zh-CN"/>
        </w:rPr>
        <w:t>电话：</w:t>
      </w:r>
    </w:p>
    <w:p w14:paraId="01719048">
      <w:pPr>
        <w:keepNext w:val="0"/>
        <w:keepLines w:val="0"/>
        <w:pageBreakBefore w:val="0"/>
        <w:widowControl w:val="0"/>
        <w:kinsoku/>
        <w:wordWrap/>
        <w:overflowPunct/>
        <w:topLinePunct w:val="0"/>
        <w:autoSpaceDE/>
        <w:bidi w:val="0"/>
        <w:spacing w:line="360" w:lineRule="auto"/>
        <w:ind w:right="0" w:rightChars="0"/>
        <w:jc w:val="left"/>
        <w:textAlignment w:val="auto"/>
        <w:rPr>
          <w:rFonts w:hint="default" w:ascii="宋体" w:hAnsi="宋体" w:eastAsia="宋体" w:cs="宋体"/>
          <w:b w:val="0"/>
          <w:bCs w:val="0"/>
          <w:sz w:val="28"/>
          <w:szCs w:val="28"/>
          <w:lang w:val="en-US"/>
        </w:rPr>
      </w:pPr>
      <w:r>
        <w:rPr>
          <w:rFonts w:hint="eastAsia" w:ascii="宋体" w:hAnsi="宋体" w:eastAsia="宋体" w:cs="宋体"/>
          <w:b w:val="0"/>
          <w:bCs w:val="0"/>
          <w:sz w:val="24"/>
          <w:szCs w:val="24"/>
          <w:lang w:val="en-US" w:eastAsia="zh-CN"/>
        </w:rPr>
        <w:t>签订时间：</w:t>
      </w:r>
    </w:p>
    <w:p w14:paraId="476C9739">
      <w:pPr>
        <w:rPr>
          <w:color w:val="000000" w:themeColor="text1"/>
          <w:szCs w:val="32"/>
          <w:highlight w:val="none"/>
          <w14:textFill>
            <w14:solidFill>
              <w14:schemeClr w14:val="tx1"/>
            </w14:solidFill>
          </w14:textFill>
        </w:rPr>
      </w:pPr>
      <w:r>
        <w:rPr>
          <w:rFonts w:hint="eastAsia" w:ascii="宋体" w:hAnsi="宋体"/>
          <w:b/>
          <w:sz w:val="24"/>
          <w:lang w:val="zh-CN"/>
        </w:rPr>
        <w:br w:type="page"/>
      </w:r>
    </w:p>
    <w:p w14:paraId="5C290F0A">
      <w:pPr>
        <w:rPr>
          <w:rFonts w:hint="eastAsia" w:ascii="宋体" w:hAnsi="宋体" w:cs="宋体"/>
          <w:color w:val="000000" w:themeColor="text1"/>
          <w14:textFill>
            <w14:solidFill>
              <w14:schemeClr w14:val="tx1"/>
            </w14:solidFill>
          </w14:textFill>
        </w:rPr>
      </w:pPr>
    </w:p>
    <w:p w14:paraId="490EC526">
      <w:pPr>
        <w:pStyle w:val="2"/>
        <w:ind w:firstLine="2570" w:firstLineChars="800"/>
        <w:jc w:val="both"/>
        <w:rPr>
          <w:rFonts w:hint="eastAsia" w:ascii="宋体" w:hAnsi="宋体" w:cs="宋体"/>
          <w:color w:val="000000" w:themeColor="text1"/>
          <w14:textFill>
            <w14:solidFill>
              <w14:schemeClr w14:val="tx1"/>
            </w14:solidFill>
          </w14:textFill>
        </w:rPr>
      </w:pPr>
      <w:bookmarkStart w:id="146" w:name="_Toc1892"/>
      <w:r>
        <w:rPr>
          <w:rFonts w:hint="eastAsia" w:ascii="宋体" w:hAnsi="宋体" w:cs="宋体"/>
          <w:color w:val="000000" w:themeColor="text1"/>
          <w14:textFill>
            <w14:solidFill>
              <w14:schemeClr w14:val="tx1"/>
            </w14:solidFill>
          </w14:textFill>
        </w:rPr>
        <w:t>第七部分  响应文件格式</w:t>
      </w:r>
      <w:bookmarkEnd w:id="146"/>
    </w:p>
    <w:p w14:paraId="07570E0A">
      <w:pPr>
        <w:widowControl/>
        <w:spacing w:line="400" w:lineRule="exact"/>
        <w:jc w:val="right"/>
        <w:rPr>
          <w:rFonts w:cs="仿宋" w:asciiTheme="minorEastAsia" w:hAnsiTheme="minorEastAsia" w:eastAsiaTheme="minorEastAsia"/>
          <w:b/>
          <w:sz w:val="36"/>
          <w:szCs w:val="36"/>
          <w:bdr w:val="single" w:color="auto" w:sz="4" w:space="0"/>
          <w:shd w:val="pct10" w:color="auto" w:fill="FFFFFF"/>
        </w:rPr>
      </w:pPr>
    </w:p>
    <w:p w14:paraId="17643140">
      <w:pPr>
        <w:widowControl/>
        <w:spacing w:line="400" w:lineRule="exact"/>
        <w:jc w:val="right"/>
        <w:rPr>
          <w:rFonts w:cs="仿宋" w:asciiTheme="minorEastAsia" w:hAnsiTheme="minorEastAsia" w:eastAsiaTheme="minorEastAsia"/>
          <w:b/>
          <w:sz w:val="36"/>
          <w:szCs w:val="36"/>
          <w:bdr w:val="single" w:color="auto" w:sz="4" w:space="0"/>
          <w:shd w:val="pct10" w:color="auto" w:fill="FFFFFF"/>
        </w:rPr>
      </w:pPr>
      <w:r>
        <w:rPr>
          <w:rFonts w:hint="eastAsia" w:cs="仿宋" w:asciiTheme="minorEastAsia" w:hAnsiTheme="minorEastAsia" w:eastAsiaTheme="minorEastAsia"/>
          <w:b/>
          <w:sz w:val="36"/>
          <w:szCs w:val="36"/>
          <w:bdr w:val="single" w:color="auto" w:sz="4" w:space="0"/>
          <w:shd w:val="pct10" w:color="auto" w:fill="FFFFFF"/>
        </w:rPr>
        <w:t>政府采购项目</w:t>
      </w:r>
    </w:p>
    <w:p w14:paraId="2E3D3A6C">
      <w:pPr>
        <w:widowControl/>
        <w:spacing w:line="440" w:lineRule="exact"/>
        <w:rPr>
          <w:rFonts w:cs="仿宋" w:asciiTheme="minorEastAsia" w:hAnsiTheme="minorEastAsia" w:eastAsiaTheme="minorEastAsia"/>
          <w:bCs/>
          <w:sz w:val="32"/>
          <w:szCs w:val="32"/>
        </w:rPr>
      </w:pPr>
      <w:r>
        <w:rPr>
          <w:rFonts w:hint="eastAsia" w:ascii="宋体" w:hAnsi="宋体" w:cs="宋体"/>
          <w:b/>
          <w:bCs/>
          <w:kern w:val="44"/>
          <w:sz w:val="32"/>
          <w:szCs w:val="32"/>
        </w:rPr>
        <w:t>项目编号</w:t>
      </w:r>
      <w:r>
        <w:rPr>
          <w:rFonts w:hint="eastAsia" w:ascii="宋体" w:hAnsi="宋体" w:cs="宋体"/>
          <w:b/>
          <w:bCs/>
          <w:kern w:val="44"/>
          <w:sz w:val="32"/>
          <w:szCs w:val="32"/>
          <w:lang w:eastAsia="zh-CN"/>
        </w:rPr>
        <w:t>：</w:t>
      </w:r>
      <w:r>
        <w:rPr>
          <w:rFonts w:hint="eastAsia" w:cs="仿宋" w:asciiTheme="minorEastAsia" w:hAnsiTheme="minorEastAsia" w:eastAsiaTheme="minorEastAsia"/>
          <w:bCs/>
          <w:sz w:val="32"/>
          <w:szCs w:val="32"/>
        </w:rPr>
        <w:t xml:space="preserve"> </w:t>
      </w:r>
    </w:p>
    <w:p w14:paraId="4859D715">
      <w:pPr>
        <w:widowControl/>
        <w:spacing w:line="600" w:lineRule="exact"/>
        <w:rPr>
          <w:rFonts w:cs="仿宋" w:asciiTheme="minorEastAsia" w:hAnsiTheme="minorEastAsia" w:eastAsiaTheme="minorEastAsia"/>
          <w:bCs/>
          <w:spacing w:val="20"/>
          <w:kern w:val="0"/>
          <w:sz w:val="84"/>
          <w:szCs w:val="84"/>
        </w:rPr>
      </w:pPr>
    </w:p>
    <w:p w14:paraId="060566CD">
      <w:pPr>
        <w:pStyle w:val="6"/>
      </w:pPr>
    </w:p>
    <w:p w14:paraId="5527EED3"/>
    <w:p w14:paraId="22B33E72">
      <w:pPr>
        <w:pStyle w:val="6"/>
      </w:pPr>
    </w:p>
    <w:p w14:paraId="75FD30AA"/>
    <w:p w14:paraId="3C2C3E32">
      <w:pPr>
        <w:pStyle w:val="23"/>
        <w:jc w:val="center"/>
        <w:rPr>
          <w:rFonts w:ascii="宋体" w:hAnsi="宋体" w:cs="宋体"/>
          <w:b/>
          <w:bCs/>
          <w:sz w:val="56"/>
          <w:szCs w:val="56"/>
        </w:rPr>
      </w:pPr>
      <w:r>
        <w:rPr>
          <w:rFonts w:hint="eastAsia" w:ascii="宋体" w:hAnsi="宋体" w:cs="宋体"/>
          <w:b/>
          <w:bCs/>
          <w:sz w:val="56"/>
          <w:szCs w:val="56"/>
          <w:u w:val="single"/>
          <w:lang w:val="en-US" w:eastAsia="zh-CN"/>
        </w:rPr>
        <w:t xml:space="preserve">          </w:t>
      </w:r>
      <w:r>
        <w:rPr>
          <w:rFonts w:hint="eastAsia" w:ascii="宋体" w:hAnsi="宋体" w:cs="宋体"/>
          <w:b/>
          <w:bCs/>
          <w:sz w:val="56"/>
          <w:szCs w:val="56"/>
        </w:rPr>
        <w:t>采购项目</w:t>
      </w:r>
    </w:p>
    <w:p w14:paraId="103839D5">
      <w:pPr>
        <w:pStyle w:val="23"/>
        <w:jc w:val="center"/>
        <w:rPr>
          <w:rFonts w:ascii="宋体" w:hAnsi="宋体" w:cs="宋体"/>
          <w:b/>
          <w:bCs/>
          <w:sz w:val="48"/>
          <w:szCs w:val="48"/>
        </w:rPr>
      </w:pPr>
    </w:p>
    <w:p w14:paraId="1B580825">
      <w:pPr>
        <w:pStyle w:val="23"/>
      </w:pPr>
    </w:p>
    <w:p w14:paraId="01AC4E94">
      <w:pPr>
        <w:pStyle w:val="23"/>
      </w:pPr>
    </w:p>
    <w:p w14:paraId="60C0F62B">
      <w:pPr>
        <w:pStyle w:val="23"/>
      </w:pPr>
    </w:p>
    <w:p w14:paraId="6D0FD59C">
      <w:pPr>
        <w:pStyle w:val="23"/>
      </w:pPr>
    </w:p>
    <w:p w14:paraId="5A5B2270">
      <w:pPr>
        <w:widowControl/>
        <w:spacing w:beforeLines="50" w:line="800" w:lineRule="exact"/>
        <w:jc w:val="center"/>
        <w:rPr>
          <w:rFonts w:cs="仿宋" w:asciiTheme="minorEastAsia" w:hAnsiTheme="minorEastAsia" w:eastAsiaTheme="minorEastAsia"/>
          <w:b/>
          <w:spacing w:val="20"/>
          <w:kern w:val="0"/>
          <w:sz w:val="84"/>
          <w:szCs w:val="84"/>
        </w:rPr>
      </w:pPr>
      <w:r>
        <w:rPr>
          <w:rFonts w:hint="eastAsia" w:cs="仿宋" w:asciiTheme="minorEastAsia" w:hAnsiTheme="minorEastAsia" w:eastAsiaTheme="minorEastAsia"/>
          <w:b/>
          <w:spacing w:val="20"/>
          <w:kern w:val="0"/>
          <w:sz w:val="84"/>
          <w:szCs w:val="84"/>
        </w:rPr>
        <w:t>响应文件</w:t>
      </w:r>
    </w:p>
    <w:p w14:paraId="45CDE1E6">
      <w:pPr>
        <w:pStyle w:val="23"/>
      </w:pPr>
    </w:p>
    <w:p w14:paraId="221062A0">
      <w:pPr>
        <w:widowControl/>
        <w:spacing w:line="480" w:lineRule="exact"/>
        <w:rPr>
          <w:rFonts w:cs="仿宋" w:asciiTheme="minorEastAsia" w:hAnsiTheme="minorEastAsia" w:eastAsiaTheme="minorEastAsia"/>
          <w:bCs/>
          <w:sz w:val="44"/>
          <w:szCs w:val="44"/>
        </w:rPr>
      </w:pPr>
      <w:r>
        <w:rPr>
          <w:rFonts w:hint="eastAsia" w:cs="仿宋" w:asciiTheme="minorEastAsia" w:hAnsiTheme="minorEastAsia" w:eastAsiaTheme="minorEastAsia"/>
          <w:bCs/>
          <w:sz w:val="32"/>
          <w:szCs w:val="28"/>
        </w:rPr>
        <w:t xml:space="preserve">                     </w:t>
      </w:r>
      <w:r>
        <w:rPr>
          <w:rFonts w:hint="eastAsia" w:cs="仿宋" w:asciiTheme="minorEastAsia" w:hAnsiTheme="minorEastAsia" w:eastAsiaTheme="minorEastAsia"/>
          <w:bCs/>
          <w:sz w:val="44"/>
          <w:szCs w:val="44"/>
        </w:rPr>
        <w:t>（正/副本）</w:t>
      </w:r>
    </w:p>
    <w:p w14:paraId="2F2AD204">
      <w:pPr>
        <w:widowControl/>
        <w:spacing w:line="400" w:lineRule="exact"/>
        <w:rPr>
          <w:rFonts w:cs="仿宋" w:asciiTheme="minorEastAsia" w:hAnsiTheme="minorEastAsia" w:eastAsiaTheme="minorEastAsia"/>
          <w:bCs/>
          <w:sz w:val="18"/>
          <w:szCs w:val="18"/>
        </w:rPr>
      </w:pPr>
    </w:p>
    <w:p w14:paraId="46F19F7C">
      <w:pPr>
        <w:widowControl/>
        <w:spacing w:line="400" w:lineRule="exact"/>
        <w:rPr>
          <w:rFonts w:cs="仿宋" w:asciiTheme="minorEastAsia" w:hAnsiTheme="minorEastAsia" w:eastAsiaTheme="minorEastAsia"/>
          <w:bCs/>
          <w:sz w:val="18"/>
          <w:szCs w:val="18"/>
        </w:rPr>
      </w:pPr>
    </w:p>
    <w:p w14:paraId="6AD0348E">
      <w:pPr>
        <w:widowControl/>
        <w:spacing w:line="400" w:lineRule="exact"/>
        <w:rPr>
          <w:rFonts w:cs="仿宋" w:asciiTheme="minorEastAsia" w:hAnsiTheme="minorEastAsia" w:eastAsiaTheme="minorEastAsia"/>
          <w:bCs/>
          <w:sz w:val="18"/>
          <w:szCs w:val="18"/>
        </w:rPr>
      </w:pPr>
    </w:p>
    <w:p w14:paraId="17E750D3">
      <w:pPr>
        <w:widowControl/>
        <w:spacing w:line="480" w:lineRule="auto"/>
        <w:rPr>
          <w:rFonts w:cs="仿宋" w:asciiTheme="minorEastAsia" w:hAnsiTheme="minorEastAsia" w:eastAsiaTheme="minorEastAsia"/>
          <w:bCs/>
          <w:sz w:val="36"/>
          <w:szCs w:val="36"/>
        </w:rPr>
      </w:pPr>
    </w:p>
    <w:p w14:paraId="3643D5C2">
      <w:pPr>
        <w:widowControl/>
        <w:spacing w:line="480" w:lineRule="auto"/>
        <w:rPr>
          <w:rFonts w:cs="仿宋" w:asciiTheme="minorEastAsia" w:hAnsiTheme="minorEastAsia" w:eastAsiaTheme="minorEastAsia"/>
          <w:bCs/>
          <w:sz w:val="36"/>
          <w:szCs w:val="36"/>
        </w:rPr>
      </w:pPr>
    </w:p>
    <w:p w14:paraId="760B8BEF">
      <w:pPr>
        <w:pStyle w:val="11"/>
      </w:pPr>
    </w:p>
    <w:p w14:paraId="1A24B99E">
      <w:pPr>
        <w:snapToGrid w:val="0"/>
        <w:spacing w:line="360" w:lineRule="auto"/>
        <w:ind w:firstLine="480" w:firstLineChars="200"/>
        <w:jc w:val="left"/>
        <w:rPr>
          <w:rFonts w:ascii="宋体" w:cs="Times New Roman"/>
          <w:sz w:val="24"/>
          <w:szCs w:val="24"/>
          <w:u w:val="single"/>
        </w:rPr>
      </w:pPr>
      <w:r>
        <w:rPr>
          <w:rFonts w:hint="eastAsia" w:ascii="宋体" w:hAnsi="宋体" w:cs="宋体"/>
          <w:sz w:val="24"/>
          <w:szCs w:val="24"/>
          <w:lang w:val="zh-CN"/>
        </w:rPr>
        <w:t>供应商（单位名称及公章）：</w:t>
      </w:r>
      <w:r>
        <w:rPr>
          <w:rFonts w:hint="eastAsia" w:ascii="宋体" w:hAnsi="宋体" w:cs="宋体"/>
          <w:sz w:val="24"/>
          <w:szCs w:val="24"/>
        </w:rPr>
        <w:t>____________________________</w:t>
      </w:r>
    </w:p>
    <w:p w14:paraId="49B8EF4A">
      <w:pPr>
        <w:snapToGrid w:val="0"/>
        <w:spacing w:line="360" w:lineRule="auto"/>
        <w:ind w:firstLine="480" w:firstLineChars="200"/>
        <w:jc w:val="left"/>
        <w:rPr>
          <w:rFonts w:cs="Times New Roman"/>
          <w:sz w:val="24"/>
          <w:szCs w:val="24"/>
        </w:rPr>
      </w:pPr>
      <w:r>
        <w:rPr>
          <w:rFonts w:hint="eastAsia" w:ascii="宋体" w:hAnsi="宋体" w:cs="宋体"/>
          <w:sz w:val="24"/>
          <w:szCs w:val="24"/>
          <w:lang w:val="zh-CN"/>
        </w:rPr>
        <w:t>法定代表人或被授权人（签字</w:t>
      </w:r>
      <w:r>
        <w:rPr>
          <w:rFonts w:hint="eastAsia" w:ascii="宋体" w:hAnsi="宋体" w:cs="宋体"/>
          <w:sz w:val="24"/>
          <w:szCs w:val="24"/>
          <w:lang w:val="en-US" w:eastAsia="zh-CN"/>
        </w:rPr>
        <w:t>或盖章</w:t>
      </w:r>
      <w:r>
        <w:rPr>
          <w:rFonts w:hint="eastAsia" w:ascii="宋体" w:hAnsi="宋体" w:cs="宋体"/>
          <w:sz w:val="24"/>
          <w:szCs w:val="24"/>
          <w:lang w:val="zh-CN"/>
        </w:rPr>
        <w:t>）：</w:t>
      </w:r>
      <w:r>
        <w:rPr>
          <w:rFonts w:hint="eastAsia" w:ascii="宋体" w:hAnsi="宋体" w:cs="宋体"/>
          <w:sz w:val="24"/>
          <w:szCs w:val="24"/>
        </w:rPr>
        <w:t>____________________________</w:t>
      </w:r>
    </w:p>
    <w:p w14:paraId="500DA13D">
      <w:pPr>
        <w:snapToGrid w:val="0"/>
        <w:spacing w:line="360" w:lineRule="auto"/>
        <w:ind w:firstLine="480" w:firstLineChars="200"/>
        <w:jc w:val="left"/>
        <w:rPr>
          <w:rFonts w:ascii="宋体" w:cs="Times New Roman"/>
          <w:sz w:val="24"/>
          <w:szCs w:val="24"/>
          <w:u w:val="single"/>
        </w:rPr>
      </w:pPr>
      <w:r>
        <w:rPr>
          <w:rFonts w:hint="eastAsia" w:ascii="宋体" w:hAnsi="宋体" w:cs="宋体"/>
          <w:sz w:val="24"/>
          <w:szCs w:val="24"/>
        </w:rPr>
        <w:t>日期</w:t>
      </w:r>
      <w:r>
        <w:rPr>
          <w:rFonts w:hint="eastAsia" w:ascii="宋体" w:hAnsi="宋体" w:cs="宋体"/>
          <w:sz w:val="24"/>
          <w:szCs w:val="24"/>
          <w:lang w:val="zh-CN"/>
        </w:rPr>
        <w:t>：</w:t>
      </w:r>
      <w:r>
        <w:rPr>
          <w:rFonts w:hint="eastAsia" w:ascii="宋体" w:hAnsi="宋体" w:cs="宋体"/>
          <w:sz w:val="24"/>
          <w:szCs w:val="24"/>
        </w:rPr>
        <w:t>________________________________________________________</w:t>
      </w:r>
    </w:p>
    <w:p w14:paraId="0089645E">
      <w:pPr>
        <w:pageBreakBefore/>
        <w:ind w:firstLine="1004" w:firstLineChars="200"/>
        <w:jc w:val="center"/>
        <w:rPr>
          <w:rFonts w:ascii="宋体" w:hAnsi="宋体" w:cs="宋体"/>
          <w:b/>
          <w:bCs/>
          <w:color w:val="auto"/>
          <w:sz w:val="50"/>
          <w:szCs w:val="50"/>
        </w:rPr>
      </w:pPr>
      <w:r>
        <w:rPr>
          <w:rFonts w:hint="eastAsia" w:ascii="宋体" w:hAnsi="宋体" w:cs="宋体"/>
          <w:b/>
          <w:bCs/>
          <w:color w:val="auto"/>
          <w:sz w:val="50"/>
          <w:szCs w:val="50"/>
        </w:rPr>
        <w:t>目录</w:t>
      </w:r>
    </w:p>
    <w:p w14:paraId="1A97CEA9">
      <w:pPr>
        <w:pStyle w:val="23"/>
        <w:spacing w:line="360" w:lineRule="auto"/>
        <w:ind w:left="1155" w:leftChars="550"/>
        <w:rPr>
          <w:rFonts w:ascii="宋体" w:hAnsi="宋体"/>
          <w:color w:val="auto"/>
          <w:sz w:val="32"/>
          <w:szCs w:val="28"/>
        </w:rPr>
      </w:pPr>
      <w:r>
        <w:rPr>
          <w:rFonts w:hint="eastAsia" w:ascii="宋体" w:hAnsi="宋体"/>
          <w:color w:val="auto"/>
          <w:sz w:val="32"/>
          <w:szCs w:val="28"/>
        </w:rPr>
        <w:t xml:space="preserve">第一章 </w:t>
      </w:r>
      <w:r>
        <w:rPr>
          <w:rFonts w:ascii="宋体" w:hAnsi="宋体"/>
          <w:color w:val="auto"/>
          <w:sz w:val="32"/>
          <w:szCs w:val="28"/>
        </w:rPr>
        <w:t xml:space="preserve">  </w:t>
      </w:r>
      <w:r>
        <w:rPr>
          <w:rFonts w:hint="eastAsia" w:ascii="宋体" w:hAnsi="宋体"/>
          <w:color w:val="auto"/>
          <w:sz w:val="32"/>
          <w:szCs w:val="28"/>
        </w:rPr>
        <w:t>响应函</w:t>
      </w:r>
    </w:p>
    <w:p w14:paraId="6A33D93D">
      <w:pPr>
        <w:pStyle w:val="23"/>
        <w:spacing w:line="360" w:lineRule="auto"/>
        <w:ind w:left="1155" w:leftChars="550"/>
        <w:rPr>
          <w:rFonts w:ascii="宋体" w:hAnsi="宋体"/>
          <w:color w:val="auto"/>
          <w:sz w:val="32"/>
          <w:szCs w:val="28"/>
        </w:rPr>
      </w:pPr>
      <w:r>
        <w:rPr>
          <w:rFonts w:hint="eastAsia" w:ascii="宋体" w:hAnsi="宋体"/>
          <w:color w:val="auto"/>
          <w:sz w:val="32"/>
          <w:szCs w:val="28"/>
        </w:rPr>
        <w:t xml:space="preserve">第二章 </w:t>
      </w:r>
      <w:r>
        <w:rPr>
          <w:rFonts w:ascii="宋体" w:hAnsi="宋体"/>
          <w:color w:val="auto"/>
          <w:sz w:val="32"/>
          <w:szCs w:val="28"/>
        </w:rPr>
        <w:t xml:space="preserve">  </w:t>
      </w:r>
      <w:r>
        <w:rPr>
          <w:rFonts w:hint="eastAsia" w:ascii="宋体" w:hAnsi="宋体"/>
          <w:color w:val="auto"/>
          <w:sz w:val="32"/>
          <w:szCs w:val="28"/>
        </w:rPr>
        <w:t>响应报价表</w:t>
      </w:r>
    </w:p>
    <w:p w14:paraId="274BD306">
      <w:pPr>
        <w:pStyle w:val="23"/>
        <w:spacing w:line="360" w:lineRule="auto"/>
        <w:ind w:left="1155" w:leftChars="550"/>
        <w:rPr>
          <w:rFonts w:ascii="宋体" w:hAnsi="宋体"/>
          <w:color w:val="auto"/>
          <w:sz w:val="32"/>
          <w:szCs w:val="28"/>
        </w:rPr>
      </w:pPr>
      <w:r>
        <w:rPr>
          <w:rFonts w:hint="eastAsia" w:ascii="宋体" w:hAnsi="宋体"/>
          <w:color w:val="auto"/>
          <w:sz w:val="32"/>
          <w:szCs w:val="28"/>
        </w:rPr>
        <w:t xml:space="preserve">第三章  </w:t>
      </w:r>
      <w:r>
        <w:rPr>
          <w:rFonts w:ascii="宋体" w:hAnsi="宋体"/>
          <w:color w:val="auto"/>
          <w:sz w:val="32"/>
          <w:szCs w:val="28"/>
        </w:rPr>
        <w:t xml:space="preserve"> </w:t>
      </w:r>
      <w:r>
        <w:rPr>
          <w:rFonts w:hint="eastAsia" w:ascii="宋体" w:hAnsi="宋体"/>
          <w:color w:val="auto"/>
          <w:sz w:val="32"/>
          <w:szCs w:val="28"/>
        </w:rPr>
        <w:t>供应商资质证明文件</w:t>
      </w:r>
    </w:p>
    <w:p w14:paraId="7F36EF82">
      <w:pPr>
        <w:pStyle w:val="23"/>
        <w:spacing w:line="360" w:lineRule="auto"/>
        <w:ind w:left="1155" w:leftChars="550"/>
        <w:rPr>
          <w:rFonts w:ascii="宋体" w:hAnsi="宋体"/>
          <w:color w:val="auto"/>
          <w:sz w:val="32"/>
          <w:szCs w:val="28"/>
        </w:rPr>
      </w:pPr>
      <w:r>
        <w:rPr>
          <w:rFonts w:hint="eastAsia" w:ascii="宋体" w:hAnsi="宋体"/>
          <w:color w:val="auto"/>
          <w:sz w:val="32"/>
          <w:szCs w:val="28"/>
        </w:rPr>
        <w:t xml:space="preserve">第四章   </w:t>
      </w:r>
      <w:r>
        <w:rPr>
          <w:rFonts w:hint="eastAsia" w:ascii="宋体" w:hAnsi="宋体"/>
          <w:color w:val="auto"/>
          <w:sz w:val="32"/>
          <w:szCs w:val="28"/>
          <w:lang w:val="en-US" w:eastAsia="zh-CN"/>
        </w:rPr>
        <w:t>商务响应</w:t>
      </w:r>
      <w:r>
        <w:rPr>
          <w:rFonts w:hint="eastAsia" w:ascii="宋体" w:hAnsi="宋体"/>
          <w:color w:val="auto"/>
          <w:sz w:val="32"/>
          <w:szCs w:val="28"/>
        </w:rPr>
        <w:t>偏离表</w:t>
      </w:r>
    </w:p>
    <w:p w14:paraId="2D37C6C3">
      <w:pPr>
        <w:pStyle w:val="23"/>
        <w:spacing w:line="360" w:lineRule="auto"/>
        <w:ind w:left="1155" w:leftChars="550"/>
        <w:rPr>
          <w:rFonts w:ascii="宋体" w:hAnsi="宋体"/>
          <w:color w:val="auto"/>
          <w:sz w:val="32"/>
          <w:szCs w:val="28"/>
        </w:rPr>
      </w:pPr>
      <w:r>
        <w:rPr>
          <w:rFonts w:hint="eastAsia" w:ascii="宋体" w:hAnsi="宋体"/>
          <w:color w:val="auto"/>
          <w:sz w:val="32"/>
          <w:szCs w:val="28"/>
        </w:rPr>
        <w:t>第五章   投标方案</w:t>
      </w:r>
    </w:p>
    <w:p w14:paraId="5D96D06C">
      <w:pPr>
        <w:pStyle w:val="23"/>
        <w:spacing w:line="360" w:lineRule="auto"/>
        <w:ind w:left="1155" w:leftChars="550"/>
        <w:rPr>
          <w:rFonts w:ascii="宋体" w:hAnsi="宋体"/>
          <w:color w:val="auto"/>
          <w:sz w:val="32"/>
          <w:szCs w:val="28"/>
        </w:rPr>
      </w:pPr>
      <w:r>
        <w:rPr>
          <w:rFonts w:hint="eastAsia" w:ascii="宋体" w:hAnsi="宋体"/>
          <w:color w:val="auto"/>
          <w:sz w:val="32"/>
          <w:szCs w:val="28"/>
        </w:rPr>
        <w:t>第六章   供应商承诺书</w:t>
      </w:r>
    </w:p>
    <w:p w14:paraId="6EEB30A2">
      <w:pPr>
        <w:pStyle w:val="23"/>
        <w:spacing w:line="360" w:lineRule="auto"/>
        <w:ind w:left="1155" w:leftChars="550"/>
        <w:rPr>
          <w:rFonts w:ascii="宋体" w:hAnsi="宋体"/>
          <w:sz w:val="32"/>
          <w:szCs w:val="28"/>
        </w:rPr>
      </w:pPr>
    </w:p>
    <w:p w14:paraId="2612D5E3">
      <w:pPr>
        <w:pStyle w:val="23"/>
        <w:spacing w:line="360" w:lineRule="auto"/>
        <w:ind w:left="1155" w:leftChars="550"/>
        <w:rPr>
          <w:rFonts w:ascii="宋体" w:hAnsi="宋体"/>
          <w:sz w:val="32"/>
          <w:szCs w:val="28"/>
        </w:rPr>
      </w:pPr>
      <w:r>
        <w:rPr>
          <w:rFonts w:hint="eastAsia" w:ascii="宋体" w:hAnsi="宋体"/>
          <w:sz w:val="32"/>
          <w:szCs w:val="28"/>
        </w:rPr>
        <w:t xml:space="preserve">   </w:t>
      </w:r>
    </w:p>
    <w:p w14:paraId="4131A648">
      <w:pPr>
        <w:pStyle w:val="23"/>
        <w:spacing w:line="360" w:lineRule="auto"/>
        <w:ind w:left="1155" w:leftChars="550"/>
        <w:rPr>
          <w:rFonts w:ascii="宋体" w:hAnsi="宋体"/>
          <w:sz w:val="32"/>
          <w:szCs w:val="28"/>
        </w:rPr>
      </w:pPr>
      <w:r>
        <w:rPr>
          <w:rFonts w:hint="eastAsia" w:ascii="宋体" w:hAnsi="宋体"/>
          <w:sz w:val="32"/>
          <w:szCs w:val="28"/>
        </w:rPr>
        <w:t xml:space="preserve"> </w:t>
      </w:r>
      <w:r>
        <w:rPr>
          <w:rFonts w:ascii="宋体" w:hAnsi="宋体"/>
          <w:sz w:val="32"/>
          <w:szCs w:val="28"/>
        </w:rPr>
        <w:t xml:space="preserve"> </w:t>
      </w:r>
    </w:p>
    <w:p w14:paraId="506324B8">
      <w:pPr>
        <w:pStyle w:val="23"/>
        <w:spacing w:line="360" w:lineRule="auto"/>
        <w:ind w:left="1155" w:leftChars="550"/>
        <w:rPr>
          <w:rFonts w:ascii="宋体" w:hAnsi="宋体"/>
          <w:sz w:val="32"/>
          <w:szCs w:val="28"/>
        </w:rPr>
      </w:pPr>
      <w:r>
        <w:rPr>
          <w:rFonts w:hint="eastAsia" w:ascii="宋体" w:hAnsi="宋体"/>
          <w:sz w:val="32"/>
          <w:szCs w:val="28"/>
        </w:rPr>
        <w:t xml:space="preserve"> </w:t>
      </w:r>
      <w:r>
        <w:rPr>
          <w:rFonts w:ascii="宋体" w:hAnsi="宋体"/>
          <w:sz w:val="32"/>
          <w:szCs w:val="28"/>
        </w:rPr>
        <w:t xml:space="preserve"> </w:t>
      </w:r>
    </w:p>
    <w:p w14:paraId="7EC3BD3C">
      <w:pPr>
        <w:pStyle w:val="23"/>
        <w:spacing w:line="360" w:lineRule="auto"/>
        <w:ind w:left="1155" w:leftChars="550"/>
        <w:rPr>
          <w:rFonts w:ascii="宋体" w:hAnsi="宋体"/>
          <w:sz w:val="32"/>
          <w:szCs w:val="28"/>
        </w:rPr>
      </w:pPr>
      <w:r>
        <w:rPr>
          <w:rFonts w:ascii="宋体" w:hAnsi="宋体"/>
          <w:sz w:val="32"/>
          <w:szCs w:val="28"/>
        </w:rPr>
        <w:t xml:space="preserve">  </w:t>
      </w:r>
    </w:p>
    <w:p w14:paraId="02D4408F">
      <w:pPr>
        <w:pStyle w:val="23"/>
        <w:spacing w:line="360" w:lineRule="auto"/>
        <w:ind w:left="1155" w:leftChars="550"/>
        <w:rPr>
          <w:rFonts w:ascii="宋体" w:hAnsi="宋体"/>
          <w:sz w:val="32"/>
          <w:szCs w:val="28"/>
        </w:rPr>
      </w:pPr>
    </w:p>
    <w:p w14:paraId="6E0FC3E1">
      <w:pPr>
        <w:pStyle w:val="23"/>
        <w:spacing w:line="480" w:lineRule="auto"/>
        <w:ind w:left="945" w:leftChars="450"/>
      </w:pPr>
      <w:r>
        <w:rPr>
          <w:rFonts w:hint="eastAsia"/>
          <w:sz w:val="30"/>
          <w:szCs w:val="30"/>
        </w:rPr>
        <w:tab/>
      </w:r>
    </w:p>
    <w:p w14:paraId="08895AAD">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bookmarkStart w:id="147" w:name="_Toc2536"/>
      <w:bookmarkStart w:id="148" w:name="_Toc536202393"/>
      <w:bookmarkStart w:id="149" w:name="_Toc10356"/>
      <w:bookmarkStart w:id="150" w:name="_Toc536429386"/>
      <w:bookmarkStart w:id="151" w:name="_Toc536202324"/>
      <w:bookmarkStart w:id="152" w:name="_Toc536429333"/>
      <w:bookmarkStart w:id="153" w:name="_Toc19543349"/>
      <w:r>
        <w:rPr>
          <w:rFonts w:hint="eastAsia" w:ascii="宋体" w:hAnsi="宋体" w:eastAsia="宋体" w:cs="宋体"/>
          <w:b/>
          <w:bCs w:val="0"/>
          <w:color w:val="auto"/>
          <w:sz w:val="36"/>
          <w:szCs w:val="36"/>
          <w:u w:val="none"/>
          <w:lang w:val="en-US" w:eastAsia="zh-CN"/>
        </w:rPr>
        <w:br w:type="page"/>
      </w:r>
      <w:r>
        <w:rPr>
          <w:rFonts w:hint="eastAsia" w:ascii="宋体" w:hAnsi="宋体" w:eastAsia="宋体" w:cs="宋体"/>
          <w:b/>
          <w:bCs w:val="0"/>
          <w:color w:val="auto"/>
          <w:sz w:val="36"/>
          <w:szCs w:val="36"/>
          <w:u w:val="none"/>
          <w:lang w:val="en-US" w:eastAsia="zh-CN"/>
        </w:rPr>
        <w:t>第一</w:t>
      </w:r>
      <w:bookmarkEnd w:id="147"/>
      <w:r>
        <w:rPr>
          <w:rFonts w:hint="eastAsia" w:ascii="宋体" w:hAnsi="宋体" w:eastAsia="宋体" w:cs="宋体"/>
          <w:b/>
          <w:bCs w:val="0"/>
          <w:color w:val="auto"/>
          <w:sz w:val="36"/>
          <w:szCs w:val="36"/>
          <w:u w:val="none"/>
          <w:lang w:val="en-US" w:eastAsia="zh-CN"/>
        </w:rPr>
        <w:t>章  响应函</w:t>
      </w:r>
      <w:bookmarkEnd w:id="148"/>
      <w:bookmarkEnd w:id="149"/>
      <w:bookmarkEnd w:id="150"/>
      <w:bookmarkEnd w:id="151"/>
      <w:bookmarkEnd w:id="152"/>
      <w:bookmarkEnd w:id="153"/>
    </w:p>
    <w:p w14:paraId="10F40FFF">
      <w:pPr>
        <w:adjustRightInd w:val="0"/>
        <w:snapToGrid w:val="0"/>
        <w:spacing w:line="480" w:lineRule="exact"/>
        <w:jc w:val="left"/>
        <w:rPr>
          <w:rFonts w:ascii="宋体" w:cs="Times New Roman"/>
          <w:sz w:val="24"/>
          <w:szCs w:val="24"/>
        </w:rPr>
      </w:pPr>
      <w:r>
        <w:rPr>
          <w:rFonts w:hint="eastAsia" w:ascii="宋体" w:hAnsi="宋体" w:cs="宋体"/>
          <w:sz w:val="24"/>
          <w:szCs w:val="24"/>
          <w:lang w:eastAsia="zh-CN"/>
        </w:rPr>
        <w:t>汉滨区移民（脱贫）搬迁工作办公室</w:t>
      </w:r>
      <w:r>
        <w:rPr>
          <w:rFonts w:hint="eastAsia" w:ascii="宋体" w:hAnsi="宋体" w:cs="宋体"/>
          <w:sz w:val="24"/>
          <w:szCs w:val="24"/>
        </w:rPr>
        <w:t>：</w:t>
      </w:r>
    </w:p>
    <w:p w14:paraId="1415F1B0">
      <w:pPr>
        <w:adjustRightInd w:val="0"/>
        <w:snapToGrid w:val="0"/>
        <w:spacing w:line="480" w:lineRule="exact"/>
        <w:ind w:firstLine="480" w:firstLineChars="200"/>
        <w:jc w:val="left"/>
        <w:rPr>
          <w:rFonts w:ascii="宋体" w:cs="Times New Roman"/>
          <w:color w:val="auto"/>
          <w:sz w:val="24"/>
          <w:szCs w:val="24"/>
        </w:rPr>
      </w:pPr>
      <w:r>
        <w:rPr>
          <w:rFonts w:hint="eastAsia" w:ascii="宋体" w:hAnsi="宋体"/>
          <w:sz w:val="24"/>
          <w:szCs w:val="24"/>
        </w:rPr>
        <w:t>我单位收到贵公司</w:t>
      </w:r>
      <w:r>
        <w:rPr>
          <w:rFonts w:hint="eastAsia" w:ascii="宋体" w:hAnsi="宋体"/>
          <w:sz w:val="24"/>
          <w:szCs w:val="24"/>
          <w:u w:val="single"/>
        </w:rPr>
        <w:t xml:space="preserve">  （项目名称） （项目编号）</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cs="宋体"/>
          <w:sz w:val="24"/>
          <w:szCs w:val="24"/>
        </w:rPr>
        <w:t>竞争性磋商文件，经详细研</w:t>
      </w:r>
      <w:r>
        <w:rPr>
          <w:rFonts w:hint="eastAsia" w:ascii="宋体" w:hAnsi="宋体" w:cs="宋体"/>
          <w:color w:val="auto"/>
          <w:sz w:val="24"/>
          <w:szCs w:val="24"/>
        </w:rPr>
        <w:t>究，我公司决定参加本次磋商活动。为此，我方郑重承诺以下诸点，并负法律责任。</w:t>
      </w:r>
    </w:p>
    <w:p w14:paraId="6FD89875">
      <w:pPr>
        <w:adjustRightInd w:val="0"/>
        <w:snapToGrid w:val="0"/>
        <w:spacing w:line="480" w:lineRule="exact"/>
        <w:ind w:firstLine="480" w:firstLineChars="200"/>
        <w:jc w:val="left"/>
        <w:rPr>
          <w:rFonts w:ascii="宋体" w:cs="Times New Roman"/>
          <w:color w:val="auto"/>
          <w:sz w:val="24"/>
          <w:szCs w:val="24"/>
        </w:rPr>
      </w:pPr>
      <w:r>
        <w:rPr>
          <w:rFonts w:ascii="宋体" w:hAnsi="宋体" w:cs="宋体"/>
          <w:color w:val="auto"/>
          <w:sz w:val="24"/>
          <w:szCs w:val="24"/>
        </w:rPr>
        <w:t>1</w:t>
      </w:r>
      <w:r>
        <w:rPr>
          <w:rFonts w:hint="eastAsia" w:ascii="宋体" w:hAnsi="宋体" w:cs="宋体"/>
          <w:color w:val="auto"/>
          <w:sz w:val="24"/>
          <w:szCs w:val="24"/>
          <w:lang w:eastAsia="zh-CN"/>
        </w:rPr>
        <w:t>、</w:t>
      </w:r>
      <w:r>
        <w:rPr>
          <w:rFonts w:hint="eastAsia" w:ascii="宋体" w:hAnsi="宋体" w:cs="宋体"/>
          <w:color w:val="auto"/>
          <w:sz w:val="24"/>
          <w:szCs w:val="24"/>
        </w:rPr>
        <w:t>愿意按照竞争性磋商文件中的全部要求，提供合格的产品及完善的技术服务，履行合同的责任和义务。</w:t>
      </w:r>
    </w:p>
    <w:p w14:paraId="2409DA67">
      <w:pPr>
        <w:spacing w:line="440" w:lineRule="exact"/>
        <w:ind w:firstLine="480" w:firstLineChars="200"/>
        <w:jc w:val="left"/>
        <w:rPr>
          <w:rFonts w:ascii="宋体" w:hAns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所附报价表中规定的应提交和交付的</w:t>
      </w:r>
      <w:r>
        <w:rPr>
          <w:rFonts w:hint="eastAsia" w:ascii="宋体" w:hAnsi="宋体"/>
          <w:color w:val="auto"/>
          <w:sz w:val="24"/>
          <w:szCs w:val="24"/>
          <w:lang w:val="en-US" w:eastAsia="zh-CN"/>
        </w:rPr>
        <w:t>投标总价为</w:t>
      </w:r>
      <w:r>
        <w:rPr>
          <w:rFonts w:hint="eastAsia" w:ascii="宋体" w:hAnsi="宋体"/>
          <w:color w:val="auto"/>
          <w:sz w:val="24"/>
          <w:szCs w:val="24"/>
        </w:rPr>
        <w:t>：</w:t>
      </w:r>
      <w:r>
        <w:rPr>
          <w:rFonts w:hint="eastAsia" w:ascii="宋体" w:hAnsi="宋体" w:cs="仿宋_GB2312"/>
          <w:color w:val="auto"/>
          <w:sz w:val="24"/>
          <w:u w:val="single"/>
        </w:rPr>
        <w:t xml:space="preserve">          </w:t>
      </w:r>
      <w:r>
        <w:rPr>
          <w:rFonts w:hint="eastAsia" w:ascii="宋体" w:hAnsi="宋体" w:cs="仿宋_GB2312"/>
          <w:color w:val="auto"/>
          <w:sz w:val="24"/>
        </w:rPr>
        <w:t>，大写：（</w:t>
      </w:r>
      <w:r>
        <w:rPr>
          <w:rFonts w:hint="eastAsia" w:ascii="宋体" w:hAnsi="宋体" w:cs="仿宋_GB2312"/>
          <w:color w:val="auto"/>
          <w:sz w:val="24"/>
          <w:u w:val="single"/>
        </w:rPr>
        <w:t xml:space="preserve">            </w:t>
      </w:r>
      <w:r>
        <w:rPr>
          <w:rFonts w:hint="eastAsia" w:ascii="宋体" w:hAnsi="宋体" w:cs="仿宋_GB2312"/>
          <w:color w:val="auto"/>
          <w:sz w:val="24"/>
        </w:rPr>
        <w:t>）。</w:t>
      </w:r>
    </w:p>
    <w:p w14:paraId="1AADD528">
      <w:pPr>
        <w:adjustRightInd w:val="0"/>
        <w:snapToGrid w:val="0"/>
        <w:spacing w:line="480" w:lineRule="exact"/>
        <w:ind w:firstLine="480" w:firstLineChars="200"/>
        <w:jc w:val="left"/>
        <w:rPr>
          <w:rFonts w:hint="eastAsia" w:ascii="宋体" w:hAnsi="宋体" w:eastAsia="宋体" w:cs="宋体"/>
          <w:sz w:val="24"/>
          <w:szCs w:val="24"/>
          <w:lang w:eastAsia="zh-CN"/>
        </w:rPr>
      </w:pPr>
      <w:r>
        <w:rPr>
          <w:rFonts w:ascii="宋体" w:hAnsi="宋体" w:cs="宋体"/>
          <w:sz w:val="24"/>
          <w:szCs w:val="24"/>
        </w:rPr>
        <w:t>3</w:t>
      </w:r>
      <w:r>
        <w:rPr>
          <w:rFonts w:hint="eastAsia" w:ascii="宋体" w:hAnsi="宋体" w:cs="宋体"/>
          <w:sz w:val="24"/>
          <w:szCs w:val="24"/>
        </w:rPr>
        <w:t>、我方提交的响应文件正本</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份，副本</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份</w:t>
      </w:r>
      <w:r>
        <w:rPr>
          <w:rFonts w:hint="eastAsia" w:ascii="宋体" w:hAnsi="宋体" w:cs="宋体"/>
          <w:sz w:val="24"/>
          <w:szCs w:val="24"/>
          <w:lang w:eastAsia="zh-CN"/>
        </w:rPr>
        <w:t>。</w:t>
      </w:r>
    </w:p>
    <w:p w14:paraId="02BF645F">
      <w:pPr>
        <w:adjustRightInd w:val="0"/>
        <w:snapToGrid w:val="0"/>
        <w:spacing w:line="480" w:lineRule="exact"/>
        <w:ind w:firstLine="480" w:firstLineChars="200"/>
        <w:jc w:val="left"/>
        <w:rPr>
          <w:rFonts w:ascii="宋体" w:cs="Times New Roman"/>
          <w:sz w:val="24"/>
          <w:szCs w:val="24"/>
        </w:rPr>
      </w:pPr>
      <w:r>
        <w:rPr>
          <w:rFonts w:ascii="宋体" w:hAnsi="宋体" w:cs="宋体"/>
          <w:sz w:val="24"/>
          <w:szCs w:val="24"/>
        </w:rPr>
        <w:t>4</w:t>
      </w:r>
      <w:r>
        <w:rPr>
          <w:rFonts w:hint="eastAsia" w:ascii="宋体" w:hAnsi="宋体" w:cs="宋体"/>
          <w:sz w:val="24"/>
          <w:szCs w:val="24"/>
        </w:rPr>
        <w:t>、我们已详细阅读了竞争性磋商文件，完全理解并同意放弃提出含糊不清和误解问题的权力。</w:t>
      </w:r>
    </w:p>
    <w:p w14:paraId="095B149C">
      <w:pPr>
        <w:adjustRightInd w:val="0"/>
        <w:snapToGrid w:val="0"/>
        <w:spacing w:line="480" w:lineRule="exact"/>
        <w:ind w:firstLine="480" w:firstLineChars="200"/>
        <w:jc w:val="left"/>
        <w:rPr>
          <w:rFonts w:ascii="宋体" w:cs="Times New Roman"/>
          <w:color w:val="FF0000"/>
          <w:sz w:val="24"/>
          <w:szCs w:val="24"/>
        </w:rPr>
      </w:pPr>
      <w:r>
        <w:rPr>
          <w:rFonts w:ascii="宋体" w:hAnsi="宋体" w:cs="宋体"/>
          <w:sz w:val="24"/>
          <w:szCs w:val="24"/>
        </w:rPr>
        <w:t>5</w:t>
      </w:r>
      <w:r>
        <w:rPr>
          <w:rFonts w:hint="eastAsia" w:ascii="宋体" w:hAnsi="宋体" w:cs="宋体"/>
          <w:sz w:val="24"/>
          <w:szCs w:val="24"/>
        </w:rPr>
        <w:t>、如果我方在磋商后到规定的响应有效期内撤回响应文件及承诺，</w:t>
      </w:r>
      <w:r>
        <w:rPr>
          <w:rFonts w:hint="eastAsia" w:ascii="宋体" w:hAnsi="宋体" w:cs="宋体"/>
          <w:color w:val="auto"/>
          <w:sz w:val="24"/>
          <w:szCs w:val="24"/>
        </w:rPr>
        <w:t>我们</w:t>
      </w:r>
      <w:r>
        <w:rPr>
          <w:rFonts w:hint="eastAsia" w:ascii="宋体" w:hAnsi="宋体" w:cs="宋体"/>
          <w:color w:val="auto"/>
          <w:sz w:val="24"/>
          <w:szCs w:val="24"/>
          <w:lang w:val="en-US" w:eastAsia="zh-CN"/>
        </w:rPr>
        <w:t>将承担相关法律责任</w:t>
      </w:r>
      <w:r>
        <w:rPr>
          <w:rFonts w:hint="eastAsia" w:ascii="宋体" w:hAnsi="宋体" w:cs="宋体"/>
          <w:color w:val="auto"/>
          <w:sz w:val="24"/>
          <w:szCs w:val="24"/>
        </w:rPr>
        <w:t>。</w:t>
      </w:r>
    </w:p>
    <w:p w14:paraId="0691AD58">
      <w:pPr>
        <w:adjustRightInd w:val="0"/>
        <w:snapToGrid w:val="0"/>
        <w:spacing w:line="480" w:lineRule="exact"/>
        <w:ind w:firstLine="480" w:firstLineChars="200"/>
        <w:jc w:val="left"/>
        <w:rPr>
          <w:rFonts w:ascii="宋体" w:cs="Times New Roman"/>
          <w:sz w:val="24"/>
          <w:szCs w:val="24"/>
        </w:rPr>
      </w:pPr>
      <w:r>
        <w:rPr>
          <w:rFonts w:ascii="宋体" w:hAnsi="宋体" w:cs="宋体"/>
          <w:sz w:val="24"/>
          <w:szCs w:val="24"/>
        </w:rPr>
        <w:t>6</w:t>
      </w:r>
      <w:r>
        <w:rPr>
          <w:rFonts w:hint="eastAsia" w:ascii="宋体" w:hAnsi="宋体" w:cs="宋体"/>
          <w:sz w:val="24"/>
          <w:szCs w:val="24"/>
        </w:rPr>
        <w:t>、同意向贵方提供贵方可能要求的、与本次磋商有关的任何证据资料。</w:t>
      </w:r>
    </w:p>
    <w:p w14:paraId="713F40DF">
      <w:pPr>
        <w:adjustRightInd w:val="0"/>
        <w:snapToGrid w:val="0"/>
        <w:spacing w:line="480" w:lineRule="exact"/>
        <w:ind w:firstLine="480" w:firstLineChars="200"/>
        <w:jc w:val="left"/>
        <w:rPr>
          <w:rFonts w:ascii="宋体" w:cs="Times New Roman"/>
          <w:sz w:val="24"/>
          <w:szCs w:val="24"/>
        </w:rPr>
      </w:pPr>
      <w:r>
        <w:rPr>
          <w:rFonts w:ascii="宋体" w:hAnsi="宋体" w:cs="宋体"/>
          <w:sz w:val="24"/>
          <w:szCs w:val="24"/>
        </w:rPr>
        <w:t>7</w:t>
      </w:r>
      <w:r>
        <w:rPr>
          <w:rFonts w:hint="eastAsia" w:ascii="宋体" w:hAnsi="宋体" w:cs="宋体"/>
          <w:sz w:val="24"/>
          <w:szCs w:val="24"/>
        </w:rPr>
        <w:t>、我方承诺响应有效期为磋商后______日历日内有效。</w:t>
      </w:r>
    </w:p>
    <w:p w14:paraId="5F57686F">
      <w:pPr>
        <w:adjustRightInd w:val="0"/>
        <w:snapToGrid w:val="0"/>
        <w:spacing w:line="480" w:lineRule="exact"/>
        <w:ind w:firstLine="480" w:firstLineChars="200"/>
        <w:jc w:val="left"/>
        <w:rPr>
          <w:rFonts w:ascii="宋体" w:cs="Times New Roman"/>
          <w:sz w:val="24"/>
          <w:szCs w:val="24"/>
        </w:rPr>
      </w:pPr>
      <w:r>
        <w:rPr>
          <w:rFonts w:ascii="宋体" w:hAnsi="宋体" w:cs="宋体"/>
          <w:sz w:val="24"/>
          <w:szCs w:val="24"/>
        </w:rPr>
        <w:t>8</w:t>
      </w:r>
      <w:r>
        <w:rPr>
          <w:rFonts w:hint="eastAsia" w:ascii="宋体" w:hAnsi="宋体" w:cs="宋体"/>
          <w:sz w:val="24"/>
          <w:szCs w:val="24"/>
        </w:rPr>
        <w:t>、所有关于本次磋商的函电，请按下列地址联系：</w:t>
      </w:r>
    </w:p>
    <w:p w14:paraId="1369EB89">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供应商（单位名称及公章）：_____________________</w:t>
      </w:r>
    </w:p>
    <w:p w14:paraId="587379CE">
      <w:pPr>
        <w:adjustRightInd w:val="0"/>
        <w:snapToGrid w:val="0"/>
        <w:spacing w:line="480" w:lineRule="exact"/>
        <w:ind w:firstLine="480" w:firstLineChars="200"/>
        <w:rPr>
          <w:rFonts w:ascii="宋体" w:cs="Times New Roman"/>
          <w:sz w:val="24"/>
          <w:szCs w:val="24"/>
        </w:rPr>
      </w:pPr>
      <w:r>
        <w:rPr>
          <w:rFonts w:hint="eastAsia" w:ascii="宋体" w:hAnsi="宋体" w:cs="宋体"/>
          <w:sz w:val="24"/>
          <w:szCs w:val="24"/>
        </w:rPr>
        <w:t>法</w:t>
      </w:r>
      <w:r>
        <w:rPr>
          <w:rFonts w:hint="eastAsia" w:ascii="宋体" w:hAnsi="宋体" w:cs="宋体"/>
          <w:sz w:val="24"/>
          <w:szCs w:val="24"/>
          <w:lang w:eastAsia="zh-CN"/>
        </w:rPr>
        <w:t>定代表人或被授权人</w:t>
      </w:r>
      <w:r>
        <w:rPr>
          <w:rFonts w:hint="eastAsia" w:ascii="宋体" w:hAnsi="宋体" w:cs="宋体"/>
          <w:sz w:val="24"/>
          <w:szCs w:val="24"/>
        </w:rPr>
        <w:t>（</w:t>
      </w:r>
      <w:r>
        <w:rPr>
          <w:rFonts w:hint="eastAsia" w:ascii="宋体" w:hAnsi="宋体" w:cs="宋体"/>
          <w:sz w:val="24"/>
          <w:szCs w:val="24"/>
          <w:lang w:val="zh-CN"/>
        </w:rPr>
        <w:t>签字</w:t>
      </w:r>
      <w:r>
        <w:rPr>
          <w:rFonts w:hint="eastAsia" w:ascii="宋体" w:hAnsi="宋体" w:cs="宋体"/>
          <w:sz w:val="24"/>
          <w:szCs w:val="24"/>
          <w:lang w:val="en-US" w:eastAsia="zh-CN"/>
        </w:rPr>
        <w:t>或盖章</w:t>
      </w:r>
      <w:r>
        <w:rPr>
          <w:rFonts w:hint="eastAsia" w:ascii="宋体" w:hAnsi="宋体" w:cs="宋体"/>
          <w:sz w:val="24"/>
          <w:szCs w:val="24"/>
        </w:rPr>
        <w:t>）：_____________________</w:t>
      </w:r>
    </w:p>
    <w:p w14:paraId="000DDB2E">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址：___________________________________</w:t>
      </w:r>
    </w:p>
    <w:p w14:paraId="23934FD2">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开户银行：___________________________________</w:t>
      </w:r>
    </w:p>
    <w:p w14:paraId="26651531">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帐</w:t>
      </w:r>
      <w:r>
        <w:rPr>
          <w:rFonts w:ascii="宋体" w:hAnsi="宋体" w:cs="宋体"/>
          <w:sz w:val="24"/>
          <w:szCs w:val="24"/>
        </w:rPr>
        <w:t xml:space="preserve">    </w:t>
      </w:r>
      <w:r>
        <w:rPr>
          <w:rFonts w:hint="eastAsia" w:ascii="宋体" w:hAnsi="宋体" w:cs="宋体"/>
          <w:sz w:val="24"/>
          <w:szCs w:val="24"/>
        </w:rPr>
        <w:t>号：___________________________________</w:t>
      </w:r>
    </w:p>
    <w:p w14:paraId="4A37CED8">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电</w:t>
      </w:r>
      <w:r>
        <w:rPr>
          <w:rFonts w:ascii="宋体" w:hAnsi="宋体" w:cs="宋体"/>
          <w:sz w:val="24"/>
          <w:szCs w:val="24"/>
        </w:rPr>
        <w:t xml:space="preserve">    </w:t>
      </w:r>
      <w:r>
        <w:rPr>
          <w:rFonts w:hint="eastAsia" w:ascii="宋体" w:hAnsi="宋体" w:cs="宋体"/>
          <w:sz w:val="24"/>
          <w:szCs w:val="24"/>
        </w:rPr>
        <w:t>话：___________________________________</w:t>
      </w:r>
    </w:p>
    <w:p w14:paraId="0806F5D3">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邮</w:t>
      </w:r>
      <w:r>
        <w:rPr>
          <w:rFonts w:ascii="宋体" w:hAnsi="宋体" w:cs="宋体"/>
          <w:sz w:val="24"/>
          <w:szCs w:val="24"/>
        </w:rPr>
        <w:t xml:space="preserve">    </w:t>
      </w:r>
      <w:r>
        <w:rPr>
          <w:rFonts w:hint="eastAsia" w:ascii="宋体" w:hAnsi="宋体" w:cs="宋体"/>
          <w:sz w:val="24"/>
          <w:szCs w:val="24"/>
        </w:rPr>
        <w:t>编：___________________________________</w:t>
      </w:r>
    </w:p>
    <w:p w14:paraId="61B3040D">
      <w:pPr>
        <w:adjustRightInd w:val="0"/>
        <w:snapToGrid w:val="0"/>
        <w:spacing w:line="480" w:lineRule="exact"/>
        <w:ind w:firstLine="480" w:firstLineChars="200"/>
        <w:jc w:val="center"/>
        <w:rPr>
          <w:rFonts w:hint="eastAsia" w:ascii="宋体" w:hAnsi="宋体" w:eastAsia="宋体" w:cs="宋体"/>
          <w:b/>
          <w:bCs w:val="0"/>
          <w:color w:val="auto"/>
          <w:sz w:val="36"/>
          <w:szCs w:val="36"/>
          <w:u w:val="none"/>
          <w:lang w:val="en-US" w:eastAsia="zh-CN"/>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期：_______年_______月_______日</w:t>
      </w:r>
      <w:bookmarkStart w:id="154" w:name="_Toc28494"/>
      <w:bookmarkStart w:id="155" w:name="_Toc30983"/>
      <w:bookmarkStart w:id="156" w:name="_Toc536429334"/>
      <w:bookmarkStart w:id="157" w:name="_Toc536202325"/>
      <w:bookmarkStart w:id="158" w:name="_Toc536202394"/>
      <w:bookmarkStart w:id="159" w:name="_Toc536429387"/>
      <w:bookmarkStart w:id="160" w:name="_Toc19543350"/>
      <w:r>
        <w:rPr>
          <w:rFonts w:hint="eastAsia" w:ascii="宋体" w:hAnsi="宋体" w:cs="宋体"/>
          <w:sz w:val="24"/>
          <w:szCs w:val="24"/>
        </w:rPr>
        <w:br w:type="page"/>
      </w:r>
      <w:r>
        <w:rPr>
          <w:rFonts w:hint="eastAsia" w:ascii="宋体" w:hAnsi="宋体" w:eastAsia="宋体" w:cs="宋体"/>
          <w:b/>
          <w:bCs w:val="0"/>
          <w:color w:val="auto"/>
          <w:sz w:val="36"/>
          <w:szCs w:val="36"/>
          <w:u w:val="none"/>
          <w:lang w:val="en-US" w:eastAsia="zh-CN"/>
        </w:rPr>
        <w:t>第二</w:t>
      </w:r>
      <w:bookmarkEnd w:id="154"/>
      <w:r>
        <w:rPr>
          <w:rFonts w:hint="eastAsia" w:ascii="宋体" w:hAnsi="宋体" w:eastAsia="宋体" w:cs="宋体"/>
          <w:b/>
          <w:bCs w:val="0"/>
          <w:color w:val="auto"/>
          <w:sz w:val="36"/>
          <w:szCs w:val="36"/>
          <w:u w:val="none"/>
          <w:lang w:val="en-US" w:eastAsia="zh-CN"/>
        </w:rPr>
        <w:t xml:space="preserve">章  </w:t>
      </w:r>
      <w:bookmarkEnd w:id="155"/>
      <w:r>
        <w:rPr>
          <w:rFonts w:hint="eastAsia" w:ascii="宋体" w:hAnsi="宋体" w:eastAsia="宋体" w:cs="宋体"/>
          <w:b/>
          <w:bCs w:val="0"/>
          <w:color w:val="auto"/>
          <w:sz w:val="36"/>
          <w:szCs w:val="36"/>
          <w:u w:val="none"/>
          <w:lang w:val="en-US" w:eastAsia="zh-CN"/>
        </w:rPr>
        <w:t>响应报价表</w:t>
      </w:r>
      <w:bookmarkEnd w:id="156"/>
      <w:bookmarkEnd w:id="157"/>
      <w:bookmarkEnd w:id="158"/>
      <w:bookmarkEnd w:id="159"/>
      <w:bookmarkEnd w:id="160"/>
    </w:p>
    <w:p w14:paraId="3D51F663">
      <w:pPr>
        <w:rPr>
          <w:rFonts w:cs="Times New Roman" w:asciiTheme="minorEastAsia" w:hAnsiTheme="minorEastAsia" w:eastAsiaTheme="minorEastAsia"/>
          <w:sz w:val="28"/>
          <w:szCs w:val="28"/>
        </w:rPr>
      </w:pPr>
      <w:bookmarkStart w:id="161" w:name="_Toc536202395"/>
      <w:bookmarkStart w:id="162" w:name="_Toc536202326"/>
      <w:bookmarkStart w:id="163" w:name="_Toc536429335"/>
      <w:bookmarkStart w:id="164" w:name="_Toc536429388"/>
      <w:r>
        <w:rPr>
          <w:rFonts w:hint="eastAsia" w:cs="Times New Roman" w:asciiTheme="minorEastAsia" w:hAnsiTheme="minorEastAsia" w:eastAsiaTheme="minorEastAsia"/>
          <w:sz w:val="28"/>
          <w:szCs w:val="28"/>
        </w:rPr>
        <w:t>供应商名称：</w:t>
      </w:r>
      <w:bookmarkEnd w:id="161"/>
      <w:bookmarkEnd w:id="162"/>
      <w:bookmarkEnd w:id="163"/>
      <w:bookmarkEnd w:id="164"/>
      <w:r>
        <w:rPr>
          <w:rFonts w:hint="eastAsia" w:cs="Times New Roman" w:asciiTheme="minorEastAsia" w:hAnsiTheme="minorEastAsia" w:eastAsiaTheme="minorEastAsia"/>
          <w:sz w:val="28"/>
          <w:szCs w:val="28"/>
        </w:rPr>
        <w:t xml:space="preserve">                                        </w:t>
      </w:r>
    </w:p>
    <w:p w14:paraId="6A76E605">
      <w:pPr>
        <w:kinsoku w:val="0"/>
        <w:spacing w:line="360" w:lineRule="auto"/>
        <w:jc w:val="left"/>
        <w:rPr>
          <w:rFonts w:ascii="宋体" w:cs="Times New Roman"/>
          <w:sz w:val="24"/>
          <w:szCs w:val="24"/>
        </w:rPr>
      </w:pPr>
      <w:r>
        <w:rPr>
          <w:rFonts w:hint="eastAsia" w:cs="Times New Roman" w:asciiTheme="minorEastAsia" w:hAnsiTheme="minorEastAsia" w:eastAsiaTheme="minorEastAsia"/>
          <w:sz w:val="28"/>
          <w:szCs w:val="28"/>
        </w:rPr>
        <w:t xml:space="preserve">项目名称：                                           </w:t>
      </w:r>
    </w:p>
    <w:tbl>
      <w:tblPr>
        <w:tblStyle w:val="36"/>
        <w:tblW w:w="10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9"/>
        <w:gridCol w:w="8218"/>
      </w:tblGrid>
      <w:tr w14:paraId="4168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279" w:type="dxa"/>
            <w:vAlign w:val="center"/>
          </w:tcPr>
          <w:p w14:paraId="48B31DC4">
            <w:pPr>
              <w:keepNext w:val="0"/>
              <w:keepLines w:val="0"/>
              <w:suppressLineNumbers w:val="0"/>
              <w:kinsoku w:val="0"/>
              <w:spacing w:before="0" w:beforeAutospacing="0" w:after="0" w:afterAutospacing="0" w:line="500" w:lineRule="exact"/>
              <w:ind w:left="0" w:right="0"/>
              <w:jc w:val="center"/>
              <w:rPr>
                <w:rFonts w:hint="default" w:ascii="宋体" w:hAnsi="宋体" w:eastAsia="宋体" w:cs="Times New Roman"/>
                <w:sz w:val="24"/>
                <w:szCs w:val="24"/>
                <w:lang w:val="en-US" w:eastAsia="zh-CN"/>
              </w:rPr>
            </w:pPr>
            <w:r>
              <w:rPr>
                <w:rFonts w:hint="eastAsia" w:ascii="宋体" w:hAnsi="宋体" w:cs="Times New Roman"/>
                <w:sz w:val="24"/>
                <w:szCs w:val="24"/>
                <w:lang w:val="en-US" w:eastAsia="zh-CN"/>
              </w:rPr>
              <w:t>投标总价</w:t>
            </w:r>
          </w:p>
        </w:tc>
        <w:tc>
          <w:tcPr>
            <w:tcW w:w="8218" w:type="dxa"/>
            <w:vAlign w:val="center"/>
          </w:tcPr>
          <w:p w14:paraId="3D92CFBC">
            <w:pPr>
              <w:keepNext w:val="0"/>
              <w:keepLines w:val="0"/>
              <w:suppressLineNumbers w:val="0"/>
              <w:spacing w:before="0" w:beforeAutospacing="0" w:after="0" w:afterAutospacing="0"/>
              <w:ind w:left="0" w:right="0"/>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14:textFill>
                  <w14:solidFill>
                    <w14:schemeClr w14:val="tx1"/>
                  </w14:solidFill>
                </w14:textFill>
              </w:rPr>
              <w:t>大写:</w:t>
            </w:r>
            <w:r>
              <w:rPr>
                <w:rFonts w:hint="eastAsia" w:ascii="宋体" w:hAnsi="宋体" w:eastAsia="宋体" w:cs="宋体"/>
                <w:i w:val="0"/>
                <w:iCs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i w:val="0"/>
                <w:iCs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小</w:t>
            </w:r>
            <w:r>
              <w:rPr>
                <w:rFonts w:hint="eastAsia" w:ascii="宋体" w:hAnsi="宋体" w:eastAsia="宋体" w:cs="宋体"/>
                <w:i w:val="0"/>
                <w:iCs w:val="0"/>
                <w:color w:val="000000" w:themeColor="text1"/>
                <w:sz w:val="24"/>
                <w:szCs w:val="24"/>
                <w:highlight w:val="none"/>
                <w:u w:val="none"/>
                <w14:textFill>
                  <w14:solidFill>
                    <w14:schemeClr w14:val="tx1"/>
                  </w14:solidFill>
                </w14:textFill>
              </w:rPr>
              <w:t>写:</w:t>
            </w:r>
            <w:r>
              <w:rPr>
                <w:rFonts w:hint="eastAsia" w:ascii="宋体" w:hAnsi="宋体" w:eastAsia="宋体" w:cs="宋体"/>
                <w:i w:val="0"/>
                <w:iCs w:val="0"/>
                <w:color w:val="000000" w:themeColor="text1"/>
                <w:sz w:val="24"/>
                <w:szCs w:val="24"/>
                <w:highlight w:val="none"/>
                <w:u w:val="single"/>
                <w:lang w:val="en-US" w:eastAsia="zh-CN"/>
                <w14:textFill>
                  <w14:solidFill>
                    <w14:schemeClr w14:val="tx1"/>
                  </w14:solidFill>
                </w14:textFill>
              </w:rPr>
              <w:t xml:space="preserve">            </w:t>
            </w:r>
          </w:p>
        </w:tc>
      </w:tr>
      <w:tr w14:paraId="2B9A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2279" w:type="dxa"/>
            <w:vAlign w:val="center"/>
          </w:tcPr>
          <w:p w14:paraId="3CF35870">
            <w:pPr>
              <w:keepNext w:val="0"/>
              <w:keepLines w:val="0"/>
              <w:suppressLineNumbers w:val="0"/>
              <w:kinsoku w:val="0"/>
              <w:spacing w:before="0" w:beforeAutospacing="0" w:after="0" w:afterAutospacing="0" w:line="500" w:lineRule="exact"/>
              <w:ind w:left="0" w:right="0"/>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服务期限</w:t>
            </w:r>
          </w:p>
        </w:tc>
        <w:tc>
          <w:tcPr>
            <w:tcW w:w="8218" w:type="dxa"/>
            <w:vAlign w:val="center"/>
          </w:tcPr>
          <w:p w14:paraId="217EAC86">
            <w:pPr>
              <w:keepNext w:val="0"/>
              <w:keepLines w:val="0"/>
              <w:suppressLineNumbers w:val="0"/>
              <w:kinsoku w:val="0"/>
              <w:spacing w:before="0" w:beforeAutospacing="0" w:after="0" w:afterAutospacing="0" w:line="500" w:lineRule="exact"/>
              <w:ind w:left="0" w:right="0"/>
              <w:jc w:val="center"/>
              <w:rPr>
                <w:rFonts w:hint="default" w:ascii="宋体" w:hAnsi="宋体" w:cs="Times New Roman"/>
                <w:sz w:val="24"/>
                <w:szCs w:val="24"/>
              </w:rPr>
            </w:pPr>
          </w:p>
        </w:tc>
      </w:tr>
      <w:tr w14:paraId="4D02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2279" w:type="dxa"/>
            <w:vAlign w:val="center"/>
          </w:tcPr>
          <w:p w14:paraId="784D1D29">
            <w:pPr>
              <w:keepNext w:val="0"/>
              <w:keepLines w:val="0"/>
              <w:suppressLineNumbers w:val="0"/>
              <w:kinsoku w:val="0"/>
              <w:spacing w:before="0" w:beforeAutospacing="0" w:after="0" w:afterAutospacing="0" w:line="500" w:lineRule="exact"/>
              <w:ind w:left="0" w:right="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备注</w:t>
            </w:r>
          </w:p>
          <w:p w14:paraId="0BB25B2B">
            <w:pPr>
              <w:keepNext w:val="0"/>
              <w:keepLines w:val="0"/>
              <w:suppressLineNumbers w:val="0"/>
              <w:kinsoku w:val="0"/>
              <w:spacing w:before="0" w:beforeAutospacing="0" w:after="0" w:afterAutospacing="0" w:line="500" w:lineRule="exact"/>
              <w:ind w:left="0" w:right="0"/>
              <w:jc w:val="center"/>
              <w:rPr>
                <w:rFonts w:hint="default" w:ascii="宋体" w:hAnsi="宋体" w:cs="Times New Roman"/>
                <w:sz w:val="24"/>
                <w:szCs w:val="24"/>
                <w:lang w:val="en-US" w:eastAsia="zh-CN"/>
              </w:rPr>
            </w:pPr>
            <w:r>
              <w:rPr>
                <w:rFonts w:hint="eastAsia" w:ascii="宋体" w:hAnsi="宋体" w:cs="Times New Roman"/>
                <w:sz w:val="24"/>
                <w:szCs w:val="24"/>
              </w:rPr>
              <w:t>（小型、微型企业）</w:t>
            </w:r>
          </w:p>
        </w:tc>
        <w:tc>
          <w:tcPr>
            <w:tcW w:w="8218" w:type="dxa"/>
            <w:vAlign w:val="center"/>
          </w:tcPr>
          <w:p w14:paraId="5B64B707">
            <w:pPr>
              <w:keepNext w:val="0"/>
              <w:keepLines w:val="0"/>
              <w:suppressLineNumbers w:val="0"/>
              <w:kinsoku w:val="0"/>
              <w:spacing w:before="0" w:beforeAutospacing="0" w:after="0" w:afterAutospacing="0" w:line="500" w:lineRule="exact"/>
              <w:ind w:left="0" w:right="0"/>
              <w:jc w:val="center"/>
              <w:rPr>
                <w:rFonts w:hint="default" w:ascii="宋体" w:hAnsi="宋体" w:cs="Times New Roman"/>
                <w:sz w:val="24"/>
                <w:szCs w:val="24"/>
              </w:rPr>
            </w:pPr>
          </w:p>
        </w:tc>
      </w:tr>
    </w:tbl>
    <w:p w14:paraId="4F380A79">
      <w:pPr>
        <w:spacing w:line="360" w:lineRule="auto"/>
        <w:jc w:val="left"/>
        <w:rPr>
          <w:rFonts w:hint="eastAsia" w:ascii="宋体" w:hAnsi="宋体" w:cs="仿宋"/>
          <w:sz w:val="24"/>
          <w:szCs w:val="24"/>
        </w:rPr>
      </w:pPr>
      <w:r>
        <w:rPr>
          <w:rFonts w:hint="eastAsia" w:ascii="宋体" w:hAnsi="宋体" w:cs="仿宋"/>
          <w:sz w:val="24"/>
          <w:szCs w:val="24"/>
        </w:rPr>
        <w:t>备注</w:t>
      </w:r>
      <w:r>
        <w:rPr>
          <w:rFonts w:ascii="宋体" w:hAnsi="宋体" w:cs="仿宋"/>
          <w:sz w:val="24"/>
          <w:szCs w:val="24"/>
        </w:rPr>
        <w:t>：</w:t>
      </w:r>
      <w:r>
        <w:rPr>
          <w:rFonts w:hint="eastAsia" w:ascii="宋体" w:hAnsi="宋体" w:cs="仿宋"/>
          <w:sz w:val="24"/>
          <w:szCs w:val="24"/>
        </w:rPr>
        <w:t>投标人所报的价格应考虑到可能发生的所有与完成本项目相关服务及履行合同义务有关的一切费用。</w:t>
      </w:r>
    </w:p>
    <w:p w14:paraId="2552CBE7">
      <w:pPr>
        <w:kinsoku w:val="0"/>
        <w:spacing w:line="360" w:lineRule="auto"/>
        <w:jc w:val="left"/>
        <w:rPr>
          <w:rFonts w:ascii="宋体" w:cs="Times New Roman"/>
          <w:sz w:val="24"/>
          <w:szCs w:val="24"/>
        </w:rPr>
      </w:pPr>
    </w:p>
    <w:p w14:paraId="07516696">
      <w:pPr>
        <w:adjustRightInd w:val="0"/>
        <w:snapToGrid w:val="0"/>
        <w:spacing w:line="480" w:lineRule="auto"/>
        <w:jc w:val="left"/>
        <w:rPr>
          <w:rFonts w:ascii="宋体" w:cs="Times New Roman"/>
          <w:sz w:val="24"/>
          <w:szCs w:val="24"/>
          <w:u w:val="single"/>
        </w:rPr>
      </w:pPr>
      <w:r>
        <w:rPr>
          <w:rFonts w:hint="eastAsia" w:ascii="宋体" w:hAnsi="宋体" w:cs="宋体"/>
          <w:sz w:val="24"/>
          <w:szCs w:val="24"/>
        </w:rPr>
        <w:t>供应商（单位名称及公章）：____________________________</w:t>
      </w:r>
    </w:p>
    <w:p w14:paraId="124078B3">
      <w:pPr>
        <w:adjustRightInd w:val="0"/>
        <w:snapToGrid w:val="0"/>
        <w:spacing w:line="480" w:lineRule="auto"/>
        <w:rPr>
          <w:rFonts w:ascii="宋体" w:cs="Times New Roman"/>
          <w:sz w:val="24"/>
          <w:szCs w:val="24"/>
        </w:rPr>
      </w:pPr>
      <w:r>
        <w:rPr>
          <w:rFonts w:hint="eastAsia" w:ascii="宋体" w:hAnsi="宋体" w:cs="宋体"/>
          <w:sz w:val="24"/>
          <w:szCs w:val="24"/>
        </w:rPr>
        <w:t>法</w:t>
      </w:r>
      <w:r>
        <w:rPr>
          <w:rFonts w:hint="eastAsia" w:ascii="宋体" w:hAnsi="宋体" w:cs="宋体"/>
          <w:sz w:val="24"/>
          <w:szCs w:val="24"/>
          <w:lang w:eastAsia="zh-CN"/>
        </w:rPr>
        <w:t>定代表人或被授权人</w:t>
      </w:r>
      <w:r>
        <w:rPr>
          <w:rFonts w:hint="eastAsia" w:ascii="宋体" w:hAnsi="宋体" w:cs="宋体"/>
          <w:sz w:val="24"/>
          <w:szCs w:val="24"/>
        </w:rPr>
        <w:t>（</w:t>
      </w:r>
      <w:r>
        <w:rPr>
          <w:rFonts w:hint="eastAsia" w:ascii="宋体" w:hAnsi="宋体" w:cs="宋体"/>
          <w:sz w:val="24"/>
          <w:szCs w:val="24"/>
          <w:lang w:val="zh-CN"/>
        </w:rPr>
        <w:t>签字</w:t>
      </w:r>
      <w:r>
        <w:rPr>
          <w:rFonts w:hint="eastAsia" w:ascii="宋体" w:hAnsi="宋体" w:cs="宋体"/>
          <w:sz w:val="24"/>
          <w:szCs w:val="24"/>
          <w:lang w:val="en-US" w:eastAsia="zh-CN"/>
        </w:rPr>
        <w:t>或盖章</w:t>
      </w:r>
      <w:r>
        <w:rPr>
          <w:rFonts w:hint="eastAsia" w:ascii="宋体" w:hAnsi="宋体" w:cs="宋体"/>
          <w:sz w:val="24"/>
          <w:szCs w:val="24"/>
        </w:rPr>
        <w:t>）：____________________________</w:t>
      </w:r>
    </w:p>
    <w:p w14:paraId="2E68C757">
      <w:pPr>
        <w:adjustRightInd w:val="0"/>
        <w:snapToGrid w:val="0"/>
        <w:spacing w:line="480" w:lineRule="auto"/>
        <w:rPr>
          <w:rFonts w:ascii="宋体" w:cs="Times New Roman"/>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期：_______年_______月_______日</w:t>
      </w:r>
    </w:p>
    <w:p w14:paraId="326D4E2E">
      <w:pPr>
        <w:kinsoku w:val="0"/>
        <w:spacing w:line="480" w:lineRule="auto"/>
        <w:jc w:val="left"/>
        <w:rPr>
          <w:rFonts w:ascii="宋体" w:cs="Times New Roman"/>
          <w:sz w:val="24"/>
          <w:szCs w:val="24"/>
        </w:rPr>
      </w:pPr>
    </w:p>
    <w:p w14:paraId="4983140D">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bookmarkStart w:id="165" w:name="_Toc11309"/>
      <w:r>
        <w:rPr>
          <w:rFonts w:hint="eastAsia" w:ascii="宋体" w:hAnsi="宋体" w:eastAsia="宋体" w:cs="宋体"/>
          <w:b/>
          <w:bCs w:val="0"/>
          <w:color w:val="auto"/>
          <w:sz w:val="36"/>
          <w:szCs w:val="36"/>
          <w:u w:val="none"/>
          <w:lang w:val="en-US" w:eastAsia="zh-CN"/>
        </w:rPr>
        <w:br w:type="page"/>
      </w:r>
      <w:r>
        <w:rPr>
          <w:rFonts w:hint="eastAsia" w:ascii="宋体" w:hAnsi="宋体" w:eastAsia="宋体" w:cs="宋体"/>
          <w:b/>
          <w:bCs w:val="0"/>
          <w:color w:val="auto"/>
          <w:sz w:val="36"/>
          <w:szCs w:val="36"/>
          <w:u w:val="none"/>
          <w:lang w:val="en-US" w:eastAsia="zh-CN"/>
        </w:rPr>
        <w:t>第三章 供应商资质证明文件</w:t>
      </w:r>
    </w:p>
    <w:p w14:paraId="5B640F2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20" w:lineRule="exact"/>
        <w:ind w:right="0" w:rightChars="0"/>
        <w:textAlignment w:val="baseline"/>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vertAlign w:val="baseline"/>
        </w:rPr>
        <w:t xml:space="preserve"> 1.满足《中华人民共和国政府采购法》第二十二条规定;</w:t>
      </w:r>
    </w:p>
    <w:p w14:paraId="5D46688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20" w:lineRule="exact"/>
        <w:ind w:right="0" w:rightChars="0"/>
        <w:textAlignment w:val="baseline"/>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vertAlign w:val="baseline"/>
        </w:rPr>
        <w:t>2.落实政府采购政策需满足的资格要求：</w:t>
      </w:r>
    </w:p>
    <w:p w14:paraId="2C6C2BD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20" w:lineRule="exact"/>
        <w:ind w:right="0" w:rightChars="0"/>
        <w:textAlignment w:val="baseline"/>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vertAlign w:val="baseline"/>
        </w:rPr>
        <w:t>合同包1(汉滨区“十三五”易地扶贫搬迁清盘决算审计项目)落实政府采购政策需满足的资格要求如下:</w:t>
      </w:r>
    </w:p>
    <w:p w14:paraId="02AAB76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20" w:lineRule="exact"/>
        <w:ind w:right="0" w:rightChars="0"/>
        <w:textAlignment w:val="baseline"/>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vertAlign w:val="baseline"/>
        </w:rPr>
        <w:t>（1）财政部、国家环保总局联合印发《关于环境标志产品政府采购实施的意见》(财库[2006]90号)；</w:t>
      </w:r>
    </w:p>
    <w:p w14:paraId="479C6A1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20" w:lineRule="exact"/>
        <w:ind w:right="0" w:rightChars="0"/>
        <w:textAlignment w:val="baseline"/>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vertAlign w:val="baseline"/>
        </w:rPr>
        <w:t>（2）国务院办公厅关于建立政府强制采购节能产品制度的通知 国办发〔2007〕51号；</w:t>
      </w:r>
    </w:p>
    <w:p w14:paraId="7011294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20" w:lineRule="exact"/>
        <w:ind w:right="0" w:rightChars="0"/>
        <w:textAlignment w:val="baseline"/>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vertAlign w:val="baseline"/>
        </w:rPr>
        <w:t>（3）财政部、工业和信息化部关于印发《政府采购促进中小企业发展管理办法》的通知(财库〔2020〕46号)；</w:t>
      </w:r>
    </w:p>
    <w:p w14:paraId="2E8CFEC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20" w:lineRule="exact"/>
        <w:ind w:right="0" w:rightChars="0"/>
        <w:textAlignment w:val="baseline"/>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vertAlign w:val="baseline"/>
        </w:rPr>
        <w:t>（4）财政部 司法部关于政府采购支持监狱企业发展有关问题的通知(财库〔2014〕68号)；</w:t>
      </w:r>
    </w:p>
    <w:p w14:paraId="3278496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20" w:lineRule="exact"/>
        <w:ind w:right="0" w:rightChars="0"/>
        <w:textAlignment w:val="baseline"/>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vertAlign w:val="baseline"/>
        </w:rPr>
        <w:t>（5）财政部、民政部、中国残疾人联合会关于促进残疾人就业政府采购政策的通知（财库〔2017〕141号）；</w:t>
      </w:r>
    </w:p>
    <w:p w14:paraId="2676E55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20" w:lineRule="exact"/>
        <w:ind w:right="0" w:rightChars="0"/>
        <w:textAlignment w:val="baseline"/>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vertAlign w:val="baseline"/>
        </w:rPr>
        <w:t>（6）《财政部 国务院扶贫办关于运用政府采购政策支持脱贫攻坚的通知》（财库〔2019〕27号）；</w:t>
      </w:r>
    </w:p>
    <w:p w14:paraId="401D55D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20" w:lineRule="exact"/>
        <w:ind w:right="0" w:rightChars="0"/>
        <w:textAlignment w:val="baseline"/>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vertAlign w:val="baseline"/>
        </w:rPr>
        <w:t>（7）陕西省财政厅关于印发《陕西省中小企业政府采购信用融资办法》（陕财办采〔2018〕23号）；</w:t>
      </w:r>
    </w:p>
    <w:p w14:paraId="09769FF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20" w:lineRule="exact"/>
        <w:ind w:right="0" w:rightChars="0"/>
        <w:textAlignment w:val="baseline"/>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vertAlign w:val="baseline"/>
        </w:rPr>
        <w:t>（8）《财政部 发展改革委 生态环境部市场监管总局关于调整优化节能产品、环境标志产品政府采购执行机制的通知》（财库〔2019〕9号）；</w:t>
      </w:r>
    </w:p>
    <w:p w14:paraId="31B79FD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20" w:lineRule="exact"/>
        <w:ind w:right="0" w:rightChars="0"/>
        <w:textAlignment w:val="baseline"/>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vertAlign w:val="baseline"/>
        </w:rPr>
        <w:t>(9)如有最新颁布的政府采购政策，按最新的文件执行。</w:t>
      </w:r>
    </w:p>
    <w:p w14:paraId="1DA5D6D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20" w:lineRule="exact"/>
        <w:ind w:right="0" w:rightChars="0"/>
        <w:textAlignment w:val="baseline"/>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vertAlign w:val="baseline"/>
        </w:rPr>
        <w:t>3.本项目的特定资格要求：</w:t>
      </w:r>
    </w:p>
    <w:p w14:paraId="3DC74C7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20" w:lineRule="exact"/>
        <w:ind w:right="0" w:rightChars="0"/>
        <w:textAlignment w:val="baseline"/>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vertAlign w:val="baseline"/>
        </w:rPr>
        <w:t>合同包1(汉滨区“十三五”易地扶贫搬迁清盘决算审计项目)特定资格要求如下:</w:t>
      </w:r>
    </w:p>
    <w:p w14:paraId="138B60D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20" w:lineRule="exact"/>
        <w:ind w:right="0" w:rightChars="0"/>
        <w:textAlignment w:val="baseline"/>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vertAlign w:val="baseline"/>
        </w:rPr>
        <w:t>（1）具有独立承担民事责任能力的法人、其他组织或自然人，并出具合法有效的营业执照或事业单位法人证书等国家规定的相关证明资料，自然人参与的提供其身份证明；</w:t>
      </w:r>
    </w:p>
    <w:p w14:paraId="6F1EAA3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20" w:lineRule="exact"/>
        <w:ind w:right="0" w:rightChars="0"/>
        <w:textAlignment w:val="baseline"/>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vertAlign w:val="baseline"/>
        </w:rPr>
        <w:t>（2）法定代表人授权书和被授权人的身份证；法定代表人参加磋商时，须提供本人身份证；</w:t>
      </w:r>
    </w:p>
    <w:p w14:paraId="24B7B91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20" w:lineRule="exact"/>
        <w:ind w:right="0" w:rightChars="0"/>
        <w:textAlignment w:val="baseline"/>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vertAlign w:val="baseline"/>
        </w:rPr>
        <w:t>（3）书面声明：参加本次政府采购活动前三年内在经营活动中没有重大违纪，以及未被列入失信被执行人、重大税收违法案件当事人名单、政府采购严重违法失信行为记录名单的书面声明；</w:t>
      </w:r>
    </w:p>
    <w:p w14:paraId="31AAD93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20" w:lineRule="exact"/>
        <w:ind w:right="0" w:rightChars="0"/>
        <w:textAlignment w:val="baseline"/>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vertAlign w:val="baseline"/>
        </w:rPr>
        <w:t>（4）具有良好的商业信誉和健全的财务会计管理制度：提供 2023 年或 2024 年财务审计报告；成立时间至提交投标文件截止时间不足一年的可提供成立后任意时段的资产负债表即可；或提供其开标前一个月内基本存款账户开户银行出具的资信证明；</w:t>
      </w:r>
    </w:p>
    <w:p w14:paraId="00F5FFD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20" w:lineRule="exact"/>
        <w:ind w:right="0" w:rightChars="0"/>
        <w:textAlignment w:val="baseline"/>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vertAlign w:val="baseline"/>
        </w:rPr>
        <w:t>（5）供应商通过“信用中国”网站(www.creditchina.gov.cn)和中国政府采购网(www.ccgp.gov.cn)等渠道查询相关主体信用记录，对列入失信被执行人、重大税收违法案件当事人名单、政府采购严重违法失信行为记录名单的供应商，将拒绝其参与政府采购活动；</w:t>
      </w:r>
    </w:p>
    <w:p w14:paraId="5F22118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20" w:lineRule="exact"/>
        <w:ind w:right="0" w:rightChars="0"/>
        <w:textAlignment w:val="baseline"/>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vertAlign w:val="baseline"/>
        </w:rPr>
        <w:t>（6）社会保障资金缴纳证明：提供 2025 年 1 月 1 日至今任意1个月的社会保障资金缴 纳证明或社会保险缴纳清单或社会保险缴纳专用收据（依法不需要缴纳社会保障资金或新成立的供应商应提供相关文件证明）；</w:t>
      </w:r>
    </w:p>
    <w:p w14:paraId="6E51BFD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20" w:lineRule="exact"/>
        <w:ind w:right="0" w:rightChars="0"/>
        <w:textAlignment w:val="baseline"/>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vertAlign w:val="baseline"/>
        </w:rPr>
        <w:t>（7）税收缴纳证明：提供 2025年 1 月 1 日至今任意1个月已缴纳的完税证明（任意税 种），依法免税或新成立的供应商应提供相关文件证明；</w:t>
      </w:r>
    </w:p>
    <w:p w14:paraId="12CAE8A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20" w:lineRule="exact"/>
        <w:ind w:right="0" w:rightChars="0"/>
        <w:textAlignment w:val="baseline"/>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vertAlign w:val="baseline"/>
        </w:rPr>
        <w:t>（8）投标人须具有财政部门颁发的会计师事务所执业证书;</w:t>
      </w:r>
    </w:p>
    <w:p w14:paraId="3A33BF0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20" w:lineRule="exact"/>
        <w:ind w:right="0" w:rightChars="0"/>
        <w:textAlignment w:val="baseline"/>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vertAlign w:val="baseline"/>
        </w:rPr>
        <w:t>（9）项目专门面向中小企业采购，仅限符合《政府采购促进中小企业发展管理办法》（财库〔2020〕46号）条件的中小企业参与，供应商应填写中小企业声明函并对真实性负责（残疾人福利性单位及监狱企业视同为小型、微型企业）；</w:t>
      </w:r>
    </w:p>
    <w:p w14:paraId="192D430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20" w:lineRule="exact"/>
        <w:ind w:right="0" w:rightChars="0"/>
        <w:textAlignment w:val="baseline"/>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vertAlign w:val="baseline"/>
        </w:rPr>
        <w:t>（10）本项目不接受联合体磋商。</w:t>
      </w:r>
    </w:p>
    <w:p w14:paraId="375E207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20" w:lineRule="exact"/>
        <w:ind w:right="0" w:rightChars="0"/>
        <w:textAlignment w:val="baseline"/>
        <w:rPr>
          <w:rFonts w:hint="eastAsia" w:ascii="宋体" w:hAnsi="宋体" w:eastAsia="宋体" w:cs="宋体"/>
          <w:i w:val="0"/>
          <w:iCs w:val="0"/>
          <w:caps w:val="0"/>
          <w:color w:val="333333"/>
          <w:spacing w:val="0"/>
          <w:sz w:val="21"/>
          <w:szCs w:val="21"/>
          <w:shd w:val="clear" w:fill="FFFFFF"/>
          <w:vertAlign w:val="baseline"/>
        </w:rPr>
      </w:pPr>
    </w:p>
    <w:p w14:paraId="457645D7">
      <w:pPr>
        <w:rPr>
          <w:rFonts w:hint="default" w:ascii="宋体" w:hAnsi="宋体" w:eastAsia="宋体" w:cs="Arial"/>
          <w:b/>
          <w:color w:val="000000"/>
          <w:kern w:val="0"/>
          <w:sz w:val="32"/>
          <w:szCs w:val="32"/>
          <w:lang w:val="en-US" w:eastAsia="zh-CN"/>
        </w:rPr>
      </w:pPr>
      <w:r>
        <w:rPr>
          <w:rFonts w:hint="eastAsia" w:ascii="宋体" w:hAnsi="宋体" w:cs="Arial"/>
          <w:b/>
          <w:color w:val="000000"/>
          <w:kern w:val="0"/>
          <w:sz w:val="32"/>
          <w:szCs w:val="32"/>
          <w:lang w:val="en-US" w:eastAsia="zh-CN"/>
        </w:rPr>
        <w:t>注：上述资质为必备资质，欠缺其中任何一项按无效文件处理。投标人须保证资质文件的真实、合法、有效，因资质产生的一切纠纷由投标人承担法律责任。</w:t>
      </w:r>
    </w:p>
    <w:p w14:paraId="7C28497C">
      <w:pPr>
        <w:rPr>
          <w:rFonts w:hint="eastAsia" w:ascii="宋体" w:hAnsi="宋体" w:cs="Arial"/>
          <w:b/>
          <w:color w:val="000000"/>
          <w:kern w:val="0"/>
          <w:sz w:val="32"/>
          <w:szCs w:val="32"/>
        </w:rPr>
      </w:pPr>
      <w:r>
        <w:rPr>
          <w:rFonts w:hint="eastAsia" w:ascii="宋体" w:hAnsi="宋体" w:cs="Arial"/>
          <w:b/>
          <w:color w:val="000000"/>
          <w:kern w:val="0"/>
          <w:sz w:val="32"/>
          <w:szCs w:val="32"/>
        </w:rPr>
        <w:br w:type="page"/>
      </w:r>
    </w:p>
    <w:p w14:paraId="3CC77488">
      <w:pPr>
        <w:tabs>
          <w:tab w:val="left" w:pos="210"/>
        </w:tabs>
        <w:spacing w:line="420" w:lineRule="exact"/>
        <w:jc w:val="center"/>
        <w:rPr>
          <w:rFonts w:ascii="宋体" w:hAnsi="宋体" w:cs="Arial"/>
          <w:b/>
          <w:color w:val="000000"/>
          <w:kern w:val="0"/>
          <w:sz w:val="32"/>
          <w:szCs w:val="32"/>
        </w:rPr>
      </w:pPr>
      <w:r>
        <w:rPr>
          <w:rFonts w:hint="eastAsia" w:ascii="宋体" w:hAnsi="宋体" w:cs="Arial"/>
          <w:b/>
          <w:color w:val="000000"/>
          <w:kern w:val="0"/>
          <w:sz w:val="32"/>
          <w:szCs w:val="32"/>
        </w:rPr>
        <w:t>法定代表人证明书</w:t>
      </w:r>
    </w:p>
    <w:p w14:paraId="4F78B2FD">
      <w:pPr>
        <w:tabs>
          <w:tab w:val="left" w:pos="210"/>
        </w:tabs>
        <w:spacing w:line="320" w:lineRule="exact"/>
        <w:jc w:val="center"/>
        <w:rPr>
          <w:rFonts w:ascii="宋体" w:hAnsi="宋体" w:cs="Arial"/>
          <w:b/>
          <w:color w:val="000000"/>
          <w:kern w:val="0"/>
          <w:sz w:val="32"/>
          <w:szCs w:val="32"/>
        </w:rPr>
      </w:pPr>
    </w:p>
    <w:tbl>
      <w:tblPr>
        <w:tblStyle w:val="36"/>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47456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603" w:type="dxa"/>
            <w:gridSpan w:val="6"/>
            <w:vAlign w:val="center"/>
          </w:tcPr>
          <w:p w14:paraId="25FD61C7">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000000"/>
                <w:kern w:val="0"/>
                <w:sz w:val="24"/>
                <w:szCs w:val="24"/>
              </w:rPr>
            </w:pPr>
            <w:r>
              <w:rPr>
                <w:rFonts w:hint="eastAsia" w:ascii="宋体" w:hAnsi="宋体" w:cs="Arial"/>
                <w:color w:val="000000"/>
                <w:kern w:val="0"/>
                <w:sz w:val="24"/>
                <w:szCs w:val="24"/>
              </w:rPr>
              <w:t>致：</w:t>
            </w:r>
          </w:p>
        </w:tc>
      </w:tr>
      <w:tr w14:paraId="3EEC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0D96A29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企</w:t>
            </w:r>
          </w:p>
          <w:p w14:paraId="784D8D7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162777A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业</w:t>
            </w:r>
          </w:p>
          <w:p w14:paraId="407ADD0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7BD0FCB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w:t>
            </w:r>
          </w:p>
          <w:p w14:paraId="6EFB54C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12676F0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人</w:t>
            </w:r>
          </w:p>
        </w:tc>
        <w:tc>
          <w:tcPr>
            <w:tcW w:w="2223" w:type="dxa"/>
            <w:vAlign w:val="center"/>
          </w:tcPr>
          <w:p w14:paraId="574AB80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企业名称</w:t>
            </w:r>
          </w:p>
        </w:tc>
        <w:tc>
          <w:tcPr>
            <w:tcW w:w="6797" w:type="dxa"/>
            <w:gridSpan w:val="4"/>
            <w:vAlign w:val="center"/>
          </w:tcPr>
          <w:p w14:paraId="1514E28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23ADB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057DC24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3851631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法定地址</w:t>
            </w:r>
          </w:p>
        </w:tc>
        <w:tc>
          <w:tcPr>
            <w:tcW w:w="6797" w:type="dxa"/>
            <w:gridSpan w:val="4"/>
            <w:vAlign w:val="center"/>
          </w:tcPr>
          <w:p w14:paraId="713007C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1C47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3432A42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2846956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邮政编码</w:t>
            </w:r>
          </w:p>
        </w:tc>
        <w:tc>
          <w:tcPr>
            <w:tcW w:w="6797" w:type="dxa"/>
            <w:gridSpan w:val="4"/>
            <w:vAlign w:val="center"/>
          </w:tcPr>
          <w:p w14:paraId="4C19900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7E31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83" w:type="dxa"/>
            <w:vMerge w:val="continue"/>
            <w:vAlign w:val="center"/>
          </w:tcPr>
          <w:p w14:paraId="053C1FE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53EDF32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登记机关</w:t>
            </w:r>
          </w:p>
        </w:tc>
        <w:tc>
          <w:tcPr>
            <w:tcW w:w="6797" w:type="dxa"/>
            <w:gridSpan w:val="4"/>
            <w:vAlign w:val="center"/>
          </w:tcPr>
          <w:p w14:paraId="16728E9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5A69E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1033305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w:t>
            </w:r>
          </w:p>
        </w:tc>
        <w:tc>
          <w:tcPr>
            <w:tcW w:w="2223" w:type="dxa"/>
            <w:vAlign w:val="center"/>
          </w:tcPr>
          <w:p w14:paraId="31DBE89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姓名</w:t>
            </w:r>
          </w:p>
        </w:tc>
        <w:tc>
          <w:tcPr>
            <w:tcW w:w="2408" w:type="dxa"/>
            <w:gridSpan w:val="2"/>
            <w:vAlign w:val="center"/>
          </w:tcPr>
          <w:p w14:paraId="2056621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18" w:type="dxa"/>
            <w:vAlign w:val="center"/>
          </w:tcPr>
          <w:p w14:paraId="23D4E5A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性别</w:t>
            </w:r>
          </w:p>
        </w:tc>
        <w:tc>
          <w:tcPr>
            <w:tcW w:w="2171" w:type="dxa"/>
            <w:vAlign w:val="center"/>
          </w:tcPr>
          <w:p w14:paraId="5C75ECF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08D1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7843E21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3765799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职务</w:t>
            </w:r>
          </w:p>
        </w:tc>
        <w:tc>
          <w:tcPr>
            <w:tcW w:w="2408" w:type="dxa"/>
            <w:gridSpan w:val="2"/>
            <w:vAlign w:val="center"/>
          </w:tcPr>
          <w:p w14:paraId="09944D6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18" w:type="dxa"/>
            <w:vAlign w:val="center"/>
          </w:tcPr>
          <w:p w14:paraId="64E8616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联系电话</w:t>
            </w:r>
          </w:p>
        </w:tc>
        <w:tc>
          <w:tcPr>
            <w:tcW w:w="2171" w:type="dxa"/>
            <w:vAlign w:val="center"/>
          </w:tcPr>
          <w:p w14:paraId="480CFC1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6B90F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46B2D6C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0A84349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传真</w:t>
            </w:r>
          </w:p>
        </w:tc>
        <w:tc>
          <w:tcPr>
            <w:tcW w:w="6797" w:type="dxa"/>
            <w:gridSpan w:val="4"/>
            <w:vAlign w:val="center"/>
          </w:tcPr>
          <w:p w14:paraId="5C540F7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72D8D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583" w:type="dxa"/>
            <w:vMerge w:val="restart"/>
            <w:vAlign w:val="center"/>
          </w:tcPr>
          <w:p w14:paraId="3AAF1B9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法定代表人身份证复印件</w:t>
            </w:r>
          </w:p>
        </w:tc>
        <w:tc>
          <w:tcPr>
            <w:tcW w:w="4441" w:type="dxa"/>
            <w:gridSpan w:val="2"/>
            <w:vMerge w:val="restart"/>
            <w:vAlign w:val="center"/>
          </w:tcPr>
          <w:p w14:paraId="18A3FB8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（粘贴处）</w:t>
            </w:r>
          </w:p>
        </w:tc>
        <w:tc>
          <w:tcPr>
            <w:tcW w:w="4579" w:type="dxa"/>
            <w:gridSpan w:val="3"/>
            <w:vAlign w:val="center"/>
          </w:tcPr>
          <w:p w14:paraId="4EF5804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法定代表人签字或盖章</w:t>
            </w:r>
          </w:p>
        </w:tc>
      </w:tr>
      <w:tr w14:paraId="79A7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583" w:type="dxa"/>
            <w:vMerge w:val="continue"/>
            <w:vAlign w:val="center"/>
          </w:tcPr>
          <w:p w14:paraId="35946C9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4441" w:type="dxa"/>
            <w:gridSpan w:val="2"/>
            <w:vMerge w:val="continue"/>
            <w:vAlign w:val="center"/>
          </w:tcPr>
          <w:p w14:paraId="6D080E4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4579" w:type="dxa"/>
            <w:gridSpan w:val="3"/>
            <w:vAlign w:val="bottom"/>
          </w:tcPr>
          <w:p w14:paraId="03180BA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（公章）</w:t>
            </w:r>
          </w:p>
          <w:p w14:paraId="5A1D0E4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2276EC0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2CA4722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7DD60C8C">
            <w:pPr>
              <w:keepNext w:val="0"/>
              <w:keepLines w:val="0"/>
              <w:suppressLineNumbers w:val="0"/>
              <w:tabs>
                <w:tab w:val="left" w:pos="210"/>
              </w:tabs>
              <w:spacing w:before="0" w:beforeAutospacing="0" w:after="0" w:afterAutospacing="0" w:line="320" w:lineRule="exact"/>
              <w:ind w:left="0" w:right="0"/>
              <w:jc w:val="right"/>
              <w:rPr>
                <w:rFonts w:hint="default" w:ascii="宋体" w:hAnsi="宋体" w:cs="Arial"/>
                <w:color w:val="000000"/>
                <w:kern w:val="0"/>
                <w:sz w:val="24"/>
                <w:szCs w:val="24"/>
              </w:rPr>
            </w:pPr>
            <w:r>
              <w:rPr>
                <w:rFonts w:hint="eastAsia" w:ascii="宋体" w:hAnsi="宋体" w:cs="Arial"/>
                <w:color w:val="000000"/>
                <w:kern w:val="0"/>
                <w:sz w:val="24"/>
                <w:szCs w:val="24"/>
              </w:rPr>
              <w:t xml:space="preserve">年  月  日 </w:t>
            </w:r>
          </w:p>
        </w:tc>
      </w:tr>
    </w:tbl>
    <w:p w14:paraId="41891B03">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bookmarkStart w:id="166" w:name="_Toc19543356"/>
    </w:p>
    <w:p w14:paraId="627786BD">
      <w:pPr>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br w:type="page"/>
      </w:r>
    </w:p>
    <w:p w14:paraId="566CA9A0">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法定代表人授权书</w:t>
      </w:r>
      <w:bookmarkEnd w:id="166"/>
    </w:p>
    <w:p w14:paraId="41817EBC">
      <w:pPr>
        <w:pStyle w:val="18"/>
        <w:spacing w:line="400" w:lineRule="exact"/>
        <w:jc w:val="left"/>
        <w:rPr>
          <w:rFonts w:hAnsi="宋体" w:cs="Times New Roman"/>
          <w:sz w:val="24"/>
          <w:szCs w:val="24"/>
        </w:rPr>
      </w:pPr>
      <w:r>
        <w:rPr>
          <w:rFonts w:hint="eastAsia" w:hAnsi="宋体"/>
          <w:sz w:val="24"/>
          <w:szCs w:val="24"/>
          <w:lang w:eastAsia="zh-CN"/>
        </w:rPr>
        <w:t>汉滨区移民（脱贫）搬迁工作办公室</w:t>
      </w:r>
      <w:r>
        <w:rPr>
          <w:rFonts w:hint="eastAsia" w:hAnsi="宋体"/>
          <w:sz w:val="24"/>
          <w:szCs w:val="24"/>
        </w:rPr>
        <w:t>：</w:t>
      </w:r>
    </w:p>
    <w:p w14:paraId="1BAD2F92">
      <w:pPr>
        <w:tabs>
          <w:tab w:val="left" w:pos="8820"/>
        </w:tabs>
        <w:spacing w:line="400" w:lineRule="exact"/>
        <w:ind w:firstLine="570"/>
        <w:rPr>
          <w:rFonts w:ascii="宋体" w:cs="Times New Roman"/>
          <w:sz w:val="24"/>
          <w:szCs w:val="24"/>
          <w:u w:val="single"/>
        </w:rPr>
      </w:pPr>
      <w:r>
        <w:rPr>
          <w:rFonts w:hint="eastAsia" w:ascii="宋体" w:hAnsi="宋体" w:cs="宋体"/>
          <w:sz w:val="24"/>
          <w:szCs w:val="24"/>
        </w:rPr>
        <w:t>本授权委托书声明：我</w:t>
      </w:r>
      <w:r>
        <w:rPr>
          <w:rFonts w:hint="eastAsia" w:ascii="宋体" w:hAnsi="宋体" w:cs="宋体"/>
          <w:sz w:val="24"/>
          <w:szCs w:val="24"/>
          <w:u w:val="single"/>
        </w:rPr>
        <w:t>（法定代表人姓名）</w:t>
      </w:r>
      <w:r>
        <w:rPr>
          <w:rFonts w:ascii="宋体" w:hAnsi="宋体" w:cs="宋体"/>
          <w:sz w:val="24"/>
          <w:szCs w:val="24"/>
          <w:u w:val="single"/>
        </w:rPr>
        <w:t xml:space="preserve">   </w:t>
      </w:r>
      <w:r>
        <w:rPr>
          <w:rFonts w:hint="eastAsia" w:ascii="宋体" w:hAnsi="宋体" w:cs="宋体"/>
          <w:sz w:val="24"/>
          <w:szCs w:val="24"/>
        </w:rPr>
        <w:t>系注册于</w:t>
      </w:r>
      <w:r>
        <w:rPr>
          <w:rFonts w:ascii="宋体" w:hAnsi="宋体" w:cs="宋体"/>
          <w:sz w:val="24"/>
          <w:szCs w:val="24"/>
          <w:u w:val="single"/>
        </w:rPr>
        <w:t xml:space="preserve">  </w:t>
      </w:r>
      <w:r>
        <w:rPr>
          <w:rFonts w:hint="eastAsia" w:ascii="宋体" w:hAnsi="宋体" w:cs="宋体"/>
          <w:sz w:val="24"/>
          <w:szCs w:val="24"/>
          <w:u w:val="single"/>
        </w:rPr>
        <w:t>（供应商地址）</w:t>
      </w:r>
      <w:r>
        <w:rPr>
          <w:rFonts w:hint="eastAsia" w:ascii="宋体" w:hAnsi="宋体" w:cs="宋体"/>
          <w:sz w:val="24"/>
          <w:szCs w:val="24"/>
        </w:rPr>
        <w:t>的</w:t>
      </w:r>
      <w:r>
        <w:rPr>
          <w:rFonts w:hint="eastAsia" w:ascii="宋体" w:hAnsi="宋体" w:cs="宋体"/>
          <w:sz w:val="24"/>
          <w:szCs w:val="24"/>
          <w:u w:val="single"/>
        </w:rPr>
        <w:t>（供应商名称）</w:t>
      </w:r>
      <w:r>
        <w:rPr>
          <w:rFonts w:ascii="宋体" w:hAnsi="宋体" w:cs="宋体"/>
          <w:sz w:val="24"/>
          <w:szCs w:val="24"/>
          <w:u w:val="single"/>
        </w:rPr>
        <w:t xml:space="preserve">  </w:t>
      </w:r>
      <w:r>
        <w:rPr>
          <w:rFonts w:hint="eastAsia" w:ascii="宋体" w:hAnsi="宋体" w:cs="宋体"/>
          <w:sz w:val="24"/>
          <w:szCs w:val="24"/>
        </w:rPr>
        <w:t>的法定代表人，现代表公司授权下面签字的</w:t>
      </w:r>
      <w:r>
        <w:rPr>
          <w:rFonts w:hint="eastAsia" w:ascii="宋体" w:hAnsi="宋体" w:cs="宋体"/>
          <w:sz w:val="24"/>
          <w:szCs w:val="24"/>
          <w:u w:val="single"/>
        </w:rPr>
        <w:t>（被授权人的姓名、职务）</w:t>
      </w:r>
      <w:r>
        <w:rPr>
          <w:rFonts w:ascii="宋体" w:hAnsi="宋体" w:cs="宋体"/>
          <w:sz w:val="24"/>
          <w:szCs w:val="24"/>
          <w:u w:val="single"/>
        </w:rPr>
        <w:t xml:space="preserve">   </w:t>
      </w:r>
      <w:r>
        <w:rPr>
          <w:rFonts w:hint="eastAsia" w:ascii="宋体" w:hAnsi="宋体" w:cs="宋体"/>
          <w:sz w:val="24"/>
          <w:szCs w:val="24"/>
        </w:rPr>
        <w:t>为我公司合法代理人，代表本公司参加</w:t>
      </w:r>
      <w:r>
        <w:rPr>
          <w:rFonts w:ascii="宋体" w:hAnsi="宋体" w:cs="宋体"/>
          <w:sz w:val="24"/>
          <w:szCs w:val="24"/>
          <w:u w:val="single"/>
        </w:rPr>
        <w:t xml:space="preserve">  </w:t>
      </w:r>
      <w:r>
        <w:rPr>
          <w:rFonts w:hint="eastAsia" w:ascii="宋体" w:hAnsi="宋体" w:cs="宋体"/>
          <w:sz w:val="24"/>
          <w:szCs w:val="24"/>
          <w:u w:val="single"/>
        </w:rPr>
        <w:t xml:space="preserve">（项目名称）  </w:t>
      </w:r>
      <w:r>
        <w:rPr>
          <w:rFonts w:hint="eastAsia" w:ascii="宋体" w:hAnsi="宋体" w:cs="宋体"/>
          <w:sz w:val="24"/>
          <w:szCs w:val="24"/>
        </w:rPr>
        <w:t>采购项目编号为</w:t>
      </w:r>
      <w:r>
        <w:rPr>
          <w:rFonts w:hint="eastAsia" w:ascii="宋体" w:hAnsi="宋体" w:cs="宋体"/>
          <w:sz w:val="24"/>
          <w:szCs w:val="24"/>
          <w:u w:val="single"/>
          <w:lang w:val="en-US" w:eastAsia="zh-CN"/>
        </w:rPr>
        <w:t xml:space="preserve">   </w:t>
      </w:r>
      <w:r>
        <w:rPr>
          <w:rFonts w:hint="eastAsia" w:ascii="宋体" w:hAnsi="宋体" w:cs="宋体"/>
          <w:sz w:val="24"/>
          <w:szCs w:val="24"/>
        </w:rPr>
        <w:t>的采购活动。以我方名义全权处理该项目有关磋商、签订合同以及执行合同等一切事宜。</w:t>
      </w:r>
    </w:p>
    <w:p w14:paraId="20527009">
      <w:pPr>
        <w:spacing w:line="400" w:lineRule="exact"/>
        <w:ind w:firstLine="480" w:firstLineChars="200"/>
        <w:rPr>
          <w:rFonts w:ascii="宋体" w:cs="Times New Roman"/>
          <w:sz w:val="24"/>
          <w:szCs w:val="24"/>
        </w:rPr>
      </w:pPr>
      <w:r>
        <w:rPr>
          <w:rFonts w:hint="eastAsia" w:ascii="宋体" w:hAnsi="宋体" w:cs="宋体"/>
          <w:sz w:val="24"/>
          <w:szCs w:val="24"/>
        </w:rPr>
        <w:t>有效期自磋商之日起</w:t>
      </w:r>
      <w:r>
        <w:rPr>
          <w:rFonts w:ascii="宋体" w:hAnsi="宋体" w:cs="宋体"/>
          <w:sz w:val="24"/>
          <w:szCs w:val="24"/>
        </w:rPr>
        <w:t>_</w:t>
      </w:r>
      <w:r>
        <w:rPr>
          <w:rFonts w:hint="eastAsia" w:ascii="宋体" w:hAnsi="宋体" w:cs="宋体"/>
          <w:sz w:val="24"/>
          <w:szCs w:val="24"/>
          <w:u w:val="single"/>
        </w:rPr>
        <w:t xml:space="preserve">    </w:t>
      </w:r>
      <w:r>
        <w:rPr>
          <w:rFonts w:ascii="宋体" w:hAnsi="宋体" w:cs="宋体"/>
          <w:sz w:val="24"/>
          <w:szCs w:val="24"/>
        </w:rPr>
        <w:t>_</w:t>
      </w:r>
      <w:r>
        <w:rPr>
          <w:rFonts w:hint="eastAsia" w:ascii="宋体" w:hAnsi="宋体" w:cs="宋体"/>
          <w:sz w:val="24"/>
          <w:szCs w:val="24"/>
        </w:rPr>
        <w:t>日历日，特此声明。</w:t>
      </w:r>
    </w:p>
    <w:p w14:paraId="6BA8E56E">
      <w:pPr>
        <w:pStyle w:val="18"/>
        <w:spacing w:line="400" w:lineRule="exact"/>
        <w:ind w:firstLine="480" w:firstLineChars="200"/>
        <w:jc w:val="left"/>
        <w:rPr>
          <w:rFonts w:hAnsi="宋体"/>
          <w:sz w:val="24"/>
          <w:szCs w:val="24"/>
        </w:rPr>
      </w:pPr>
      <w:r>
        <w:rPr>
          <w:rFonts w:hint="eastAsia" w:hAnsi="宋体"/>
          <w:sz w:val="24"/>
          <w:szCs w:val="24"/>
        </w:rPr>
        <w:t>供应商（单位名称及公章）：</w:t>
      </w:r>
      <w:r>
        <w:rPr>
          <w:rFonts w:hAnsi="宋体"/>
          <w:sz w:val="24"/>
          <w:szCs w:val="24"/>
        </w:rPr>
        <w:t>________</w:t>
      </w:r>
    </w:p>
    <w:p w14:paraId="003F9E50">
      <w:pPr>
        <w:pStyle w:val="18"/>
        <w:spacing w:line="400" w:lineRule="exact"/>
        <w:ind w:firstLine="480" w:firstLineChars="200"/>
        <w:jc w:val="left"/>
        <w:rPr>
          <w:rFonts w:hAnsi="宋体"/>
          <w:sz w:val="24"/>
          <w:szCs w:val="24"/>
          <w:u w:val="single"/>
        </w:rPr>
      </w:pPr>
      <w:r>
        <w:rPr>
          <w:rFonts w:hint="eastAsia" w:hAnsi="宋体"/>
          <w:sz w:val="24"/>
          <w:szCs w:val="24"/>
        </w:rPr>
        <w:t>法定代表人（签字或盖章）：</w:t>
      </w:r>
      <w:r>
        <w:rPr>
          <w:rFonts w:hAnsi="宋体"/>
          <w:sz w:val="24"/>
          <w:szCs w:val="24"/>
        </w:rPr>
        <w:t>________</w:t>
      </w:r>
    </w:p>
    <w:p w14:paraId="107D400D">
      <w:pPr>
        <w:pStyle w:val="18"/>
        <w:spacing w:line="400" w:lineRule="exact"/>
        <w:ind w:firstLine="480" w:firstLineChars="200"/>
        <w:jc w:val="left"/>
        <w:rPr>
          <w:rFonts w:hAnsi="宋体" w:cs="Times New Roman"/>
          <w:sz w:val="24"/>
          <w:szCs w:val="24"/>
        </w:rPr>
      </w:pPr>
      <w:r>
        <w:rPr>
          <w:rFonts w:hint="eastAsia" w:hAnsi="宋体"/>
          <w:sz w:val="24"/>
          <w:szCs w:val="24"/>
        </w:rPr>
        <w:t>被授权人（签字）：</w:t>
      </w:r>
      <w:r>
        <w:rPr>
          <w:rFonts w:hAnsi="宋体"/>
          <w:sz w:val="24"/>
          <w:szCs w:val="24"/>
        </w:rPr>
        <w:t>________</w:t>
      </w:r>
      <w:r>
        <w:rPr>
          <w:rFonts w:hint="eastAsia" w:hAnsi="宋体"/>
          <w:sz w:val="24"/>
          <w:szCs w:val="24"/>
        </w:rPr>
        <w:t>性别：</w:t>
      </w:r>
      <w:r>
        <w:rPr>
          <w:rFonts w:hAnsi="宋体"/>
          <w:sz w:val="24"/>
          <w:szCs w:val="24"/>
        </w:rPr>
        <w:t>________</w:t>
      </w:r>
    </w:p>
    <w:p w14:paraId="6D254925">
      <w:pPr>
        <w:pStyle w:val="18"/>
        <w:spacing w:line="400" w:lineRule="exact"/>
        <w:ind w:firstLine="480" w:firstLineChars="200"/>
        <w:jc w:val="left"/>
        <w:rPr>
          <w:rFonts w:hAnsi="宋体" w:cs="Times New Roman"/>
          <w:sz w:val="24"/>
          <w:szCs w:val="24"/>
          <w:u w:val="single"/>
        </w:rPr>
      </w:pPr>
      <w:r>
        <w:rPr>
          <w:rFonts w:hint="eastAsia" w:hAnsi="宋体"/>
          <w:sz w:val="24"/>
          <w:szCs w:val="24"/>
        </w:rPr>
        <w:t>联系地址：</w:t>
      </w:r>
      <w:r>
        <w:rPr>
          <w:rFonts w:hAnsi="宋体"/>
          <w:sz w:val="24"/>
          <w:szCs w:val="24"/>
        </w:rPr>
        <w:t>________________</w:t>
      </w:r>
    </w:p>
    <w:p w14:paraId="43DBABB0">
      <w:pPr>
        <w:pStyle w:val="18"/>
        <w:spacing w:line="400" w:lineRule="exact"/>
        <w:ind w:firstLine="480" w:firstLineChars="200"/>
        <w:jc w:val="left"/>
        <w:rPr>
          <w:rFonts w:hAnsi="宋体" w:cs="Times New Roman"/>
          <w:sz w:val="24"/>
          <w:szCs w:val="24"/>
          <w:u w:val="single"/>
        </w:rPr>
      </w:pPr>
      <w:r>
        <w:rPr>
          <w:rFonts w:hint="eastAsia" w:hAnsi="宋体"/>
          <w:sz w:val="24"/>
          <w:szCs w:val="24"/>
        </w:rPr>
        <w:t>联系电话：</w:t>
      </w:r>
      <w:r>
        <w:rPr>
          <w:rFonts w:hAnsi="宋体"/>
          <w:sz w:val="24"/>
          <w:szCs w:val="24"/>
        </w:rPr>
        <w:t>________________</w:t>
      </w:r>
    </w:p>
    <w:p w14:paraId="323118C1">
      <w:pPr>
        <w:pStyle w:val="18"/>
        <w:spacing w:line="400" w:lineRule="exact"/>
        <w:ind w:firstLine="480" w:firstLineChars="200"/>
        <w:jc w:val="left"/>
        <w:rPr>
          <w:rFonts w:hAnsi="宋体" w:cs="Times New Roman"/>
          <w:sz w:val="24"/>
          <w:szCs w:val="24"/>
        </w:rPr>
      </w:pPr>
      <w:r>
        <w:rPr>
          <w:rFonts w:hint="eastAsia" w:hAnsi="宋体"/>
          <w:sz w:val="24"/>
          <w:szCs w:val="24"/>
        </w:rPr>
        <w:t>法定代表人及被授权人身份证复印件（注：身份证复印件须加盖企业公章）</w:t>
      </w:r>
    </w:p>
    <w:tbl>
      <w:tblPr>
        <w:tblStyle w:val="36"/>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2"/>
        <w:gridCol w:w="4531"/>
      </w:tblGrid>
      <w:tr w14:paraId="6D826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1" w:hRule="atLeast"/>
          <w:jc w:val="center"/>
        </w:trPr>
        <w:tc>
          <w:tcPr>
            <w:tcW w:w="4542" w:type="dxa"/>
            <w:shd w:val="clear" w:color="auto" w:fill="D9D9D9"/>
            <w:vAlign w:val="center"/>
          </w:tcPr>
          <w:p w14:paraId="752CDE57">
            <w:pPr>
              <w:pStyle w:val="18"/>
              <w:keepNext w:val="0"/>
              <w:keepLines w:val="0"/>
              <w:suppressLineNumbers w:val="0"/>
              <w:spacing w:before="0" w:beforeAutospacing="0" w:after="0" w:afterAutospacing="0" w:line="500" w:lineRule="exact"/>
              <w:ind w:left="0" w:right="0"/>
              <w:jc w:val="left"/>
              <w:rPr>
                <w:rFonts w:hint="default" w:hAnsi="宋体" w:cs="Times New Roman"/>
                <w:sz w:val="22"/>
                <w:szCs w:val="24"/>
                <w:shd w:val="pct10" w:color="auto" w:fill="FFFFFF"/>
              </w:rPr>
            </w:pPr>
            <w:r>
              <w:rPr>
                <w:rFonts w:hint="eastAsia" w:hAnsi="宋体"/>
                <w:sz w:val="22"/>
                <w:szCs w:val="24"/>
                <w:shd w:val="pct10" w:color="auto" w:fill="FFFFFF"/>
              </w:rPr>
              <w:t>法定代表人身份证复印件（正面）</w:t>
            </w:r>
          </w:p>
        </w:tc>
        <w:tc>
          <w:tcPr>
            <w:tcW w:w="4531" w:type="dxa"/>
            <w:shd w:val="clear" w:color="auto" w:fill="D9D9D9"/>
            <w:vAlign w:val="center"/>
          </w:tcPr>
          <w:p w14:paraId="1E930330">
            <w:pPr>
              <w:pStyle w:val="18"/>
              <w:keepNext w:val="0"/>
              <w:keepLines w:val="0"/>
              <w:suppressLineNumbers w:val="0"/>
              <w:spacing w:before="0" w:beforeAutospacing="0" w:after="0" w:afterAutospacing="0" w:line="500" w:lineRule="exact"/>
              <w:ind w:left="0" w:right="0" w:firstLine="440" w:firstLineChars="200"/>
              <w:jc w:val="left"/>
              <w:rPr>
                <w:rFonts w:hint="default" w:hAnsi="宋体" w:cs="Times New Roman"/>
                <w:sz w:val="22"/>
                <w:szCs w:val="24"/>
                <w:shd w:val="pct10" w:color="auto" w:fill="FFFFFF"/>
              </w:rPr>
            </w:pPr>
            <w:r>
              <w:rPr>
                <w:rFonts w:hint="eastAsia" w:hAnsi="宋体"/>
                <w:sz w:val="22"/>
                <w:szCs w:val="24"/>
                <w:shd w:val="pct10" w:color="auto" w:fill="FFFFFF"/>
              </w:rPr>
              <w:t>被授权人身份证复印件（正面）</w:t>
            </w:r>
          </w:p>
        </w:tc>
      </w:tr>
      <w:tr w14:paraId="3878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9" w:hRule="atLeast"/>
          <w:jc w:val="center"/>
        </w:trPr>
        <w:tc>
          <w:tcPr>
            <w:tcW w:w="4542" w:type="dxa"/>
            <w:shd w:val="clear" w:color="auto" w:fill="D9D9D9"/>
            <w:vAlign w:val="center"/>
          </w:tcPr>
          <w:p w14:paraId="2BB987BC">
            <w:pPr>
              <w:pStyle w:val="18"/>
              <w:keepNext w:val="0"/>
              <w:keepLines w:val="0"/>
              <w:suppressLineNumbers w:val="0"/>
              <w:spacing w:before="0" w:beforeAutospacing="0" w:after="0" w:afterAutospacing="0" w:line="500" w:lineRule="exact"/>
              <w:ind w:left="0" w:right="0"/>
              <w:jc w:val="left"/>
              <w:rPr>
                <w:rFonts w:hint="default" w:hAnsi="宋体" w:cs="Times New Roman"/>
                <w:sz w:val="22"/>
                <w:szCs w:val="24"/>
                <w:shd w:val="pct10" w:color="auto" w:fill="FFFFFF"/>
              </w:rPr>
            </w:pPr>
            <w:r>
              <w:rPr>
                <w:rFonts w:hint="eastAsia" w:hAnsi="宋体"/>
                <w:sz w:val="22"/>
                <w:szCs w:val="24"/>
                <w:shd w:val="pct10" w:color="auto" w:fill="FFFFFF"/>
              </w:rPr>
              <w:t>法定代表人身份证复印件（反面）</w:t>
            </w:r>
          </w:p>
        </w:tc>
        <w:tc>
          <w:tcPr>
            <w:tcW w:w="4531" w:type="dxa"/>
            <w:shd w:val="clear" w:color="auto" w:fill="D9D9D9"/>
            <w:vAlign w:val="center"/>
          </w:tcPr>
          <w:p w14:paraId="01319E75">
            <w:pPr>
              <w:pStyle w:val="18"/>
              <w:keepNext w:val="0"/>
              <w:keepLines w:val="0"/>
              <w:suppressLineNumbers w:val="0"/>
              <w:spacing w:before="0" w:beforeAutospacing="0" w:after="0" w:afterAutospacing="0" w:line="500" w:lineRule="exact"/>
              <w:ind w:left="0" w:right="0" w:firstLine="440" w:firstLineChars="200"/>
              <w:jc w:val="left"/>
              <w:rPr>
                <w:rFonts w:hint="default" w:hAnsi="宋体" w:cs="Times New Roman"/>
                <w:sz w:val="22"/>
                <w:szCs w:val="24"/>
                <w:shd w:val="pct10" w:color="auto" w:fill="FFFFFF"/>
              </w:rPr>
            </w:pPr>
            <w:r>
              <w:rPr>
                <w:rFonts w:hint="eastAsia" w:hAnsi="宋体"/>
                <w:sz w:val="22"/>
                <w:szCs w:val="24"/>
                <w:shd w:val="pct10" w:color="auto" w:fill="FFFFFF"/>
              </w:rPr>
              <w:t>被授权人身份证复印件（反面）</w:t>
            </w:r>
          </w:p>
        </w:tc>
      </w:tr>
    </w:tbl>
    <w:p w14:paraId="4F340823">
      <w:pPr>
        <w:pStyle w:val="18"/>
        <w:spacing w:line="500" w:lineRule="exact"/>
        <w:ind w:firstLine="480" w:firstLineChars="200"/>
        <w:jc w:val="left"/>
        <w:rPr>
          <w:rFonts w:hAnsi="宋体"/>
          <w:sz w:val="24"/>
          <w:szCs w:val="24"/>
        </w:rPr>
      </w:pPr>
      <w:r>
        <w:rPr>
          <w:rFonts w:hint="eastAsia" w:hAnsi="宋体"/>
          <w:sz w:val="24"/>
          <w:szCs w:val="24"/>
        </w:rPr>
        <w:t>说明：</w:t>
      </w:r>
    </w:p>
    <w:p w14:paraId="76479424">
      <w:pPr>
        <w:pStyle w:val="18"/>
        <w:spacing w:line="500" w:lineRule="exact"/>
        <w:ind w:firstLine="480" w:firstLineChars="200"/>
        <w:jc w:val="left"/>
        <w:rPr>
          <w:rFonts w:hAnsi="宋体"/>
          <w:sz w:val="24"/>
          <w:szCs w:val="24"/>
        </w:rPr>
      </w:pPr>
      <w:r>
        <w:rPr>
          <w:rFonts w:hAnsi="宋体"/>
          <w:sz w:val="24"/>
          <w:szCs w:val="24"/>
        </w:rPr>
        <w:t>1</w:t>
      </w:r>
      <w:r>
        <w:rPr>
          <w:rFonts w:hint="eastAsia" w:hAnsi="宋体"/>
          <w:sz w:val="24"/>
          <w:szCs w:val="24"/>
        </w:rPr>
        <w:t>．本授权书有效期自招标大会之日计算不得少于</w:t>
      </w:r>
      <w:r>
        <w:rPr>
          <w:rFonts w:hAnsi="宋体"/>
          <w:sz w:val="24"/>
          <w:szCs w:val="24"/>
        </w:rPr>
        <w:t>90</w:t>
      </w:r>
      <w:r>
        <w:rPr>
          <w:rFonts w:hint="eastAsia" w:hAnsi="宋体"/>
          <w:sz w:val="24"/>
          <w:szCs w:val="24"/>
        </w:rPr>
        <w:t>日历日。</w:t>
      </w:r>
    </w:p>
    <w:p w14:paraId="799C1D6A">
      <w:pPr>
        <w:pStyle w:val="18"/>
        <w:spacing w:line="500" w:lineRule="exact"/>
        <w:ind w:firstLine="480" w:firstLineChars="200"/>
        <w:jc w:val="left"/>
        <w:rPr>
          <w:rFonts w:hAnsi="宋体"/>
          <w:b/>
          <w:bCs/>
          <w:sz w:val="24"/>
          <w:szCs w:val="24"/>
        </w:rPr>
      </w:pPr>
      <w:r>
        <w:rPr>
          <w:rFonts w:hAnsi="宋体"/>
          <w:sz w:val="24"/>
          <w:szCs w:val="24"/>
        </w:rPr>
        <w:t>2</w:t>
      </w:r>
      <w:r>
        <w:rPr>
          <w:rFonts w:hint="eastAsia" w:hAnsi="宋体"/>
          <w:sz w:val="24"/>
          <w:szCs w:val="24"/>
        </w:rPr>
        <w:t>．授权书内容填写要明确，文字要工整清楚，涂改无效。</w:t>
      </w:r>
      <w:r>
        <w:rPr>
          <w:rFonts w:hint="eastAsia" w:hAnsi="宋体"/>
        </w:rPr>
        <w:br w:type="page"/>
      </w:r>
    </w:p>
    <w:p w14:paraId="6B9F891B">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bookmarkStart w:id="167" w:name="_Toc536202328"/>
      <w:bookmarkStart w:id="168" w:name="_Toc536429337"/>
      <w:bookmarkStart w:id="169" w:name="_Toc19543357"/>
      <w:bookmarkStart w:id="170" w:name="_Toc7526"/>
      <w:bookmarkStart w:id="171" w:name="_Toc536202397"/>
      <w:bookmarkStart w:id="172" w:name="_Toc536429390"/>
      <w:r>
        <w:rPr>
          <w:rFonts w:hint="eastAsia" w:ascii="宋体" w:hAnsi="宋体" w:eastAsia="宋体" w:cs="宋体"/>
          <w:b/>
          <w:bCs w:val="0"/>
          <w:color w:val="auto"/>
          <w:sz w:val="28"/>
          <w:szCs w:val="28"/>
          <w:u w:val="none"/>
          <w:lang w:val="en-US" w:eastAsia="zh-CN"/>
        </w:rPr>
        <w:t>无重大违法记录声明</w:t>
      </w:r>
    </w:p>
    <w:p w14:paraId="39524800">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kern w:val="0"/>
          <w:sz w:val="24"/>
          <w:szCs w:val="24"/>
        </w:rPr>
      </w:pPr>
      <w:r>
        <w:rPr>
          <w:rFonts w:hint="eastAsia" w:ascii="宋体" w:hAnsi="宋体" w:cs="宋体"/>
          <w:sz w:val="24"/>
          <w:szCs w:val="24"/>
          <w:lang w:eastAsia="zh-CN"/>
        </w:rPr>
        <w:t>汉滨区移民（脱贫）搬迁工作办公室</w:t>
      </w:r>
      <w:r>
        <w:rPr>
          <w:rFonts w:hint="eastAsia" w:ascii="宋体" w:hAnsi="宋体" w:eastAsia="宋体" w:cs="宋体"/>
          <w:bCs/>
          <w:sz w:val="24"/>
          <w:szCs w:val="24"/>
        </w:rPr>
        <w:t>：</w:t>
      </w:r>
    </w:p>
    <w:p w14:paraId="7CF99454">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我方作为参加本次政府采购活动的投标人，郑重承诺：</w:t>
      </w:r>
    </w:p>
    <w:p w14:paraId="3307F6C8">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我方参加本次政府采购活动近三年内，在经营活动中没有重大违法记录及其他违法采购活动记录，未被列入失信被执行人名单，未被列入重大税收违法案件记录名单，未被列入政府采购严重违法失信行为记录名单。</w:t>
      </w:r>
    </w:p>
    <w:p w14:paraId="21FF4B1F">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我方参与本次政府采购活动近三年内：没有处于被责令停业的状态；没有处于被行政主管部门取消投标资格的处罚期内；没有处于财产被接管、冻结、破产的状态；在近三年内没有行政主管部门已书面认定的重大质量问题；没有在近三年内被人民法院判决犯有行贿罪的记录。</w:t>
      </w:r>
    </w:p>
    <w:p w14:paraId="771BFE92">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本公司对上述承诺的真实性负责，如有虚假，我方自行承担一切后果及法律责任。</w:t>
      </w:r>
    </w:p>
    <w:p w14:paraId="66A6E6DD">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
          <w:bCs/>
          <w:sz w:val="24"/>
          <w:szCs w:val="24"/>
        </w:rPr>
      </w:pPr>
      <w:r>
        <w:rPr>
          <w:rFonts w:hint="eastAsia" w:ascii="宋体" w:hAnsi="宋体" w:eastAsia="宋体" w:cs="宋体"/>
          <w:bCs/>
          <w:sz w:val="24"/>
          <w:szCs w:val="24"/>
        </w:rPr>
        <w:t xml:space="preserve">    </w:t>
      </w:r>
      <w:r>
        <w:rPr>
          <w:rFonts w:hint="eastAsia" w:ascii="宋体" w:hAnsi="宋体" w:eastAsia="宋体" w:cs="宋体"/>
          <w:b/>
          <w:bCs/>
          <w:sz w:val="24"/>
          <w:szCs w:val="24"/>
        </w:rPr>
        <w:t>注：在对投标文件中此声明函真实性和有效性进行审查、验证时，如有造假/情况不一致/未按要求提供的，按无效文件处理。</w:t>
      </w:r>
    </w:p>
    <w:p w14:paraId="3575408B">
      <w:pPr>
        <w:spacing w:line="360" w:lineRule="auto"/>
        <w:rPr>
          <w:rFonts w:ascii="宋体" w:hAnsi="宋体"/>
          <w:sz w:val="24"/>
          <w:szCs w:val="24"/>
        </w:rPr>
      </w:pPr>
    </w:p>
    <w:p w14:paraId="3EA9429B">
      <w:pPr>
        <w:spacing w:line="360" w:lineRule="auto"/>
        <w:rPr>
          <w:rFonts w:hint="eastAsia" w:ascii="宋体" w:hAnsi="宋体" w:eastAsia="宋体" w:cs="宋体"/>
          <w:sz w:val="24"/>
          <w:szCs w:val="24"/>
          <w:lang w:eastAsia="zh-CN"/>
        </w:rPr>
      </w:pPr>
    </w:p>
    <w:p w14:paraId="7000AED3">
      <w:pPr>
        <w:spacing w:line="360" w:lineRule="auto"/>
        <w:rPr>
          <w:rFonts w:ascii="宋体" w:hAnsi="Calibri"/>
          <w:sz w:val="24"/>
          <w:szCs w:val="24"/>
          <w:u w:val="single"/>
        </w:rPr>
      </w:pPr>
      <w:r>
        <w:rPr>
          <w:rFonts w:hint="eastAsia" w:ascii="宋体" w:hAnsi="宋体" w:cs="宋体"/>
          <w:sz w:val="24"/>
          <w:szCs w:val="24"/>
        </w:rPr>
        <w:t>供应商（单位名称及公章）：</w:t>
      </w:r>
      <w:r>
        <w:rPr>
          <w:rFonts w:ascii="宋体" w:hAnsi="宋体" w:cs="宋体"/>
          <w:sz w:val="24"/>
          <w:szCs w:val="24"/>
        </w:rPr>
        <w:t>____________________</w:t>
      </w:r>
    </w:p>
    <w:p w14:paraId="67D2FEA9">
      <w:pPr>
        <w:adjustRightInd w:val="0"/>
        <w:snapToGrid w:val="0"/>
        <w:spacing w:line="360" w:lineRule="auto"/>
        <w:rPr>
          <w:rFonts w:ascii="宋体" w:hAnsi="Calibri"/>
          <w:sz w:val="24"/>
          <w:szCs w:val="24"/>
        </w:rPr>
      </w:pPr>
      <w:r>
        <w:rPr>
          <w:rFonts w:hint="eastAsia" w:ascii="宋体" w:hAnsi="宋体" w:cs="宋体"/>
          <w:sz w:val="24"/>
          <w:szCs w:val="24"/>
        </w:rPr>
        <w:t>法</w:t>
      </w:r>
      <w:r>
        <w:rPr>
          <w:rFonts w:hint="eastAsia" w:ascii="宋体" w:hAnsi="宋体" w:cs="宋体"/>
          <w:sz w:val="24"/>
          <w:szCs w:val="24"/>
          <w:lang w:eastAsia="zh-CN"/>
        </w:rPr>
        <w:t>定代表人或被授权人</w:t>
      </w:r>
      <w:r>
        <w:rPr>
          <w:rFonts w:hint="eastAsia" w:ascii="宋体" w:hAnsi="宋体" w:cs="宋体"/>
          <w:sz w:val="24"/>
          <w:szCs w:val="24"/>
        </w:rPr>
        <w:t>（</w:t>
      </w:r>
      <w:r>
        <w:rPr>
          <w:rFonts w:hint="eastAsia" w:ascii="宋体" w:hAnsi="宋体" w:cs="宋体"/>
          <w:sz w:val="24"/>
          <w:szCs w:val="24"/>
          <w:lang w:val="zh-CN"/>
        </w:rPr>
        <w:t>签字</w:t>
      </w:r>
      <w:r>
        <w:rPr>
          <w:rFonts w:hint="eastAsia" w:ascii="宋体" w:hAnsi="宋体" w:cs="宋体"/>
          <w:sz w:val="24"/>
          <w:szCs w:val="24"/>
          <w:lang w:val="en-US" w:eastAsia="zh-CN"/>
        </w:rPr>
        <w:t>或盖章</w:t>
      </w:r>
      <w:r>
        <w:rPr>
          <w:rFonts w:hint="eastAsia" w:ascii="宋体" w:hAnsi="宋体" w:cs="宋体"/>
          <w:sz w:val="24"/>
          <w:szCs w:val="24"/>
        </w:rPr>
        <w:t>）：</w:t>
      </w:r>
      <w:r>
        <w:rPr>
          <w:rFonts w:ascii="宋体" w:hAnsi="宋体" w:cs="宋体"/>
          <w:sz w:val="24"/>
          <w:szCs w:val="24"/>
        </w:rPr>
        <w:t>____________________</w:t>
      </w:r>
    </w:p>
    <w:p w14:paraId="7CCEC1A6">
      <w:pPr>
        <w:adjustRightInd w:val="0"/>
        <w:snapToGrid w:val="0"/>
        <w:spacing w:line="360" w:lineRule="auto"/>
        <w:jc w:val="center"/>
        <w:rPr>
          <w:rFonts w:hint="eastAsia" w:ascii="宋体" w:hAnsi="宋体" w:eastAsia="宋体" w:cs="宋体"/>
          <w:b/>
          <w:bCs w:val="0"/>
          <w:color w:val="auto"/>
          <w:sz w:val="28"/>
          <w:szCs w:val="28"/>
          <w:u w:val="none"/>
          <w:lang w:val="en-US" w:eastAsia="zh-CN"/>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ascii="宋体" w:hAnsi="宋体" w:cs="宋体"/>
          <w:sz w:val="24"/>
          <w:szCs w:val="24"/>
        </w:rPr>
        <w:t>________</w:t>
      </w:r>
      <w:r>
        <w:rPr>
          <w:rFonts w:hint="eastAsia" w:ascii="宋体" w:hAnsi="宋体" w:cs="宋体"/>
          <w:sz w:val="24"/>
          <w:szCs w:val="24"/>
        </w:rPr>
        <w:t>年</w:t>
      </w:r>
      <w:r>
        <w:rPr>
          <w:rFonts w:ascii="宋体" w:hAnsi="宋体" w:cs="宋体"/>
          <w:sz w:val="24"/>
          <w:szCs w:val="24"/>
        </w:rPr>
        <w:t>________</w:t>
      </w:r>
      <w:r>
        <w:rPr>
          <w:rFonts w:hint="eastAsia" w:ascii="宋体" w:hAnsi="宋体" w:cs="宋体"/>
          <w:sz w:val="24"/>
          <w:szCs w:val="24"/>
        </w:rPr>
        <w:t>月</w:t>
      </w:r>
      <w:r>
        <w:rPr>
          <w:rFonts w:ascii="宋体" w:hAnsi="宋体" w:cs="宋体"/>
          <w:sz w:val="24"/>
          <w:szCs w:val="24"/>
        </w:rPr>
        <w:t>________</w:t>
      </w:r>
      <w:r>
        <w:rPr>
          <w:rFonts w:hint="eastAsia" w:ascii="宋体" w:hAnsi="宋体" w:cs="宋体"/>
          <w:sz w:val="24"/>
          <w:szCs w:val="24"/>
        </w:rPr>
        <w:t>日</w:t>
      </w:r>
      <w:r>
        <w:rPr>
          <w:rFonts w:hint="eastAsia" w:ascii="宋体" w:hAnsi="宋体" w:cs="宋体"/>
          <w:sz w:val="24"/>
          <w:szCs w:val="24"/>
        </w:rPr>
        <w:br w:type="page"/>
      </w:r>
      <w:r>
        <w:rPr>
          <w:rFonts w:hint="eastAsia" w:ascii="宋体" w:hAnsi="宋体" w:eastAsia="宋体" w:cs="宋体"/>
          <w:b/>
          <w:bCs w:val="0"/>
          <w:color w:val="auto"/>
          <w:sz w:val="28"/>
          <w:szCs w:val="28"/>
          <w:u w:val="none"/>
          <w:lang w:val="en-US" w:eastAsia="zh-CN"/>
        </w:rPr>
        <w:t>投标人非联合体投标声明</w:t>
      </w:r>
    </w:p>
    <w:p w14:paraId="56F5A153">
      <w:pPr>
        <w:adjustRightInd w:val="0"/>
        <w:snapToGrid w:val="0"/>
        <w:spacing w:line="360" w:lineRule="auto"/>
        <w:rPr>
          <w:rFonts w:hint="eastAsia" w:ascii="仿宋" w:hAnsi="仿宋" w:eastAsia="仿宋" w:cs="黑体"/>
          <w:bCs/>
          <w:sz w:val="28"/>
          <w:szCs w:val="28"/>
        </w:rPr>
      </w:pPr>
    </w:p>
    <w:p w14:paraId="6DF74E1D">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cs="宋体"/>
          <w:sz w:val="24"/>
          <w:szCs w:val="24"/>
          <w:lang w:eastAsia="zh-CN"/>
        </w:rPr>
        <w:t>汉滨区移民（脱贫）搬迁工作办公室</w:t>
      </w:r>
      <w:r>
        <w:rPr>
          <w:rFonts w:hint="eastAsia" w:ascii="宋体" w:hAnsi="宋体" w:eastAsia="宋体" w:cs="宋体"/>
          <w:bCs/>
          <w:sz w:val="24"/>
          <w:szCs w:val="24"/>
        </w:rPr>
        <w:t>：</w:t>
      </w:r>
    </w:p>
    <w:p w14:paraId="5C2719A2">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我方就参加</w:t>
      </w:r>
      <w:r>
        <w:rPr>
          <w:rFonts w:hint="eastAsia" w:ascii="宋体" w:hAnsi="宋体" w:cs="宋体"/>
          <w:bCs/>
          <w:sz w:val="24"/>
          <w:szCs w:val="24"/>
          <w:lang w:val="en-US" w:eastAsia="zh-CN"/>
        </w:rPr>
        <w:t>本项目</w:t>
      </w:r>
      <w:r>
        <w:rPr>
          <w:rFonts w:hint="eastAsia" w:ascii="宋体" w:hAnsi="宋体" w:eastAsia="宋体" w:cs="宋体"/>
          <w:bCs/>
          <w:sz w:val="24"/>
          <w:szCs w:val="24"/>
        </w:rPr>
        <w:t>投标工作，</w:t>
      </w:r>
      <w:r>
        <w:rPr>
          <w:rFonts w:hint="eastAsia" w:ascii="宋体" w:hAnsi="宋体" w:cs="宋体"/>
          <w:bCs/>
          <w:sz w:val="24"/>
          <w:szCs w:val="24"/>
          <w:lang w:eastAsia="zh-CN"/>
        </w:rPr>
        <w:t>做出</w:t>
      </w:r>
      <w:r>
        <w:rPr>
          <w:rFonts w:hint="eastAsia" w:ascii="宋体" w:hAnsi="宋体" w:eastAsia="宋体" w:cs="宋体"/>
          <w:bCs/>
          <w:sz w:val="24"/>
          <w:szCs w:val="24"/>
        </w:rPr>
        <w:t>郑重声明：</w:t>
      </w:r>
    </w:p>
    <w:p w14:paraId="24F0C01F">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1.本公司保证在本项目投标中不与其他单位围标、串标，不出让投标资格，不向采购人、采购代理机构和</w:t>
      </w:r>
      <w:r>
        <w:rPr>
          <w:rFonts w:hint="eastAsia" w:ascii="宋体" w:hAnsi="宋体" w:cs="宋体"/>
          <w:bCs/>
          <w:sz w:val="24"/>
          <w:szCs w:val="24"/>
          <w:lang w:val="en-US" w:eastAsia="zh-CN"/>
        </w:rPr>
        <w:t>磋商小组</w:t>
      </w:r>
      <w:r>
        <w:rPr>
          <w:rFonts w:hint="eastAsia" w:ascii="宋体" w:hAnsi="宋体" w:eastAsia="宋体" w:cs="宋体"/>
          <w:bCs/>
          <w:sz w:val="24"/>
          <w:szCs w:val="24"/>
        </w:rPr>
        <w:t>成员行贿。</w:t>
      </w:r>
    </w:p>
    <w:p w14:paraId="7CF74A2D">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2.本公司保证本项目并非联合体投标，本项目服务由本公司独立承担。</w:t>
      </w:r>
    </w:p>
    <w:p w14:paraId="68EC96A2">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本公司违反上述保证，或本声明陈述与事实不符，经查实，我方自行承担一切后果及法律责任</w:t>
      </w:r>
      <w:r>
        <w:rPr>
          <w:rFonts w:hint="eastAsia" w:ascii="宋体" w:hAnsi="宋体" w:cs="宋体"/>
          <w:bCs/>
          <w:sz w:val="24"/>
          <w:szCs w:val="24"/>
          <w:lang w:eastAsia="zh-CN"/>
        </w:rPr>
        <w:t>。</w:t>
      </w:r>
    </w:p>
    <w:p w14:paraId="4CE100B8">
      <w:pPr>
        <w:pageBreakBefore w:val="0"/>
        <w:kinsoku/>
        <w:wordWrap/>
        <w:overflowPunct/>
        <w:topLinePunct w:val="0"/>
        <w:autoSpaceDE/>
        <w:autoSpaceDN/>
        <w:bidi w:val="0"/>
        <w:adjustRightInd w:val="0"/>
        <w:snapToGrid w:val="0"/>
        <w:spacing w:line="408" w:lineRule="auto"/>
        <w:ind w:firstLine="480"/>
        <w:textAlignment w:val="auto"/>
        <w:rPr>
          <w:rFonts w:hint="eastAsia" w:ascii="宋体" w:hAnsi="宋体" w:eastAsia="宋体" w:cs="宋体"/>
          <w:bCs/>
          <w:sz w:val="24"/>
          <w:szCs w:val="24"/>
        </w:rPr>
      </w:pPr>
      <w:r>
        <w:rPr>
          <w:rFonts w:hint="eastAsia" w:ascii="宋体" w:hAnsi="宋体" w:eastAsia="宋体" w:cs="宋体"/>
          <w:bCs/>
          <w:sz w:val="24"/>
          <w:szCs w:val="24"/>
        </w:rPr>
        <w:t>特此声明。</w:t>
      </w:r>
    </w:p>
    <w:p w14:paraId="729E1058">
      <w:pPr>
        <w:pStyle w:val="30"/>
        <w:ind w:firstLine="480"/>
        <w:rPr>
          <w:rFonts w:hint="eastAsia"/>
        </w:rPr>
      </w:pPr>
    </w:p>
    <w:p w14:paraId="5B990701">
      <w:pPr>
        <w:spacing w:line="360" w:lineRule="auto"/>
        <w:rPr>
          <w:rFonts w:ascii="宋体" w:hAnsi="Calibri"/>
          <w:sz w:val="24"/>
          <w:szCs w:val="24"/>
          <w:u w:val="single"/>
        </w:rPr>
      </w:pPr>
      <w:r>
        <w:rPr>
          <w:rFonts w:hint="eastAsia" w:ascii="宋体" w:hAnsi="宋体" w:cs="宋体"/>
          <w:sz w:val="24"/>
          <w:szCs w:val="24"/>
        </w:rPr>
        <w:t>供应商（单位名称及公章）：</w:t>
      </w:r>
      <w:r>
        <w:rPr>
          <w:rFonts w:ascii="宋体" w:hAnsi="宋体" w:cs="宋体"/>
          <w:sz w:val="24"/>
          <w:szCs w:val="24"/>
        </w:rPr>
        <w:t>____________________</w:t>
      </w:r>
    </w:p>
    <w:p w14:paraId="70BF5FAD">
      <w:pPr>
        <w:adjustRightInd w:val="0"/>
        <w:snapToGrid w:val="0"/>
        <w:spacing w:line="360" w:lineRule="auto"/>
        <w:rPr>
          <w:rFonts w:ascii="宋体" w:hAnsi="Calibri"/>
          <w:sz w:val="24"/>
          <w:szCs w:val="24"/>
        </w:rPr>
      </w:pPr>
      <w:r>
        <w:rPr>
          <w:rFonts w:hint="eastAsia" w:ascii="宋体" w:hAnsi="宋体" w:cs="宋体"/>
          <w:sz w:val="24"/>
          <w:szCs w:val="24"/>
        </w:rPr>
        <w:t>法</w:t>
      </w:r>
      <w:r>
        <w:rPr>
          <w:rFonts w:hint="eastAsia" w:ascii="宋体" w:hAnsi="宋体" w:cs="宋体"/>
          <w:sz w:val="24"/>
          <w:szCs w:val="24"/>
          <w:lang w:eastAsia="zh-CN"/>
        </w:rPr>
        <w:t>定代表人或被授权人</w:t>
      </w:r>
      <w:r>
        <w:rPr>
          <w:rFonts w:hint="eastAsia" w:ascii="宋体" w:hAnsi="宋体" w:cs="宋体"/>
          <w:sz w:val="24"/>
          <w:szCs w:val="24"/>
        </w:rPr>
        <w:t>（</w:t>
      </w:r>
      <w:r>
        <w:rPr>
          <w:rFonts w:hint="eastAsia" w:ascii="宋体" w:hAnsi="宋体" w:cs="宋体"/>
          <w:sz w:val="24"/>
          <w:szCs w:val="24"/>
          <w:lang w:val="zh-CN"/>
        </w:rPr>
        <w:t>签字</w:t>
      </w:r>
      <w:r>
        <w:rPr>
          <w:rFonts w:hint="eastAsia" w:ascii="宋体" w:hAnsi="宋体" w:cs="宋体"/>
          <w:sz w:val="24"/>
          <w:szCs w:val="24"/>
          <w:lang w:val="en-US" w:eastAsia="zh-CN"/>
        </w:rPr>
        <w:t>或盖章</w:t>
      </w:r>
      <w:r>
        <w:rPr>
          <w:rFonts w:hint="eastAsia" w:ascii="宋体" w:hAnsi="宋体" w:cs="宋体"/>
          <w:sz w:val="24"/>
          <w:szCs w:val="24"/>
        </w:rPr>
        <w:t>）：</w:t>
      </w:r>
      <w:r>
        <w:rPr>
          <w:rFonts w:ascii="宋体" w:hAnsi="宋体" w:cs="宋体"/>
          <w:sz w:val="24"/>
          <w:szCs w:val="24"/>
        </w:rPr>
        <w:t>____________________</w:t>
      </w:r>
    </w:p>
    <w:p w14:paraId="61C66C49">
      <w:pPr>
        <w:adjustRightInd w:val="0"/>
        <w:snapToGrid w:val="0"/>
        <w:spacing w:line="360" w:lineRule="auto"/>
        <w:jc w:val="center"/>
        <w:rPr>
          <w:rFonts w:hint="eastAsia" w:ascii="宋体" w:hAnsi="宋体" w:eastAsia="宋体" w:cs="宋体"/>
          <w:b/>
          <w:bCs w:val="0"/>
          <w:color w:val="auto"/>
          <w:sz w:val="28"/>
          <w:szCs w:val="28"/>
          <w:u w:val="none"/>
          <w:lang w:val="en-US" w:eastAsia="zh-CN"/>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ascii="宋体" w:hAnsi="宋体" w:cs="宋体"/>
          <w:sz w:val="24"/>
          <w:szCs w:val="24"/>
        </w:rPr>
        <w:t>________</w:t>
      </w:r>
      <w:r>
        <w:rPr>
          <w:rFonts w:hint="eastAsia" w:ascii="宋体" w:hAnsi="宋体" w:cs="宋体"/>
          <w:sz w:val="24"/>
          <w:szCs w:val="24"/>
        </w:rPr>
        <w:t>年</w:t>
      </w:r>
      <w:r>
        <w:rPr>
          <w:rFonts w:ascii="宋体" w:hAnsi="宋体" w:cs="宋体"/>
          <w:sz w:val="24"/>
          <w:szCs w:val="24"/>
        </w:rPr>
        <w:t>________</w:t>
      </w:r>
      <w:r>
        <w:rPr>
          <w:rFonts w:hint="eastAsia" w:ascii="宋体" w:hAnsi="宋体" w:cs="宋体"/>
          <w:sz w:val="24"/>
          <w:szCs w:val="24"/>
        </w:rPr>
        <w:t>月</w:t>
      </w:r>
      <w:r>
        <w:rPr>
          <w:rFonts w:ascii="宋体" w:hAnsi="宋体" w:cs="宋体"/>
          <w:sz w:val="24"/>
          <w:szCs w:val="24"/>
        </w:rPr>
        <w:t>________</w:t>
      </w:r>
      <w:r>
        <w:rPr>
          <w:rFonts w:hint="eastAsia" w:ascii="宋体" w:hAnsi="宋体" w:cs="宋体"/>
          <w:sz w:val="24"/>
          <w:szCs w:val="24"/>
        </w:rPr>
        <w:t>日</w:t>
      </w:r>
      <w:r>
        <w:rPr>
          <w:rFonts w:hint="eastAsia" w:ascii="宋体" w:hAnsi="宋体" w:cs="宋体"/>
          <w:sz w:val="24"/>
          <w:szCs w:val="24"/>
        </w:rPr>
        <w:br w:type="page"/>
      </w:r>
      <w:r>
        <w:rPr>
          <w:rFonts w:hint="eastAsia" w:ascii="宋体" w:hAnsi="宋体" w:eastAsia="宋体" w:cs="宋体"/>
          <w:b/>
          <w:bCs w:val="0"/>
          <w:color w:val="auto"/>
          <w:sz w:val="28"/>
          <w:szCs w:val="28"/>
          <w:u w:val="none"/>
          <w:lang w:val="en-US" w:eastAsia="zh-CN"/>
        </w:rPr>
        <w:t>中小企业声明函（工程、服务）</w:t>
      </w:r>
    </w:p>
    <w:p w14:paraId="59CB0A83">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5AE7E984">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60F15F70">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p>
    <w:p w14:paraId="02EFBB89">
      <w:pPr>
        <w:spacing w:after="190" w:afterLines="50" w:line="480" w:lineRule="exact"/>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544CD4C5">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71666513">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7D72A4E1">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73091CFC">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527ADCA7">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0F300E79">
      <w:pPr>
        <w:pStyle w:val="104"/>
        <w:rPr>
          <w:rFonts w:hint="eastAsia"/>
          <w:lang w:val="en-US" w:eastAsia="zh-CN"/>
        </w:rPr>
      </w:pPr>
    </w:p>
    <w:p w14:paraId="7424BF99">
      <w:pPr>
        <w:pStyle w:val="34"/>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243217A6">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br w:type="page"/>
      </w:r>
      <w:r>
        <w:rPr>
          <w:rFonts w:hint="eastAsia" w:ascii="宋体" w:hAnsi="宋体" w:eastAsia="宋体" w:cs="宋体"/>
          <w:b/>
          <w:bCs w:val="0"/>
          <w:color w:val="auto"/>
          <w:sz w:val="28"/>
          <w:szCs w:val="28"/>
          <w:u w:val="none"/>
          <w:lang w:val="en-US" w:eastAsia="zh-CN"/>
        </w:rPr>
        <w:t>中小企业声明函（货物）</w:t>
      </w:r>
    </w:p>
    <w:p w14:paraId="2AB24511">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采购活动，提供的货物全部为符合政策要求的中小企业制造（或者：服务全部由符合政策要求的中小企业承接）。相关企业（含联合体中的中小企业、签订分包意向协议的中小企业）的具体情况如下：</w:t>
      </w:r>
    </w:p>
    <w:p w14:paraId="04419E95">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制造商为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09CE5656">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；制造商为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p>
    <w:p w14:paraId="7D97D62F">
      <w:pPr>
        <w:spacing w:after="190" w:afterLines="50" w:line="480" w:lineRule="exact"/>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2687E20A">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133D4FB8">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28A2C40D">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4EECEA45">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610D459C">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1F798387">
      <w:pPr>
        <w:pStyle w:val="104"/>
        <w:rPr>
          <w:rFonts w:hint="eastAsia"/>
          <w:lang w:val="en-US" w:eastAsia="zh-CN"/>
        </w:rPr>
      </w:pPr>
    </w:p>
    <w:p w14:paraId="2BEDDE06">
      <w:pPr>
        <w:pStyle w:val="34"/>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1B0197AD">
      <w:pPr>
        <w:pStyle w:val="103"/>
      </w:pPr>
    </w:p>
    <w:p w14:paraId="2D0BA55F">
      <w:pPr>
        <w:pStyle w:val="103"/>
      </w:pPr>
    </w:p>
    <w:p w14:paraId="63744FED">
      <w:pPr>
        <w:pStyle w:val="103"/>
      </w:pPr>
    </w:p>
    <w:p w14:paraId="5D338A4B">
      <w:pPr>
        <w:pStyle w:val="103"/>
      </w:pPr>
    </w:p>
    <w:p w14:paraId="12595504">
      <w:pPr>
        <w:pStyle w:val="103"/>
      </w:pPr>
    </w:p>
    <w:p w14:paraId="18825730">
      <w:pPr>
        <w:pStyle w:val="103"/>
      </w:pPr>
    </w:p>
    <w:p w14:paraId="7E28AA6D">
      <w:pPr>
        <w:pStyle w:val="103"/>
      </w:pPr>
    </w:p>
    <w:p w14:paraId="57A8D4F6">
      <w:pPr>
        <w:pStyle w:val="103"/>
      </w:pPr>
    </w:p>
    <w:p w14:paraId="5F3B1859">
      <w:pPr>
        <w:pStyle w:val="103"/>
      </w:pPr>
    </w:p>
    <w:p w14:paraId="00884D25">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default" w:ascii="宋体" w:hAnsi="宋体" w:eastAsia="宋体" w:cs="宋体"/>
          <w:b/>
          <w:bCs w:val="0"/>
          <w:color w:val="auto"/>
          <w:sz w:val="36"/>
          <w:szCs w:val="36"/>
          <w:u w:val="none"/>
          <w:lang w:val="en-US" w:eastAsia="zh-CN"/>
        </w:rPr>
      </w:pPr>
      <w:r>
        <w:rPr>
          <w:rFonts w:hint="eastAsia" w:ascii="宋体" w:hAnsi="宋体" w:eastAsia="宋体" w:cs="宋体"/>
          <w:b/>
          <w:bCs w:val="0"/>
          <w:color w:val="auto"/>
          <w:sz w:val="36"/>
          <w:szCs w:val="36"/>
          <w:u w:val="none"/>
          <w:lang w:val="en-US" w:eastAsia="zh-CN"/>
        </w:rPr>
        <w:t>第四章 商务响应偏离表</w:t>
      </w:r>
    </w:p>
    <w:tbl>
      <w:tblPr>
        <w:tblStyle w:val="36"/>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5C71E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1737380C">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b/>
                <w:szCs w:val="21"/>
                <w:lang w:val="en-US" w:eastAsia="zh-CN"/>
              </w:rPr>
              <w:t>序号</w:t>
            </w:r>
          </w:p>
        </w:tc>
        <w:tc>
          <w:tcPr>
            <w:tcW w:w="2835" w:type="dxa"/>
            <w:vAlign w:val="center"/>
          </w:tcPr>
          <w:p w14:paraId="42162AA8">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cs="宋体"/>
                <w:b/>
                <w:szCs w:val="21"/>
                <w:lang w:val="en-US" w:eastAsia="zh-CN"/>
              </w:rPr>
              <w:t>磋商文件</w:t>
            </w:r>
            <w:r>
              <w:rPr>
                <w:rFonts w:hint="eastAsia" w:ascii="宋体" w:hAnsi="宋体" w:eastAsia="宋体" w:cs="宋体"/>
                <w:b/>
                <w:szCs w:val="21"/>
              </w:rPr>
              <w:t>商务要求</w:t>
            </w:r>
          </w:p>
        </w:tc>
        <w:tc>
          <w:tcPr>
            <w:tcW w:w="2552" w:type="dxa"/>
            <w:vAlign w:val="center"/>
          </w:tcPr>
          <w:p w14:paraId="542DD06A">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b/>
                <w:szCs w:val="21"/>
              </w:rPr>
              <w:t>投标文件商务应答</w:t>
            </w:r>
          </w:p>
        </w:tc>
        <w:tc>
          <w:tcPr>
            <w:tcW w:w="1516" w:type="dxa"/>
            <w:vAlign w:val="center"/>
          </w:tcPr>
          <w:p w14:paraId="42A9B6F3">
            <w:pPr>
              <w:keepNext w:val="0"/>
              <w:keepLines w:val="0"/>
              <w:suppressLineNumbers w:val="0"/>
              <w:wordWrap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偏离</w:t>
            </w:r>
          </w:p>
          <w:p w14:paraId="151C81EE">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b/>
                <w:szCs w:val="21"/>
              </w:rPr>
              <w:t>（无/正/负）</w:t>
            </w:r>
          </w:p>
        </w:tc>
        <w:tc>
          <w:tcPr>
            <w:tcW w:w="1516" w:type="dxa"/>
            <w:vAlign w:val="center"/>
          </w:tcPr>
          <w:p w14:paraId="2A243B06">
            <w:pPr>
              <w:keepNext w:val="0"/>
              <w:keepLines w:val="0"/>
              <w:suppressLineNumbers w:val="0"/>
              <w:wordWrap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偏离简述</w:t>
            </w:r>
          </w:p>
        </w:tc>
      </w:tr>
      <w:tr w14:paraId="203B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6BC0F305">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1</w:t>
            </w:r>
          </w:p>
        </w:tc>
        <w:tc>
          <w:tcPr>
            <w:tcW w:w="2835" w:type="dxa"/>
            <w:vAlign w:val="center"/>
          </w:tcPr>
          <w:p w14:paraId="3A164EC3">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75707308">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631294FD">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00313FDB">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3C9FD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5CD1748C">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2</w:t>
            </w:r>
          </w:p>
        </w:tc>
        <w:tc>
          <w:tcPr>
            <w:tcW w:w="2835" w:type="dxa"/>
            <w:vAlign w:val="center"/>
          </w:tcPr>
          <w:p w14:paraId="2FCDAD9E">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339BB323">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1F183E6A">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0C1B5144">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5D801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1539CFCD">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3</w:t>
            </w:r>
          </w:p>
        </w:tc>
        <w:tc>
          <w:tcPr>
            <w:tcW w:w="2835" w:type="dxa"/>
            <w:vAlign w:val="center"/>
          </w:tcPr>
          <w:p w14:paraId="5F36BD8A">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1A378CC6">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03854412">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6BD82026">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38DA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411C3EC4">
            <w:pPr>
              <w:keepNext w:val="0"/>
              <w:keepLines w:val="0"/>
              <w:suppressLineNumbers w:val="0"/>
              <w:wordWrap w:val="0"/>
              <w:spacing w:before="0" w:beforeAutospacing="0" w:after="0" w:afterAutospacing="0"/>
              <w:ind w:left="0" w:right="0"/>
              <w:jc w:val="center"/>
              <w:rPr>
                <w:rFonts w:hint="default" w:ascii="宋体" w:hAnsi="宋体" w:eastAsia="宋体" w:cs="宋体"/>
                <w:b/>
                <w:szCs w:val="21"/>
                <w:lang w:val="en-US" w:eastAsia="zh-CN"/>
              </w:rPr>
            </w:pPr>
            <w:r>
              <w:rPr>
                <w:rFonts w:hint="eastAsia" w:ascii="宋体" w:hAnsi="宋体" w:eastAsia="宋体" w:cs="宋体"/>
                <w:b/>
                <w:szCs w:val="21"/>
                <w:lang w:val="en-US" w:eastAsia="zh-CN"/>
              </w:rPr>
              <w:t>...</w:t>
            </w:r>
          </w:p>
        </w:tc>
        <w:tc>
          <w:tcPr>
            <w:tcW w:w="2835" w:type="dxa"/>
            <w:vAlign w:val="center"/>
          </w:tcPr>
          <w:p w14:paraId="3EE62093">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15F6EB3A">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36B3590B">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7930F9CE">
            <w:pPr>
              <w:keepNext w:val="0"/>
              <w:keepLines w:val="0"/>
              <w:suppressLineNumbers w:val="0"/>
              <w:spacing w:before="0" w:beforeAutospacing="0" w:after="0" w:afterAutospacing="0" w:line="360" w:lineRule="auto"/>
              <w:ind w:left="0" w:right="0"/>
              <w:rPr>
                <w:rFonts w:hint="default" w:ascii="宋体" w:hAnsi="宋体"/>
                <w:sz w:val="24"/>
                <w:szCs w:val="24"/>
              </w:rPr>
            </w:pPr>
          </w:p>
        </w:tc>
      </w:tr>
    </w:tbl>
    <w:p w14:paraId="4B190E04">
      <w:pPr>
        <w:spacing w:line="360" w:lineRule="auto"/>
        <w:ind w:firstLine="480" w:firstLineChars="200"/>
        <w:rPr>
          <w:rFonts w:hint="eastAsia" w:ascii="宋体" w:hAnsi="宋体" w:cs="Times New Roman"/>
          <w:b w:val="0"/>
          <w:bCs w:val="0"/>
          <w:sz w:val="24"/>
          <w:szCs w:val="24"/>
        </w:rPr>
      </w:pPr>
    </w:p>
    <w:p w14:paraId="107B6A57">
      <w:pPr>
        <w:spacing w:line="360" w:lineRule="auto"/>
        <w:ind w:firstLine="480" w:firstLineChars="200"/>
        <w:rPr>
          <w:rFonts w:ascii="Times New Roman" w:hAnsi="Times New Roman" w:cs="Times New Roman"/>
          <w:b w:val="0"/>
          <w:bCs w:val="0"/>
          <w:sz w:val="24"/>
          <w:szCs w:val="24"/>
        </w:rPr>
      </w:pPr>
      <w:r>
        <w:rPr>
          <w:rFonts w:hint="eastAsia" w:ascii="宋体" w:hAnsi="宋体" w:cs="Times New Roman"/>
          <w:b w:val="0"/>
          <w:bCs w:val="0"/>
          <w:sz w:val="24"/>
          <w:szCs w:val="24"/>
        </w:rPr>
        <w:t>注：对磋商文件中要求的商务条款逐条响应并详细说明。</w:t>
      </w:r>
    </w:p>
    <w:p w14:paraId="0F0FE51B">
      <w:pPr>
        <w:rPr>
          <w:rFonts w:ascii="Times New Roman" w:hAnsi="Times New Roman" w:cs="Times New Roman"/>
          <w:sz w:val="24"/>
          <w:szCs w:val="24"/>
        </w:rPr>
      </w:pPr>
    </w:p>
    <w:p w14:paraId="10BE335C">
      <w:pPr>
        <w:pStyle w:val="23"/>
      </w:pPr>
    </w:p>
    <w:p w14:paraId="215B836C">
      <w:pPr>
        <w:pStyle w:val="23"/>
      </w:pPr>
    </w:p>
    <w:p w14:paraId="6956B1C4">
      <w:pPr>
        <w:pStyle w:val="23"/>
      </w:pPr>
    </w:p>
    <w:p w14:paraId="661DC1A2">
      <w:pPr>
        <w:adjustRightInd w:val="0"/>
        <w:snapToGrid w:val="0"/>
        <w:spacing w:line="480" w:lineRule="auto"/>
        <w:jc w:val="left"/>
        <w:rPr>
          <w:rFonts w:ascii="宋体" w:cs="Times New Roman"/>
          <w:sz w:val="24"/>
          <w:szCs w:val="24"/>
          <w:u w:val="single"/>
        </w:rPr>
      </w:pPr>
      <w:r>
        <w:rPr>
          <w:rFonts w:hint="eastAsia" w:ascii="宋体" w:hAnsi="宋体" w:cs="宋体"/>
          <w:sz w:val="24"/>
          <w:szCs w:val="24"/>
        </w:rPr>
        <w:t>供应商（单位名称及公章）：____________________________</w:t>
      </w:r>
    </w:p>
    <w:p w14:paraId="4EE79CC6">
      <w:pPr>
        <w:adjustRightInd w:val="0"/>
        <w:snapToGrid w:val="0"/>
        <w:spacing w:line="480" w:lineRule="auto"/>
        <w:rPr>
          <w:rFonts w:ascii="宋体" w:cs="Times New Roman"/>
          <w:sz w:val="24"/>
          <w:szCs w:val="24"/>
        </w:rPr>
      </w:pPr>
      <w:r>
        <w:rPr>
          <w:rFonts w:hint="eastAsia" w:ascii="宋体" w:hAnsi="宋体" w:cs="宋体"/>
          <w:sz w:val="24"/>
          <w:szCs w:val="24"/>
        </w:rPr>
        <w:t>法</w:t>
      </w:r>
      <w:r>
        <w:rPr>
          <w:rFonts w:hint="eastAsia" w:ascii="宋体" w:hAnsi="宋体" w:cs="宋体"/>
          <w:sz w:val="24"/>
          <w:szCs w:val="24"/>
          <w:lang w:eastAsia="zh-CN"/>
        </w:rPr>
        <w:t>定代表人或被授权人</w:t>
      </w:r>
      <w:r>
        <w:rPr>
          <w:rFonts w:hint="eastAsia" w:ascii="宋体" w:hAnsi="宋体" w:cs="宋体"/>
          <w:sz w:val="24"/>
          <w:szCs w:val="24"/>
        </w:rPr>
        <w:t>（</w:t>
      </w:r>
      <w:r>
        <w:rPr>
          <w:rFonts w:hint="eastAsia" w:ascii="宋体" w:hAnsi="宋体" w:cs="宋体"/>
          <w:sz w:val="24"/>
          <w:szCs w:val="24"/>
          <w:lang w:val="zh-CN"/>
        </w:rPr>
        <w:t>签字</w:t>
      </w:r>
      <w:r>
        <w:rPr>
          <w:rFonts w:hint="eastAsia" w:ascii="宋体" w:hAnsi="宋体" w:cs="宋体"/>
          <w:sz w:val="24"/>
          <w:szCs w:val="24"/>
          <w:lang w:val="en-US" w:eastAsia="zh-CN"/>
        </w:rPr>
        <w:t>或盖章</w:t>
      </w:r>
      <w:r>
        <w:rPr>
          <w:rFonts w:hint="eastAsia" w:ascii="宋体" w:hAnsi="宋体" w:cs="宋体"/>
          <w:sz w:val="24"/>
          <w:szCs w:val="24"/>
        </w:rPr>
        <w:t>）：____________________________</w:t>
      </w:r>
    </w:p>
    <w:p w14:paraId="39DF4A58">
      <w:pPr>
        <w:adjustRightInd w:val="0"/>
        <w:snapToGrid w:val="0"/>
        <w:spacing w:line="480" w:lineRule="auto"/>
        <w:rPr>
          <w:rFonts w:ascii="宋体" w:cs="Times New Roman"/>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期：_______年_______月_______日</w:t>
      </w:r>
    </w:p>
    <w:p w14:paraId="7833F4B7">
      <w:pPr>
        <w:widowControl/>
        <w:jc w:val="left"/>
        <w:rPr>
          <w:rFonts w:ascii="宋体" w:hAnsi="宋体" w:cs="宋体"/>
          <w:b/>
          <w:bCs/>
          <w:sz w:val="28"/>
          <w:szCs w:val="28"/>
        </w:rPr>
      </w:pPr>
    </w:p>
    <w:p w14:paraId="74CF281F">
      <w:pPr>
        <w:pStyle w:val="25"/>
        <w:rPr>
          <w:rFonts w:ascii="宋体" w:hAnsi="宋体" w:cs="宋体"/>
          <w:b/>
          <w:bCs/>
          <w:sz w:val="28"/>
          <w:szCs w:val="28"/>
        </w:rPr>
      </w:pPr>
    </w:p>
    <w:p w14:paraId="207D2DA3">
      <w:pPr>
        <w:rPr>
          <w:rFonts w:ascii="宋体" w:hAnsi="宋体" w:cs="宋体"/>
          <w:b/>
          <w:bCs/>
          <w:sz w:val="28"/>
          <w:szCs w:val="28"/>
        </w:rPr>
      </w:pPr>
    </w:p>
    <w:p w14:paraId="1D4F8771">
      <w:pPr>
        <w:pStyle w:val="25"/>
        <w:rPr>
          <w:rFonts w:ascii="宋体" w:hAnsi="宋体" w:cs="宋体"/>
          <w:b/>
          <w:bCs/>
          <w:sz w:val="28"/>
          <w:szCs w:val="28"/>
        </w:rPr>
      </w:pPr>
    </w:p>
    <w:p w14:paraId="24E20D2F">
      <w:pPr>
        <w:rPr>
          <w:rFonts w:ascii="宋体" w:hAnsi="宋体" w:cs="宋体"/>
          <w:b/>
          <w:bCs/>
          <w:sz w:val="28"/>
          <w:szCs w:val="28"/>
        </w:rPr>
      </w:pPr>
    </w:p>
    <w:p w14:paraId="7D4EF2AF">
      <w:pPr>
        <w:pStyle w:val="25"/>
        <w:rPr>
          <w:rFonts w:ascii="宋体" w:hAnsi="宋体" w:cs="宋体"/>
          <w:b/>
          <w:bCs/>
          <w:sz w:val="28"/>
          <w:szCs w:val="28"/>
        </w:rPr>
      </w:pPr>
    </w:p>
    <w:p w14:paraId="0DE04BF0">
      <w:pPr>
        <w:rPr>
          <w:rFonts w:ascii="宋体" w:hAnsi="宋体" w:cs="宋体"/>
          <w:b/>
          <w:bCs/>
          <w:sz w:val="28"/>
          <w:szCs w:val="28"/>
        </w:rPr>
      </w:pPr>
    </w:p>
    <w:p w14:paraId="68EB48BA">
      <w:pPr>
        <w:pStyle w:val="25"/>
        <w:rPr>
          <w:rFonts w:ascii="宋体" w:hAnsi="宋体" w:cs="宋体"/>
          <w:b/>
          <w:bCs/>
          <w:sz w:val="28"/>
          <w:szCs w:val="28"/>
        </w:rPr>
      </w:pPr>
    </w:p>
    <w:p w14:paraId="111C2767">
      <w:pPr>
        <w:rPr>
          <w:rFonts w:ascii="宋体" w:hAnsi="宋体" w:cs="宋体"/>
          <w:b/>
          <w:bCs/>
          <w:sz w:val="28"/>
          <w:szCs w:val="28"/>
        </w:rPr>
      </w:pPr>
    </w:p>
    <w:p w14:paraId="07F14382">
      <w:pPr>
        <w:pStyle w:val="25"/>
      </w:pPr>
    </w:p>
    <w:bookmarkEnd w:id="165"/>
    <w:bookmarkEnd w:id="167"/>
    <w:bookmarkEnd w:id="168"/>
    <w:bookmarkEnd w:id="169"/>
    <w:bookmarkEnd w:id="170"/>
    <w:bookmarkEnd w:id="171"/>
    <w:bookmarkEnd w:id="172"/>
    <w:p w14:paraId="23C7294B">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bookmarkStart w:id="173" w:name="_Toc9172"/>
      <w:bookmarkStart w:id="174" w:name="_Toc536202330"/>
      <w:bookmarkStart w:id="175" w:name="_Toc536429339"/>
      <w:bookmarkStart w:id="176" w:name="_Toc536429392"/>
      <w:bookmarkStart w:id="177" w:name="_Toc14937"/>
      <w:bookmarkStart w:id="178" w:name="_Toc19543359"/>
      <w:bookmarkStart w:id="179" w:name="_Toc536202399"/>
      <w:bookmarkStart w:id="180" w:name="_Toc1803"/>
      <w:r>
        <w:rPr>
          <w:rFonts w:hint="eastAsia" w:ascii="宋体" w:hAnsi="宋体" w:eastAsia="宋体" w:cs="宋体"/>
          <w:b/>
          <w:bCs w:val="0"/>
          <w:color w:val="auto"/>
          <w:sz w:val="36"/>
          <w:szCs w:val="36"/>
          <w:u w:val="none"/>
          <w:lang w:val="en-US" w:eastAsia="zh-CN"/>
        </w:rPr>
        <w:t xml:space="preserve">第五章  </w:t>
      </w:r>
      <w:bookmarkEnd w:id="173"/>
      <w:r>
        <w:rPr>
          <w:rFonts w:hint="eastAsia" w:ascii="宋体" w:hAnsi="宋体" w:eastAsia="宋体" w:cs="宋体"/>
          <w:b/>
          <w:bCs w:val="0"/>
          <w:color w:val="auto"/>
          <w:sz w:val="36"/>
          <w:szCs w:val="36"/>
          <w:u w:val="none"/>
          <w:lang w:val="en-US" w:eastAsia="zh-CN"/>
        </w:rPr>
        <w:t>投标方案</w:t>
      </w:r>
      <w:bookmarkEnd w:id="174"/>
      <w:bookmarkEnd w:id="175"/>
      <w:bookmarkEnd w:id="176"/>
      <w:bookmarkEnd w:id="177"/>
      <w:bookmarkEnd w:id="178"/>
      <w:bookmarkEnd w:id="179"/>
    </w:p>
    <w:p w14:paraId="7975FC7A">
      <w:pPr>
        <w:overflowPunct/>
        <w:topLinePunct w:val="0"/>
        <w:bidi w:val="0"/>
        <w:spacing w:line="500" w:lineRule="atLeast"/>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参照</w:t>
      </w:r>
      <w:r>
        <w:rPr>
          <w:rFonts w:hint="eastAsia" w:ascii="宋体" w:hAnsi="宋体" w:cs="宋体"/>
          <w:b/>
          <w:bCs/>
          <w:sz w:val="24"/>
          <w:szCs w:val="24"/>
          <w:lang w:val="en-US" w:eastAsia="zh-CN"/>
        </w:rPr>
        <w:t>磋商</w:t>
      </w:r>
      <w:r>
        <w:rPr>
          <w:rFonts w:hint="eastAsia" w:ascii="宋体" w:hAnsi="宋体" w:eastAsia="宋体" w:cs="宋体"/>
          <w:b/>
          <w:bCs/>
          <w:sz w:val="24"/>
          <w:szCs w:val="24"/>
        </w:rPr>
        <w:t>文件的《评审方法和程序》各条款的要求，结合《</w:t>
      </w:r>
      <w:r>
        <w:rPr>
          <w:rFonts w:hint="eastAsia" w:ascii="宋体" w:hAnsi="宋体" w:cs="宋体"/>
          <w:b/>
          <w:bCs/>
          <w:sz w:val="24"/>
          <w:szCs w:val="24"/>
          <w:lang w:val="en-US" w:eastAsia="zh-CN"/>
        </w:rPr>
        <w:t>采购</w:t>
      </w:r>
      <w:r>
        <w:rPr>
          <w:rFonts w:hint="eastAsia" w:ascii="宋体" w:hAnsi="宋体" w:eastAsia="宋体" w:cs="宋体"/>
          <w:b/>
          <w:bCs/>
          <w:sz w:val="24"/>
          <w:szCs w:val="24"/>
        </w:rPr>
        <w:t>内容及要求》和编制的投标方案说明书，投标方案由供应商自行编写，无具体格式</w:t>
      </w:r>
      <w:r>
        <w:rPr>
          <w:rFonts w:hint="eastAsia" w:ascii="宋体" w:hAnsi="宋体" w:cs="宋体"/>
          <w:b/>
          <w:bCs/>
          <w:sz w:val="24"/>
          <w:szCs w:val="24"/>
          <w:lang w:eastAsia="zh-CN"/>
        </w:rPr>
        <w:t>。</w:t>
      </w:r>
    </w:p>
    <w:p w14:paraId="13877C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1"/>
          <w:lang w:val="en-US" w:eastAsia="zh-CN"/>
        </w:rPr>
      </w:pPr>
      <w:bookmarkStart w:id="181" w:name="_Toc484198844"/>
      <w:bookmarkStart w:id="182" w:name="_Toc23258631"/>
      <w:bookmarkStart w:id="183" w:name="_Toc528240834"/>
      <w:bookmarkStart w:id="184" w:name="_Toc26541342"/>
      <w:bookmarkStart w:id="185" w:name="_Toc19543360"/>
    </w:p>
    <w:p w14:paraId="1EB07E2C">
      <w:pPr>
        <w:spacing w:line="360" w:lineRule="auto"/>
        <w:ind w:firstLine="480" w:firstLineChars="200"/>
        <w:rPr>
          <w:rFonts w:hint="eastAsia" w:ascii="宋体" w:hAnsi="宋体" w:eastAsia="宋体" w:cs="Times New Roman"/>
          <w:b w:val="0"/>
          <w:bCs w:val="0"/>
          <w:sz w:val="24"/>
          <w:szCs w:val="24"/>
        </w:rPr>
      </w:pPr>
    </w:p>
    <w:p w14:paraId="0D481083">
      <w:pPr>
        <w:widowControl/>
        <w:jc w:val="left"/>
        <w:rPr>
          <w:rFonts w:ascii="宋体" w:hAnsi="宋体" w:cs="Times New Roman"/>
          <w:sz w:val="24"/>
          <w:szCs w:val="24"/>
        </w:rPr>
      </w:pPr>
      <w:r>
        <w:rPr>
          <w:rFonts w:ascii="宋体" w:hAnsi="宋体" w:cs="Times New Roman"/>
          <w:sz w:val="24"/>
          <w:szCs w:val="24"/>
        </w:rPr>
        <w:br w:type="page"/>
      </w:r>
    </w:p>
    <w:p w14:paraId="084B31A7">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投标人情况表</w:t>
      </w:r>
      <w:bookmarkEnd w:id="181"/>
      <w:bookmarkEnd w:id="182"/>
      <w:bookmarkEnd w:id="183"/>
      <w:bookmarkEnd w:id="184"/>
    </w:p>
    <w:p w14:paraId="161466DD">
      <w:pPr>
        <w:overflowPunct/>
        <w:topLinePunct w:val="0"/>
        <w:autoSpaceDE w:val="0"/>
        <w:autoSpaceDN w:val="0"/>
        <w:bidi w:val="0"/>
        <w:adjustRightInd w:val="0"/>
        <w:spacing w:line="500" w:lineRule="atLeast"/>
        <w:jc w:val="center"/>
        <w:textAlignment w:val="baseline"/>
        <w:rPr>
          <w:rFonts w:hint="default" w:ascii="宋体" w:hAnsi="宋体" w:eastAsia="宋体" w:cs="宋体"/>
          <w:b/>
          <w:bCs/>
          <w:kern w:val="20"/>
          <w:sz w:val="24"/>
          <w:szCs w:val="24"/>
          <w:lang w:val="en-US" w:eastAsia="zh-CN"/>
        </w:rPr>
      </w:pPr>
      <w:bookmarkStart w:id="186" w:name="_Toc2768"/>
      <w:bookmarkStart w:id="187" w:name="_Toc17592"/>
      <w:bookmarkStart w:id="188" w:name="_Toc403077652"/>
      <w:bookmarkStart w:id="189" w:name="_Toc4115"/>
      <w:bookmarkStart w:id="190" w:name="_Toc426457710"/>
      <w:bookmarkStart w:id="191" w:name="_Toc396304714"/>
      <w:bookmarkStart w:id="192" w:name="_Toc214"/>
      <w:bookmarkStart w:id="193" w:name="_Toc14631"/>
      <w:r>
        <w:rPr>
          <w:rFonts w:hint="eastAsia" w:ascii="宋体" w:hAnsi="宋体" w:eastAsia="宋体" w:cs="宋体"/>
          <w:b/>
          <w:bCs/>
          <w:kern w:val="20"/>
          <w:sz w:val="24"/>
          <w:szCs w:val="24"/>
        </w:rPr>
        <w:t>（一）本项目拟投入人员</w:t>
      </w:r>
      <w:bookmarkEnd w:id="186"/>
      <w:bookmarkEnd w:id="187"/>
      <w:bookmarkEnd w:id="188"/>
      <w:bookmarkEnd w:id="189"/>
      <w:bookmarkEnd w:id="190"/>
      <w:bookmarkEnd w:id="191"/>
      <w:bookmarkEnd w:id="192"/>
      <w:bookmarkEnd w:id="193"/>
      <w:r>
        <w:rPr>
          <w:rFonts w:hint="eastAsia" w:ascii="宋体" w:hAnsi="宋体" w:cs="宋体"/>
          <w:b/>
          <w:bCs/>
          <w:kern w:val="20"/>
          <w:sz w:val="24"/>
          <w:szCs w:val="24"/>
          <w:lang w:val="en-US" w:eastAsia="zh-CN"/>
        </w:rPr>
        <w:t>情况表</w:t>
      </w:r>
    </w:p>
    <w:p w14:paraId="236BB68A">
      <w:pPr>
        <w:overflowPunct/>
        <w:topLinePunct w:val="0"/>
        <w:autoSpaceDE w:val="0"/>
        <w:autoSpaceDN w:val="0"/>
        <w:bidi w:val="0"/>
        <w:adjustRightInd w:val="0"/>
        <w:spacing w:line="500" w:lineRule="atLeast"/>
        <w:textAlignment w:val="baseline"/>
        <w:rPr>
          <w:rFonts w:hint="eastAsia" w:ascii="宋体" w:hAnsi="宋体" w:eastAsia="宋体" w:cs="宋体"/>
          <w:b/>
          <w:bCs/>
          <w:kern w:val="20"/>
          <w:sz w:val="24"/>
          <w:szCs w:val="24"/>
        </w:rPr>
      </w:pPr>
    </w:p>
    <w:tbl>
      <w:tblPr>
        <w:tblStyle w:val="36"/>
        <w:tblW w:w="9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1"/>
        <w:gridCol w:w="1762"/>
        <w:gridCol w:w="809"/>
        <w:gridCol w:w="809"/>
        <w:gridCol w:w="809"/>
        <w:gridCol w:w="1062"/>
        <w:gridCol w:w="2667"/>
        <w:gridCol w:w="966"/>
      </w:tblGrid>
      <w:tr w14:paraId="64573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tblHeader/>
        </w:trPr>
        <w:tc>
          <w:tcPr>
            <w:tcW w:w="791" w:type="dxa"/>
            <w:tcMar>
              <w:top w:w="15" w:type="dxa"/>
              <w:left w:w="15" w:type="dxa"/>
              <w:bottom w:w="0" w:type="dxa"/>
              <w:right w:w="15" w:type="dxa"/>
            </w:tcMar>
            <w:vAlign w:val="center"/>
          </w:tcPr>
          <w:p w14:paraId="279E2785">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序号</w:t>
            </w:r>
          </w:p>
        </w:tc>
        <w:tc>
          <w:tcPr>
            <w:tcW w:w="1762" w:type="dxa"/>
            <w:tcMar>
              <w:top w:w="15" w:type="dxa"/>
              <w:left w:w="15" w:type="dxa"/>
              <w:bottom w:w="0" w:type="dxa"/>
              <w:right w:w="15" w:type="dxa"/>
            </w:tcMar>
            <w:vAlign w:val="center"/>
          </w:tcPr>
          <w:p w14:paraId="68CF5FA0">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姓  名</w:t>
            </w:r>
          </w:p>
        </w:tc>
        <w:tc>
          <w:tcPr>
            <w:tcW w:w="809" w:type="dxa"/>
            <w:tcMar>
              <w:top w:w="15" w:type="dxa"/>
              <w:left w:w="15" w:type="dxa"/>
              <w:bottom w:w="0" w:type="dxa"/>
              <w:right w:w="15" w:type="dxa"/>
            </w:tcMar>
            <w:vAlign w:val="center"/>
          </w:tcPr>
          <w:p w14:paraId="311984AD">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性别</w:t>
            </w:r>
          </w:p>
        </w:tc>
        <w:tc>
          <w:tcPr>
            <w:tcW w:w="809" w:type="dxa"/>
            <w:tcMar>
              <w:top w:w="15" w:type="dxa"/>
              <w:left w:w="15" w:type="dxa"/>
              <w:bottom w:w="0" w:type="dxa"/>
              <w:right w:w="15" w:type="dxa"/>
            </w:tcMar>
            <w:vAlign w:val="center"/>
          </w:tcPr>
          <w:p w14:paraId="0D290BB8">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年龄</w:t>
            </w:r>
          </w:p>
        </w:tc>
        <w:tc>
          <w:tcPr>
            <w:tcW w:w="809" w:type="dxa"/>
            <w:tcMar>
              <w:top w:w="15" w:type="dxa"/>
              <w:left w:w="15" w:type="dxa"/>
              <w:bottom w:w="0" w:type="dxa"/>
              <w:right w:w="15" w:type="dxa"/>
            </w:tcMar>
            <w:vAlign w:val="center"/>
          </w:tcPr>
          <w:p w14:paraId="4BB67B8A">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学历</w:t>
            </w:r>
          </w:p>
        </w:tc>
        <w:tc>
          <w:tcPr>
            <w:tcW w:w="1062" w:type="dxa"/>
            <w:tcMar>
              <w:top w:w="15" w:type="dxa"/>
              <w:left w:w="15" w:type="dxa"/>
              <w:bottom w:w="0" w:type="dxa"/>
              <w:right w:w="15" w:type="dxa"/>
            </w:tcMar>
            <w:vAlign w:val="center"/>
          </w:tcPr>
          <w:p w14:paraId="7EA2F09D">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工作</w:t>
            </w:r>
          </w:p>
          <w:p w14:paraId="5C01F09F">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年限</w:t>
            </w:r>
          </w:p>
        </w:tc>
        <w:tc>
          <w:tcPr>
            <w:tcW w:w="2667" w:type="dxa"/>
            <w:tcMar>
              <w:top w:w="15" w:type="dxa"/>
              <w:left w:w="15" w:type="dxa"/>
              <w:bottom w:w="0" w:type="dxa"/>
              <w:right w:w="15" w:type="dxa"/>
            </w:tcMar>
            <w:vAlign w:val="center"/>
          </w:tcPr>
          <w:p w14:paraId="643300D0">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拟担任的职务</w:t>
            </w:r>
          </w:p>
        </w:tc>
        <w:tc>
          <w:tcPr>
            <w:tcW w:w="966" w:type="dxa"/>
            <w:tcMar>
              <w:top w:w="15" w:type="dxa"/>
              <w:left w:w="15" w:type="dxa"/>
              <w:bottom w:w="0" w:type="dxa"/>
              <w:right w:w="15" w:type="dxa"/>
            </w:tcMar>
            <w:vAlign w:val="center"/>
          </w:tcPr>
          <w:p w14:paraId="2A6FC616">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岗位</w:t>
            </w:r>
          </w:p>
          <w:p w14:paraId="417DA90B">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情况</w:t>
            </w:r>
          </w:p>
        </w:tc>
      </w:tr>
      <w:tr w14:paraId="16182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04EC95B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022CB3B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EA51E3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D70C0E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3D25A2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14B4CD6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5F458A9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72EC5FF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0E4B0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2B795D1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3028286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6CE22A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5DB1EA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1ABEE2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005AE36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39EEB98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66A2537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30CA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7CB86B5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1777FF1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DEC3C6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C98AB5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C0B644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641E6A1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5625545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286F8F1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493C2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22B699C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5607CF5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F708F1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35AABF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C3720F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17852B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3EF350C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5A58F68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35BC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744E43F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2AB1565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F44DDD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FA28FC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CDF8BF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6EBFBA4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7677035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6B11F17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246D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2EDCC13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0D69735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0DFB23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AA42FA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E88523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B6C588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2BAC076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0E87E51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3A754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7FD15BA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26FE76F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CFCF70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E2B31E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2BD61C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6E22604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6D0064B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0097823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2C09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4987297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207CAEE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F8976B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2AE41A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93FB6F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70D2EE1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163CD41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656E077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22B20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70C7D47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2962077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FA4476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4B3F7A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6F71C8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6CEDC45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2A072EE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2CDD164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21275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3CFD5FF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E2F0CE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8AAC2E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A6CB5E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B7AFD8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650AA58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69D7C82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4E69F42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1E22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0719379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3461362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2A72D4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7F0C3E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C4ED90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754ED46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0325DD5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68C5314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06D5B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0A8A105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391285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621E65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E162A5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889BA2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6A5CFD6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5A401AE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2396AC8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bl>
    <w:p w14:paraId="1E526E0A">
      <w:pPr>
        <w:overflowPunct/>
        <w:topLinePunct w:val="0"/>
        <w:bidi w:val="0"/>
        <w:spacing w:line="500" w:lineRule="atLeast"/>
        <w:rPr>
          <w:rFonts w:hint="eastAsia" w:ascii="宋体" w:hAnsi="宋体" w:eastAsia="宋体" w:cs="宋体"/>
          <w:szCs w:val="22"/>
        </w:rPr>
      </w:pPr>
    </w:p>
    <w:p w14:paraId="46F80512">
      <w:pPr>
        <w:overflowPunct/>
        <w:topLinePunct w:val="0"/>
        <w:bidi w:val="0"/>
        <w:adjustRightInd w:val="0"/>
        <w:snapToGrid w:val="0"/>
        <w:spacing w:line="500" w:lineRule="atLeast"/>
        <w:jc w:val="left"/>
        <w:rPr>
          <w:rFonts w:hint="eastAsia" w:ascii="宋体" w:hAnsi="宋体" w:eastAsia="宋体" w:cs="宋体"/>
          <w:sz w:val="28"/>
          <w:szCs w:val="28"/>
          <w:u w:val="single"/>
        </w:rPr>
      </w:pPr>
      <w:r>
        <w:rPr>
          <w:rFonts w:hint="eastAsia" w:ascii="宋体" w:hAnsi="宋体" w:eastAsia="宋体" w:cs="宋体"/>
          <w:sz w:val="28"/>
          <w:szCs w:val="28"/>
        </w:rPr>
        <w:t>供应商（单位名称及公章）：____________________</w:t>
      </w:r>
    </w:p>
    <w:p w14:paraId="4D2BD2C0">
      <w:pPr>
        <w:overflowPunct/>
        <w:topLinePunct w:val="0"/>
        <w:bidi w:val="0"/>
        <w:adjustRightInd w:val="0"/>
        <w:snapToGrid w:val="0"/>
        <w:spacing w:line="500" w:lineRule="atLeast"/>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cs="宋体"/>
          <w:sz w:val="28"/>
          <w:szCs w:val="28"/>
          <w:lang w:val="en-US" w:eastAsia="zh-CN"/>
        </w:rPr>
        <w:t>或</w:t>
      </w:r>
      <w:r>
        <w:rPr>
          <w:rFonts w:hint="eastAsia" w:ascii="宋体" w:hAnsi="宋体" w:eastAsia="宋体" w:cs="宋体"/>
          <w:sz w:val="28"/>
          <w:szCs w:val="28"/>
        </w:rPr>
        <w:t>被授权人（</w:t>
      </w:r>
      <w:r>
        <w:rPr>
          <w:rFonts w:hint="eastAsia" w:ascii="宋体" w:hAnsi="宋体" w:eastAsia="宋体" w:cs="宋体"/>
          <w:sz w:val="24"/>
          <w:szCs w:val="24"/>
        </w:rPr>
        <w:t>签字或盖章</w:t>
      </w:r>
      <w:r>
        <w:rPr>
          <w:rFonts w:hint="eastAsia" w:ascii="宋体" w:hAnsi="宋体" w:eastAsia="宋体" w:cs="宋体"/>
          <w:sz w:val="28"/>
          <w:szCs w:val="28"/>
        </w:rPr>
        <w:t>）：____________________</w:t>
      </w:r>
    </w:p>
    <w:p w14:paraId="3DB2B14D">
      <w:pPr>
        <w:overflowPunct/>
        <w:topLinePunct w:val="0"/>
        <w:bidi w:val="0"/>
        <w:adjustRightInd w:val="0"/>
        <w:snapToGrid w:val="0"/>
        <w:spacing w:line="500" w:lineRule="atLeast"/>
        <w:rPr>
          <w:rFonts w:hint="eastAsia" w:ascii="宋体" w:hAnsi="宋体" w:eastAsia="宋体" w:cs="宋体"/>
          <w:sz w:val="28"/>
          <w:szCs w:val="28"/>
        </w:rPr>
      </w:pPr>
      <w:r>
        <w:rPr>
          <w:rFonts w:hint="eastAsia" w:ascii="宋体" w:hAnsi="宋体" w:eastAsia="宋体" w:cs="宋体"/>
          <w:sz w:val="28"/>
          <w:szCs w:val="28"/>
        </w:rPr>
        <w:t>日    期：________年________月________日</w:t>
      </w:r>
    </w:p>
    <w:p w14:paraId="09AF189B">
      <w:pPr>
        <w:spacing w:line="360" w:lineRule="auto"/>
        <w:ind w:firstLine="492" w:firstLineChars="175"/>
        <w:rPr>
          <w:rFonts w:ascii="宋体" w:hAnsi="宋体" w:cs="Times New Roman"/>
          <w:sz w:val="24"/>
          <w:szCs w:val="24"/>
        </w:rPr>
      </w:pPr>
      <w:r>
        <w:rPr>
          <w:rFonts w:hint="eastAsia" w:ascii="宋体" w:hAnsi="宋体" w:eastAsia="宋体" w:cs="宋体"/>
          <w:b/>
          <w:bCs w:val="0"/>
          <w:color w:val="auto"/>
          <w:sz w:val="28"/>
          <w:szCs w:val="28"/>
          <w:u w:val="none"/>
          <w:lang w:val="en-US" w:eastAsia="zh-CN"/>
        </w:rPr>
        <w:t xml:space="preserve">    </w:t>
      </w:r>
    </w:p>
    <w:p w14:paraId="2691EDC1">
      <w:pPr>
        <w:spacing w:line="360" w:lineRule="auto"/>
        <w:rPr>
          <w:rFonts w:hint="eastAsia" w:ascii="宋体" w:hAnsi="宋体" w:cs="Times New Roman"/>
          <w:sz w:val="24"/>
          <w:szCs w:val="24"/>
          <w:lang w:val="en-US" w:eastAsia="zh-CN"/>
        </w:rPr>
      </w:pPr>
      <w:r>
        <w:rPr>
          <w:rFonts w:hint="eastAsia" w:ascii="宋体" w:hAnsi="宋体" w:cs="Times New Roman"/>
          <w:sz w:val="24"/>
          <w:szCs w:val="24"/>
        </w:rPr>
        <w:t xml:space="preserve">   </w:t>
      </w:r>
      <w:r>
        <w:rPr>
          <w:rFonts w:hint="eastAsia" w:ascii="宋体" w:hAnsi="宋体" w:cs="Times New Roman"/>
          <w:sz w:val="24"/>
          <w:szCs w:val="24"/>
          <w:lang w:val="en-US" w:eastAsia="zh-CN"/>
        </w:rPr>
        <w:t xml:space="preserve">                      </w:t>
      </w:r>
    </w:p>
    <w:p w14:paraId="7894BF54">
      <w:pPr>
        <w:rPr>
          <w:rFonts w:hint="eastAsia" w:ascii="宋体" w:hAnsi="宋体" w:cs="Times New Roman"/>
          <w:sz w:val="24"/>
          <w:szCs w:val="24"/>
          <w:lang w:val="en-US" w:eastAsia="zh-CN"/>
        </w:rPr>
      </w:pPr>
      <w:r>
        <w:rPr>
          <w:rFonts w:hint="eastAsia" w:ascii="宋体" w:hAnsi="宋体" w:cs="Times New Roman"/>
          <w:sz w:val="24"/>
          <w:szCs w:val="24"/>
          <w:lang w:val="en-US" w:eastAsia="zh-CN"/>
        </w:rPr>
        <w:br w:type="page"/>
      </w:r>
    </w:p>
    <w:p w14:paraId="31BF0FE1">
      <w:pPr>
        <w:spacing w:line="360" w:lineRule="auto"/>
        <w:jc w:val="center"/>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业绩</w:t>
      </w:r>
      <w:bookmarkEnd w:id="185"/>
    </w:p>
    <w:tbl>
      <w:tblPr>
        <w:tblStyle w:val="36"/>
        <w:tblW w:w="920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9"/>
        <w:gridCol w:w="1414"/>
        <w:gridCol w:w="2364"/>
        <w:gridCol w:w="2409"/>
        <w:gridCol w:w="2409"/>
      </w:tblGrid>
      <w:tr w14:paraId="672C5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0B5B05A3">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序号</w:t>
            </w:r>
          </w:p>
        </w:tc>
        <w:tc>
          <w:tcPr>
            <w:tcW w:w="1414" w:type="dxa"/>
            <w:vAlign w:val="center"/>
          </w:tcPr>
          <w:p w14:paraId="47D1880C">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项目名称</w:t>
            </w:r>
          </w:p>
        </w:tc>
        <w:tc>
          <w:tcPr>
            <w:tcW w:w="2364" w:type="dxa"/>
            <w:vAlign w:val="center"/>
          </w:tcPr>
          <w:p w14:paraId="55CC2C82">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项目内容</w:t>
            </w:r>
          </w:p>
        </w:tc>
        <w:tc>
          <w:tcPr>
            <w:tcW w:w="2409" w:type="dxa"/>
            <w:vAlign w:val="center"/>
          </w:tcPr>
          <w:p w14:paraId="5DD25D95">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合同金额</w:t>
            </w:r>
          </w:p>
        </w:tc>
        <w:tc>
          <w:tcPr>
            <w:tcW w:w="2409" w:type="dxa"/>
            <w:vAlign w:val="center"/>
          </w:tcPr>
          <w:p w14:paraId="79A9F6D5">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采购人名称</w:t>
            </w:r>
          </w:p>
        </w:tc>
      </w:tr>
      <w:tr w14:paraId="453400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43CBB0BA">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1</w:t>
            </w:r>
          </w:p>
        </w:tc>
        <w:tc>
          <w:tcPr>
            <w:tcW w:w="1414" w:type="dxa"/>
            <w:vAlign w:val="center"/>
          </w:tcPr>
          <w:p w14:paraId="0FEBA44F">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0EDF190D">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73E5F36D">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3E6F409D">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45148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4849810">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2</w:t>
            </w:r>
          </w:p>
        </w:tc>
        <w:tc>
          <w:tcPr>
            <w:tcW w:w="1414" w:type="dxa"/>
            <w:vAlign w:val="center"/>
          </w:tcPr>
          <w:p w14:paraId="3FE27124">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218F598F">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74BED016">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3A8F073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6A738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266F1A3C">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3</w:t>
            </w:r>
          </w:p>
        </w:tc>
        <w:tc>
          <w:tcPr>
            <w:tcW w:w="1414" w:type="dxa"/>
            <w:vAlign w:val="center"/>
          </w:tcPr>
          <w:p w14:paraId="5B31216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0E241D8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5E43746C">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2A4FCDD4">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3E27A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7B356CB2">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4</w:t>
            </w:r>
          </w:p>
        </w:tc>
        <w:tc>
          <w:tcPr>
            <w:tcW w:w="1414" w:type="dxa"/>
            <w:vAlign w:val="center"/>
          </w:tcPr>
          <w:p w14:paraId="7EADB530">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2DC3A20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17969EC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2E4C8369">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42F04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46356C4C">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5</w:t>
            </w:r>
          </w:p>
        </w:tc>
        <w:tc>
          <w:tcPr>
            <w:tcW w:w="1414" w:type="dxa"/>
            <w:vAlign w:val="center"/>
          </w:tcPr>
          <w:p w14:paraId="71ECD88F">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3CB43EDF">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69D59C3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2DE77D05">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6385C8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09EDCD52">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w:t>
            </w:r>
          </w:p>
        </w:tc>
        <w:tc>
          <w:tcPr>
            <w:tcW w:w="1414" w:type="dxa"/>
            <w:vAlign w:val="center"/>
          </w:tcPr>
          <w:p w14:paraId="364EEA18">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09F395C2">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229E3A98">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4C87ADC6">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0CDE4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23ED2DB0">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1414" w:type="dxa"/>
            <w:vAlign w:val="center"/>
          </w:tcPr>
          <w:p w14:paraId="56547FB6">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29444742">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5E64CD13">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3EFA7493">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3FB88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4DACDAD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1414" w:type="dxa"/>
            <w:vAlign w:val="center"/>
          </w:tcPr>
          <w:p w14:paraId="707831C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2BAA0385">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05B2FAA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581EF4A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217AE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248AA8E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1414" w:type="dxa"/>
            <w:vAlign w:val="center"/>
          </w:tcPr>
          <w:p w14:paraId="523B2612">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1101401D">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55CA3B4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6C726A2B">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4B6339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577C9BE">
            <w:pPr>
              <w:keepNext w:val="0"/>
              <w:keepLines w:val="0"/>
              <w:suppressLineNumbers w:val="0"/>
              <w:spacing w:before="0" w:beforeAutospacing="0" w:after="0" w:afterAutospacing="0"/>
              <w:ind w:left="120" w:right="0"/>
              <w:jc w:val="center"/>
              <w:rPr>
                <w:rFonts w:hint="default" w:ascii="宋体" w:hAnsi="宋体" w:cs="Times New Roman"/>
                <w:sz w:val="24"/>
                <w:szCs w:val="24"/>
              </w:rPr>
            </w:pPr>
          </w:p>
        </w:tc>
        <w:tc>
          <w:tcPr>
            <w:tcW w:w="1414" w:type="dxa"/>
            <w:vAlign w:val="center"/>
          </w:tcPr>
          <w:p w14:paraId="463D51A4">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208EDDAF">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751918E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273C3C7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bl>
    <w:p w14:paraId="224E6A77">
      <w:pPr>
        <w:tabs>
          <w:tab w:val="left" w:pos="8782"/>
        </w:tabs>
        <w:snapToGrid w:val="0"/>
        <w:spacing w:line="360" w:lineRule="auto"/>
        <w:ind w:firstLine="480" w:firstLineChars="200"/>
        <w:rPr>
          <w:rFonts w:ascii="宋体" w:hAnsi="宋体" w:cs="Times New Roman"/>
          <w:sz w:val="24"/>
          <w:szCs w:val="24"/>
        </w:rPr>
      </w:pPr>
    </w:p>
    <w:p w14:paraId="094FD1E2">
      <w:pPr>
        <w:tabs>
          <w:tab w:val="left" w:pos="8782"/>
        </w:tabs>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注：1.投标人应如实列出以上情况，如有隐瞒，一经查实将导致其报价申请被拒绝。</w:t>
      </w:r>
    </w:p>
    <w:p w14:paraId="7195D5FE">
      <w:pPr>
        <w:tabs>
          <w:tab w:val="left" w:pos="8782"/>
        </w:tabs>
        <w:snapToGrid w:val="0"/>
        <w:spacing w:line="360" w:lineRule="auto"/>
        <w:ind w:firstLine="960" w:firstLineChars="400"/>
        <w:rPr>
          <w:rFonts w:ascii="宋体" w:hAnsi="宋体" w:cs="Times New Roman"/>
          <w:sz w:val="24"/>
          <w:szCs w:val="24"/>
        </w:rPr>
      </w:pPr>
      <w:r>
        <w:rPr>
          <w:rFonts w:hint="eastAsia" w:ascii="宋体" w:hAnsi="宋体" w:cs="Times New Roman"/>
          <w:sz w:val="24"/>
          <w:szCs w:val="24"/>
        </w:rPr>
        <w:t xml:space="preserve">2.投标人应提供双方签订的合同（合同复印件加盖公章装订在投标文件中）。 </w:t>
      </w:r>
    </w:p>
    <w:p w14:paraId="3BA98257">
      <w:pPr>
        <w:pStyle w:val="23"/>
      </w:pPr>
    </w:p>
    <w:p w14:paraId="1DAC40E6">
      <w:pPr>
        <w:tabs>
          <w:tab w:val="left" w:pos="8782"/>
        </w:tabs>
        <w:snapToGrid w:val="0"/>
        <w:spacing w:line="360" w:lineRule="auto"/>
        <w:ind w:firstLine="960" w:firstLineChars="400"/>
        <w:rPr>
          <w:rFonts w:hint="eastAsia" w:ascii="宋体" w:hAnsi="宋体" w:cs="Times New Roman"/>
          <w:sz w:val="24"/>
          <w:szCs w:val="24"/>
        </w:rPr>
      </w:pPr>
      <w:r>
        <w:rPr>
          <w:rFonts w:hint="eastAsia" w:ascii="宋体" w:hAnsi="宋体" w:cs="Times New Roman"/>
          <w:sz w:val="24"/>
          <w:szCs w:val="24"/>
        </w:rPr>
        <w:t>供应商（单位名称及公章）：____________________</w:t>
      </w:r>
    </w:p>
    <w:p w14:paraId="1040CD81">
      <w:pPr>
        <w:tabs>
          <w:tab w:val="left" w:pos="8782"/>
        </w:tabs>
        <w:snapToGrid w:val="0"/>
        <w:spacing w:line="360" w:lineRule="auto"/>
        <w:ind w:firstLine="960" w:firstLineChars="400"/>
        <w:rPr>
          <w:rFonts w:hint="eastAsia" w:ascii="宋体" w:hAnsi="宋体" w:cs="Times New Roman"/>
          <w:sz w:val="24"/>
          <w:szCs w:val="24"/>
        </w:rPr>
      </w:pPr>
      <w:r>
        <w:rPr>
          <w:rFonts w:hint="eastAsia" w:ascii="宋体" w:hAnsi="宋体" w:cs="Times New Roman"/>
          <w:sz w:val="24"/>
          <w:szCs w:val="24"/>
        </w:rPr>
        <w:t>法</w:t>
      </w:r>
      <w:r>
        <w:rPr>
          <w:rFonts w:hint="eastAsia" w:ascii="宋体" w:hAnsi="宋体" w:cs="Times New Roman"/>
          <w:sz w:val="24"/>
          <w:szCs w:val="24"/>
          <w:lang w:eastAsia="zh-CN"/>
        </w:rPr>
        <w:t>定代表人或被授权人</w:t>
      </w:r>
      <w:r>
        <w:rPr>
          <w:rFonts w:hint="eastAsia" w:ascii="宋体" w:hAnsi="宋体" w:cs="Times New Roman"/>
          <w:sz w:val="24"/>
          <w:szCs w:val="24"/>
        </w:rPr>
        <w:t>（</w:t>
      </w:r>
      <w:r>
        <w:rPr>
          <w:rFonts w:hint="eastAsia" w:ascii="宋体" w:hAnsi="宋体" w:cs="Times New Roman"/>
          <w:sz w:val="24"/>
          <w:szCs w:val="24"/>
          <w:lang w:val="zh-CN"/>
        </w:rPr>
        <w:t>签字</w:t>
      </w:r>
      <w:r>
        <w:rPr>
          <w:rFonts w:hint="eastAsia" w:ascii="宋体" w:hAnsi="宋体" w:cs="Times New Roman"/>
          <w:sz w:val="24"/>
          <w:szCs w:val="24"/>
          <w:lang w:val="en-US" w:eastAsia="zh-CN"/>
        </w:rPr>
        <w:t>或盖章</w:t>
      </w:r>
      <w:r>
        <w:rPr>
          <w:rFonts w:hint="eastAsia" w:ascii="宋体" w:hAnsi="宋体" w:cs="Times New Roman"/>
          <w:sz w:val="24"/>
          <w:szCs w:val="24"/>
        </w:rPr>
        <w:t>）：____________________</w:t>
      </w:r>
    </w:p>
    <w:p w14:paraId="6DA69CA4">
      <w:pPr>
        <w:tabs>
          <w:tab w:val="left" w:pos="8782"/>
        </w:tabs>
        <w:snapToGrid w:val="0"/>
        <w:spacing w:line="360" w:lineRule="auto"/>
        <w:ind w:firstLine="960" w:firstLineChars="400"/>
        <w:rPr>
          <w:rFonts w:hint="eastAsia" w:ascii="宋体" w:hAnsi="宋体" w:cs="Times New Roman"/>
          <w:sz w:val="24"/>
          <w:szCs w:val="24"/>
        </w:rPr>
      </w:pPr>
      <w:r>
        <w:rPr>
          <w:rFonts w:hint="eastAsia" w:ascii="宋体" w:hAnsi="宋体" w:cs="Times New Roman"/>
          <w:sz w:val="24"/>
          <w:szCs w:val="24"/>
        </w:rPr>
        <w:t>日    期：________年________月________日</w:t>
      </w:r>
    </w:p>
    <w:bookmarkEnd w:id="180"/>
    <w:p w14:paraId="67065028">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bookmarkStart w:id="194" w:name="_Toc10667"/>
      <w:bookmarkStart w:id="195" w:name="_Toc536202402"/>
      <w:bookmarkStart w:id="196" w:name="_Toc536429395"/>
      <w:bookmarkStart w:id="197" w:name="_Toc19543363"/>
      <w:bookmarkStart w:id="198" w:name="_Toc536429342"/>
      <w:bookmarkStart w:id="199" w:name="_Toc536202333"/>
      <w:bookmarkStart w:id="200" w:name="_Toc24683"/>
    </w:p>
    <w:p w14:paraId="69003CB8">
      <w:pPr>
        <w:pStyle w:val="34"/>
        <w:rPr>
          <w:rFonts w:hint="eastAsia"/>
          <w:lang w:val="en-US" w:eastAsia="zh-CN"/>
        </w:rPr>
      </w:pPr>
    </w:p>
    <w:p w14:paraId="564A1619">
      <w:pPr>
        <w:rPr>
          <w:rFonts w:hint="eastAsia" w:ascii="宋体" w:hAnsi="宋体" w:eastAsia="宋体" w:cs="宋体"/>
          <w:b/>
          <w:bCs w:val="0"/>
          <w:color w:val="auto"/>
          <w:sz w:val="36"/>
          <w:szCs w:val="36"/>
          <w:u w:val="none"/>
          <w:lang w:val="en-US" w:eastAsia="zh-CN"/>
        </w:rPr>
      </w:pPr>
      <w:r>
        <w:rPr>
          <w:rFonts w:hint="eastAsia" w:ascii="宋体" w:hAnsi="宋体" w:eastAsia="宋体" w:cs="宋体"/>
          <w:b/>
          <w:bCs w:val="0"/>
          <w:color w:val="auto"/>
          <w:sz w:val="36"/>
          <w:szCs w:val="36"/>
          <w:u w:val="none"/>
          <w:lang w:val="en-US" w:eastAsia="zh-CN"/>
        </w:rPr>
        <w:br w:type="page"/>
      </w:r>
    </w:p>
    <w:p w14:paraId="58800FF8">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r>
        <w:rPr>
          <w:rFonts w:hint="eastAsia" w:ascii="宋体" w:hAnsi="宋体" w:eastAsia="宋体" w:cs="宋体"/>
          <w:b/>
          <w:bCs w:val="0"/>
          <w:color w:val="auto"/>
          <w:sz w:val="36"/>
          <w:szCs w:val="36"/>
          <w:u w:val="none"/>
          <w:lang w:val="en-US" w:eastAsia="zh-CN"/>
        </w:rPr>
        <w:t>第六章  供应商承诺书</w:t>
      </w:r>
      <w:bookmarkEnd w:id="194"/>
      <w:bookmarkEnd w:id="195"/>
      <w:bookmarkEnd w:id="196"/>
      <w:bookmarkEnd w:id="197"/>
      <w:bookmarkEnd w:id="198"/>
      <w:bookmarkEnd w:id="199"/>
      <w:bookmarkEnd w:id="200"/>
    </w:p>
    <w:p w14:paraId="17F9E5E8">
      <w:pPr>
        <w:widowControl/>
        <w:spacing w:line="480" w:lineRule="exact"/>
        <w:jc w:val="center"/>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政府采购供应商拒绝政府采购领域商业贿赂承诺书</w:t>
      </w:r>
    </w:p>
    <w:p w14:paraId="336B6CA6">
      <w:pPr>
        <w:widowControl/>
        <w:spacing w:line="240" w:lineRule="exact"/>
        <w:ind w:firstLine="420" w:firstLineChars="200"/>
        <w:jc w:val="left"/>
        <w:rPr>
          <w:rFonts w:cs="仿宋" w:asciiTheme="minorEastAsia" w:hAnsiTheme="minorEastAsia" w:eastAsiaTheme="minorEastAsia"/>
          <w:bCs/>
          <w:kern w:val="0"/>
        </w:rPr>
      </w:pPr>
    </w:p>
    <w:p w14:paraId="603A1A9C">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 xml:space="preserve">为响应党中央、国务院关于治理政府采购领域商业贿赂行为的号召，我单位在此庄严承诺： </w:t>
      </w:r>
    </w:p>
    <w:p w14:paraId="4137E90F">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 xml:space="preserve">　　1、在参与政府采购活动中遵纪守法、诚信经营、公平竞标。 </w:t>
      </w:r>
    </w:p>
    <w:p w14:paraId="0001D979">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 xml:space="preserve">　　2、不向采购人、招标代理机构和政府采购评审专家进行任何形式的商业贿赂以谋取交易机会。 </w:t>
      </w:r>
    </w:p>
    <w:p w14:paraId="196FC784">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 xml:space="preserve">   3、不向政府采购招标代理机构和采购人提供虚假资质文件或采用虚假应标方式参与政府采购市场竞争并谋取成交、成交。 </w:t>
      </w:r>
    </w:p>
    <w:p w14:paraId="5559EAB3">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   4、不采取“围标、陪标”等商业欺诈手段获得政府采购</w:t>
      </w:r>
      <w:r>
        <w:rPr>
          <w:rFonts w:hint="eastAsia" w:cs="仿宋" w:asciiTheme="minorEastAsia" w:hAnsiTheme="minorEastAsia" w:eastAsiaTheme="minorEastAsia"/>
          <w:bCs/>
          <w:kern w:val="0"/>
          <w:sz w:val="24"/>
          <w:szCs w:val="28"/>
          <w:lang w:eastAsia="zh-CN"/>
        </w:rPr>
        <w:t>订单</w:t>
      </w:r>
      <w:r>
        <w:rPr>
          <w:rFonts w:hint="eastAsia" w:cs="仿宋" w:asciiTheme="minorEastAsia" w:hAnsiTheme="minorEastAsia" w:eastAsiaTheme="minorEastAsia"/>
          <w:bCs/>
          <w:kern w:val="0"/>
          <w:sz w:val="24"/>
          <w:szCs w:val="28"/>
        </w:rPr>
        <w:t xml:space="preserve">。 </w:t>
      </w:r>
    </w:p>
    <w:p w14:paraId="18EDDD93">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 xml:space="preserve">   5、不采取不正当手段低毁、排挤其他供应商。 </w:t>
      </w:r>
    </w:p>
    <w:p w14:paraId="3BBA86F7">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 xml:space="preserve">   6、</w:t>
      </w:r>
      <w:r>
        <w:rPr>
          <w:rFonts w:hint="eastAsia" w:cs="仿宋" w:asciiTheme="minorEastAsia" w:hAnsiTheme="minorEastAsia" w:eastAsiaTheme="minorEastAsia"/>
          <w:bCs/>
          <w:kern w:val="0"/>
          <w:sz w:val="24"/>
          <w:szCs w:val="28"/>
          <w:lang w:eastAsia="zh-CN"/>
        </w:rPr>
        <w:t>不再提供</w:t>
      </w:r>
      <w:r>
        <w:rPr>
          <w:rFonts w:hint="eastAsia" w:cs="仿宋" w:asciiTheme="minorEastAsia" w:hAnsiTheme="minorEastAsia" w:eastAsiaTheme="minorEastAsia"/>
          <w:bCs/>
          <w:kern w:val="0"/>
          <w:sz w:val="24"/>
          <w:szCs w:val="28"/>
        </w:rPr>
        <w:t xml:space="preserve">商品和服务时“偷梁换柱、以次充好”损害采购人的合法权益。 </w:t>
      </w:r>
    </w:p>
    <w:p w14:paraId="42C7EC7A">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 xml:space="preserve">   7、不与采购人、招标代理机构政府采购评审专家</w:t>
      </w:r>
      <w:r>
        <w:rPr>
          <w:rFonts w:hint="eastAsia" w:cs="仿宋" w:asciiTheme="minorEastAsia" w:hAnsiTheme="minorEastAsia" w:eastAsiaTheme="minorEastAsia"/>
          <w:bCs/>
          <w:kern w:val="0"/>
          <w:sz w:val="24"/>
          <w:szCs w:val="28"/>
          <w:lang w:eastAsia="zh-CN"/>
        </w:rPr>
        <w:t>或其他</w:t>
      </w:r>
      <w:r>
        <w:rPr>
          <w:rFonts w:hint="eastAsia" w:cs="仿宋" w:asciiTheme="minorEastAsia" w:hAnsiTheme="minorEastAsia" w:eastAsiaTheme="minorEastAsia"/>
          <w:bCs/>
          <w:kern w:val="0"/>
          <w:sz w:val="24"/>
          <w:szCs w:val="28"/>
        </w:rPr>
        <w:t xml:space="preserve">供应商恶意串通，进行质疑和投诉，维护政府采购市场秩序。 </w:t>
      </w:r>
    </w:p>
    <w:p w14:paraId="26370015">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 xml:space="preserve">   8、尊重和接受政府采购监督管理部门的监督和政府招标代理机构招标要求，承担因违约行为给采购人造成的损失。 </w:t>
      </w:r>
    </w:p>
    <w:p w14:paraId="54BBF5A0">
      <w:pPr>
        <w:widowControl/>
        <w:spacing w:line="440" w:lineRule="exact"/>
        <w:ind w:firstLine="480" w:firstLineChars="200"/>
        <w:rPr>
          <w:rFonts w:cs="仿宋" w:asciiTheme="minorEastAsia" w:hAnsiTheme="minorEastAsia" w:eastAsiaTheme="minorEastAsia"/>
          <w:bCs/>
          <w:kern w:val="0"/>
          <w:sz w:val="22"/>
          <w:szCs w:val="24"/>
        </w:rPr>
      </w:pPr>
      <w:r>
        <w:rPr>
          <w:rFonts w:hint="eastAsia" w:cs="仿宋" w:asciiTheme="minorEastAsia" w:hAnsiTheme="minorEastAsia" w:eastAsiaTheme="minorEastAsia"/>
          <w:bCs/>
          <w:kern w:val="0"/>
          <w:sz w:val="24"/>
          <w:szCs w:val="28"/>
        </w:rPr>
        <w:t xml:space="preserve">　　9、不发生其他有悖于政府采购公开、公平、公正和诚信原则的行为。 </w:t>
      </w:r>
    </w:p>
    <w:p w14:paraId="0CF897AA">
      <w:pPr>
        <w:widowControl/>
        <w:spacing w:line="440" w:lineRule="exact"/>
        <w:ind w:firstLine="960" w:firstLineChars="400"/>
        <w:rPr>
          <w:rFonts w:cs="仿宋" w:asciiTheme="minorEastAsia" w:hAnsiTheme="minorEastAsia" w:eastAsiaTheme="minorEastAsia"/>
          <w:bCs/>
          <w:kern w:val="0"/>
          <w:sz w:val="24"/>
          <w:szCs w:val="28"/>
        </w:rPr>
      </w:pPr>
    </w:p>
    <w:p w14:paraId="4AEB8726">
      <w:pPr>
        <w:widowControl/>
        <w:spacing w:line="480" w:lineRule="auto"/>
        <w:ind w:firstLine="960" w:firstLineChars="4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承诺单位：</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（盖章）</w:t>
      </w:r>
    </w:p>
    <w:p w14:paraId="072845CE">
      <w:pPr>
        <w:widowControl/>
        <w:spacing w:line="480" w:lineRule="auto"/>
        <w:ind w:firstLine="480" w:firstLineChars="2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  全权代表：</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w:t>
      </w:r>
      <w:r>
        <w:rPr>
          <w:rFonts w:hint="eastAsia" w:ascii="宋体" w:hAnsi="宋体" w:cs="宋体"/>
          <w:sz w:val="24"/>
          <w:szCs w:val="24"/>
          <w:lang w:val="zh-CN"/>
        </w:rPr>
        <w:t>签字</w:t>
      </w:r>
      <w:r>
        <w:rPr>
          <w:rFonts w:hint="eastAsia" w:ascii="宋体" w:hAnsi="宋体" w:cs="宋体"/>
          <w:sz w:val="24"/>
          <w:szCs w:val="24"/>
          <w:lang w:val="en-US" w:eastAsia="zh-CN"/>
        </w:rPr>
        <w:t>或盖章</w:t>
      </w:r>
      <w:r>
        <w:rPr>
          <w:rFonts w:hint="eastAsia" w:cs="仿宋" w:asciiTheme="minorEastAsia" w:hAnsiTheme="minorEastAsia" w:eastAsiaTheme="minorEastAsia"/>
          <w:bCs/>
          <w:kern w:val="0"/>
          <w:sz w:val="24"/>
          <w:szCs w:val="28"/>
        </w:rPr>
        <w:t xml:space="preserve">） </w:t>
      </w:r>
    </w:p>
    <w:p w14:paraId="32BCD5FA">
      <w:pPr>
        <w:widowControl/>
        <w:spacing w:line="480" w:lineRule="auto"/>
        <w:ind w:firstLine="480" w:firstLineChars="200"/>
        <w:rPr>
          <w:rFonts w:cs="仿宋" w:asciiTheme="minorEastAsia" w:hAnsiTheme="minorEastAsia" w:eastAsiaTheme="minorEastAsia"/>
          <w:bCs/>
          <w:kern w:val="0"/>
          <w:sz w:val="24"/>
          <w:szCs w:val="28"/>
          <w:u w:val="single"/>
        </w:rPr>
      </w:pPr>
      <w:r>
        <w:rPr>
          <w:rFonts w:hint="eastAsia" w:cs="仿宋" w:asciiTheme="minorEastAsia" w:hAnsiTheme="minorEastAsia" w:eastAsiaTheme="minorEastAsia"/>
          <w:bCs/>
          <w:kern w:val="0"/>
          <w:sz w:val="24"/>
          <w:szCs w:val="28"/>
        </w:rPr>
        <w:t xml:space="preserve">    地　　址：</w:t>
      </w:r>
      <w:r>
        <w:rPr>
          <w:rFonts w:hint="eastAsia" w:cs="仿宋" w:asciiTheme="minorEastAsia" w:hAnsiTheme="minorEastAsia" w:eastAsiaTheme="minorEastAsia"/>
          <w:bCs/>
          <w:kern w:val="0"/>
          <w:sz w:val="24"/>
          <w:szCs w:val="28"/>
          <w:u w:val="single"/>
        </w:rPr>
        <w:t xml:space="preserve">                              </w:t>
      </w:r>
    </w:p>
    <w:p w14:paraId="5F18949A">
      <w:pPr>
        <w:widowControl/>
        <w:spacing w:line="480" w:lineRule="auto"/>
        <w:ind w:firstLine="480" w:firstLineChars="2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 xml:space="preserve">    邮    编：</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   </w:t>
      </w:r>
    </w:p>
    <w:p w14:paraId="71866A63">
      <w:pPr>
        <w:widowControl/>
        <w:spacing w:line="480" w:lineRule="auto"/>
        <w:ind w:firstLine="720" w:firstLineChars="3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 电　　话：</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 xml:space="preserve">　　 </w:t>
      </w:r>
    </w:p>
    <w:p w14:paraId="59840887">
      <w:pPr>
        <w:widowControl/>
        <w:spacing w:line="340" w:lineRule="exact"/>
        <w:rPr>
          <w:rFonts w:cs="仿宋" w:asciiTheme="minorEastAsia" w:hAnsiTheme="minorEastAsia" w:eastAsiaTheme="minorEastAsia"/>
          <w:bCs/>
          <w:kern w:val="0"/>
          <w:sz w:val="24"/>
          <w:szCs w:val="28"/>
        </w:rPr>
      </w:pPr>
    </w:p>
    <w:p w14:paraId="44048721">
      <w:pPr>
        <w:widowControl/>
        <w:spacing w:line="340" w:lineRule="exact"/>
        <w:ind w:firstLine="4920" w:firstLineChars="2050"/>
        <w:rPr>
          <w:rFonts w:cs="仿宋" w:asciiTheme="minorEastAsia" w:hAnsiTheme="minorEastAsia" w:eastAsiaTheme="minorEastAsia"/>
          <w:bCs/>
          <w:sz w:val="36"/>
          <w:szCs w:val="40"/>
        </w:rPr>
      </w:pPr>
      <w:r>
        <w:rPr>
          <w:rFonts w:hint="eastAsia" w:cs="仿宋" w:asciiTheme="minorEastAsia" w:hAnsiTheme="minorEastAsia" w:eastAsiaTheme="minorEastAsia"/>
          <w:bCs/>
          <w:kern w:val="0"/>
          <w:sz w:val="24"/>
          <w:szCs w:val="28"/>
        </w:rPr>
        <w:t>年　　月　　日</w:t>
      </w:r>
    </w:p>
    <w:p w14:paraId="0C8C26A9">
      <w:pPr>
        <w:widowControl/>
        <w:spacing w:line="640" w:lineRule="exact"/>
        <w:jc w:val="center"/>
        <w:rPr>
          <w:rFonts w:cs="仿宋" w:asciiTheme="minorEastAsia" w:hAnsiTheme="minorEastAsia" w:eastAsiaTheme="minorEastAsia"/>
          <w:bCs/>
          <w:sz w:val="36"/>
          <w:szCs w:val="40"/>
        </w:rPr>
      </w:pPr>
    </w:p>
    <w:p w14:paraId="1560A89F">
      <w:pPr>
        <w:pStyle w:val="34"/>
        <w:rPr>
          <w:rFonts w:cs="仿宋" w:asciiTheme="minorEastAsia" w:hAnsiTheme="minorEastAsia" w:eastAsiaTheme="minorEastAsia"/>
          <w:bCs/>
          <w:sz w:val="36"/>
          <w:szCs w:val="40"/>
        </w:rPr>
      </w:pPr>
    </w:p>
    <w:p w14:paraId="08F951FF">
      <w:pPr>
        <w:widowControl/>
        <w:shd w:val="clear" w:color="auto" w:fill="FFFFFF"/>
        <w:spacing w:before="100" w:beforeAutospacing="1" w:after="100" w:afterAutospacing="1" w:line="400" w:lineRule="exact"/>
        <w:jc w:val="center"/>
        <w:rPr>
          <w:rFonts w:cs="仿宋" w:asciiTheme="minorEastAsia" w:hAnsiTheme="minorEastAsia" w:eastAsiaTheme="minorEastAsia"/>
          <w:b/>
          <w:bCs w:val="0"/>
          <w:color w:val="000000"/>
          <w:kern w:val="0"/>
          <w:sz w:val="24"/>
          <w:szCs w:val="24"/>
        </w:rPr>
      </w:pPr>
      <w:r>
        <w:rPr>
          <w:rFonts w:hint="eastAsia" w:cs="仿宋" w:asciiTheme="minorEastAsia" w:hAnsiTheme="minorEastAsia" w:eastAsiaTheme="minorEastAsia"/>
          <w:bCs/>
          <w:sz w:val="40"/>
          <w:szCs w:val="40"/>
        </w:rPr>
        <w:tab/>
      </w:r>
      <w:r>
        <w:rPr>
          <w:rFonts w:hint="eastAsia" w:cs="仿宋" w:asciiTheme="minorEastAsia" w:hAnsiTheme="minorEastAsia" w:eastAsiaTheme="minorEastAsia"/>
          <w:b/>
          <w:bCs w:val="0"/>
          <w:color w:val="000000"/>
          <w:kern w:val="0"/>
          <w:sz w:val="32"/>
          <w:szCs w:val="32"/>
        </w:rPr>
        <w:t>承诺书Ⅱ</w:t>
      </w:r>
    </w:p>
    <w:p w14:paraId="5A8F0996">
      <w:pPr>
        <w:widowControl/>
        <w:spacing w:line="440" w:lineRule="exact"/>
        <w:rPr>
          <w:rFonts w:hint="eastAsia" w:cs="Times New Roman" w:asciiTheme="minorEastAsia" w:hAnsiTheme="minorEastAsia" w:eastAsiaTheme="minorEastAsia"/>
          <w:sz w:val="24"/>
          <w:szCs w:val="28"/>
          <w:lang w:eastAsia="zh-CN"/>
        </w:rPr>
      </w:pPr>
      <w:r>
        <w:rPr>
          <w:rFonts w:hint="eastAsia" w:cs="Times New Roman" w:asciiTheme="minorEastAsia" w:hAnsiTheme="minorEastAsia" w:eastAsiaTheme="minorEastAsia"/>
          <w:sz w:val="24"/>
          <w:szCs w:val="28"/>
        </w:rPr>
        <w:t>致：</w:t>
      </w:r>
      <w:r>
        <w:rPr>
          <w:rFonts w:hint="eastAsia" w:cs="Times New Roman" w:asciiTheme="minorEastAsia" w:hAnsiTheme="minorEastAsia" w:eastAsiaTheme="minorEastAsia"/>
          <w:sz w:val="24"/>
          <w:szCs w:val="28"/>
          <w:lang w:eastAsia="zh-CN"/>
        </w:rPr>
        <w:t>汉滨区移民（脱贫）搬迁工作办公室</w:t>
      </w:r>
    </w:p>
    <w:p w14:paraId="307D1CF4">
      <w:pPr>
        <w:widowControl/>
        <w:spacing w:line="440" w:lineRule="exact"/>
        <w:ind w:firstLine="472" w:firstLineChars="197"/>
        <w:rPr>
          <w:rFonts w:cs="Times New Roman" w:asciiTheme="minorEastAsia" w:hAnsiTheme="minorEastAsia" w:eastAsiaTheme="minorEastAsia"/>
          <w:sz w:val="24"/>
          <w:szCs w:val="28"/>
        </w:rPr>
      </w:pPr>
      <w:r>
        <w:rPr>
          <w:rFonts w:hint="eastAsia" w:cs="Times New Roman" w:asciiTheme="minorEastAsia" w:hAnsiTheme="minorEastAsia" w:eastAsiaTheme="minorEastAsia"/>
          <w:sz w:val="24"/>
          <w:szCs w:val="28"/>
        </w:rPr>
        <w:t>为了诚实、客观、有序地参与政府采购活动，愿就以下内容作出承诺：</w:t>
      </w:r>
    </w:p>
    <w:p w14:paraId="63A456C0">
      <w:pPr>
        <w:widowControl/>
        <w:spacing w:line="440" w:lineRule="exact"/>
        <w:ind w:firstLine="472" w:firstLineChars="197"/>
        <w:rPr>
          <w:rFonts w:cs="Times New Roman" w:asciiTheme="minorEastAsia" w:hAnsiTheme="minorEastAsia" w:eastAsiaTheme="minorEastAsia"/>
          <w:sz w:val="24"/>
          <w:szCs w:val="28"/>
        </w:rPr>
      </w:pPr>
      <w:r>
        <w:rPr>
          <w:rFonts w:hint="eastAsia" w:cs="Times New Roman" w:asciiTheme="minorEastAsia" w:hAnsiTheme="minorEastAsia" w:eastAsiaTheme="minorEastAsia"/>
          <w:sz w:val="24"/>
          <w:szCs w:val="28"/>
        </w:rPr>
        <w:t>1、参加政府采购活动时，严格按照磋商文件的规定和要求提供所需的相关材料，并对所提供的各类资料的真实性负责，不虚假应标，不虚列业绩。</w:t>
      </w:r>
    </w:p>
    <w:p w14:paraId="2E65B8FB">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2、尊重参与政府采购活动各相关方的合法行为，接受政府采购活动依法形成的意见、结果。</w:t>
      </w:r>
    </w:p>
    <w:p w14:paraId="3B8B0E2B">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3、依法参加政府采购活动，不围标、串标，维护市场秩序。近三年因项目质量问题的不法行为记录为</w:t>
      </w:r>
      <w:r>
        <w:rPr>
          <w:rFonts w:hint="eastAsia" w:cs="仿宋" w:asciiTheme="minorEastAsia" w:hAnsiTheme="minorEastAsia" w:eastAsiaTheme="minorEastAsia"/>
          <w:bCs/>
          <w:color w:val="000000"/>
          <w:kern w:val="0"/>
          <w:sz w:val="24"/>
          <w:szCs w:val="28"/>
          <w:u w:val="single"/>
        </w:rPr>
        <w:t>   </w:t>
      </w:r>
      <w:r>
        <w:rPr>
          <w:rFonts w:hint="eastAsia" w:cs="仿宋" w:asciiTheme="minorEastAsia" w:hAnsiTheme="minorEastAsia" w:eastAsiaTheme="minorEastAsia"/>
          <w:bCs/>
          <w:color w:val="000000"/>
          <w:kern w:val="0"/>
          <w:sz w:val="24"/>
          <w:szCs w:val="28"/>
        </w:rPr>
        <w:t>次（没有填零），如有隐瞒实情，愿承担一切责任及后果。</w:t>
      </w:r>
    </w:p>
    <w:p w14:paraId="08A55842">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4、作为参加贵公司组织的采购项目的响应单位，本公司承诺：在参加本项目磋商之前不存在被依法禁止经营行为、财产被接管或冻结的情况，如有隐瞒实情，愿承担一切责任及后果。</w:t>
      </w:r>
    </w:p>
    <w:p w14:paraId="6CFFF12F">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5、近三年受到有关行政主管部门的行政处理、不良行为记录为</w:t>
      </w:r>
      <w:r>
        <w:rPr>
          <w:rFonts w:hint="eastAsia" w:cs="仿宋" w:asciiTheme="minorEastAsia" w:hAnsiTheme="minorEastAsia" w:eastAsiaTheme="minorEastAsia"/>
          <w:bCs/>
          <w:color w:val="000000"/>
          <w:kern w:val="0"/>
          <w:sz w:val="24"/>
          <w:szCs w:val="28"/>
          <w:u w:val="single"/>
        </w:rPr>
        <w:t>    </w:t>
      </w:r>
      <w:r>
        <w:rPr>
          <w:rFonts w:hint="eastAsia" w:cs="仿宋" w:asciiTheme="minorEastAsia" w:hAnsiTheme="minorEastAsia" w:eastAsiaTheme="minorEastAsia"/>
          <w:bCs/>
          <w:color w:val="000000"/>
          <w:kern w:val="0"/>
          <w:sz w:val="24"/>
          <w:szCs w:val="28"/>
        </w:rPr>
        <w:t>次（没有填零），如有隐瞒实情，愿承担一切责任及后果。</w:t>
      </w:r>
    </w:p>
    <w:p w14:paraId="314D0197">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6、参加本次磋商提交的所有资质证明文件及业绩证明是真实的、有效的，如有隐瞒实情，愿承担一切责任及后果。</w:t>
      </w:r>
    </w:p>
    <w:p w14:paraId="2BD45A55">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7、积极推动政府采购活动健康开展，对采购活动有疑问、异议时，按法律规定的程序实名（加盖单位章和法定代表人签名）反映情况，不恶意中伤、无事生非，以和谐、平等的心态参加政府采购活动。</w:t>
      </w:r>
    </w:p>
    <w:p w14:paraId="6B4EAC90">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8、认真履行成交单位应承担的责任和义务，全面执行采购合同规定的各项内容，保质保量地按时提供采购物品。</w:t>
      </w:r>
    </w:p>
    <w:p w14:paraId="7CB2E579">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若本企业（单位）发生有悖于上述承诺的行为，愿意接受《中华人民共和国政府采购法》和《中华人民共和国政府采购法实施条例》中对</w:t>
      </w:r>
      <w:r>
        <w:rPr>
          <w:rFonts w:hint="eastAsia" w:cs="仿宋" w:asciiTheme="minorEastAsia" w:hAnsiTheme="minorEastAsia" w:eastAsiaTheme="minorEastAsia"/>
          <w:bCs/>
          <w:color w:val="000000"/>
          <w:kern w:val="0"/>
          <w:sz w:val="24"/>
          <w:szCs w:val="28"/>
          <w:lang w:val="en-US" w:eastAsia="zh-CN"/>
        </w:rPr>
        <w:t>响</w:t>
      </w:r>
      <w:r>
        <w:rPr>
          <w:rFonts w:hint="eastAsia" w:cs="仿宋" w:asciiTheme="minorEastAsia" w:hAnsiTheme="minorEastAsia" w:eastAsiaTheme="minorEastAsia"/>
          <w:bCs/>
          <w:color w:val="000000"/>
          <w:kern w:val="0"/>
          <w:sz w:val="24"/>
          <w:szCs w:val="28"/>
        </w:rPr>
        <w:t>应单位的相关处理。</w:t>
      </w:r>
    </w:p>
    <w:p w14:paraId="15B53588">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本承诺是采购项目响应文件的组成部分。</w:t>
      </w:r>
    </w:p>
    <w:p w14:paraId="38E8FCCA">
      <w:pPr>
        <w:widowControl/>
        <w:shd w:val="clear" w:color="auto" w:fill="FFFFFF"/>
        <w:spacing w:line="360" w:lineRule="auto"/>
        <w:ind w:firstLine="2152" w:firstLineChars="897"/>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承诺单位：</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（盖章）</w:t>
      </w:r>
    </w:p>
    <w:p w14:paraId="0633DE7E">
      <w:pPr>
        <w:widowControl/>
        <w:shd w:val="clear" w:color="auto" w:fill="FFFFFF"/>
        <w:spacing w:line="360" w:lineRule="auto"/>
        <w:ind w:firstLine="2152" w:firstLineChars="897"/>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全权代表：</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w:t>
      </w:r>
      <w:r>
        <w:rPr>
          <w:rFonts w:hint="eastAsia" w:ascii="宋体" w:hAnsi="宋体" w:cs="宋体"/>
          <w:sz w:val="24"/>
          <w:szCs w:val="24"/>
          <w:lang w:val="zh-CN"/>
        </w:rPr>
        <w:t>签字</w:t>
      </w:r>
      <w:r>
        <w:rPr>
          <w:rFonts w:hint="eastAsia" w:ascii="宋体" w:hAnsi="宋体" w:cs="宋体"/>
          <w:sz w:val="24"/>
          <w:szCs w:val="24"/>
          <w:lang w:val="en-US" w:eastAsia="zh-CN"/>
        </w:rPr>
        <w:t>或盖章</w:t>
      </w:r>
      <w:r>
        <w:rPr>
          <w:rFonts w:hint="eastAsia" w:cs="仿宋" w:asciiTheme="minorEastAsia" w:hAnsiTheme="minorEastAsia" w:eastAsiaTheme="minorEastAsia"/>
          <w:bCs/>
          <w:color w:val="000000"/>
          <w:kern w:val="0"/>
          <w:sz w:val="24"/>
          <w:szCs w:val="28"/>
        </w:rPr>
        <w:t>）</w:t>
      </w:r>
    </w:p>
    <w:p w14:paraId="73A2263A">
      <w:pPr>
        <w:pStyle w:val="23"/>
        <w:spacing w:line="360" w:lineRule="auto"/>
        <w:ind w:firstLine="2160" w:firstLineChars="900"/>
        <w:rPr>
          <w:rFonts w:hint="eastAsia"/>
        </w:rPr>
      </w:pPr>
      <w:r>
        <w:rPr>
          <w:rFonts w:hint="eastAsia" w:cs="仿宋" w:asciiTheme="minorEastAsia" w:hAnsiTheme="minorEastAsia" w:eastAsiaTheme="minorEastAsia"/>
          <w:bCs/>
          <w:color w:val="000000"/>
          <w:kern w:val="0"/>
          <w:sz w:val="24"/>
          <w:szCs w:val="28"/>
        </w:rPr>
        <w:t>日    期：</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年</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月</w:t>
      </w:r>
      <w:r>
        <w:rPr>
          <w:rFonts w:hint="eastAsia" w:cs="仿宋" w:asciiTheme="minorEastAsia" w:hAnsiTheme="minorEastAsia" w:eastAsiaTheme="minorEastAsia"/>
          <w:bCs/>
          <w:sz w:val="28"/>
          <w:szCs w:val="32"/>
          <w:u w:val="single"/>
        </w:rPr>
        <w:t xml:space="preserve">    </w:t>
      </w:r>
      <w:r>
        <w:rPr>
          <w:rFonts w:hint="eastAsia" w:cs="仿宋" w:asciiTheme="minorEastAsia" w:hAnsiTheme="minorEastAsia" w:eastAsiaTheme="minorEastAsia"/>
          <w:bCs/>
          <w:sz w:val="24"/>
          <w:szCs w:val="28"/>
        </w:rPr>
        <w:t>日</w:t>
      </w:r>
      <w:bookmarkEnd w:id="0"/>
    </w:p>
    <w:p w14:paraId="2A5207D4">
      <w:pPr>
        <w:pStyle w:val="23"/>
        <w:rPr>
          <w:rFonts w:hint="eastAsia"/>
        </w:rPr>
      </w:pPr>
    </w:p>
    <w:p w14:paraId="294E4CDB">
      <w:pPr>
        <w:keepNext w:val="0"/>
        <w:keepLines w:val="0"/>
        <w:pageBreakBefore w:val="0"/>
        <w:widowControl w:val="0"/>
        <w:kinsoku/>
        <w:wordWrap/>
        <w:overflowPunct/>
        <w:topLinePunct w:val="0"/>
        <w:autoSpaceDE/>
        <w:autoSpaceDN/>
        <w:bidi w:val="0"/>
        <w:adjustRightInd/>
        <w:snapToGrid/>
        <w:spacing w:line="20" w:lineRule="exact"/>
        <w:textAlignment w:val="auto"/>
      </w:pPr>
    </w:p>
    <w:sectPr>
      <w:headerReference r:id="rId6" w:type="default"/>
      <w:footerReference r:id="rId7" w:type="default"/>
      <w:pgSz w:w="11906" w:h="16838"/>
      <w:pgMar w:top="1417" w:right="1417" w:bottom="1417" w:left="1417" w:header="1134" w:footer="720" w:gutter="0"/>
      <w:pgNumType w:fmt="decimal" w:start="1"/>
      <w:cols w:space="0" w:num="1"/>
      <w:rtlGutter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002EE">
    <w:pPr>
      <w:pStyle w:val="23"/>
      <w:jc w:val="right"/>
      <w:rPr>
        <w:rFonts w:ascii="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A251E">
    <w:pPr>
      <w:pStyle w:val="23"/>
      <w:tabs>
        <w:tab w:val="center" w:pos="4819"/>
        <w:tab w:val="left" w:pos="7440"/>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83FC3">
                          <w:pPr>
                            <w:pStyle w:val="2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52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E683FC3">
                    <w:pPr>
                      <w:pStyle w:val="2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52</w:t>
                    </w:r>
                    <w:r>
                      <w:t xml:space="preserve"> 页</w:t>
                    </w:r>
                  </w:p>
                </w:txbxContent>
              </v:textbox>
            </v:shape>
          </w:pict>
        </mc:Fallback>
      </mc:AlternateContent>
    </w:r>
    <w:r>
      <w:tab/>
    </w:r>
  </w:p>
  <w:p w14:paraId="55437C9D">
    <w:pPr>
      <w:pStyle w:val="2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DA53C">
    <w:pPr>
      <w:adjustRightInd w:val="0"/>
      <w:snapToGrid w:val="0"/>
      <w:spacing w:line="360" w:lineRule="auto"/>
      <w:jc w:val="left"/>
      <w:rPr>
        <w:rFonts w:ascii="宋体" w:cs="Times New Roman"/>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D3932">
    <w:pPr>
      <w:pStyle w:val="24"/>
      <w:pBdr>
        <w:bottom w:val="none" w:color="auto" w:sz="0" w:space="1"/>
      </w:pBdr>
      <w:rPr>
        <w:rFonts w:hint="default" w:eastAsia="宋体"/>
        <w:lang w:val="en-US" w:eastAsia="zh-CN"/>
      </w:rPr>
    </w:pP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9C148">
    <w:pPr>
      <w:pStyle w:val="24"/>
      <w:pBdr>
        <w:bottom w:val="none" w:color="auto" w:sz="0" w:space="0"/>
      </w:pBdr>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0BD966"/>
    <w:multiLevelType w:val="singleLevel"/>
    <w:tmpl w:val="9B0BD966"/>
    <w:lvl w:ilvl="0" w:tentative="0">
      <w:start w:val="1"/>
      <w:numFmt w:val="decimal"/>
      <w:suff w:val="nothing"/>
      <w:lvlText w:val="（%1）"/>
      <w:lvlJc w:val="left"/>
    </w:lvl>
  </w:abstractNum>
  <w:abstractNum w:abstractNumId="1">
    <w:nsid w:val="A3B3C611"/>
    <w:multiLevelType w:val="singleLevel"/>
    <w:tmpl w:val="A3B3C611"/>
    <w:lvl w:ilvl="0" w:tentative="0">
      <w:start w:val="1"/>
      <w:numFmt w:val="decimal"/>
      <w:suff w:val="nothing"/>
      <w:lvlText w:val="（%1）"/>
      <w:lvlJc w:val="left"/>
    </w:lvl>
  </w:abstractNum>
  <w:abstractNum w:abstractNumId="2">
    <w:nsid w:val="B6C6ED33"/>
    <w:multiLevelType w:val="singleLevel"/>
    <w:tmpl w:val="B6C6ED33"/>
    <w:lvl w:ilvl="0" w:tentative="0">
      <w:start w:val="4"/>
      <w:numFmt w:val="chineseCounting"/>
      <w:suff w:val="space"/>
      <w:lvlText w:val="第%1部分"/>
      <w:lvlJc w:val="left"/>
      <w:rPr>
        <w:rFonts w:hint="eastAsia"/>
      </w:rPr>
    </w:lvl>
  </w:abstractNum>
  <w:abstractNum w:abstractNumId="3">
    <w:nsid w:val="C8C7F67A"/>
    <w:multiLevelType w:val="singleLevel"/>
    <w:tmpl w:val="C8C7F67A"/>
    <w:lvl w:ilvl="0" w:tentative="0">
      <w:start w:val="1"/>
      <w:numFmt w:val="decimal"/>
      <w:suff w:val="nothing"/>
      <w:lvlText w:val="（%1）"/>
      <w:lvlJc w:val="left"/>
    </w:lvl>
  </w:abstractNum>
  <w:abstractNum w:abstractNumId="4">
    <w:nsid w:val="02E61E86"/>
    <w:multiLevelType w:val="singleLevel"/>
    <w:tmpl w:val="02E61E86"/>
    <w:lvl w:ilvl="0" w:tentative="0">
      <w:start w:val="6"/>
      <w:numFmt w:val="decimal"/>
      <w:lvlText w:val="%1."/>
      <w:lvlJc w:val="left"/>
      <w:pPr>
        <w:tabs>
          <w:tab w:val="left" w:pos="312"/>
        </w:tabs>
      </w:pPr>
    </w:lvl>
  </w:abstractNum>
  <w:abstractNum w:abstractNumId="5">
    <w:nsid w:val="0C380015"/>
    <w:multiLevelType w:val="multilevel"/>
    <w:tmpl w:val="0C380015"/>
    <w:lvl w:ilvl="0" w:tentative="0">
      <w:start w:val="1"/>
      <w:numFmt w:val="decimal"/>
      <w:lvlText w:val="%1"/>
      <w:lvlJc w:val="left"/>
      <w:pPr>
        <w:ind w:left="630" w:hanging="420"/>
      </w:pPr>
      <w:rPr>
        <w:rFonts w:hint="eastAsia"/>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6">
    <w:nsid w:val="150425FF"/>
    <w:multiLevelType w:val="singleLevel"/>
    <w:tmpl w:val="150425FF"/>
    <w:lvl w:ilvl="0" w:tentative="0">
      <w:start w:val="1"/>
      <w:numFmt w:val="decimal"/>
      <w:suff w:val="space"/>
      <w:lvlText w:val="%1."/>
      <w:lvlJc w:val="left"/>
    </w:lvl>
  </w:abstractNum>
  <w:abstractNum w:abstractNumId="7">
    <w:nsid w:val="1DA3437E"/>
    <w:multiLevelType w:val="singleLevel"/>
    <w:tmpl w:val="1DA3437E"/>
    <w:lvl w:ilvl="0" w:tentative="0">
      <w:start w:val="1"/>
      <w:numFmt w:val="decimal"/>
      <w:suff w:val="nothing"/>
      <w:lvlText w:val="（%1）"/>
      <w:lvlJc w:val="left"/>
    </w:lvl>
  </w:abstractNum>
  <w:abstractNum w:abstractNumId="8">
    <w:nsid w:val="2A692140"/>
    <w:multiLevelType w:val="singleLevel"/>
    <w:tmpl w:val="2A692140"/>
    <w:lvl w:ilvl="0" w:tentative="0">
      <w:start w:val="1"/>
      <w:numFmt w:val="decimal"/>
      <w:suff w:val="nothing"/>
      <w:lvlText w:val="%1、"/>
      <w:lvlJc w:val="left"/>
    </w:lvl>
  </w:abstractNum>
  <w:abstractNum w:abstractNumId="9">
    <w:nsid w:val="4474AEEA"/>
    <w:multiLevelType w:val="singleLevel"/>
    <w:tmpl w:val="4474AEEA"/>
    <w:lvl w:ilvl="0" w:tentative="0">
      <w:start w:val="1"/>
      <w:numFmt w:val="chineseCounting"/>
      <w:suff w:val="nothing"/>
      <w:lvlText w:val="（%1）"/>
      <w:lvlJc w:val="left"/>
      <w:rPr>
        <w:rFonts w:hint="eastAsia"/>
      </w:rPr>
    </w:lvl>
  </w:abstractNum>
  <w:abstractNum w:abstractNumId="10">
    <w:nsid w:val="561FCF0B"/>
    <w:multiLevelType w:val="singleLevel"/>
    <w:tmpl w:val="561FCF0B"/>
    <w:lvl w:ilvl="0" w:tentative="0">
      <w:start w:val="1"/>
      <w:numFmt w:val="decimal"/>
      <w:suff w:val="nothing"/>
      <w:lvlText w:val="%1."/>
      <w:lvlJc w:val="left"/>
    </w:lvl>
  </w:abstractNum>
  <w:abstractNum w:abstractNumId="11">
    <w:nsid w:val="58BE4A74"/>
    <w:multiLevelType w:val="singleLevel"/>
    <w:tmpl w:val="58BE4A74"/>
    <w:lvl w:ilvl="0" w:tentative="0">
      <w:start w:val="1"/>
      <w:numFmt w:val="chineseCounting"/>
      <w:suff w:val="nothing"/>
      <w:lvlText w:val="%1、"/>
      <w:lvlJc w:val="left"/>
      <w:pPr>
        <w:ind w:firstLine="420"/>
      </w:pPr>
      <w:rPr>
        <w:rFonts w:hint="eastAsia"/>
      </w:rPr>
    </w:lvl>
  </w:abstractNum>
  <w:abstractNum w:abstractNumId="12">
    <w:nsid w:val="58BE4BC8"/>
    <w:multiLevelType w:val="singleLevel"/>
    <w:tmpl w:val="58BE4BC8"/>
    <w:lvl w:ilvl="0" w:tentative="0">
      <w:start w:val="1"/>
      <w:numFmt w:val="decimal"/>
      <w:suff w:val="nothing"/>
      <w:lvlText w:val="%1、"/>
      <w:lvlJc w:val="left"/>
      <w:pPr>
        <w:ind w:firstLine="420"/>
      </w:pPr>
      <w:rPr>
        <w:rFonts w:hint="default"/>
      </w:rPr>
    </w:lvl>
  </w:abstractNum>
  <w:abstractNum w:abstractNumId="13">
    <w:nsid w:val="58BE64F2"/>
    <w:multiLevelType w:val="singleLevel"/>
    <w:tmpl w:val="58BE64F2"/>
    <w:lvl w:ilvl="0" w:tentative="0">
      <w:start w:val="1"/>
      <w:numFmt w:val="decimal"/>
      <w:suff w:val="nothing"/>
      <w:lvlText w:val="%1、"/>
      <w:lvlJc w:val="left"/>
      <w:pPr>
        <w:ind w:firstLine="420"/>
      </w:pPr>
      <w:rPr>
        <w:rFonts w:hint="default"/>
      </w:rPr>
    </w:lvl>
  </w:abstractNum>
  <w:abstractNum w:abstractNumId="14">
    <w:nsid w:val="58BE6519"/>
    <w:multiLevelType w:val="singleLevel"/>
    <w:tmpl w:val="58BE6519"/>
    <w:lvl w:ilvl="0" w:tentative="0">
      <w:start w:val="1"/>
      <w:numFmt w:val="decimal"/>
      <w:suff w:val="nothing"/>
      <w:lvlText w:val="%1、"/>
      <w:lvlJc w:val="left"/>
      <w:pPr>
        <w:ind w:firstLine="420"/>
      </w:pPr>
      <w:rPr>
        <w:rFonts w:hint="default"/>
      </w:rPr>
    </w:lvl>
  </w:abstractNum>
  <w:abstractNum w:abstractNumId="15">
    <w:nsid w:val="58BE6CCA"/>
    <w:multiLevelType w:val="singleLevel"/>
    <w:tmpl w:val="58BE6CCA"/>
    <w:lvl w:ilvl="0" w:tentative="0">
      <w:start w:val="1"/>
      <w:numFmt w:val="decimal"/>
      <w:suff w:val="nothing"/>
      <w:lvlText w:val="%1、"/>
      <w:lvlJc w:val="left"/>
      <w:pPr>
        <w:ind w:firstLine="420"/>
      </w:pPr>
      <w:rPr>
        <w:rFonts w:hint="default"/>
      </w:rPr>
    </w:lvl>
  </w:abstractNum>
  <w:abstractNum w:abstractNumId="16">
    <w:nsid w:val="58C0AD6D"/>
    <w:multiLevelType w:val="singleLevel"/>
    <w:tmpl w:val="58C0AD6D"/>
    <w:lvl w:ilvl="0" w:tentative="0">
      <w:start w:val="1"/>
      <w:numFmt w:val="decimal"/>
      <w:suff w:val="nothing"/>
      <w:lvlText w:val="（%1）"/>
      <w:lvlJc w:val="left"/>
      <w:pPr>
        <w:ind w:firstLine="420"/>
      </w:pPr>
      <w:rPr>
        <w:rFonts w:hint="default"/>
      </w:rPr>
    </w:lvl>
  </w:abstractNum>
  <w:abstractNum w:abstractNumId="17">
    <w:nsid w:val="59F099C9"/>
    <w:multiLevelType w:val="singleLevel"/>
    <w:tmpl w:val="59F099C9"/>
    <w:lvl w:ilvl="0" w:tentative="0">
      <w:start w:val="1"/>
      <w:numFmt w:val="decimal"/>
      <w:suff w:val="nothing"/>
      <w:lvlText w:val="（%1）"/>
      <w:lvlJc w:val="left"/>
      <w:pPr>
        <w:ind w:firstLine="420"/>
      </w:pPr>
      <w:rPr>
        <w:rFonts w:hint="default"/>
      </w:rPr>
    </w:lvl>
  </w:abstractNum>
  <w:num w:numId="1">
    <w:abstractNumId w:val="5"/>
  </w:num>
  <w:num w:numId="2">
    <w:abstractNumId w:val="8"/>
  </w:num>
  <w:num w:numId="3">
    <w:abstractNumId w:val="11"/>
  </w:num>
  <w:num w:numId="4">
    <w:abstractNumId w:val="15"/>
  </w:num>
  <w:num w:numId="5">
    <w:abstractNumId w:val="16"/>
  </w:num>
  <w:num w:numId="6">
    <w:abstractNumId w:val="12"/>
  </w:num>
  <w:num w:numId="7">
    <w:abstractNumId w:val="17"/>
  </w:num>
  <w:num w:numId="8">
    <w:abstractNumId w:val="13"/>
  </w:num>
  <w:num w:numId="9">
    <w:abstractNumId w:val="14"/>
  </w:num>
  <w:num w:numId="10">
    <w:abstractNumId w:val="9"/>
  </w:num>
  <w:num w:numId="11">
    <w:abstractNumId w:val="2"/>
  </w:num>
  <w:num w:numId="12">
    <w:abstractNumId w:val="6"/>
  </w:num>
  <w:num w:numId="13">
    <w:abstractNumId w:val="0"/>
  </w:num>
  <w:num w:numId="14">
    <w:abstractNumId w:val="7"/>
  </w:num>
  <w:num w:numId="15">
    <w:abstractNumId w:val="3"/>
  </w:num>
  <w:num w:numId="16">
    <w:abstractNumId w:val="1"/>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420"/>
  <w:doNotHyphenateCaps/>
  <w:drawingGridHorizontalSpacing w:val="210"/>
  <w:drawingGridVerticalSpacing w:val="99999990"/>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2NmIzODMyNmM4ZWRlMzQ2NzE2ODNmZGMxZDZjMWEifQ=="/>
  </w:docVars>
  <w:rsids>
    <w:rsidRoot w:val="00172A27"/>
    <w:rsid w:val="00004BA7"/>
    <w:rsid w:val="00005B32"/>
    <w:rsid w:val="00010EA2"/>
    <w:rsid w:val="00015CE5"/>
    <w:rsid w:val="0001630B"/>
    <w:rsid w:val="00016924"/>
    <w:rsid w:val="000215F9"/>
    <w:rsid w:val="0002193F"/>
    <w:rsid w:val="000251B2"/>
    <w:rsid w:val="00040CAE"/>
    <w:rsid w:val="0005257D"/>
    <w:rsid w:val="0005463B"/>
    <w:rsid w:val="00056A18"/>
    <w:rsid w:val="0006270F"/>
    <w:rsid w:val="00071A2D"/>
    <w:rsid w:val="0007624A"/>
    <w:rsid w:val="00076793"/>
    <w:rsid w:val="00082A12"/>
    <w:rsid w:val="000965FF"/>
    <w:rsid w:val="00096F80"/>
    <w:rsid w:val="000B1C06"/>
    <w:rsid w:val="000B7B77"/>
    <w:rsid w:val="000B7E11"/>
    <w:rsid w:val="000C0895"/>
    <w:rsid w:val="000C4700"/>
    <w:rsid w:val="000C66B3"/>
    <w:rsid w:val="000D025E"/>
    <w:rsid w:val="000D1150"/>
    <w:rsid w:val="000D511E"/>
    <w:rsid w:val="000D7A84"/>
    <w:rsid w:val="000E1B3B"/>
    <w:rsid w:val="000E2E85"/>
    <w:rsid w:val="000E441F"/>
    <w:rsid w:val="000F25C6"/>
    <w:rsid w:val="000F7D52"/>
    <w:rsid w:val="00106960"/>
    <w:rsid w:val="00112DB1"/>
    <w:rsid w:val="0011607E"/>
    <w:rsid w:val="00123856"/>
    <w:rsid w:val="00135474"/>
    <w:rsid w:val="0013722C"/>
    <w:rsid w:val="00137C57"/>
    <w:rsid w:val="00146401"/>
    <w:rsid w:val="001500CF"/>
    <w:rsid w:val="0015350C"/>
    <w:rsid w:val="00160BEB"/>
    <w:rsid w:val="00162275"/>
    <w:rsid w:val="0016392C"/>
    <w:rsid w:val="00167A28"/>
    <w:rsid w:val="00170208"/>
    <w:rsid w:val="001710EC"/>
    <w:rsid w:val="00172A27"/>
    <w:rsid w:val="00175536"/>
    <w:rsid w:val="00183C89"/>
    <w:rsid w:val="0018646C"/>
    <w:rsid w:val="00190C06"/>
    <w:rsid w:val="00191202"/>
    <w:rsid w:val="001959E2"/>
    <w:rsid w:val="001962AD"/>
    <w:rsid w:val="00197C4D"/>
    <w:rsid w:val="001A1334"/>
    <w:rsid w:val="001B1E3E"/>
    <w:rsid w:val="001B2AD6"/>
    <w:rsid w:val="001B52F6"/>
    <w:rsid w:val="001B6D88"/>
    <w:rsid w:val="001D1EB4"/>
    <w:rsid w:val="001D602F"/>
    <w:rsid w:val="001E66CE"/>
    <w:rsid w:val="001E6C17"/>
    <w:rsid w:val="001F3993"/>
    <w:rsid w:val="001F6BED"/>
    <w:rsid w:val="001F782E"/>
    <w:rsid w:val="00202A3C"/>
    <w:rsid w:val="002035BC"/>
    <w:rsid w:val="00206E15"/>
    <w:rsid w:val="002110A1"/>
    <w:rsid w:val="00213ADD"/>
    <w:rsid w:val="00224600"/>
    <w:rsid w:val="0022486D"/>
    <w:rsid w:val="002372A5"/>
    <w:rsid w:val="00241322"/>
    <w:rsid w:val="00241EAD"/>
    <w:rsid w:val="00244C0D"/>
    <w:rsid w:val="00253A8D"/>
    <w:rsid w:val="0027186A"/>
    <w:rsid w:val="00272917"/>
    <w:rsid w:val="002810C5"/>
    <w:rsid w:val="0028166F"/>
    <w:rsid w:val="002846BB"/>
    <w:rsid w:val="00290FBC"/>
    <w:rsid w:val="002928E1"/>
    <w:rsid w:val="0029291A"/>
    <w:rsid w:val="00294BE6"/>
    <w:rsid w:val="00294F2A"/>
    <w:rsid w:val="002A3ADC"/>
    <w:rsid w:val="002A6E6B"/>
    <w:rsid w:val="002B0332"/>
    <w:rsid w:val="002B2239"/>
    <w:rsid w:val="002B5961"/>
    <w:rsid w:val="002B6158"/>
    <w:rsid w:val="002B7907"/>
    <w:rsid w:val="002C0D5A"/>
    <w:rsid w:val="002C2643"/>
    <w:rsid w:val="002D0B40"/>
    <w:rsid w:val="002D1C17"/>
    <w:rsid w:val="002D1F32"/>
    <w:rsid w:val="002D349B"/>
    <w:rsid w:val="002D528A"/>
    <w:rsid w:val="002D6C79"/>
    <w:rsid w:val="002D7A6D"/>
    <w:rsid w:val="002E07BF"/>
    <w:rsid w:val="002E189E"/>
    <w:rsid w:val="002E4ADD"/>
    <w:rsid w:val="002F165A"/>
    <w:rsid w:val="002F1919"/>
    <w:rsid w:val="002F2BCA"/>
    <w:rsid w:val="002F6FCA"/>
    <w:rsid w:val="002F74C6"/>
    <w:rsid w:val="002F7A4B"/>
    <w:rsid w:val="00300C90"/>
    <w:rsid w:val="00303418"/>
    <w:rsid w:val="00307250"/>
    <w:rsid w:val="00314924"/>
    <w:rsid w:val="00315CD3"/>
    <w:rsid w:val="003160A9"/>
    <w:rsid w:val="003202D3"/>
    <w:rsid w:val="00320322"/>
    <w:rsid w:val="00320654"/>
    <w:rsid w:val="00320EE6"/>
    <w:rsid w:val="0032651B"/>
    <w:rsid w:val="00333015"/>
    <w:rsid w:val="00334C04"/>
    <w:rsid w:val="00337601"/>
    <w:rsid w:val="00340F9B"/>
    <w:rsid w:val="00341158"/>
    <w:rsid w:val="00342A63"/>
    <w:rsid w:val="00343014"/>
    <w:rsid w:val="00345FCC"/>
    <w:rsid w:val="00347BE2"/>
    <w:rsid w:val="00352F14"/>
    <w:rsid w:val="00360C09"/>
    <w:rsid w:val="00362391"/>
    <w:rsid w:val="003627F8"/>
    <w:rsid w:val="00382F3C"/>
    <w:rsid w:val="003859D8"/>
    <w:rsid w:val="00387321"/>
    <w:rsid w:val="003969B6"/>
    <w:rsid w:val="003A1D85"/>
    <w:rsid w:val="003A43A3"/>
    <w:rsid w:val="003A612C"/>
    <w:rsid w:val="003A6630"/>
    <w:rsid w:val="003B53CC"/>
    <w:rsid w:val="003C206A"/>
    <w:rsid w:val="003C29FE"/>
    <w:rsid w:val="003C44B3"/>
    <w:rsid w:val="003C4988"/>
    <w:rsid w:val="003D37C1"/>
    <w:rsid w:val="003D50DD"/>
    <w:rsid w:val="003D7E3F"/>
    <w:rsid w:val="003E65D8"/>
    <w:rsid w:val="003E7B81"/>
    <w:rsid w:val="003F19D5"/>
    <w:rsid w:val="003F3D18"/>
    <w:rsid w:val="003F64A7"/>
    <w:rsid w:val="003F6D98"/>
    <w:rsid w:val="0040050B"/>
    <w:rsid w:val="004059AE"/>
    <w:rsid w:val="00413C4E"/>
    <w:rsid w:val="00413F11"/>
    <w:rsid w:val="0042126E"/>
    <w:rsid w:val="00421C30"/>
    <w:rsid w:val="004306AA"/>
    <w:rsid w:val="004310FB"/>
    <w:rsid w:val="00434344"/>
    <w:rsid w:val="00440269"/>
    <w:rsid w:val="00441621"/>
    <w:rsid w:val="004456E2"/>
    <w:rsid w:val="004458BC"/>
    <w:rsid w:val="004570FB"/>
    <w:rsid w:val="00462D92"/>
    <w:rsid w:val="00462DF2"/>
    <w:rsid w:val="00466B18"/>
    <w:rsid w:val="00472A06"/>
    <w:rsid w:val="004735BA"/>
    <w:rsid w:val="00482B14"/>
    <w:rsid w:val="00485775"/>
    <w:rsid w:val="004A59C8"/>
    <w:rsid w:val="004B1232"/>
    <w:rsid w:val="004B15F6"/>
    <w:rsid w:val="004B4CCF"/>
    <w:rsid w:val="004B4D3C"/>
    <w:rsid w:val="004B60FE"/>
    <w:rsid w:val="004B683C"/>
    <w:rsid w:val="004B75EB"/>
    <w:rsid w:val="004C21D5"/>
    <w:rsid w:val="004C3524"/>
    <w:rsid w:val="004C3CD8"/>
    <w:rsid w:val="004C6860"/>
    <w:rsid w:val="004C6EA6"/>
    <w:rsid w:val="004C782A"/>
    <w:rsid w:val="004C7937"/>
    <w:rsid w:val="004D0B61"/>
    <w:rsid w:val="004D1660"/>
    <w:rsid w:val="004D1E6A"/>
    <w:rsid w:val="004D2A8A"/>
    <w:rsid w:val="004D56BD"/>
    <w:rsid w:val="004D68EF"/>
    <w:rsid w:val="004D6D24"/>
    <w:rsid w:val="004D70C5"/>
    <w:rsid w:val="004E1DBF"/>
    <w:rsid w:val="004E3D99"/>
    <w:rsid w:val="004F2338"/>
    <w:rsid w:val="004F4587"/>
    <w:rsid w:val="00500677"/>
    <w:rsid w:val="00501E86"/>
    <w:rsid w:val="0050249F"/>
    <w:rsid w:val="00507712"/>
    <w:rsid w:val="00512758"/>
    <w:rsid w:val="00516DF1"/>
    <w:rsid w:val="005205ED"/>
    <w:rsid w:val="00520C66"/>
    <w:rsid w:val="0052192C"/>
    <w:rsid w:val="00522064"/>
    <w:rsid w:val="00525A22"/>
    <w:rsid w:val="00526020"/>
    <w:rsid w:val="00527C6A"/>
    <w:rsid w:val="00533084"/>
    <w:rsid w:val="00533996"/>
    <w:rsid w:val="00535179"/>
    <w:rsid w:val="00537E76"/>
    <w:rsid w:val="0054121D"/>
    <w:rsid w:val="005507FE"/>
    <w:rsid w:val="005616C3"/>
    <w:rsid w:val="00571370"/>
    <w:rsid w:val="005728D1"/>
    <w:rsid w:val="005764B7"/>
    <w:rsid w:val="005767B4"/>
    <w:rsid w:val="00576E24"/>
    <w:rsid w:val="00581C8C"/>
    <w:rsid w:val="005826D4"/>
    <w:rsid w:val="00587171"/>
    <w:rsid w:val="005918D7"/>
    <w:rsid w:val="005A4A37"/>
    <w:rsid w:val="005B156F"/>
    <w:rsid w:val="005B2147"/>
    <w:rsid w:val="005B3960"/>
    <w:rsid w:val="005B792D"/>
    <w:rsid w:val="005C02C7"/>
    <w:rsid w:val="005C737F"/>
    <w:rsid w:val="005D6479"/>
    <w:rsid w:val="005D7A12"/>
    <w:rsid w:val="005E259F"/>
    <w:rsid w:val="005E2798"/>
    <w:rsid w:val="005E4FB7"/>
    <w:rsid w:val="005F036E"/>
    <w:rsid w:val="005F0C4B"/>
    <w:rsid w:val="005F41CB"/>
    <w:rsid w:val="006044D9"/>
    <w:rsid w:val="006109BC"/>
    <w:rsid w:val="00616ADE"/>
    <w:rsid w:val="0062027A"/>
    <w:rsid w:val="00622D80"/>
    <w:rsid w:val="00632E4D"/>
    <w:rsid w:val="00632E58"/>
    <w:rsid w:val="0063486B"/>
    <w:rsid w:val="00637065"/>
    <w:rsid w:val="006403AF"/>
    <w:rsid w:val="00640703"/>
    <w:rsid w:val="00642F93"/>
    <w:rsid w:val="006657C9"/>
    <w:rsid w:val="006739A1"/>
    <w:rsid w:val="00675301"/>
    <w:rsid w:val="00676150"/>
    <w:rsid w:val="0068208A"/>
    <w:rsid w:val="00686E29"/>
    <w:rsid w:val="00691EC3"/>
    <w:rsid w:val="00696FBA"/>
    <w:rsid w:val="006A2AC7"/>
    <w:rsid w:val="006A2D96"/>
    <w:rsid w:val="006A3734"/>
    <w:rsid w:val="006B38D0"/>
    <w:rsid w:val="006C4563"/>
    <w:rsid w:val="006D35B9"/>
    <w:rsid w:val="006D4A21"/>
    <w:rsid w:val="006E46DF"/>
    <w:rsid w:val="006E7309"/>
    <w:rsid w:val="006F1FD6"/>
    <w:rsid w:val="006F3D0D"/>
    <w:rsid w:val="006F6B6F"/>
    <w:rsid w:val="00700558"/>
    <w:rsid w:val="00713FA4"/>
    <w:rsid w:val="00714585"/>
    <w:rsid w:val="007145A3"/>
    <w:rsid w:val="007260D3"/>
    <w:rsid w:val="00734321"/>
    <w:rsid w:val="007350DD"/>
    <w:rsid w:val="007374ED"/>
    <w:rsid w:val="00740840"/>
    <w:rsid w:val="00742353"/>
    <w:rsid w:val="00747054"/>
    <w:rsid w:val="0075335B"/>
    <w:rsid w:val="007578C8"/>
    <w:rsid w:val="007609B8"/>
    <w:rsid w:val="0076103B"/>
    <w:rsid w:val="0076108D"/>
    <w:rsid w:val="00761C00"/>
    <w:rsid w:val="00761F62"/>
    <w:rsid w:val="0076472F"/>
    <w:rsid w:val="007749D9"/>
    <w:rsid w:val="0077634F"/>
    <w:rsid w:val="007770DF"/>
    <w:rsid w:val="007809B7"/>
    <w:rsid w:val="0078483A"/>
    <w:rsid w:val="00787B06"/>
    <w:rsid w:val="00792491"/>
    <w:rsid w:val="007A16A6"/>
    <w:rsid w:val="007A2512"/>
    <w:rsid w:val="007A36C0"/>
    <w:rsid w:val="007A69BE"/>
    <w:rsid w:val="007B2B77"/>
    <w:rsid w:val="007B6B64"/>
    <w:rsid w:val="007B6BCF"/>
    <w:rsid w:val="007B6D05"/>
    <w:rsid w:val="007C18C2"/>
    <w:rsid w:val="007C1CAA"/>
    <w:rsid w:val="007C7DEA"/>
    <w:rsid w:val="007D00DF"/>
    <w:rsid w:val="007E3909"/>
    <w:rsid w:val="007E7467"/>
    <w:rsid w:val="007F01CC"/>
    <w:rsid w:val="007F20B0"/>
    <w:rsid w:val="007F33CE"/>
    <w:rsid w:val="007F7861"/>
    <w:rsid w:val="008004E4"/>
    <w:rsid w:val="0080581E"/>
    <w:rsid w:val="0081303D"/>
    <w:rsid w:val="00816B21"/>
    <w:rsid w:val="00821D41"/>
    <w:rsid w:val="008234BC"/>
    <w:rsid w:val="008259C8"/>
    <w:rsid w:val="00826AD0"/>
    <w:rsid w:val="008277A7"/>
    <w:rsid w:val="00827E31"/>
    <w:rsid w:val="008329E5"/>
    <w:rsid w:val="00833FDB"/>
    <w:rsid w:val="0083596B"/>
    <w:rsid w:val="008401E9"/>
    <w:rsid w:val="00841916"/>
    <w:rsid w:val="0084209B"/>
    <w:rsid w:val="008433D5"/>
    <w:rsid w:val="00843925"/>
    <w:rsid w:val="008456C5"/>
    <w:rsid w:val="00857FA1"/>
    <w:rsid w:val="0086607B"/>
    <w:rsid w:val="0086663B"/>
    <w:rsid w:val="0086784C"/>
    <w:rsid w:val="00870EAE"/>
    <w:rsid w:val="008710F1"/>
    <w:rsid w:val="00876563"/>
    <w:rsid w:val="008839DC"/>
    <w:rsid w:val="008866C0"/>
    <w:rsid w:val="00887D1E"/>
    <w:rsid w:val="00891290"/>
    <w:rsid w:val="008962A7"/>
    <w:rsid w:val="00897D92"/>
    <w:rsid w:val="008A0975"/>
    <w:rsid w:val="008A367A"/>
    <w:rsid w:val="008B2891"/>
    <w:rsid w:val="008B3BC3"/>
    <w:rsid w:val="008B7CA5"/>
    <w:rsid w:val="008C227D"/>
    <w:rsid w:val="008E02C4"/>
    <w:rsid w:val="008E07BA"/>
    <w:rsid w:val="008E1791"/>
    <w:rsid w:val="008E4A9C"/>
    <w:rsid w:val="008E4F66"/>
    <w:rsid w:val="008E53A9"/>
    <w:rsid w:val="008E6643"/>
    <w:rsid w:val="008F0090"/>
    <w:rsid w:val="008F1ABB"/>
    <w:rsid w:val="008F6EFE"/>
    <w:rsid w:val="008F752D"/>
    <w:rsid w:val="009016AA"/>
    <w:rsid w:val="00904AE4"/>
    <w:rsid w:val="009063E0"/>
    <w:rsid w:val="00911E5C"/>
    <w:rsid w:val="00914949"/>
    <w:rsid w:val="00916046"/>
    <w:rsid w:val="00921206"/>
    <w:rsid w:val="009235A6"/>
    <w:rsid w:val="00927900"/>
    <w:rsid w:val="009300F6"/>
    <w:rsid w:val="00931396"/>
    <w:rsid w:val="00931804"/>
    <w:rsid w:val="00931C5C"/>
    <w:rsid w:val="00940A2B"/>
    <w:rsid w:val="009479EC"/>
    <w:rsid w:val="0095298A"/>
    <w:rsid w:val="00953366"/>
    <w:rsid w:val="00954CF1"/>
    <w:rsid w:val="00956521"/>
    <w:rsid w:val="00962505"/>
    <w:rsid w:val="00964B6E"/>
    <w:rsid w:val="0096516F"/>
    <w:rsid w:val="0096641E"/>
    <w:rsid w:val="00967538"/>
    <w:rsid w:val="0097045D"/>
    <w:rsid w:val="0097134B"/>
    <w:rsid w:val="009729CB"/>
    <w:rsid w:val="00983FAD"/>
    <w:rsid w:val="0098589A"/>
    <w:rsid w:val="009859B0"/>
    <w:rsid w:val="009935A5"/>
    <w:rsid w:val="009A4A76"/>
    <w:rsid w:val="009A6B98"/>
    <w:rsid w:val="009A77A9"/>
    <w:rsid w:val="009B5F0C"/>
    <w:rsid w:val="009C0F48"/>
    <w:rsid w:val="009C28C6"/>
    <w:rsid w:val="009C52D9"/>
    <w:rsid w:val="009C65C7"/>
    <w:rsid w:val="009D4358"/>
    <w:rsid w:val="009D657F"/>
    <w:rsid w:val="009E0269"/>
    <w:rsid w:val="009E52F7"/>
    <w:rsid w:val="009E54DA"/>
    <w:rsid w:val="009E769B"/>
    <w:rsid w:val="009F333B"/>
    <w:rsid w:val="009F4813"/>
    <w:rsid w:val="009F7170"/>
    <w:rsid w:val="00A0060C"/>
    <w:rsid w:val="00A03806"/>
    <w:rsid w:val="00A05A33"/>
    <w:rsid w:val="00A13CF9"/>
    <w:rsid w:val="00A16EB2"/>
    <w:rsid w:val="00A20439"/>
    <w:rsid w:val="00A2206A"/>
    <w:rsid w:val="00A222BB"/>
    <w:rsid w:val="00A228B6"/>
    <w:rsid w:val="00A23633"/>
    <w:rsid w:val="00A2466B"/>
    <w:rsid w:val="00A248F4"/>
    <w:rsid w:val="00A27424"/>
    <w:rsid w:val="00A27FA2"/>
    <w:rsid w:val="00A31092"/>
    <w:rsid w:val="00A34C33"/>
    <w:rsid w:val="00A36544"/>
    <w:rsid w:val="00A46393"/>
    <w:rsid w:val="00A53232"/>
    <w:rsid w:val="00A56FA6"/>
    <w:rsid w:val="00A5719E"/>
    <w:rsid w:val="00A63494"/>
    <w:rsid w:val="00A6432C"/>
    <w:rsid w:val="00A77FA6"/>
    <w:rsid w:val="00A8343C"/>
    <w:rsid w:val="00A9143D"/>
    <w:rsid w:val="00A921BA"/>
    <w:rsid w:val="00A95A89"/>
    <w:rsid w:val="00A97E39"/>
    <w:rsid w:val="00AA105B"/>
    <w:rsid w:val="00AA12B2"/>
    <w:rsid w:val="00AA18BD"/>
    <w:rsid w:val="00AA292A"/>
    <w:rsid w:val="00AA7E63"/>
    <w:rsid w:val="00AB009C"/>
    <w:rsid w:val="00AB0730"/>
    <w:rsid w:val="00AB2417"/>
    <w:rsid w:val="00AB5F04"/>
    <w:rsid w:val="00AC15AD"/>
    <w:rsid w:val="00AC2095"/>
    <w:rsid w:val="00AC4DD4"/>
    <w:rsid w:val="00AC54DB"/>
    <w:rsid w:val="00AC5D69"/>
    <w:rsid w:val="00AC7625"/>
    <w:rsid w:val="00AD5366"/>
    <w:rsid w:val="00AE1FA0"/>
    <w:rsid w:val="00AE2CEA"/>
    <w:rsid w:val="00AE2DCE"/>
    <w:rsid w:val="00AF3E5B"/>
    <w:rsid w:val="00AF42C7"/>
    <w:rsid w:val="00AF4317"/>
    <w:rsid w:val="00AF550F"/>
    <w:rsid w:val="00B02F8B"/>
    <w:rsid w:val="00B036D8"/>
    <w:rsid w:val="00B05802"/>
    <w:rsid w:val="00B05FE4"/>
    <w:rsid w:val="00B07C59"/>
    <w:rsid w:val="00B2348B"/>
    <w:rsid w:val="00B30AD2"/>
    <w:rsid w:val="00B32079"/>
    <w:rsid w:val="00B355AC"/>
    <w:rsid w:val="00B3706C"/>
    <w:rsid w:val="00B40362"/>
    <w:rsid w:val="00B45CC9"/>
    <w:rsid w:val="00B50A6A"/>
    <w:rsid w:val="00B51EFA"/>
    <w:rsid w:val="00B63FA9"/>
    <w:rsid w:val="00B71350"/>
    <w:rsid w:val="00B761FB"/>
    <w:rsid w:val="00B76DB3"/>
    <w:rsid w:val="00B82F58"/>
    <w:rsid w:val="00B8561B"/>
    <w:rsid w:val="00B8592B"/>
    <w:rsid w:val="00B870CA"/>
    <w:rsid w:val="00B9218C"/>
    <w:rsid w:val="00BA0961"/>
    <w:rsid w:val="00BA1897"/>
    <w:rsid w:val="00BA52B6"/>
    <w:rsid w:val="00BA6A62"/>
    <w:rsid w:val="00BB4274"/>
    <w:rsid w:val="00BC1AB3"/>
    <w:rsid w:val="00BC274D"/>
    <w:rsid w:val="00BC7430"/>
    <w:rsid w:val="00BD2877"/>
    <w:rsid w:val="00BD6548"/>
    <w:rsid w:val="00BD694D"/>
    <w:rsid w:val="00BD6BF7"/>
    <w:rsid w:val="00BE1802"/>
    <w:rsid w:val="00BE3DA8"/>
    <w:rsid w:val="00C01460"/>
    <w:rsid w:val="00C03A4F"/>
    <w:rsid w:val="00C0667B"/>
    <w:rsid w:val="00C06804"/>
    <w:rsid w:val="00C11350"/>
    <w:rsid w:val="00C1147B"/>
    <w:rsid w:val="00C16128"/>
    <w:rsid w:val="00C27EF0"/>
    <w:rsid w:val="00C36694"/>
    <w:rsid w:val="00C43EB2"/>
    <w:rsid w:val="00C56A84"/>
    <w:rsid w:val="00C66C21"/>
    <w:rsid w:val="00C72BA2"/>
    <w:rsid w:val="00C75095"/>
    <w:rsid w:val="00C76C6D"/>
    <w:rsid w:val="00C77720"/>
    <w:rsid w:val="00C84CEF"/>
    <w:rsid w:val="00C87AFE"/>
    <w:rsid w:val="00C918FC"/>
    <w:rsid w:val="00C9373A"/>
    <w:rsid w:val="00CB64FF"/>
    <w:rsid w:val="00CC0227"/>
    <w:rsid w:val="00CC4E6B"/>
    <w:rsid w:val="00CC5312"/>
    <w:rsid w:val="00CD1024"/>
    <w:rsid w:val="00CD4A40"/>
    <w:rsid w:val="00CE6207"/>
    <w:rsid w:val="00D01247"/>
    <w:rsid w:val="00D135EA"/>
    <w:rsid w:val="00D15672"/>
    <w:rsid w:val="00D175AB"/>
    <w:rsid w:val="00D223D8"/>
    <w:rsid w:val="00D2460F"/>
    <w:rsid w:val="00D26B51"/>
    <w:rsid w:val="00D35304"/>
    <w:rsid w:val="00D4281B"/>
    <w:rsid w:val="00D42A5A"/>
    <w:rsid w:val="00D44D45"/>
    <w:rsid w:val="00D465A9"/>
    <w:rsid w:val="00D4662D"/>
    <w:rsid w:val="00D51625"/>
    <w:rsid w:val="00D54E23"/>
    <w:rsid w:val="00D574E4"/>
    <w:rsid w:val="00D576EF"/>
    <w:rsid w:val="00D60622"/>
    <w:rsid w:val="00D713C4"/>
    <w:rsid w:val="00D723CA"/>
    <w:rsid w:val="00D754F2"/>
    <w:rsid w:val="00D8553D"/>
    <w:rsid w:val="00DA200D"/>
    <w:rsid w:val="00DA32E7"/>
    <w:rsid w:val="00DA3920"/>
    <w:rsid w:val="00DA4229"/>
    <w:rsid w:val="00DA54B8"/>
    <w:rsid w:val="00DA6B67"/>
    <w:rsid w:val="00DA7A04"/>
    <w:rsid w:val="00DA7AE7"/>
    <w:rsid w:val="00DB0F37"/>
    <w:rsid w:val="00DC1986"/>
    <w:rsid w:val="00DC713D"/>
    <w:rsid w:val="00DC7FB0"/>
    <w:rsid w:val="00DD30D9"/>
    <w:rsid w:val="00DD3DB8"/>
    <w:rsid w:val="00DD7769"/>
    <w:rsid w:val="00DF2C8E"/>
    <w:rsid w:val="00E0133F"/>
    <w:rsid w:val="00E02DF2"/>
    <w:rsid w:val="00E0321A"/>
    <w:rsid w:val="00E03EEB"/>
    <w:rsid w:val="00E04145"/>
    <w:rsid w:val="00E0624C"/>
    <w:rsid w:val="00E07D6D"/>
    <w:rsid w:val="00E11336"/>
    <w:rsid w:val="00E15315"/>
    <w:rsid w:val="00E24AFE"/>
    <w:rsid w:val="00E2593E"/>
    <w:rsid w:val="00E33229"/>
    <w:rsid w:val="00E4529A"/>
    <w:rsid w:val="00E54610"/>
    <w:rsid w:val="00E55562"/>
    <w:rsid w:val="00E57423"/>
    <w:rsid w:val="00E57D7D"/>
    <w:rsid w:val="00E61F55"/>
    <w:rsid w:val="00E63219"/>
    <w:rsid w:val="00E65DC8"/>
    <w:rsid w:val="00E746B2"/>
    <w:rsid w:val="00E83E90"/>
    <w:rsid w:val="00E90E0A"/>
    <w:rsid w:val="00E9724B"/>
    <w:rsid w:val="00EA1ECE"/>
    <w:rsid w:val="00EA67DE"/>
    <w:rsid w:val="00EB067D"/>
    <w:rsid w:val="00EB0F5E"/>
    <w:rsid w:val="00EC1730"/>
    <w:rsid w:val="00ED216E"/>
    <w:rsid w:val="00ED25F2"/>
    <w:rsid w:val="00ED57BA"/>
    <w:rsid w:val="00ED79B8"/>
    <w:rsid w:val="00EE016C"/>
    <w:rsid w:val="00EE1052"/>
    <w:rsid w:val="00EE5620"/>
    <w:rsid w:val="00EF266D"/>
    <w:rsid w:val="00EF3819"/>
    <w:rsid w:val="00EF4D87"/>
    <w:rsid w:val="00EF6691"/>
    <w:rsid w:val="00F14EC1"/>
    <w:rsid w:val="00F20D70"/>
    <w:rsid w:val="00F233CC"/>
    <w:rsid w:val="00F234ED"/>
    <w:rsid w:val="00F23CA7"/>
    <w:rsid w:val="00F26651"/>
    <w:rsid w:val="00F2704A"/>
    <w:rsid w:val="00F32A86"/>
    <w:rsid w:val="00F33090"/>
    <w:rsid w:val="00F339C2"/>
    <w:rsid w:val="00F408E1"/>
    <w:rsid w:val="00F51351"/>
    <w:rsid w:val="00F52F91"/>
    <w:rsid w:val="00F53CDF"/>
    <w:rsid w:val="00F57BDA"/>
    <w:rsid w:val="00F63952"/>
    <w:rsid w:val="00F6517C"/>
    <w:rsid w:val="00F671AB"/>
    <w:rsid w:val="00F7025A"/>
    <w:rsid w:val="00F75245"/>
    <w:rsid w:val="00F828D1"/>
    <w:rsid w:val="00F84C3B"/>
    <w:rsid w:val="00F86B63"/>
    <w:rsid w:val="00F87832"/>
    <w:rsid w:val="00F90A4D"/>
    <w:rsid w:val="00FA1B70"/>
    <w:rsid w:val="00FA5BCB"/>
    <w:rsid w:val="00FA773F"/>
    <w:rsid w:val="00FA7D66"/>
    <w:rsid w:val="00FB3934"/>
    <w:rsid w:val="00FB3E71"/>
    <w:rsid w:val="00FC1A22"/>
    <w:rsid w:val="00FC26CD"/>
    <w:rsid w:val="00FD62F1"/>
    <w:rsid w:val="00FD64ED"/>
    <w:rsid w:val="00FD6E2A"/>
    <w:rsid w:val="00FE719F"/>
    <w:rsid w:val="00FF727C"/>
    <w:rsid w:val="010B583C"/>
    <w:rsid w:val="011221F0"/>
    <w:rsid w:val="013A223F"/>
    <w:rsid w:val="01525A0A"/>
    <w:rsid w:val="016A454D"/>
    <w:rsid w:val="017D3840"/>
    <w:rsid w:val="018E640A"/>
    <w:rsid w:val="01920D21"/>
    <w:rsid w:val="01AC2FBF"/>
    <w:rsid w:val="01AD1AAE"/>
    <w:rsid w:val="01C84DE7"/>
    <w:rsid w:val="01DA363D"/>
    <w:rsid w:val="01E071AE"/>
    <w:rsid w:val="01F90F7C"/>
    <w:rsid w:val="020600F6"/>
    <w:rsid w:val="02064B47"/>
    <w:rsid w:val="022D433C"/>
    <w:rsid w:val="023C7D0C"/>
    <w:rsid w:val="02590F24"/>
    <w:rsid w:val="02854F8C"/>
    <w:rsid w:val="02BA6C1F"/>
    <w:rsid w:val="02C56FBB"/>
    <w:rsid w:val="02CB14A4"/>
    <w:rsid w:val="02D3498C"/>
    <w:rsid w:val="02E57ADC"/>
    <w:rsid w:val="02F61685"/>
    <w:rsid w:val="02FA17E2"/>
    <w:rsid w:val="02FD5BFC"/>
    <w:rsid w:val="02FE73C3"/>
    <w:rsid w:val="0301192F"/>
    <w:rsid w:val="030A0C9E"/>
    <w:rsid w:val="03442ED4"/>
    <w:rsid w:val="034C725D"/>
    <w:rsid w:val="03791753"/>
    <w:rsid w:val="03A85B56"/>
    <w:rsid w:val="03C10C9F"/>
    <w:rsid w:val="03C921C1"/>
    <w:rsid w:val="03FD053E"/>
    <w:rsid w:val="040B7728"/>
    <w:rsid w:val="04140CC2"/>
    <w:rsid w:val="04536164"/>
    <w:rsid w:val="04AB0E36"/>
    <w:rsid w:val="04AD5739"/>
    <w:rsid w:val="04CB26A7"/>
    <w:rsid w:val="04CD0688"/>
    <w:rsid w:val="04D502BA"/>
    <w:rsid w:val="04DF4866"/>
    <w:rsid w:val="04F06D3D"/>
    <w:rsid w:val="050047DB"/>
    <w:rsid w:val="050438CD"/>
    <w:rsid w:val="052B0940"/>
    <w:rsid w:val="053973B5"/>
    <w:rsid w:val="05402991"/>
    <w:rsid w:val="054E1CE0"/>
    <w:rsid w:val="056C728C"/>
    <w:rsid w:val="057A7F6E"/>
    <w:rsid w:val="05D137D6"/>
    <w:rsid w:val="05D71396"/>
    <w:rsid w:val="05DB4DA3"/>
    <w:rsid w:val="05FA123D"/>
    <w:rsid w:val="05FB4E02"/>
    <w:rsid w:val="05FF224E"/>
    <w:rsid w:val="060454DB"/>
    <w:rsid w:val="06110D47"/>
    <w:rsid w:val="063F6A07"/>
    <w:rsid w:val="06581AF4"/>
    <w:rsid w:val="065A46B0"/>
    <w:rsid w:val="065B3B93"/>
    <w:rsid w:val="066D1D57"/>
    <w:rsid w:val="06897EFF"/>
    <w:rsid w:val="068F7743"/>
    <w:rsid w:val="06B12629"/>
    <w:rsid w:val="06BD3616"/>
    <w:rsid w:val="06BE30D0"/>
    <w:rsid w:val="06CD112D"/>
    <w:rsid w:val="06D86211"/>
    <w:rsid w:val="06DC7813"/>
    <w:rsid w:val="06E56C12"/>
    <w:rsid w:val="07224610"/>
    <w:rsid w:val="073278A0"/>
    <w:rsid w:val="073E5E68"/>
    <w:rsid w:val="07621A18"/>
    <w:rsid w:val="077166EC"/>
    <w:rsid w:val="07892C9E"/>
    <w:rsid w:val="07997C89"/>
    <w:rsid w:val="07B241D3"/>
    <w:rsid w:val="07E562BD"/>
    <w:rsid w:val="07FC0B21"/>
    <w:rsid w:val="07FC0D88"/>
    <w:rsid w:val="08145F16"/>
    <w:rsid w:val="08366DA4"/>
    <w:rsid w:val="087D1536"/>
    <w:rsid w:val="089E6E52"/>
    <w:rsid w:val="08B16FB6"/>
    <w:rsid w:val="08E53CD3"/>
    <w:rsid w:val="08E74CA6"/>
    <w:rsid w:val="08E95814"/>
    <w:rsid w:val="090A42F6"/>
    <w:rsid w:val="092266DC"/>
    <w:rsid w:val="09271A18"/>
    <w:rsid w:val="09293304"/>
    <w:rsid w:val="0949327F"/>
    <w:rsid w:val="094D1E21"/>
    <w:rsid w:val="09560FD7"/>
    <w:rsid w:val="097A7578"/>
    <w:rsid w:val="099106B6"/>
    <w:rsid w:val="09913C41"/>
    <w:rsid w:val="09A52E1C"/>
    <w:rsid w:val="09A9060C"/>
    <w:rsid w:val="09CF513B"/>
    <w:rsid w:val="09E25AD9"/>
    <w:rsid w:val="09EA213D"/>
    <w:rsid w:val="09FC30DE"/>
    <w:rsid w:val="0A0976BB"/>
    <w:rsid w:val="0A3E3F88"/>
    <w:rsid w:val="0A672A35"/>
    <w:rsid w:val="0A706A46"/>
    <w:rsid w:val="0A891706"/>
    <w:rsid w:val="0AEE50E0"/>
    <w:rsid w:val="0AFC5610"/>
    <w:rsid w:val="0B294AC9"/>
    <w:rsid w:val="0B5D1A85"/>
    <w:rsid w:val="0B5D1E36"/>
    <w:rsid w:val="0B651A2B"/>
    <w:rsid w:val="0BB5243F"/>
    <w:rsid w:val="0BED26A5"/>
    <w:rsid w:val="0BEE4F68"/>
    <w:rsid w:val="0BF91A7F"/>
    <w:rsid w:val="0C0A394D"/>
    <w:rsid w:val="0C193A0B"/>
    <w:rsid w:val="0C4A5A7C"/>
    <w:rsid w:val="0C5F0865"/>
    <w:rsid w:val="0C7B690B"/>
    <w:rsid w:val="0CB5191B"/>
    <w:rsid w:val="0CB6728F"/>
    <w:rsid w:val="0CFD25BD"/>
    <w:rsid w:val="0CFE2CC9"/>
    <w:rsid w:val="0D1F6213"/>
    <w:rsid w:val="0D366907"/>
    <w:rsid w:val="0D3B3F1D"/>
    <w:rsid w:val="0D452987"/>
    <w:rsid w:val="0D62596E"/>
    <w:rsid w:val="0D6C19EE"/>
    <w:rsid w:val="0D7B32BC"/>
    <w:rsid w:val="0D933F5C"/>
    <w:rsid w:val="0D9E1902"/>
    <w:rsid w:val="0DA800E4"/>
    <w:rsid w:val="0DC7526D"/>
    <w:rsid w:val="0DCB40A1"/>
    <w:rsid w:val="0E005C7A"/>
    <w:rsid w:val="0E0C42FA"/>
    <w:rsid w:val="0E1924B1"/>
    <w:rsid w:val="0E381521"/>
    <w:rsid w:val="0E9C75AF"/>
    <w:rsid w:val="0EA91CC7"/>
    <w:rsid w:val="0EC875FE"/>
    <w:rsid w:val="0EFD2AF6"/>
    <w:rsid w:val="0F03025E"/>
    <w:rsid w:val="0F0D3D3A"/>
    <w:rsid w:val="0F1A17DC"/>
    <w:rsid w:val="0F1C13DE"/>
    <w:rsid w:val="0F323BCC"/>
    <w:rsid w:val="0F537409"/>
    <w:rsid w:val="0F6459AD"/>
    <w:rsid w:val="0F73174D"/>
    <w:rsid w:val="0F79260C"/>
    <w:rsid w:val="0F8B4FC4"/>
    <w:rsid w:val="0F987E27"/>
    <w:rsid w:val="0FA47B58"/>
    <w:rsid w:val="0FBB76E3"/>
    <w:rsid w:val="0FC66DA3"/>
    <w:rsid w:val="100E0796"/>
    <w:rsid w:val="10122E9C"/>
    <w:rsid w:val="10204FBD"/>
    <w:rsid w:val="10372E26"/>
    <w:rsid w:val="103966FB"/>
    <w:rsid w:val="1061546E"/>
    <w:rsid w:val="106C132D"/>
    <w:rsid w:val="108E6DDE"/>
    <w:rsid w:val="10A6243E"/>
    <w:rsid w:val="10AB38B0"/>
    <w:rsid w:val="10DD209D"/>
    <w:rsid w:val="10FF1E8F"/>
    <w:rsid w:val="111D4066"/>
    <w:rsid w:val="112C7AF5"/>
    <w:rsid w:val="11474F0A"/>
    <w:rsid w:val="11687FB0"/>
    <w:rsid w:val="119963B1"/>
    <w:rsid w:val="11B361D3"/>
    <w:rsid w:val="11BB4D58"/>
    <w:rsid w:val="11BB6630"/>
    <w:rsid w:val="11EF6F34"/>
    <w:rsid w:val="12793BBE"/>
    <w:rsid w:val="127E064D"/>
    <w:rsid w:val="128C33F4"/>
    <w:rsid w:val="12A33A33"/>
    <w:rsid w:val="12C02EFB"/>
    <w:rsid w:val="131C06AC"/>
    <w:rsid w:val="133A4EB7"/>
    <w:rsid w:val="13487675"/>
    <w:rsid w:val="135A057D"/>
    <w:rsid w:val="137447B2"/>
    <w:rsid w:val="137D2B9A"/>
    <w:rsid w:val="13830E2C"/>
    <w:rsid w:val="138D11BC"/>
    <w:rsid w:val="13992EB6"/>
    <w:rsid w:val="139D2FCC"/>
    <w:rsid w:val="13D84C83"/>
    <w:rsid w:val="13EA285B"/>
    <w:rsid w:val="13FD1F2D"/>
    <w:rsid w:val="14074063"/>
    <w:rsid w:val="142468C7"/>
    <w:rsid w:val="143C5260"/>
    <w:rsid w:val="149C20CC"/>
    <w:rsid w:val="14A12650"/>
    <w:rsid w:val="14AF4B49"/>
    <w:rsid w:val="14B41673"/>
    <w:rsid w:val="14B90B15"/>
    <w:rsid w:val="14C42628"/>
    <w:rsid w:val="14CD1555"/>
    <w:rsid w:val="14E868B9"/>
    <w:rsid w:val="14F838A9"/>
    <w:rsid w:val="15273101"/>
    <w:rsid w:val="153E2DB6"/>
    <w:rsid w:val="15543DCE"/>
    <w:rsid w:val="15550B09"/>
    <w:rsid w:val="155550C1"/>
    <w:rsid w:val="15576ACE"/>
    <w:rsid w:val="1568217F"/>
    <w:rsid w:val="15761223"/>
    <w:rsid w:val="15784E47"/>
    <w:rsid w:val="15787ABD"/>
    <w:rsid w:val="159517A5"/>
    <w:rsid w:val="15987879"/>
    <w:rsid w:val="15A74B21"/>
    <w:rsid w:val="15E23CA8"/>
    <w:rsid w:val="15FA6095"/>
    <w:rsid w:val="160C1ED0"/>
    <w:rsid w:val="166B3507"/>
    <w:rsid w:val="166C32BB"/>
    <w:rsid w:val="16A37A9D"/>
    <w:rsid w:val="16C2284B"/>
    <w:rsid w:val="16CB423B"/>
    <w:rsid w:val="17035549"/>
    <w:rsid w:val="17062F69"/>
    <w:rsid w:val="171E4694"/>
    <w:rsid w:val="17423544"/>
    <w:rsid w:val="17450DD5"/>
    <w:rsid w:val="17575561"/>
    <w:rsid w:val="1779199A"/>
    <w:rsid w:val="17907B2D"/>
    <w:rsid w:val="179944DC"/>
    <w:rsid w:val="179F530F"/>
    <w:rsid w:val="17A06173"/>
    <w:rsid w:val="17B56054"/>
    <w:rsid w:val="17C22E6D"/>
    <w:rsid w:val="17D908F6"/>
    <w:rsid w:val="17DF536C"/>
    <w:rsid w:val="17E41B2C"/>
    <w:rsid w:val="17EA0C48"/>
    <w:rsid w:val="17F65B05"/>
    <w:rsid w:val="18061CBA"/>
    <w:rsid w:val="18120EEB"/>
    <w:rsid w:val="182B6938"/>
    <w:rsid w:val="183D0E38"/>
    <w:rsid w:val="1841587E"/>
    <w:rsid w:val="18630E03"/>
    <w:rsid w:val="186F3E63"/>
    <w:rsid w:val="187857E7"/>
    <w:rsid w:val="187B19AA"/>
    <w:rsid w:val="18811F09"/>
    <w:rsid w:val="188321C6"/>
    <w:rsid w:val="18921717"/>
    <w:rsid w:val="18A25EE0"/>
    <w:rsid w:val="18C15C1F"/>
    <w:rsid w:val="190D3CF6"/>
    <w:rsid w:val="190E1B7D"/>
    <w:rsid w:val="192F739D"/>
    <w:rsid w:val="195C4F98"/>
    <w:rsid w:val="1981180F"/>
    <w:rsid w:val="19C27C94"/>
    <w:rsid w:val="19D10924"/>
    <w:rsid w:val="19DC5DE9"/>
    <w:rsid w:val="19E42EEC"/>
    <w:rsid w:val="19FC4F49"/>
    <w:rsid w:val="1A1E247D"/>
    <w:rsid w:val="1A206E13"/>
    <w:rsid w:val="1A324F2D"/>
    <w:rsid w:val="1A462475"/>
    <w:rsid w:val="1A6C3968"/>
    <w:rsid w:val="1A754C02"/>
    <w:rsid w:val="1A8B7370"/>
    <w:rsid w:val="1AA30DFE"/>
    <w:rsid w:val="1AC06A39"/>
    <w:rsid w:val="1ACC4F36"/>
    <w:rsid w:val="1AF11218"/>
    <w:rsid w:val="1AF44A0B"/>
    <w:rsid w:val="1B115D3C"/>
    <w:rsid w:val="1B1E0896"/>
    <w:rsid w:val="1B274435"/>
    <w:rsid w:val="1B483F91"/>
    <w:rsid w:val="1B614048"/>
    <w:rsid w:val="1B807337"/>
    <w:rsid w:val="1BA47C58"/>
    <w:rsid w:val="1BB80F43"/>
    <w:rsid w:val="1BC170B5"/>
    <w:rsid w:val="1BC63CDD"/>
    <w:rsid w:val="1BC85289"/>
    <w:rsid w:val="1BDC02C0"/>
    <w:rsid w:val="1BEB4B83"/>
    <w:rsid w:val="1BF0529D"/>
    <w:rsid w:val="1C353009"/>
    <w:rsid w:val="1C357674"/>
    <w:rsid w:val="1C412F26"/>
    <w:rsid w:val="1C446BE5"/>
    <w:rsid w:val="1C6D0873"/>
    <w:rsid w:val="1C915866"/>
    <w:rsid w:val="1CCD44A8"/>
    <w:rsid w:val="1CE647C1"/>
    <w:rsid w:val="1D385997"/>
    <w:rsid w:val="1D3C25C0"/>
    <w:rsid w:val="1D4110DC"/>
    <w:rsid w:val="1D5E31C4"/>
    <w:rsid w:val="1D673AB8"/>
    <w:rsid w:val="1D6B0D1C"/>
    <w:rsid w:val="1D724537"/>
    <w:rsid w:val="1D8D5C15"/>
    <w:rsid w:val="1D946A32"/>
    <w:rsid w:val="1DA31A6F"/>
    <w:rsid w:val="1DB51F23"/>
    <w:rsid w:val="1DC65199"/>
    <w:rsid w:val="1DE55082"/>
    <w:rsid w:val="1DEB7A42"/>
    <w:rsid w:val="1DF97E9A"/>
    <w:rsid w:val="1E0E15D6"/>
    <w:rsid w:val="1E2F2E34"/>
    <w:rsid w:val="1E421B94"/>
    <w:rsid w:val="1E5A1C2F"/>
    <w:rsid w:val="1E5E18A6"/>
    <w:rsid w:val="1E832DAB"/>
    <w:rsid w:val="1E865B1A"/>
    <w:rsid w:val="1EAF02C7"/>
    <w:rsid w:val="1EC331FD"/>
    <w:rsid w:val="1EDE683F"/>
    <w:rsid w:val="1F1F3A24"/>
    <w:rsid w:val="1F206854"/>
    <w:rsid w:val="1F244EC9"/>
    <w:rsid w:val="1F2D6E0F"/>
    <w:rsid w:val="1F5A3842"/>
    <w:rsid w:val="1F6659C8"/>
    <w:rsid w:val="1F690A75"/>
    <w:rsid w:val="1F7977EE"/>
    <w:rsid w:val="1F895E51"/>
    <w:rsid w:val="1F9F1011"/>
    <w:rsid w:val="1FA073B6"/>
    <w:rsid w:val="1FB12B7F"/>
    <w:rsid w:val="1FD91AA0"/>
    <w:rsid w:val="20025D99"/>
    <w:rsid w:val="200A2C27"/>
    <w:rsid w:val="203A68C1"/>
    <w:rsid w:val="2054435F"/>
    <w:rsid w:val="20670906"/>
    <w:rsid w:val="20C3636D"/>
    <w:rsid w:val="20E03EA8"/>
    <w:rsid w:val="20ED38FC"/>
    <w:rsid w:val="211D78B0"/>
    <w:rsid w:val="212A205B"/>
    <w:rsid w:val="212E72D0"/>
    <w:rsid w:val="213C19C8"/>
    <w:rsid w:val="213E32F0"/>
    <w:rsid w:val="213F2787"/>
    <w:rsid w:val="2149131F"/>
    <w:rsid w:val="2149340F"/>
    <w:rsid w:val="214E43E5"/>
    <w:rsid w:val="21600B88"/>
    <w:rsid w:val="21B53414"/>
    <w:rsid w:val="21B972F2"/>
    <w:rsid w:val="21E5038E"/>
    <w:rsid w:val="21E8206B"/>
    <w:rsid w:val="21EA14F4"/>
    <w:rsid w:val="223E6CF8"/>
    <w:rsid w:val="2243364A"/>
    <w:rsid w:val="224E045E"/>
    <w:rsid w:val="226823A3"/>
    <w:rsid w:val="227C1E95"/>
    <w:rsid w:val="229226B8"/>
    <w:rsid w:val="22A73267"/>
    <w:rsid w:val="22AF5BBC"/>
    <w:rsid w:val="22C677C0"/>
    <w:rsid w:val="22C75BE0"/>
    <w:rsid w:val="22CD1033"/>
    <w:rsid w:val="22DD3C85"/>
    <w:rsid w:val="22E25187"/>
    <w:rsid w:val="2342795C"/>
    <w:rsid w:val="234845C4"/>
    <w:rsid w:val="23740A0F"/>
    <w:rsid w:val="23773046"/>
    <w:rsid w:val="238A31D0"/>
    <w:rsid w:val="23A012D9"/>
    <w:rsid w:val="23B42767"/>
    <w:rsid w:val="23C465C3"/>
    <w:rsid w:val="23E303FA"/>
    <w:rsid w:val="23EB5574"/>
    <w:rsid w:val="23F911BA"/>
    <w:rsid w:val="23FE56CB"/>
    <w:rsid w:val="242B39CD"/>
    <w:rsid w:val="242D516F"/>
    <w:rsid w:val="245247ED"/>
    <w:rsid w:val="24575A93"/>
    <w:rsid w:val="248B67FD"/>
    <w:rsid w:val="248F6CA6"/>
    <w:rsid w:val="24BF3406"/>
    <w:rsid w:val="2508212D"/>
    <w:rsid w:val="252B038C"/>
    <w:rsid w:val="252E1698"/>
    <w:rsid w:val="25543DDA"/>
    <w:rsid w:val="255F7AD2"/>
    <w:rsid w:val="2562439C"/>
    <w:rsid w:val="256D4FBD"/>
    <w:rsid w:val="256E67E6"/>
    <w:rsid w:val="257E016B"/>
    <w:rsid w:val="25AA58E4"/>
    <w:rsid w:val="25B52A47"/>
    <w:rsid w:val="25C10491"/>
    <w:rsid w:val="25C46D47"/>
    <w:rsid w:val="25E074E7"/>
    <w:rsid w:val="25E82BA5"/>
    <w:rsid w:val="25EE4017"/>
    <w:rsid w:val="25F97290"/>
    <w:rsid w:val="26223B26"/>
    <w:rsid w:val="26241D26"/>
    <w:rsid w:val="2627224F"/>
    <w:rsid w:val="265B0A5D"/>
    <w:rsid w:val="266360FF"/>
    <w:rsid w:val="266C4868"/>
    <w:rsid w:val="269D762C"/>
    <w:rsid w:val="26A10A3D"/>
    <w:rsid w:val="26C976F8"/>
    <w:rsid w:val="26D92385"/>
    <w:rsid w:val="26EF72E5"/>
    <w:rsid w:val="26FC4A2E"/>
    <w:rsid w:val="270B0E4A"/>
    <w:rsid w:val="27180E6A"/>
    <w:rsid w:val="271E393C"/>
    <w:rsid w:val="271E669F"/>
    <w:rsid w:val="27333A9E"/>
    <w:rsid w:val="273D5A6D"/>
    <w:rsid w:val="274023D4"/>
    <w:rsid w:val="274253D5"/>
    <w:rsid w:val="27663E92"/>
    <w:rsid w:val="276D74EC"/>
    <w:rsid w:val="276F6A21"/>
    <w:rsid w:val="278A534F"/>
    <w:rsid w:val="27D163B4"/>
    <w:rsid w:val="28002089"/>
    <w:rsid w:val="281C1B43"/>
    <w:rsid w:val="282B36F9"/>
    <w:rsid w:val="28375A3F"/>
    <w:rsid w:val="28520495"/>
    <w:rsid w:val="287813D0"/>
    <w:rsid w:val="289A78F2"/>
    <w:rsid w:val="28A813E1"/>
    <w:rsid w:val="28B92E20"/>
    <w:rsid w:val="28B93CEB"/>
    <w:rsid w:val="28C64AAD"/>
    <w:rsid w:val="28E02A8F"/>
    <w:rsid w:val="28E1683E"/>
    <w:rsid w:val="29125D60"/>
    <w:rsid w:val="292B1C11"/>
    <w:rsid w:val="2960365F"/>
    <w:rsid w:val="29D10A88"/>
    <w:rsid w:val="2A1A46E9"/>
    <w:rsid w:val="2A2A2452"/>
    <w:rsid w:val="2A3018E1"/>
    <w:rsid w:val="2A3717F0"/>
    <w:rsid w:val="2A441BE1"/>
    <w:rsid w:val="2A4836B1"/>
    <w:rsid w:val="2A4A0382"/>
    <w:rsid w:val="2A593B46"/>
    <w:rsid w:val="2A851BD9"/>
    <w:rsid w:val="2A863893"/>
    <w:rsid w:val="2A932720"/>
    <w:rsid w:val="2AA02867"/>
    <w:rsid w:val="2AA04BF2"/>
    <w:rsid w:val="2AB357E7"/>
    <w:rsid w:val="2AC9578D"/>
    <w:rsid w:val="2ACC5C5A"/>
    <w:rsid w:val="2AF04F6E"/>
    <w:rsid w:val="2B000827"/>
    <w:rsid w:val="2B420288"/>
    <w:rsid w:val="2B421328"/>
    <w:rsid w:val="2B5E1033"/>
    <w:rsid w:val="2B641D7F"/>
    <w:rsid w:val="2B6D3C7A"/>
    <w:rsid w:val="2B786D85"/>
    <w:rsid w:val="2B955445"/>
    <w:rsid w:val="2B9C35DD"/>
    <w:rsid w:val="2BB23B01"/>
    <w:rsid w:val="2BB32D41"/>
    <w:rsid w:val="2BC069D0"/>
    <w:rsid w:val="2BC367B8"/>
    <w:rsid w:val="2BD63337"/>
    <w:rsid w:val="2BE960EF"/>
    <w:rsid w:val="2C071A15"/>
    <w:rsid w:val="2C0B64AA"/>
    <w:rsid w:val="2C2D3420"/>
    <w:rsid w:val="2C7B4E8C"/>
    <w:rsid w:val="2C842D34"/>
    <w:rsid w:val="2C9446A0"/>
    <w:rsid w:val="2CA04D25"/>
    <w:rsid w:val="2CCB7DFF"/>
    <w:rsid w:val="2CED77C1"/>
    <w:rsid w:val="2CF617E0"/>
    <w:rsid w:val="2D157E8F"/>
    <w:rsid w:val="2D16631A"/>
    <w:rsid w:val="2D4C5A5E"/>
    <w:rsid w:val="2D5A4743"/>
    <w:rsid w:val="2D6A2427"/>
    <w:rsid w:val="2D6C2100"/>
    <w:rsid w:val="2D762BBA"/>
    <w:rsid w:val="2D944CD1"/>
    <w:rsid w:val="2DBB723B"/>
    <w:rsid w:val="2DC37DF1"/>
    <w:rsid w:val="2DCE0619"/>
    <w:rsid w:val="2DD35AE8"/>
    <w:rsid w:val="2DD83D74"/>
    <w:rsid w:val="2DE463B0"/>
    <w:rsid w:val="2DE64BF5"/>
    <w:rsid w:val="2DE84AF7"/>
    <w:rsid w:val="2E0D173F"/>
    <w:rsid w:val="2E307DB7"/>
    <w:rsid w:val="2E3E5270"/>
    <w:rsid w:val="2E6011D7"/>
    <w:rsid w:val="2E961606"/>
    <w:rsid w:val="2EC54F0E"/>
    <w:rsid w:val="2EFE7D6E"/>
    <w:rsid w:val="2F000DF7"/>
    <w:rsid w:val="2F984ABB"/>
    <w:rsid w:val="2F996B56"/>
    <w:rsid w:val="2FF70134"/>
    <w:rsid w:val="30561692"/>
    <w:rsid w:val="30600479"/>
    <w:rsid w:val="30711E07"/>
    <w:rsid w:val="307355F9"/>
    <w:rsid w:val="309E4373"/>
    <w:rsid w:val="30AA13BF"/>
    <w:rsid w:val="30DF6CA0"/>
    <w:rsid w:val="30ED32FC"/>
    <w:rsid w:val="31195802"/>
    <w:rsid w:val="313533BC"/>
    <w:rsid w:val="313E4759"/>
    <w:rsid w:val="314B1C9B"/>
    <w:rsid w:val="31612184"/>
    <w:rsid w:val="317D0C73"/>
    <w:rsid w:val="31926D16"/>
    <w:rsid w:val="3194218A"/>
    <w:rsid w:val="31B444D7"/>
    <w:rsid w:val="31C342A2"/>
    <w:rsid w:val="31F83438"/>
    <w:rsid w:val="31FC5556"/>
    <w:rsid w:val="32170FF5"/>
    <w:rsid w:val="32356B5E"/>
    <w:rsid w:val="324E226E"/>
    <w:rsid w:val="32B141B6"/>
    <w:rsid w:val="32C1086E"/>
    <w:rsid w:val="32D4454C"/>
    <w:rsid w:val="32E53E60"/>
    <w:rsid w:val="32F341BB"/>
    <w:rsid w:val="32F54E61"/>
    <w:rsid w:val="330001A2"/>
    <w:rsid w:val="332A6927"/>
    <w:rsid w:val="33434A04"/>
    <w:rsid w:val="334713E7"/>
    <w:rsid w:val="335C0F0C"/>
    <w:rsid w:val="3363480C"/>
    <w:rsid w:val="338257CE"/>
    <w:rsid w:val="33EA4F8B"/>
    <w:rsid w:val="34027E2D"/>
    <w:rsid w:val="341A1198"/>
    <w:rsid w:val="34256C0A"/>
    <w:rsid w:val="344A5CAF"/>
    <w:rsid w:val="34627E84"/>
    <w:rsid w:val="346907A6"/>
    <w:rsid w:val="346C4843"/>
    <w:rsid w:val="34761B3D"/>
    <w:rsid w:val="347C6980"/>
    <w:rsid w:val="34861646"/>
    <w:rsid w:val="34E2249D"/>
    <w:rsid w:val="34ED2EF3"/>
    <w:rsid w:val="34FB6280"/>
    <w:rsid w:val="350121B5"/>
    <w:rsid w:val="35184C6D"/>
    <w:rsid w:val="351C016C"/>
    <w:rsid w:val="351F0B3B"/>
    <w:rsid w:val="353D1B92"/>
    <w:rsid w:val="354E5599"/>
    <w:rsid w:val="356946DE"/>
    <w:rsid w:val="356A2C20"/>
    <w:rsid w:val="35773F4E"/>
    <w:rsid w:val="358B1967"/>
    <w:rsid w:val="35906410"/>
    <w:rsid w:val="35BE61A8"/>
    <w:rsid w:val="35D903FF"/>
    <w:rsid w:val="35DB2555"/>
    <w:rsid w:val="35E1119D"/>
    <w:rsid w:val="35EF609A"/>
    <w:rsid w:val="360E3D96"/>
    <w:rsid w:val="364517E5"/>
    <w:rsid w:val="36475791"/>
    <w:rsid w:val="366F28DB"/>
    <w:rsid w:val="368178C2"/>
    <w:rsid w:val="36897EB8"/>
    <w:rsid w:val="369301F2"/>
    <w:rsid w:val="369F5F8F"/>
    <w:rsid w:val="36A1205A"/>
    <w:rsid w:val="36A46172"/>
    <w:rsid w:val="36CD7058"/>
    <w:rsid w:val="36D22E56"/>
    <w:rsid w:val="36D90673"/>
    <w:rsid w:val="370666E5"/>
    <w:rsid w:val="370A0772"/>
    <w:rsid w:val="373511EA"/>
    <w:rsid w:val="373F25CC"/>
    <w:rsid w:val="374E3698"/>
    <w:rsid w:val="375111F8"/>
    <w:rsid w:val="37785578"/>
    <w:rsid w:val="377E35EE"/>
    <w:rsid w:val="379501B2"/>
    <w:rsid w:val="37AB75F3"/>
    <w:rsid w:val="37C37A26"/>
    <w:rsid w:val="37DD61FF"/>
    <w:rsid w:val="3818637F"/>
    <w:rsid w:val="383A3644"/>
    <w:rsid w:val="384D0EC6"/>
    <w:rsid w:val="385F1A9D"/>
    <w:rsid w:val="3883540B"/>
    <w:rsid w:val="388F7B7B"/>
    <w:rsid w:val="38910707"/>
    <w:rsid w:val="389712F2"/>
    <w:rsid w:val="38B42B1B"/>
    <w:rsid w:val="38DD3307"/>
    <w:rsid w:val="38EC0F5C"/>
    <w:rsid w:val="390447E4"/>
    <w:rsid w:val="390F1C92"/>
    <w:rsid w:val="39293DB0"/>
    <w:rsid w:val="3932357B"/>
    <w:rsid w:val="393542AD"/>
    <w:rsid w:val="398630C2"/>
    <w:rsid w:val="39945775"/>
    <w:rsid w:val="39A03524"/>
    <w:rsid w:val="39B13AE1"/>
    <w:rsid w:val="39CC3940"/>
    <w:rsid w:val="39E901AB"/>
    <w:rsid w:val="39F36619"/>
    <w:rsid w:val="39F56F3C"/>
    <w:rsid w:val="39FC2F9F"/>
    <w:rsid w:val="3A127C30"/>
    <w:rsid w:val="3A2B0CF2"/>
    <w:rsid w:val="3A5E6443"/>
    <w:rsid w:val="3A6E01EF"/>
    <w:rsid w:val="3A8D3267"/>
    <w:rsid w:val="3A9A5F88"/>
    <w:rsid w:val="3A9B3EA5"/>
    <w:rsid w:val="3A9E0B45"/>
    <w:rsid w:val="3AB86041"/>
    <w:rsid w:val="3AD30754"/>
    <w:rsid w:val="3AD31A4B"/>
    <w:rsid w:val="3AD63FAA"/>
    <w:rsid w:val="3AD82BC6"/>
    <w:rsid w:val="3AFE2C6B"/>
    <w:rsid w:val="3B0727B9"/>
    <w:rsid w:val="3B1866F7"/>
    <w:rsid w:val="3B376687"/>
    <w:rsid w:val="3B3E6939"/>
    <w:rsid w:val="3B4A1AE9"/>
    <w:rsid w:val="3B4F12B2"/>
    <w:rsid w:val="3B6343C3"/>
    <w:rsid w:val="3B730A2C"/>
    <w:rsid w:val="3BAE5839"/>
    <w:rsid w:val="3BC73BD4"/>
    <w:rsid w:val="3BDB763B"/>
    <w:rsid w:val="3BFB5246"/>
    <w:rsid w:val="3C0A04BB"/>
    <w:rsid w:val="3C3360EC"/>
    <w:rsid w:val="3C3643F9"/>
    <w:rsid w:val="3C452831"/>
    <w:rsid w:val="3C5D17C0"/>
    <w:rsid w:val="3C5D5748"/>
    <w:rsid w:val="3C7057AE"/>
    <w:rsid w:val="3CA53C3A"/>
    <w:rsid w:val="3CA74A0B"/>
    <w:rsid w:val="3CA97F92"/>
    <w:rsid w:val="3CC1259B"/>
    <w:rsid w:val="3CEA1C78"/>
    <w:rsid w:val="3CF0119C"/>
    <w:rsid w:val="3D37642D"/>
    <w:rsid w:val="3D3B2FFA"/>
    <w:rsid w:val="3D4B442E"/>
    <w:rsid w:val="3D672756"/>
    <w:rsid w:val="3D6D69CE"/>
    <w:rsid w:val="3D8D5B29"/>
    <w:rsid w:val="3D945377"/>
    <w:rsid w:val="3DB13B3B"/>
    <w:rsid w:val="3DC065C6"/>
    <w:rsid w:val="3DC70F93"/>
    <w:rsid w:val="3DDC0B07"/>
    <w:rsid w:val="3E0169BD"/>
    <w:rsid w:val="3E3D3FF6"/>
    <w:rsid w:val="3E5700F6"/>
    <w:rsid w:val="3E5D317C"/>
    <w:rsid w:val="3E7B17BF"/>
    <w:rsid w:val="3EB721C8"/>
    <w:rsid w:val="3EC7628C"/>
    <w:rsid w:val="3ECB6600"/>
    <w:rsid w:val="3EE975EA"/>
    <w:rsid w:val="3EF4037B"/>
    <w:rsid w:val="3F197280"/>
    <w:rsid w:val="3F4B496B"/>
    <w:rsid w:val="3F4B6BB2"/>
    <w:rsid w:val="3F91658F"/>
    <w:rsid w:val="3FA46EF8"/>
    <w:rsid w:val="3FEC6BE3"/>
    <w:rsid w:val="402203F5"/>
    <w:rsid w:val="402657A8"/>
    <w:rsid w:val="4028158A"/>
    <w:rsid w:val="40574F8A"/>
    <w:rsid w:val="405A40DF"/>
    <w:rsid w:val="40AE5034"/>
    <w:rsid w:val="40B35057"/>
    <w:rsid w:val="41033A8E"/>
    <w:rsid w:val="41303C39"/>
    <w:rsid w:val="41364AA2"/>
    <w:rsid w:val="414F74CB"/>
    <w:rsid w:val="415B6654"/>
    <w:rsid w:val="41636FFF"/>
    <w:rsid w:val="41662EBF"/>
    <w:rsid w:val="416745BC"/>
    <w:rsid w:val="417C2EE6"/>
    <w:rsid w:val="41C46BAD"/>
    <w:rsid w:val="41D12A32"/>
    <w:rsid w:val="41D301C3"/>
    <w:rsid w:val="41D623AF"/>
    <w:rsid w:val="41F6377C"/>
    <w:rsid w:val="420B66EE"/>
    <w:rsid w:val="421107CE"/>
    <w:rsid w:val="422F49B3"/>
    <w:rsid w:val="423767ED"/>
    <w:rsid w:val="425213C3"/>
    <w:rsid w:val="425968DE"/>
    <w:rsid w:val="426E68C9"/>
    <w:rsid w:val="42802614"/>
    <w:rsid w:val="42B01704"/>
    <w:rsid w:val="42CC4106"/>
    <w:rsid w:val="42D22B67"/>
    <w:rsid w:val="42DC0E76"/>
    <w:rsid w:val="42E92879"/>
    <w:rsid w:val="42EC69CA"/>
    <w:rsid w:val="42FB4A28"/>
    <w:rsid w:val="43027A91"/>
    <w:rsid w:val="431F1AE3"/>
    <w:rsid w:val="433858A5"/>
    <w:rsid w:val="43527105"/>
    <w:rsid w:val="436D4954"/>
    <w:rsid w:val="438753A5"/>
    <w:rsid w:val="43891048"/>
    <w:rsid w:val="43920E07"/>
    <w:rsid w:val="43951B04"/>
    <w:rsid w:val="43A24887"/>
    <w:rsid w:val="43D85F0B"/>
    <w:rsid w:val="43F715ED"/>
    <w:rsid w:val="44000E21"/>
    <w:rsid w:val="440D15A1"/>
    <w:rsid w:val="444B4C5F"/>
    <w:rsid w:val="44655A6C"/>
    <w:rsid w:val="44665FAC"/>
    <w:rsid w:val="4467168F"/>
    <w:rsid w:val="44737AF8"/>
    <w:rsid w:val="44766B6D"/>
    <w:rsid w:val="44864A89"/>
    <w:rsid w:val="448F50C0"/>
    <w:rsid w:val="44983838"/>
    <w:rsid w:val="44984355"/>
    <w:rsid w:val="44A8226D"/>
    <w:rsid w:val="44AA08C6"/>
    <w:rsid w:val="44B32010"/>
    <w:rsid w:val="44EF4A70"/>
    <w:rsid w:val="45063967"/>
    <w:rsid w:val="45156827"/>
    <w:rsid w:val="452364C9"/>
    <w:rsid w:val="45342FB5"/>
    <w:rsid w:val="454C0370"/>
    <w:rsid w:val="4550153F"/>
    <w:rsid w:val="45631ACD"/>
    <w:rsid w:val="45660998"/>
    <w:rsid w:val="458000C7"/>
    <w:rsid w:val="4585213C"/>
    <w:rsid w:val="458B3F95"/>
    <w:rsid w:val="45967A06"/>
    <w:rsid w:val="459B31D0"/>
    <w:rsid w:val="45AA2F38"/>
    <w:rsid w:val="45C41CBE"/>
    <w:rsid w:val="45CF1BC3"/>
    <w:rsid w:val="45E561F9"/>
    <w:rsid w:val="4601483F"/>
    <w:rsid w:val="46025A85"/>
    <w:rsid w:val="461A266E"/>
    <w:rsid w:val="465530CB"/>
    <w:rsid w:val="465B470D"/>
    <w:rsid w:val="46760020"/>
    <w:rsid w:val="46982676"/>
    <w:rsid w:val="46A7659A"/>
    <w:rsid w:val="470173A0"/>
    <w:rsid w:val="4729480B"/>
    <w:rsid w:val="47630D4C"/>
    <w:rsid w:val="476A14DB"/>
    <w:rsid w:val="476A5FE9"/>
    <w:rsid w:val="478A52AA"/>
    <w:rsid w:val="4790205D"/>
    <w:rsid w:val="479804CC"/>
    <w:rsid w:val="47B75E90"/>
    <w:rsid w:val="48082BD4"/>
    <w:rsid w:val="483319A6"/>
    <w:rsid w:val="483413B6"/>
    <w:rsid w:val="48383932"/>
    <w:rsid w:val="48490A61"/>
    <w:rsid w:val="487657D6"/>
    <w:rsid w:val="48A944BE"/>
    <w:rsid w:val="48D664FA"/>
    <w:rsid w:val="49001E86"/>
    <w:rsid w:val="4907292A"/>
    <w:rsid w:val="49081412"/>
    <w:rsid w:val="492A223F"/>
    <w:rsid w:val="49500C1A"/>
    <w:rsid w:val="495B1646"/>
    <w:rsid w:val="496D50BB"/>
    <w:rsid w:val="4981153F"/>
    <w:rsid w:val="498E1308"/>
    <w:rsid w:val="498E392B"/>
    <w:rsid w:val="49953FD2"/>
    <w:rsid w:val="49A67FEA"/>
    <w:rsid w:val="49B42357"/>
    <w:rsid w:val="49CC282C"/>
    <w:rsid w:val="49D14C7B"/>
    <w:rsid w:val="49EE2E55"/>
    <w:rsid w:val="49F64E88"/>
    <w:rsid w:val="4A0B5680"/>
    <w:rsid w:val="4A424464"/>
    <w:rsid w:val="4A442DE8"/>
    <w:rsid w:val="4A4C3C76"/>
    <w:rsid w:val="4A582F08"/>
    <w:rsid w:val="4A5C19ED"/>
    <w:rsid w:val="4A713EF7"/>
    <w:rsid w:val="4A71669A"/>
    <w:rsid w:val="4A990DB8"/>
    <w:rsid w:val="4A9B0448"/>
    <w:rsid w:val="4AB30EDE"/>
    <w:rsid w:val="4AB35D91"/>
    <w:rsid w:val="4AC7425E"/>
    <w:rsid w:val="4AE87797"/>
    <w:rsid w:val="4B140282"/>
    <w:rsid w:val="4B341F77"/>
    <w:rsid w:val="4B536B77"/>
    <w:rsid w:val="4B7B039D"/>
    <w:rsid w:val="4B7D207A"/>
    <w:rsid w:val="4B875EB6"/>
    <w:rsid w:val="4B8D42B7"/>
    <w:rsid w:val="4BBC3115"/>
    <w:rsid w:val="4BBC4545"/>
    <w:rsid w:val="4BD4666D"/>
    <w:rsid w:val="4C302A4F"/>
    <w:rsid w:val="4C3D761E"/>
    <w:rsid w:val="4C3F21A1"/>
    <w:rsid w:val="4C5B14A5"/>
    <w:rsid w:val="4C657AAE"/>
    <w:rsid w:val="4C7D1FFD"/>
    <w:rsid w:val="4C8A275C"/>
    <w:rsid w:val="4C8C446E"/>
    <w:rsid w:val="4CCC4E16"/>
    <w:rsid w:val="4CF0347F"/>
    <w:rsid w:val="4CF5763E"/>
    <w:rsid w:val="4D1400D2"/>
    <w:rsid w:val="4D1E7969"/>
    <w:rsid w:val="4D2A0882"/>
    <w:rsid w:val="4D3F7CBF"/>
    <w:rsid w:val="4D6D4C62"/>
    <w:rsid w:val="4D720CBA"/>
    <w:rsid w:val="4D73058E"/>
    <w:rsid w:val="4DA65831"/>
    <w:rsid w:val="4DC46301"/>
    <w:rsid w:val="4DCD6596"/>
    <w:rsid w:val="4DF71CA3"/>
    <w:rsid w:val="4DF807D9"/>
    <w:rsid w:val="4DFE3CC8"/>
    <w:rsid w:val="4E1230AB"/>
    <w:rsid w:val="4E3F7ECE"/>
    <w:rsid w:val="4E404B85"/>
    <w:rsid w:val="4E4E418E"/>
    <w:rsid w:val="4E8167AD"/>
    <w:rsid w:val="4EA902EC"/>
    <w:rsid w:val="4ECF3EC9"/>
    <w:rsid w:val="4EE058CB"/>
    <w:rsid w:val="4EFF706A"/>
    <w:rsid w:val="4F0A7123"/>
    <w:rsid w:val="4F1813ED"/>
    <w:rsid w:val="4F276B07"/>
    <w:rsid w:val="4F2A3762"/>
    <w:rsid w:val="4F2E0DB1"/>
    <w:rsid w:val="4F3619A8"/>
    <w:rsid w:val="4F365D17"/>
    <w:rsid w:val="4F802128"/>
    <w:rsid w:val="4FD41C1D"/>
    <w:rsid w:val="4FD64C5B"/>
    <w:rsid w:val="4FE30C63"/>
    <w:rsid w:val="4FED2322"/>
    <w:rsid w:val="4FFD53C6"/>
    <w:rsid w:val="501040B3"/>
    <w:rsid w:val="501A73E7"/>
    <w:rsid w:val="501E7625"/>
    <w:rsid w:val="50321789"/>
    <w:rsid w:val="50353485"/>
    <w:rsid w:val="503D1B16"/>
    <w:rsid w:val="508E47DC"/>
    <w:rsid w:val="50AE3F83"/>
    <w:rsid w:val="50CF7A4B"/>
    <w:rsid w:val="50E92709"/>
    <w:rsid w:val="51354115"/>
    <w:rsid w:val="5137564E"/>
    <w:rsid w:val="514E0A72"/>
    <w:rsid w:val="51576FE4"/>
    <w:rsid w:val="519F488C"/>
    <w:rsid w:val="51C5493F"/>
    <w:rsid w:val="51E574B8"/>
    <w:rsid w:val="520713EF"/>
    <w:rsid w:val="520923F4"/>
    <w:rsid w:val="5222282D"/>
    <w:rsid w:val="52302A27"/>
    <w:rsid w:val="523C0E33"/>
    <w:rsid w:val="52450012"/>
    <w:rsid w:val="52547F54"/>
    <w:rsid w:val="52650DED"/>
    <w:rsid w:val="527F07B8"/>
    <w:rsid w:val="5291537E"/>
    <w:rsid w:val="529320FE"/>
    <w:rsid w:val="529A6D62"/>
    <w:rsid w:val="529D4EC7"/>
    <w:rsid w:val="529E7DC9"/>
    <w:rsid w:val="52A1157D"/>
    <w:rsid w:val="530B2D71"/>
    <w:rsid w:val="532452B2"/>
    <w:rsid w:val="533237C4"/>
    <w:rsid w:val="53331AF6"/>
    <w:rsid w:val="535B4CF0"/>
    <w:rsid w:val="53693CDD"/>
    <w:rsid w:val="538006C3"/>
    <w:rsid w:val="538928BA"/>
    <w:rsid w:val="539C576C"/>
    <w:rsid w:val="53BA08AE"/>
    <w:rsid w:val="53BC278B"/>
    <w:rsid w:val="53D53162"/>
    <w:rsid w:val="53F938E0"/>
    <w:rsid w:val="5400093A"/>
    <w:rsid w:val="54115CC4"/>
    <w:rsid w:val="541A1B62"/>
    <w:rsid w:val="543B6670"/>
    <w:rsid w:val="543E150A"/>
    <w:rsid w:val="54760CFA"/>
    <w:rsid w:val="547747B8"/>
    <w:rsid w:val="547F24EC"/>
    <w:rsid w:val="54B972CF"/>
    <w:rsid w:val="54BB0C99"/>
    <w:rsid w:val="54E164AC"/>
    <w:rsid w:val="54F77CF7"/>
    <w:rsid w:val="551B6B41"/>
    <w:rsid w:val="55230827"/>
    <w:rsid w:val="55411377"/>
    <w:rsid w:val="557D01FC"/>
    <w:rsid w:val="55992746"/>
    <w:rsid w:val="55A15285"/>
    <w:rsid w:val="55A96275"/>
    <w:rsid w:val="55AE7D4E"/>
    <w:rsid w:val="55C9649C"/>
    <w:rsid w:val="55DA41BD"/>
    <w:rsid w:val="56063D5E"/>
    <w:rsid w:val="5625421C"/>
    <w:rsid w:val="564306A0"/>
    <w:rsid w:val="564E3912"/>
    <w:rsid w:val="565B2641"/>
    <w:rsid w:val="566C201F"/>
    <w:rsid w:val="568A37A6"/>
    <w:rsid w:val="569B59A6"/>
    <w:rsid w:val="56B934B6"/>
    <w:rsid w:val="56E85CA5"/>
    <w:rsid w:val="57132F95"/>
    <w:rsid w:val="5726041F"/>
    <w:rsid w:val="572664EB"/>
    <w:rsid w:val="572D4E3F"/>
    <w:rsid w:val="572D56F6"/>
    <w:rsid w:val="5732287F"/>
    <w:rsid w:val="573C5E95"/>
    <w:rsid w:val="57606393"/>
    <w:rsid w:val="57733E7E"/>
    <w:rsid w:val="57894A0E"/>
    <w:rsid w:val="57C02302"/>
    <w:rsid w:val="57C63600"/>
    <w:rsid w:val="57E8417C"/>
    <w:rsid w:val="581D479D"/>
    <w:rsid w:val="58315DB1"/>
    <w:rsid w:val="584040BB"/>
    <w:rsid w:val="58430210"/>
    <w:rsid w:val="584E5E80"/>
    <w:rsid w:val="585838C1"/>
    <w:rsid w:val="58606A21"/>
    <w:rsid w:val="58623BE5"/>
    <w:rsid w:val="5863214C"/>
    <w:rsid w:val="58717162"/>
    <w:rsid w:val="58857496"/>
    <w:rsid w:val="589A7317"/>
    <w:rsid w:val="58B96227"/>
    <w:rsid w:val="58C062A1"/>
    <w:rsid w:val="58ED44C3"/>
    <w:rsid w:val="594A6647"/>
    <w:rsid w:val="59647B33"/>
    <w:rsid w:val="596C7E01"/>
    <w:rsid w:val="597F1615"/>
    <w:rsid w:val="59801346"/>
    <w:rsid w:val="59A47948"/>
    <w:rsid w:val="59AE29B3"/>
    <w:rsid w:val="59DC43D8"/>
    <w:rsid w:val="5A270225"/>
    <w:rsid w:val="5A400973"/>
    <w:rsid w:val="5A4B3A12"/>
    <w:rsid w:val="5A737DB0"/>
    <w:rsid w:val="5A7747D4"/>
    <w:rsid w:val="5A7F451A"/>
    <w:rsid w:val="5AA549B2"/>
    <w:rsid w:val="5ADC7386"/>
    <w:rsid w:val="5B5104F9"/>
    <w:rsid w:val="5B5D0855"/>
    <w:rsid w:val="5B654DE1"/>
    <w:rsid w:val="5B741EE3"/>
    <w:rsid w:val="5B817F90"/>
    <w:rsid w:val="5BAC4E3A"/>
    <w:rsid w:val="5BBD471D"/>
    <w:rsid w:val="5BC87CA3"/>
    <w:rsid w:val="5BED72F7"/>
    <w:rsid w:val="5C012B8C"/>
    <w:rsid w:val="5C335AB8"/>
    <w:rsid w:val="5C362AF4"/>
    <w:rsid w:val="5C3E4720"/>
    <w:rsid w:val="5C526BB4"/>
    <w:rsid w:val="5C615D0C"/>
    <w:rsid w:val="5C694A3B"/>
    <w:rsid w:val="5C9B09C7"/>
    <w:rsid w:val="5CC85BD5"/>
    <w:rsid w:val="5CDC5954"/>
    <w:rsid w:val="5CE018DD"/>
    <w:rsid w:val="5D1B01A7"/>
    <w:rsid w:val="5D5B7D4A"/>
    <w:rsid w:val="5D602734"/>
    <w:rsid w:val="5D900CE9"/>
    <w:rsid w:val="5DB554E1"/>
    <w:rsid w:val="5DF7469D"/>
    <w:rsid w:val="5E074110"/>
    <w:rsid w:val="5E0854EE"/>
    <w:rsid w:val="5E214762"/>
    <w:rsid w:val="5E224037"/>
    <w:rsid w:val="5E284390"/>
    <w:rsid w:val="5E2F0501"/>
    <w:rsid w:val="5E6200F2"/>
    <w:rsid w:val="5E8E1E7B"/>
    <w:rsid w:val="5E933865"/>
    <w:rsid w:val="5E9D308B"/>
    <w:rsid w:val="5EB1181D"/>
    <w:rsid w:val="5EBC03E1"/>
    <w:rsid w:val="5EC33BF1"/>
    <w:rsid w:val="5EC52109"/>
    <w:rsid w:val="5EDC6635"/>
    <w:rsid w:val="5EDF242A"/>
    <w:rsid w:val="5EEC4CC9"/>
    <w:rsid w:val="5EF03EB9"/>
    <w:rsid w:val="5EF85E29"/>
    <w:rsid w:val="5EFC424F"/>
    <w:rsid w:val="5F387DD8"/>
    <w:rsid w:val="5F610F9A"/>
    <w:rsid w:val="5F6601DC"/>
    <w:rsid w:val="5F712D16"/>
    <w:rsid w:val="5F925D02"/>
    <w:rsid w:val="5FA6205D"/>
    <w:rsid w:val="5FBD7E8C"/>
    <w:rsid w:val="5FC72CEE"/>
    <w:rsid w:val="5FE17054"/>
    <w:rsid w:val="5FF04AF3"/>
    <w:rsid w:val="602B5EDC"/>
    <w:rsid w:val="602C20DD"/>
    <w:rsid w:val="60442474"/>
    <w:rsid w:val="60452D1D"/>
    <w:rsid w:val="606B7E4D"/>
    <w:rsid w:val="606C4ED9"/>
    <w:rsid w:val="609D5AF6"/>
    <w:rsid w:val="60B12374"/>
    <w:rsid w:val="60B12B22"/>
    <w:rsid w:val="60CB5CDD"/>
    <w:rsid w:val="61177267"/>
    <w:rsid w:val="611C7D9F"/>
    <w:rsid w:val="61377DF9"/>
    <w:rsid w:val="61623A9A"/>
    <w:rsid w:val="617519E8"/>
    <w:rsid w:val="618A7FBC"/>
    <w:rsid w:val="61B42655"/>
    <w:rsid w:val="61B65029"/>
    <w:rsid w:val="61C55F03"/>
    <w:rsid w:val="61EB04E9"/>
    <w:rsid w:val="61F44D85"/>
    <w:rsid w:val="622F4266"/>
    <w:rsid w:val="62462A72"/>
    <w:rsid w:val="6259166C"/>
    <w:rsid w:val="62846CDE"/>
    <w:rsid w:val="629F40C2"/>
    <w:rsid w:val="62A42D3A"/>
    <w:rsid w:val="62B95A2A"/>
    <w:rsid w:val="62EA6460"/>
    <w:rsid w:val="63030F14"/>
    <w:rsid w:val="634C71AA"/>
    <w:rsid w:val="63607EDD"/>
    <w:rsid w:val="637C0957"/>
    <w:rsid w:val="63806113"/>
    <w:rsid w:val="638210D3"/>
    <w:rsid w:val="63942F1D"/>
    <w:rsid w:val="63D26110"/>
    <w:rsid w:val="63D57637"/>
    <w:rsid w:val="63E477B4"/>
    <w:rsid w:val="63ED6827"/>
    <w:rsid w:val="6453132F"/>
    <w:rsid w:val="6470710A"/>
    <w:rsid w:val="647B624F"/>
    <w:rsid w:val="649B6252"/>
    <w:rsid w:val="64A036C7"/>
    <w:rsid w:val="64C22BED"/>
    <w:rsid w:val="64D82908"/>
    <w:rsid w:val="64D9041B"/>
    <w:rsid w:val="64D91523"/>
    <w:rsid w:val="64DB2E27"/>
    <w:rsid w:val="64EC5F80"/>
    <w:rsid w:val="65035F67"/>
    <w:rsid w:val="650C50F9"/>
    <w:rsid w:val="654B1ECF"/>
    <w:rsid w:val="65585BAA"/>
    <w:rsid w:val="65622439"/>
    <w:rsid w:val="656E52FB"/>
    <w:rsid w:val="658D680B"/>
    <w:rsid w:val="659D4F99"/>
    <w:rsid w:val="65A12770"/>
    <w:rsid w:val="65EC0A86"/>
    <w:rsid w:val="65FF4C5D"/>
    <w:rsid w:val="66010AEF"/>
    <w:rsid w:val="66035B03"/>
    <w:rsid w:val="661462F7"/>
    <w:rsid w:val="66150AEC"/>
    <w:rsid w:val="662A132F"/>
    <w:rsid w:val="6650158D"/>
    <w:rsid w:val="665A22F4"/>
    <w:rsid w:val="668B5CC3"/>
    <w:rsid w:val="66901A75"/>
    <w:rsid w:val="66AA6977"/>
    <w:rsid w:val="66D238E8"/>
    <w:rsid w:val="66E30E48"/>
    <w:rsid w:val="67010AE3"/>
    <w:rsid w:val="670F1CAF"/>
    <w:rsid w:val="67251571"/>
    <w:rsid w:val="67322B5A"/>
    <w:rsid w:val="6783286B"/>
    <w:rsid w:val="678A5539"/>
    <w:rsid w:val="6794124F"/>
    <w:rsid w:val="67C373D8"/>
    <w:rsid w:val="67DD4F5A"/>
    <w:rsid w:val="67EE40CD"/>
    <w:rsid w:val="67F035BE"/>
    <w:rsid w:val="68002120"/>
    <w:rsid w:val="68075EEC"/>
    <w:rsid w:val="68183231"/>
    <w:rsid w:val="68347D6A"/>
    <w:rsid w:val="687112E4"/>
    <w:rsid w:val="68811569"/>
    <w:rsid w:val="688D5AAB"/>
    <w:rsid w:val="689F47D3"/>
    <w:rsid w:val="68AB4C28"/>
    <w:rsid w:val="68BD7A3F"/>
    <w:rsid w:val="68E814B4"/>
    <w:rsid w:val="68F91EAB"/>
    <w:rsid w:val="69112CDD"/>
    <w:rsid w:val="69121E3A"/>
    <w:rsid w:val="69154D60"/>
    <w:rsid w:val="691F4D9F"/>
    <w:rsid w:val="69206401"/>
    <w:rsid w:val="694A6DBA"/>
    <w:rsid w:val="69723EB6"/>
    <w:rsid w:val="699954C4"/>
    <w:rsid w:val="699D36D6"/>
    <w:rsid w:val="69A7578F"/>
    <w:rsid w:val="69AC2A06"/>
    <w:rsid w:val="69B02560"/>
    <w:rsid w:val="69B779BF"/>
    <w:rsid w:val="69C21B11"/>
    <w:rsid w:val="69CD7FDE"/>
    <w:rsid w:val="69EC4F36"/>
    <w:rsid w:val="6A07214F"/>
    <w:rsid w:val="6A097C8B"/>
    <w:rsid w:val="6A2E2210"/>
    <w:rsid w:val="6A2F7723"/>
    <w:rsid w:val="6A6674DD"/>
    <w:rsid w:val="6A7E510F"/>
    <w:rsid w:val="6A9F44B9"/>
    <w:rsid w:val="6ABB21A6"/>
    <w:rsid w:val="6ACE0CEA"/>
    <w:rsid w:val="6ADB2F03"/>
    <w:rsid w:val="6AE2354A"/>
    <w:rsid w:val="6AE508C6"/>
    <w:rsid w:val="6AEB5722"/>
    <w:rsid w:val="6AF8649D"/>
    <w:rsid w:val="6AFA7A77"/>
    <w:rsid w:val="6AFB24CA"/>
    <w:rsid w:val="6AFF2463"/>
    <w:rsid w:val="6B0874EA"/>
    <w:rsid w:val="6B1F10AD"/>
    <w:rsid w:val="6B22477C"/>
    <w:rsid w:val="6B320A31"/>
    <w:rsid w:val="6B3555BC"/>
    <w:rsid w:val="6B423B68"/>
    <w:rsid w:val="6B491DA4"/>
    <w:rsid w:val="6B594672"/>
    <w:rsid w:val="6B5D28FD"/>
    <w:rsid w:val="6B5E4D2E"/>
    <w:rsid w:val="6BB05F5F"/>
    <w:rsid w:val="6BE116D3"/>
    <w:rsid w:val="6C2A7865"/>
    <w:rsid w:val="6C620EF9"/>
    <w:rsid w:val="6C6A54FD"/>
    <w:rsid w:val="6C950FE9"/>
    <w:rsid w:val="6C9B7EA2"/>
    <w:rsid w:val="6CF6746A"/>
    <w:rsid w:val="6D087A3E"/>
    <w:rsid w:val="6D127D3D"/>
    <w:rsid w:val="6D1D60F5"/>
    <w:rsid w:val="6D283CDD"/>
    <w:rsid w:val="6D2D03F9"/>
    <w:rsid w:val="6D9E588E"/>
    <w:rsid w:val="6DA94262"/>
    <w:rsid w:val="6DB70CB4"/>
    <w:rsid w:val="6DE315CB"/>
    <w:rsid w:val="6DE63DAE"/>
    <w:rsid w:val="6E094352"/>
    <w:rsid w:val="6E0A2C2C"/>
    <w:rsid w:val="6E135B2D"/>
    <w:rsid w:val="6E28624A"/>
    <w:rsid w:val="6E5864AC"/>
    <w:rsid w:val="6E7579F1"/>
    <w:rsid w:val="6E92195E"/>
    <w:rsid w:val="6E9D66DB"/>
    <w:rsid w:val="6F19182E"/>
    <w:rsid w:val="6F1E7F02"/>
    <w:rsid w:val="6F3626B6"/>
    <w:rsid w:val="6F3F40AE"/>
    <w:rsid w:val="6F4D6A39"/>
    <w:rsid w:val="6F815117"/>
    <w:rsid w:val="6FAD7EFC"/>
    <w:rsid w:val="6FC413E7"/>
    <w:rsid w:val="6FD16974"/>
    <w:rsid w:val="70234308"/>
    <w:rsid w:val="702A2DF0"/>
    <w:rsid w:val="708020B9"/>
    <w:rsid w:val="708F3F4F"/>
    <w:rsid w:val="70904E30"/>
    <w:rsid w:val="70922F5C"/>
    <w:rsid w:val="709771CD"/>
    <w:rsid w:val="70B269EA"/>
    <w:rsid w:val="70DA275C"/>
    <w:rsid w:val="70DC62C7"/>
    <w:rsid w:val="70F40DF1"/>
    <w:rsid w:val="71155E1B"/>
    <w:rsid w:val="71393588"/>
    <w:rsid w:val="714D6812"/>
    <w:rsid w:val="7170308B"/>
    <w:rsid w:val="718E21F2"/>
    <w:rsid w:val="719E503F"/>
    <w:rsid w:val="71A14E1B"/>
    <w:rsid w:val="71A5799C"/>
    <w:rsid w:val="71AC3D91"/>
    <w:rsid w:val="71CC455D"/>
    <w:rsid w:val="71E65261"/>
    <w:rsid w:val="71FF0740"/>
    <w:rsid w:val="71FF0BB1"/>
    <w:rsid w:val="7238693B"/>
    <w:rsid w:val="723D27EE"/>
    <w:rsid w:val="72856C67"/>
    <w:rsid w:val="72896FE0"/>
    <w:rsid w:val="728E5F19"/>
    <w:rsid w:val="72A31F40"/>
    <w:rsid w:val="73013FCC"/>
    <w:rsid w:val="73094C52"/>
    <w:rsid w:val="73245D0B"/>
    <w:rsid w:val="733866F9"/>
    <w:rsid w:val="73547991"/>
    <w:rsid w:val="736938A6"/>
    <w:rsid w:val="736D75D5"/>
    <w:rsid w:val="73796EEC"/>
    <w:rsid w:val="738E6C88"/>
    <w:rsid w:val="739169F9"/>
    <w:rsid w:val="739D39C9"/>
    <w:rsid w:val="73A52AED"/>
    <w:rsid w:val="73B7347A"/>
    <w:rsid w:val="73CD33BB"/>
    <w:rsid w:val="73F44C19"/>
    <w:rsid w:val="74031DA5"/>
    <w:rsid w:val="740C6947"/>
    <w:rsid w:val="742D4234"/>
    <w:rsid w:val="74326F65"/>
    <w:rsid w:val="743F4CBA"/>
    <w:rsid w:val="748A000B"/>
    <w:rsid w:val="749330FE"/>
    <w:rsid w:val="74942EB6"/>
    <w:rsid w:val="749E119A"/>
    <w:rsid w:val="74A356E3"/>
    <w:rsid w:val="74D33EF6"/>
    <w:rsid w:val="74D81279"/>
    <w:rsid w:val="74DD4D68"/>
    <w:rsid w:val="75011C88"/>
    <w:rsid w:val="753A11C8"/>
    <w:rsid w:val="755168D3"/>
    <w:rsid w:val="757356C1"/>
    <w:rsid w:val="7585337A"/>
    <w:rsid w:val="758C45A7"/>
    <w:rsid w:val="75A41F9F"/>
    <w:rsid w:val="75B456A9"/>
    <w:rsid w:val="75C404DC"/>
    <w:rsid w:val="75C50AA6"/>
    <w:rsid w:val="75D94171"/>
    <w:rsid w:val="75EA51DF"/>
    <w:rsid w:val="75EB4A8F"/>
    <w:rsid w:val="76051776"/>
    <w:rsid w:val="760B6FB5"/>
    <w:rsid w:val="769D4442"/>
    <w:rsid w:val="76AF515A"/>
    <w:rsid w:val="76B61F68"/>
    <w:rsid w:val="76CC1292"/>
    <w:rsid w:val="770A2EF2"/>
    <w:rsid w:val="77210231"/>
    <w:rsid w:val="773D64AD"/>
    <w:rsid w:val="77437CF9"/>
    <w:rsid w:val="77723A3F"/>
    <w:rsid w:val="777703EE"/>
    <w:rsid w:val="778356EE"/>
    <w:rsid w:val="778E136F"/>
    <w:rsid w:val="779C230C"/>
    <w:rsid w:val="77A33763"/>
    <w:rsid w:val="77B77A99"/>
    <w:rsid w:val="77D01510"/>
    <w:rsid w:val="77E2543A"/>
    <w:rsid w:val="78203AD8"/>
    <w:rsid w:val="78437924"/>
    <w:rsid w:val="78447F3E"/>
    <w:rsid w:val="78531D63"/>
    <w:rsid w:val="78615D56"/>
    <w:rsid w:val="7882568B"/>
    <w:rsid w:val="78A15077"/>
    <w:rsid w:val="78B54873"/>
    <w:rsid w:val="78C445BB"/>
    <w:rsid w:val="78C83AD2"/>
    <w:rsid w:val="790106AE"/>
    <w:rsid w:val="79306213"/>
    <w:rsid w:val="79424A2B"/>
    <w:rsid w:val="79516F63"/>
    <w:rsid w:val="79565544"/>
    <w:rsid w:val="795F0C6C"/>
    <w:rsid w:val="79614697"/>
    <w:rsid w:val="796660A9"/>
    <w:rsid w:val="796946E1"/>
    <w:rsid w:val="796E1666"/>
    <w:rsid w:val="798A5C60"/>
    <w:rsid w:val="79A07515"/>
    <w:rsid w:val="79A9103A"/>
    <w:rsid w:val="79AB36F9"/>
    <w:rsid w:val="79C51CFD"/>
    <w:rsid w:val="79DD1D32"/>
    <w:rsid w:val="79EF06E6"/>
    <w:rsid w:val="79F06745"/>
    <w:rsid w:val="7A00729F"/>
    <w:rsid w:val="7A402138"/>
    <w:rsid w:val="7A4A4C3A"/>
    <w:rsid w:val="7A51551F"/>
    <w:rsid w:val="7A543372"/>
    <w:rsid w:val="7A5C78B1"/>
    <w:rsid w:val="7AAA2726"/>
    <w:rsid w:val="7ACA5466"/>
    <w:rsid w:val="7AD45C10"/>
    <w:rsid w:val="7AD522D5"/>
    <w:rsid w:val="7AE318EE"/>
    <w:rsid w:val="7AEE43EB"/>
    <w:rsid w:val="7AF608E4"/>
    <w:rsid w:val="7B07175A"/>
    <w:rsid w:val="7B0A6A9B"/>
    <w:rsid w:val="7B0D2818"/>
    <w:rsid w:val="7B373907"/>
    <w:rsid w:val="7B3D676B"/>
    <w:rsid w:val="7B5D35F7"/>
    <w:rsid w:val="7B6603C6"/>
    <w:rsid w:val="7B92467D"/>
    <w:rsid w:val="7B994E29"/>
    <w:rsid w:val="7B9D745B"/>
    <w:rsid w:val="7BA63759"/>
    <w:rsid w:val="7BAD3F83"/>
    <w:rsid w:val="7BB12C0A"/>
    <w:rsid w:val="7BC96E50"/>
    <w:rsid w:val="7BDA36FA"/>
    <w:rsid w:val="7BEC1388"/>
    <w:rsid w:val="7C005CAF"/>
    <w:rsid w:val="7C254F1C"/>
    <w:rsid w:val="7C424F97"/>
    <w:rsid w:val="7C425CF3"/>
    <w:rsid w:val="7C4C2BF6"/>
    <w:rsid w:val="7C57415F"/>
    <w:rsid w:val="7C574A54"/>
    <w:rsid w:val="7C60651C"/>
    <w:rsid w:val="7C635AEE"/>
    <w:rsid w:val="7C640CBC"/>
    <w:rsid w:val="7C71680F"/>
    <w:rsid w:val="7C796B8F"/>
    <w:rsid w:val="7C812178"/>
    <w:rsid w:val="7C9A10D1"/>
    <w:rsid w:val="7CA13F21"/>
    <w:rsid w:val="7CA51C63"/>
    <w:rsid w:val="7CA532B1"/>
    <w:rsid w:val="7CB82DCD"/>
    <w:rsid w:val="7CBC3199"/>
    <w:rsid w:val="7CD66DE6"/>
    <w:rsid w:val="7CE57657"/>
    <w:rsid w:val="7D3A42B0"/>
    <w:rsid w:val="7D6F1CD1"/>
    <w:rsid w:val="7D723F16"/>
    <w:rsid w:val="7D8E3A4A"/>
    <w:rsid w:val="7D9A2209"/>
    <w:rsid w:val="7DA9460F"/>
    <w:rsid w:val="7DC80B9A"/>
    <w:rsid w:val="7DD47EE4"/>
    <w:rsid w:val="7DE03DE0"/>
    <w:rsid w:val="7DE5055D"/>
    <w:rsid w:val="7DE65FBE"/>
    <w:rsid w:val="7DFF6F70"/>
    <w:rsid w:val="7E2461C2"/>
    <w:rsid w:val="7E252460"/>
    <w:rsid w:val="7E397349"/>
    <w:rsid w:val="7E3B2283"/>
    <w:rsid w:val="7E826950"/>
    <w:rsid w:val="7E89682B"/>
    <w:rsid w:val="7E904003"/>
    <w:rsid w:val="7E9064E4"/>
    <w:rsid w:val="7EA66AB7"/>
    <w:rsid w:val="7EB76F44"/>
    <w:rsid w:val="7EBB18A6"/>
    <w:rsid w:val="7ED90E5D"/>
    <w:rsid w:val="7EF95DA4"/>
    <w:rsid w:val="7EFF5CB3"/>
    <w:rsid w:val="7F113622"/>
    <w:rsid w:val="7F314CA2"/>
    <w:rsid w:val="7F4C1035"/>
    <w:rsid w:val="7F4D4BFE"/>
    <w:rsid w:val="7F5D5CD0"/>
    <w:rsid w:val="7F7057E9"/>
    <w:rsid w:val="7F7405C7"/>
    <w:rsid w:val="7F7E49ED"/>
    <w:rsid w:val="7F7F75D9"/>
    <w:rsid w:val="7F995383"/>
    <w:rsid w:val="7FAC38D9"/>
    <w:rsid w:val="7FAF6BB9"/>
    <w:rsid w:val="7FCB21B9"/>
    <w:rsid w:val="7FD91C23"/>
    <w:rsid w:val="7FDF55E5"/>
    <w:rsid w:val="7FFA2F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9"/>
    <w:autoRedefine/>
    <w:qFormat/>
    <w:uiPriority w:val="0"/>
    <w:pPr>
      <w:keepNext/>
      <w:keepLines/>
      <w:spacing w:line="576" w:lineRule="auto"/>
      <w:jc w:val="center"/>
      <w:outlineLvl w:val="0"/>
    </w:pPr>
    <w:rPr>
      <w:rFonts w:ascii="Times New Roman" w:hAnsi="Times New Roman" w:cs="Times New Roman"/>
      <w:b/>
      <w:bCs/>
      <w:kern w:val="44"/>
      <w:sz w:val="32"/>
      <w:szCs w:val="32"/>
    </w:rPr>
  </w:style>
  <w:style w:type="paragraph" w:styleId="3">
    <w:name w:val="heading 2"/>
    <w:basedOn w:val="1"/>
    <w:next w:val="4"/>
    <w:link w:val="50"/>
    <w:autoRedefine/>
    <w:unhideWhenUsed/>
    <w:qFormat/>
    <w:uiPriority w:val="0"/>
    <w:pPr>
      <w:keepNext/>
      <w:keepLines/>
      <w:spacing w:line="413" w:lineRule="auto"/>
      <w:jc w:val="center"/>
      <w:outlineLvl w:val="1"/>
    </w:pPr>
    <w:rPr>
      <w:rFonts w:ascii="Arial" w:hAnsi="Arial" w:cs="Arial"/>
      <w:b/>
      <w:bCs/>
      <w:sz w:val="28"/>
      <w:szCs w:val="28"/>
    </w:rPr>
  </w:style>
  <w:style w:type="paragraph" w:styleId="5">
    <w:name w:val="heading 3"/>
    <w:basedOn w:val="1"/>
    <w:next w:val="1"/>
    <w:link w:val="51"/>
    <w:autoRedefine/>
    <w:semiHidden/>
    <w:unhideWhenUsed/>
    <w:qFormat/>
    <w:uiPriority w:val="0"/>
    <w:pPr>
      <w:keepNext/>
      <w:keepLines/>
      <w:spacing w:line="413" w:lineRule="auto"/>
      <w:outlineLvl w:val="2"/>
    </w:pPr>
    <w:rPr>
      <w:b/>
      <w:bCs/>
      <w:sz w:val="32"/>
      <w:szCs w:val="32"/>
    </w:rPr>
  </w:style>
  <w:style w:type="paragraph" w:styleId="6">
    <w:name w:val="heading 4"/>
    <w:basedOn w:val="1"/>
    <w:next w:val="1"/>
    <w:link w:val="52"/>
    <w:autoRedefine/>
    <w:semiHidden/>
    <w:unhideWhenUsed/>
    <w:qFormat/>
    <w:uiPriority w:val="0"/>
    <w:pPr>
      <w:keepNext/>
      <w:keepLines/>
      <w:jc w:val="left"/>
      <w:outlineLvl w:val="3"/>
    </w:pPr>
    <w:rPr>
      <w:rFonts w:ascii="Arial" w:hAnsi="Arial" w:cs="Arial"/>
      <w:b/>
      <w:bCs/>
      <w:sz w:val="32"/>
      <w:szCs w:val="32"/>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8">
    <w:name w:val="toc 7"/>
    <w:basedOn w:val="1"/>
    <w:next w:val="1"/>
    <w:autoRedefine/>
    <w:qFormat/>
    <w:uiPriority w:val="0"/>
    <w:pPr>
      <w:ind w:left="1260"/>
      <w:jc w:val="left"/>
    </w:pPr>
    <w:rPr>
      <w:rFonts w:asciiTheme="minorHAnsi" w:hAnsiTheme="minorHAnsi"/>
      <w:sz w:val="18"/>
      <w:szCs w:val="18"/>
    </w:rPr>
  </w:style>
  <w:style w:type="paragraph" w:styleId="9">
    <w:name w:val="annotation text"/>
    <w:basedOn w:val="1"/>
    <w:link w:val="53"/>
    <w:autoRedefine/>
    <w:qFormat/>
    <w:uiPriority w:val="0"/>
    <w:pPr>
      <w:jc w:val="left"/>
    </w:pPr>
    <w:rPr>
      <w:rFonts w:ascii="宋体" w:cs="宋体"/>
      <w:kern w:val="0"/>
      <w:sz w:val="34"/>
      <w:szCs w:val="34"/>
    </w:rPr>
  </w:style>
  <w:style w:type="paragraph" w:styleId="10">
    <w:name w:val="Body Text 3"/>
    <w:basedOn w:val="1"/>
    <w:autoRedefine/>
    <w:unhideWhenUsed/>
    <w:qFormat/>
    <w:uiPriority w:val="99"/>
    <w:pPr>
      <w:spacing w:after="120"/>
    </w:pPr>
    <w:rPr>
      <w:sz w:val="16"/>
      <w:szCs w:val="16"/>
    </w:rPr>
  </w:style>
  <w:style w:type="paragraph" w:styleId="11">
    <w:name w:val="Body Text"/>
    <w:basedOn w:val="1"/>
    <w:next w:val="1"/>
    <w:link w:val="54"/>
    <w:autoRedefine/>
    <w:unhideWhenUsed/>
    <w:qFormat/>
    <w:uiPriority w:val="99"/>
  </w:style>
  <w:style w:type="paragraph" w:styleId="12">
    <w:name w:val="Body Text Indent"/>
    <w:basedOn w:val="1"/>
    <w:next w:val="13"/>
    <w:link w:val="55"/>
    <w:autoRedefine/>
    <w:qFormat/>
    <w:uiPriority w:val="0"/>
    <w:pPr>
      <w:spacing w:after="120"/>
      <w:ind w:left="420" w:leftChars="200"/>
    </w:pPr>
  </w:style>
  <w:style w:type="paragraph" w:customStyle="1" w:styleId="13">
    <w:name w:val="Default"/>
    <w:next w:val="14"/>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4">
    <w:name w:val="toc 2"/>
    <w:basedOn w:val="1"/>
    <w:next w:val="1"/>
    <w:autoRedefine/>
    <w:qFormat/>
    <w:uiPriority w:val="0"/>
    <w:pPr>
      <w:ind w:left="210"/>
      <w:jc w:val="left"/>
    </w:pPr>
    <w:rPr>
      <w:rFonts w:asciiTheme="minorHAnsi" w:hAnsiTheme="minorHAnsi"/>
      <w:smallCaps/>
      <w:sz w:val="20"/>
      <w:szCs w:val="20"/>
    </w:rPr>
  </w:style>
  <w:style w:type="paragraph" w:styleId="15">
    <w:name w:val="Block Text"/>
    <w:basedOn w:val="1"/>
    <w:autoRedefine/>
    <w:qFormat/>
    <w:uiPriority w:val="99"/>
    <w:pPr>
      <w:spacing w:line="360" w:lineRule="auto"/>
      <w:ind w:left="357" w:leftChars="170" w:right="25" w:rightChars="12" w:firstLine="1"/>
    </w:pPr>
    <w:rPr>
      <w:rFonts w:ascii="宋体" w:hAnsi="宋体" w:eastAsia="宋体" w:cs="Arial"/>
      <w:sz w:val="24"/>
      <w:szCs w:val="20"/>
    </w:rPr>
  </w:style>
  <w:style w:type="paragraph" w:styleId="16">
    <w:name w:val="toc 5"/>
    <w:basedOn w:val="1"/>
    <w:next w:val="1"/>
    <w:autoRedefine/>
    <w:qFormat/>
    <w:uiPriority w:val="0"/>
    <w:pPr>
      <w:ind w:left="840"/>
      <w:jc w:val="left"/>
    </w:pPr>
    <w:rPr>
      <w:rFonts w:asciiTheme="minorHAnsi" w:hAnsiTheme="minorHAnsi"/>
      <w:sz w:val="18"/>
      <w:szCs w:val="18"/>
    </w:rPr>
  </w:style>
  <w:style w:type="paragraph" w:styleId="17">
    <w:name w:val="toc 3"/>
    <w:basedOn w:val="1"/>
    <w:next w:val="1"/>
    <w:autoRedefine/>
    <w:qFormat/>
    <w:uiPriority w:val="0"/>
    <w:pPr>
      <w:ind w:left="420"/>
      <w:jc w:val="left"/>
    </w:pPr>
    <w:rPr>
      <w:rFonts w:asciiTheme="minorHAnsi" w:hAnsiTheme="minorHAnsi"/>
      <w:i/>
      <w:iCs/>
      <w:sz w:val="20"/>
      <w:szCs w:val="20"/>
    </w:rPr>
  </w:style>
  <w:style w:type="paragraph" w:styleId="18">
    <w:name w:val="Plain Text"/>
    <w:basedOn w:val="1"/>
    <w:next w:val="11"/>
    <w:link w:val="56"/>
    <w:autoRedefine/>
    <w:qFormat/>
    <w:uiPriority w:val="0"/>
    <w:pPr>
      <w:spacing w:line="324" w:lineRule="auto"/>
    </w:pPr>
    <w:rPr>
      <w:rFonts w:ascii="宋体" w:hAnsi="Courier New" w:cs="宋体"/>
    </w:rPr>
  </w:style>
  <w:style w:type="paragraph" w:styleId="19">
    <w:name w:val="toc 8"/>
    <w:basedOn w:val="1"/>
    <w:next w:val="1"/>
    <w:autoRedefine/>
    <w:qFormat/>
    <w:uiPriority w:val="0"/>
    <w:pPr>
      <w:ind w:left="1470"/>
      <w:jc w:val="left"/>
    </w:pPr>
    <w:rPr>
      <w:rFonts w:asciiTheme="minorHAnsi" w:hAnsiTheme="minorHAnsi"/>
      <w:sz w:val="18"/>
      <w:szCs w:val="18"/>
    </w:rPr>
  </w:style>
  <w:style w:type="paragraph" w:styleId="20">
    <w:name w:val="Date"/>
    <w:basedOn w:val="1"/>
    <w:next w:val="1"/>
    <w:link w:val="80"/>
    <w:autoRedefine/>
    <w:qFormat/>
    <w:uiPriority w:val="0"/>
    <w:pPr>
      <w:ind w:left="100" w:leftChars="2500"/>
    </w:pPr>
  </w:style>
  <w:style w:type="paragraph" w:styleId="21">
    <w:name w:val="Body Text Indent 2"/>
    <w:basedOn w:val="1"/>
    <w:link w:val="57"/>
    <w:autoRedefine/>
    <w:qFormat/>
    <w:uiPriority w:val="0"/>
    <w:pPr>
      <w:spacing w:after="120" w:line="480" w:lineRule="auto"/>
      <w:ind w:left="420" w:leftChars="200"/>
    </w:pPr>
  </w:style>
  <w:style w:type="paragraph" w:styleId="22">
    <w:name w:val="Balloon Text"/>
    <w:basedOn w:val="1"/>
    <w:link w:val="58"/>
    <w:autoRedefine/>
    <w:qFormat/>
    <w:uiPriority w:val="0"/>
    <w:rPr>
      <w:sz w:val="18"/>
      <w:szCs w:val="18"/>
    </w:rPr>
  </w:style>
  <w:style w:type="paragraph" w:styleId="23">
    <w:name w:val="footer"/>
    <w:basedOn w:val="1"/>
    <w:link w:val="59"/>
    <w:autoRedefine/>
    <w:unhideWhenUsed/>
    <w:qFormat/>
    <w:uiPriority w:val="99"/>
    <w:pPr>
      <w:tabs>
        <w:tab w:val="center" w:pos="4153"/>
        <w:tab w:val="right" w:pos="8306"/>
      </w:tabs>
      <w:snapToGrid w:val="0"/>
      <w:jc w:val="left"/>
    </w:pPr>
    <w:rPr>
      <w:sz w:val="18"/>
      <w:szCs w:val="18"/>
    </w:rPr>
  </w:style>
  <w:style w:type="paragraph" w:styleId="24">
    <w:name w:val="header"/>
    <w:basedOn w:val="1"/>
    <w:link w:val="60"/>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pPr>
      <w:spacing w:before="120" w:after="120"/>
      <w:jc w:val="left"/>
    </w:pPr>
    <w:rPr>
      <w:rFonts w:asciiTheme="minorHAnsi" w:hAnsiTheme="minorHAnsi"/>
      <w:b/>
      <w:bCs/>
      <w:caps/>
      <w:sz w:val="20"/>
      <w:szCs w:val="20"/>
    </w:rPr>
  </w:style>
  <w:style w:type="paragraph" w:styleId="26">
    <w:name w:val="toc 4"/>
    <w:basedOn w:val="1"/>
    <w:next w:val="1"/>
    <w:autoRedefine/>
    <w:qFormat/>
    <w:uiPriority w:val="0"/>
    <w:pPr>
      <w:ind w:left="630"/>
      <w:jc w:val="left"/>
    </w:pPr>
    <w:rPr>
      <w:rFonts w:asciiTheme="minorHAnsi" w:hAnsiTheme="minorHAnsi"/>
      <w:sz w:val="18"/>
      <w:szCs w:val="18"/>
    </w:rPr>
  </w:style>
  <w:style w:type="paragraph" w:styleId="27">
    <w:name w:val="footnote text"/>
    <w:basedOn w:val="1"/>
    <w:autoRedefine/>
    <w:qFormat/>
    <w:uiPriority w:val="0"/>
    <w:pPr>
      <w:snapToGrid w:val="0"/>
      <w:jc w:val="left"/>
    </w:pPr>
    <w:rPr>
      <w:sz w:val="18"/>
    </w:rPr>
  </w:style>
  <w:style w:type="paragraph" w:styleId="28">
    <w:name w:val="toc 6"/>
    <w:basedOn w:val="1"/>
    <w:next w:val="1"/>
    <w:autoRedefine/>
    <w:qFormat/>
    <w:uiPriority w:val="0"/>
    <w:pPr>
      <w:ind w:left="1050"/>
      <w:jc w:val="left"/>
    </w:pPr>
    <w:rPr>
      <w:rFonts w:asciiTheme="minorHAnsi" w:hAnsiTheme="minorHAnsi"/>
      <w:sz w:val="18"/>
      <w:szCs w:val="18"/>
    </w:rPr>
  </w:style>
  <w:style w:type="paragraph" w:styleId="29">
    <w:name w:val="toc 9"/>
    <w:basedOn w:val="1"/>
    <w:next w:val="1"/>
    <w:autoRedefine/>
    <w:qFormat/>
    <w:uiPriority w:val="0"/>
    <w:pPr>
      <w:ind w:left="1680"/>
      <w:jc w:val="left"/>
    </w:pPr>
    <w:rPr>
      <w:rFonts w:asciiTheme="minorHAnsi" w:hAnsiTheme="minorHAnsi"/>
      <w:sz w:val="18"/>
      <w:szCs w:val="18"/>
    </w:rPr>
  </w:style>
  <w:style w:type="paragraph" w:styleId="30">
    <w:name w:val="Body Text 2"/>
    <w:basedOn w:val="1"/>
    <w:link w:val="61"/>
    <w:autoRedefine/>
    <w:qFormat/>
    <w:uiPriority w:val="0"/>
    <w:pPr>
      <w:jc w:val="center"/>
    </w:pPr>
    <w:rPr>
      <w:b/>
      <w:bCs/>
      <w:spacing w:val="-20"/>
      <w:w w:val="130"/>
      <w:sz w:val="48"/>
      <w:szCs w:val="48"/>
    </w:rPr>
  </w:style>
  <w:style w:type="paragraph" w:styleId="31">
    <w:name w:val="Message Header"/>
    <w:basedOn w:val="1"/>
    <w:next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2">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33">
    <w:name w:val="annotation subject"/>
    <w:basedOn w:val="9"/>
    <w:next w:val="1"/>
    <w:link w:val="90"/>
    <w:autoRedefine/>
    <w:qFormat/>
    <w:uiPriority w:val="0"/>
    <w:rPr>
      <w:rFonts w:ascii="Calibri" w:cs="Calibri"/>
      <w:b/>
      <w:bCs/>
      <w:kern w:val="2"/>
      <w:sz w:val="21"/>
      <w:szCs w:val="21"/>
    </w:rPr>
  </w:style>
  <w:style w:type="paragraph" w:styleId="34">
    <w:name w:val="Body Text First Indent"/>
    <w:basedOn w:val="11"/>
    <w:autoRedefine/>
    <w:qFormat/>
    <w:uiPriority w:val="0"/>
    <w:pPr>
      <w:ind w:firstLine="420" w:firstLineChars="100"/>
    </w:pPr>
    <w:rPr>
      <w:sz w:val="34"/>
    </w:rPr>
  </w:style>
  <w:style w:type="paragraph" w:styleId="35">
    <w:name w:val="Body Text First Indent 2"/>
    <w:basedOn w:val="12"/>
    <w:next w:val="1"/>
    <w:autoRedefine/>
    <w:qFormat/>
    <w:uiPriority w:val="99"/>
    <w:pPr>
      <w:tabs>
        <w:tab w:val="left" w:pos="4900"/>
      </w:tabs>
      <w:ind w:firstLine="420" w:firstLineChars="200"/>
    </w:pPr>
  </w:style>
  <w:style w:type="table" w:styleId="37">
    <w:name w:val="Table Grid"/>
    <w:basedOn w:val="3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autoRedefine/>
    <w:qFormat/>
    <w:uiPriority w:val="0"/>
    <w:rPr>
      <w:b/>
      <w:bCs/>
      <w:sz w:val="24"/>
      <w:szCs w:val="24"/>
    </w:rPr>
  </w:style>
  <w:style w:type="character" w:styleId="40">
    <w:name w:val="page number"/>
    <w:basedOn w:val="38"/>
    <w:autoRedefine/>
    <w:qFormat/>
    <w:uiPriority w:val="0"/>
  </w:style>
  <w:style w:type="character" w:styleId="41">
    <w:name w:val="Emphasis"/>
    <w:autoRedefine/>
    <w:qFormat/>
    <w:uiPriority w:val="0"/>
    <w:rPr>
      <w:i/>
      <w:iCs/>
    </w:rPr>
  </w:style>
  <w:style w:type="character" w:styleId="42">
    <w:name w:val="Hyperlink"/>
    <w:autoRedefine/>
    <w:qFormat/>
    <w:uiPriority w:val="99"/>
    <w:rPr>
      <w:color w:val="0000FF"/>
      <w:u w:val="single"/>
    </w:rPr>
  </w:style>
  <w:style w:type="character" w:styleId="43">
    <w:name w:val="annotation reference"/>
    <w:autoRedefine/>
    <w:qFormat/>
    <w:uiPriority w:val="0"/>
    <w:rPr>
      <w:sz w:val="21"/>
      <w:szCs w:val="21"/>
    </w:rPr>
  </w:style>
  <w:style w:type="character" w:styleId="44">
    <w:name w:val="HTML Cite"/>
    <w:autoRedefine/>
    <w:qFormat/>
    <w:uiPriority w:val="0"/>
    <w:rPr>
      <w:sz w:val="24"/>
      <w:szCs w:val="24"/>
    </w:rPr>
  </w:style>
  <w:style w:type="character" w:styleId="45">
    <w:name w:val="footnote reference"/>
    <w:basedOn w:val="38"/>
    <w:autoRedefine/>
    <w:qFormat/>
    <w:uiPriority w:val="0"/>
    <w:rPr>
      <w:vertAlign w:val="superscript"/>
    </w:rPr>
  </w:style>
  <w:style w:type="paragraph" w:customStyle="1" w:styleId="46">
    <w:name w:val="列出段落1"/>
    <w:basedOn w:val="1"/>
    <w:autoRedefine/>
    <w:qFormat/>
    <w:uiPriority w:val="99"/>
    <w:pPr>
      <w:ind w:firstLine="420" w:firstLineChars="200"/>
    </w:pPr>
  </w:style>
  <w:style w:type="paragraph" w:customStyle="1" w:styleId="47">
    <w:name w:val="正文缩进1"/>
    <w:autoRedefine/>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48">
    <w:name w:val="TOC 标题1"/>
    <w:basedOn w:val="2"/>
    <w:next w:val="1"/>
    <w:autoRedefine/>
    <w:qFormat/>
    <w:uiPriority w:val="99"/>
    <w:pPr>
      <w:spacing w:before="480" w:line="276" w:lineRule="auto"/>
      <w:outlineLvl w:val="9"/>
    </w:pPr>
    <w:rPr>
      <w:rFonts w:ascii="仿宋" w:hAnsi="仿宋" w:eastAsia="仿宋" w:cs="仿宋"/>
      <w:color w:val="000000"/>
      <w:kern w:val="0"/>
    </w:rPr>
  </w:style>
  <w:style w:type="character" w:customStyle="1" w:styleId="49">
    <w:name w:val="标题 1 Char"/>
    <w:link w:val="2"/>
    <w:autoRedefine/>
    <w:qFormat/>
    <w:locked/>
    <w:uiPriority w:val="99"/>
    <w:rPr>
      <w:rFonts w:ascii="Calibri" w:hAnsi="Calibri" w:cs="Calibri"/>
      <w:b/>
      <w:bCs/>
      <w:kern w:val="44"/>
      <w:sz w:val="44"/>
      <w:szCs w:val="44"/>
    </w:rPr>
  </w:style>
  <w:style w:type="character" w:customStyle="1" w:styleId="50">
    <w:name w:val="标题 2 Char"/>
    <w:link w:val="3"/>
    <w:autoRedefine/>
    <w:qFormat/>
    <w:locked/>
    <w:uiPriority w:val="99"/>
    <w:rPr>
      <w:rFonts w:ascii="Cambria" w:hAnsi="Cambria" w:eastAsia="宋体" w:cs="Cambria"/>
      <w:b/>
      <w:bCs/>
      <w:sz w:val="32"/>
      <w:szCs w:val="32"/>
    </w:rPr>
  </w:style>
  <w:style w:type="character" w:customStyle="1" w:styleId="51">
    <w:name w:val="标题 3 Char"/>
    <w:link w:val="5"/>
    <w:autoRedefine/>
    <w:semiHidden/>
    <w:qFormat/>
    <w:locked/>
    <w:uiPriority w:val="99"/>
    <w:rPr>
      <w:rFonts w:ascii="Calibri" w:hAnsi="Calibri" w:cs="Calibri"/>
      <w:b/>
      <w:bCs/>
      <w:sz w:val="32"/>
      <w:szCs w:val="32"/>
    </w:rPr>
  </w:style>
  <w:style w:type="character" w:customStyle="1" w:styleId="52">
    <w:name w:val="标题 4 Char"/>
    <w:link w:val="6"/>
    <w:autoRedefine/>
    <w:semiHidden/>
    <w:qFormat/>
    <w:uiPriority w:val="9"/>
    <w:rPr>
      <w:rFonts w:ascii="Cambria" w:hAnsi="Cambria" w:eastAsia="宋体" w:cs="Times New Roman"/>
      <w:b/>
      <w:bCs/>
      <w:sz w:val="28"/>
      <w:szCs w:val="28"/>
    </w:rPr>
  </w:style>
  <w:style w:type="character" w:customStyle="1" w:styleId="53">
    <w:name w:val="批注文字 Char"/>
    <w:link w:val="9"/>
    <w:autoRedefine/>
    <w:qFormat/>
    <w:locked/>
    <w:uiPriority w:val="99"/>
    <w:rPr>
      <w:rFonts w:ascii="宋体" w:hAnsi="Calibri" w:eastAsia="宋体" w:cs="宋体"/>
      <w:sz w:val="22"/>
      <w:szCs w:val="22"/>
    </w:rPr>
  </w:style>
  <w:style w:type="character" w:customStyle="1" w:styleId="54">
    <w:name w:val="正文文本 Char"/>
    <w:link w:val="11"/>
    <w:autoRedefine/>
    <w:semiHidden/>
    <w:qFormat/>
    <w:locked/>
    <w:uiPriority w:val="99"/>
    <w:rPr>
      <w:rFonts w:ascii="Calibri" w:hAnsi="Calibri" w:cs="Calibri"/>
    </w:rPr>
  </w:style>
  <w:style w:type="character" w:customStyle="1" w:styleId="55">
    <w:name w:val="正文文本缩进 Char"/>
    <w:link w:val="12"/>
    <w:autoRedefine/>
    <w:semiHidden/>
    <w:qFormat/>
    <w:uiPriority w:val="99"/>
    <w:rPr>
      <w:rFonts w:ascii="Calibri" w:hAnsi="Calibri" w:cs="Calibri"/>
      <w:szCs w:val="21"/>
    </w:rPr>
  </w:style>
  <w:style w:type="character" w:customStyle="1" w:styleId="56">
    <w:name w:val="纯文本 Char"/>
    <w:link w:val="18"/>
    <w:autoRedefine/>
    <w:qFormat/>
    <w:locked/>
    <w:uiPriority w:val="0"/>
    <w:rPr>
      <w:rFonts w:ascii="宋体" w:hAnsi="Courier New" w:cs="宋体"/>
      <w:sz w:val="21"/>
      <w:szCs w:val="21"/>
    </w:rPr>
  </w:style>
  <w:style w:type="character" w:customStyle="1" w:styleId="57">
    <w:name w:val="正文文本缩进 2 Char"/>
    <w:link w:val="21"/>
    <w:autoRedefine/>
    <w:semiHidden/>
    <w:qFormat/>
    <w:locked/>
    <w:uiPriority w:val="99"/>
    <w:rPr>
      <w:rFonts w:ascii="Calibri" w:hAnsi="Calibri" w:cs="Calibri"/>
    </w:rPr>
  </w:style>
  <w:style w:type="character" w:customStyle="1" w:styleId="58">
    <w:name w:val="批注框文本 Char"/>
    <w:link w:val="22"/>
    <w:autoRedefine/>
    <w:qFormat/>
    <w:locked/>
    <w:uiPriority w:val="99"/>
    <w:rPr>
      <w:rFonts w:ascii="Calibri" w:hAnsi="Calibri" w:eastAsia="宋体" w:cs="Calibri"/>
      <w:kern w:val="2"/>
      <w:sz w:val="18"/>
      <w:szCs w:val="18"/>
    </w:rPr>
  </w:style>
  <w:style w:type="character" w:customStyle="1" w:styleId="59">
    <w:name w:val="页脚 Char"/>
    <w:basedOn w:val="38"/>
    <w:link w:val="23"/>
    <w:autoRedefine/>
    <w:qFormat/>
    <w:locked/>
    <w:uiPriority w:val="99"/>
    <w:rPr>
      <w:rFonts w:ascii="Calibri" w:hAnsi="Calibri" w:cs="Calibri"/>
      <w:sz w:val="18"/>
      <w:szCs w:val="18"/>
    </w:rPr>
  </w:style>
  <w:style w:type="character" w:customStyle="1" w:styleId="60">
    <w:name w:val="页眉 Char"/>
    <w:basedOn w:val="38"/>
    <w:link w:val="24"/>
    <w:autoRedefine/>
    <w:qFormat/>
    <w:locked/>
    <w:uiPriority w:val="99"/>
    <w:rPr>
      <w:rFonts w:ascii="Calibri" w:hAnsi="Calibri" w:cs="Calibri"/>
      <w:sz w:val="18"/>
      <w:szCs w:val="18"/>
    </w:rPr>
  </w:style>
  <w:style w:type="character" w:customStyle="1" w:styleId="61">
    <w:name w:val="正文文本 2 Char"/>
    <w:link w:val="30"/>
    <w:autoRedefine/>
    <w:semiHidden/>
    <w:qFormat/>
    <w:locked/>
    <w:uiPriority w:val="99"/>
    <w:rPr>
      <w:rFonts w:ascii="Calibri" w:hAnsi="Calibri" w:cs="Calibri"/>
    </w:rPr>
  </w:style>
  <w:style w:type="paragraph" w:customStyle="1" w:styleId="62">
    <w:name w:val="Char2 Char Char Char"/>
    <w:basedOn w:val="1"/>
    <w:autoRedefine/>
    <w:qFormat/>
    <w:uiPriority w:val="99"/>
    <w:rPr>
      <w:rFonts w:ascii="Tahoma" w:hAnsi="Tahoma" w:cs="Tahoma"/>
      <w:sz w:val="24"/>
      <w:szCs w:val="24"/>
    </w:rPr>
  </w:style>
  <w:style w:type="character" w:customStyle="1" w:styleId="63">
    <w:name w:val="10"/>
    <w:autoRedefine/>
    <w:qFormat/>
    <w:uiPriority w:val="99"/>
    <w:rPr>
      <w:rFonts w:ascii="Calibri" w:hAnsi="Calibri" w:cs="Calibri"/>
    </w:rPr>
  </w:style>
  <w:style w:type="character" w:customStyle="1" w:styleId="64">
    <w:name w:val="15"/>
    <w:autoRedefine/>
    <w:qFormat/>
    <w:uiPriority w:val="99"/>
    <w:rPr>
      <w:rFonts w:ascii="Calibri" w:hAnsi="Calibri" w:cs="Calibri"/>
      <w:i/>
      <w:iCs/>
    </w:rPr>
  </w:style>
  <w:style w:type="paragraph" w:customStyle="1" w:styleId="65">
    <w:name w:val="_Style 2"/>
    <w:basedOn w:val="1"/>
    <w:autoRedefine/>
    <w:qFormat/>
    <w:uiPriority w:val="99"/>
    <w:pPr>
      <w:ind w:firstLine="420" w:firstLineChars="200"/>
    </w:pPr>
  </w:style>
  <w:style w:type="character" w:customStyle="1" w:styleId="66">
    <w:name w:val="apple-style-span"/>
    <w:basedOn w:val="38"/>
    <w:autoRedefine/>
    <w:qFormat/>
    <w:uiPriority w:val="99"/>
  </w:style>
  <w:style w:type="character" w:customStyle="1" w:styleId="67">
    <w:name w:val="del"/>
    <w:basedOn w:val="38"/>
    <w:autoRedefine/>
    <w:qFormat/>
    <w:uiPriority w:val="99"/>
  </w:style>
  <w:style w:type="character" w:customStyle="1" w:styleId="68">
    <w:name w:val="del1"/>
    <w:autoRedefine/>
    <w:qFormat/>
    <w:uiPriority w:val="99"/>
    <w:rPr>
      <w:vanish/>
      <w:color w:val="auto"/>
      <w:sz w:val="18"/>
      <w:szCs w:val="18"/>
      <w:u w:val="single"/>
    </w:rPr>
  </w:style>
  <w:style w:type="character" w:customStyle="1" w:styleId="69">
    <w:name w:val="del2"/>
    <w:autoRedefine/>
    <w:qFormat/>
    <w:uiPriority w:val="99"/>
    <w:rPr>
      <w:vanish/>
    </w:rPr>
  </w:style>
  <w:style w:type="character" w:customStyle="1" w:styleId="70">
    <w:name w:val="del3"/>
    <w:autoRedefine/>
    <w:qFormat/>
    <w:uiPriority w:val="99"/>
    <w:rPr>
      <w:vanish/>
    </w:rPr>
  </w:style>
  <w:style w:type="paragraph" w:customStyle="1" w:styleId="71">
    <w:name w:val="_Style 4"/>
    <w:basedOn w:val="1"/>
    <w:autoRedefine/>
    <w:qFormat/>
    <w:uiPriority w:val="99"/>
    <w:pPr>
      <w:ind w:firstLine="420" w:firstLineChars="200"/>
    </w:pPr>
  </w:style>
  <w:style w:type="paragraph" w:customStyle="1" w:styleId="72">
    <w:name w:val="pa-19"/>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73">
    <w:name w:val="首行缩进"/>
    <w:basedOn w:val="1"/>
    <w:autoRedefine/>
    <w:qFormat/>
    <w:uiPriority w:val="99"/>
    <w:pPr>
      <w:widowControl/>
      <w:tabs>
        <w:tab w:val="left" w:pos="735"/>
      </w:tabs>
      <w:spacing w:line="460" w:lineRule="exact"/>
      <w:ind w:firstLine="200" w:firstLineChars="200"/>
      <w:jc w:val="left"/>
    </w:pPr>
    <w:rPr>
      <w:rFonts w:ascii="Times New Roman" w:hAnsi="Times New Roman" w:cs="Times New Roman"/>
      <w:kern w:val="0"/>
      <w:sz w:val="24"/>
      <w:szCs w:val="24"/>
    </w:rPr>
  </w:style>
  <w:style w:type="character" w:customStyle="1" w:styleId="74">
    <w:name w:val="font101"/>
    <w:basedOn w:val="38"/>
    <w:autoRedefine/>
    <w:qFormat/>
    <w:uiPriority w:val="0"/>
    <w:rPr>
      <w:rFonts w:hint="eastAsia" w:ascii="宋体" w:hAnsi="宋体" w:eastAsia="宋体" w:cs="宋体"/>
      <w:color w:val="000000"/>
      <w:sz w:val="24"/>
      <w:szCs w:val="24"/>
      <w:u w:val="none"/>
    </w:rPr>
  </w:style>
  <w:style w:type="character" w:customStyle="1" w:styleId="75">
    <w:name w:val="font91"/>
    <w:basedOn w:val="38"/>
    <w:autoRedefine/>
    <w:qFormat/>
    <w:uiPriority w:val="0"/>
    <w:rPr>
      <w:rFonts w:hint="eastAsia" w:ascii="宋体" w:hAnsi="宋体" w:eastAsia="宋体" w:cs="宋体"/>
      <w:color w:val="000000"/>
      <w:sz w:val="24"/>
      <w:szCs w:val="24"/>
      <w:u w:val="none"/>
    </w:rPr>
  </w:style>
  <w:style w:type="character" w:customStyle="1" w:styleId="76">
    <w:name w:val="font41"/>
    <w:basedOn w:val="38"/>
    <w:autoRedefine/>
    <w:qFormat/>
    <w:uiPriority w:val="0"/>
    <w:rPr>
      <w:rFonts w:hint="eastAsia" w:ascii="宋体" w:hAnsi="宋体" w:eastAsia="宋体" w:cs="宋体"/>
      <w:color w:val="000000"/>
      <w:sz w:val="24"/>
      <w:szCs w:val="24"/>
      <w:u w:val="none"/>
    </w:rPr>
  </w:style>
  <w:style w:type="character" w:customStyle="1" w:styleId="77">
    <w:name w:val="font21"/>
    <w:basedOn w:val="38"/>
    <w:autoRedefine/>
    <w:qFormat/>
    <w:uiPriority w:val="0"/>
    <w:rPr>
      <w:rFonts w:hint="eastAsia" w:ascii="宋体" w:hAnsi="宋体" w:eastAsia="宋体" w:cs="宋体"/>
      <w:color w:val="000000"/>
      <w:sz w:val="24"/>
      <w:szCs w:val="24"/>
      <w:u w:val="none"/>
    </w:rPr>
  </w:style>
  <w:style w:type="paragraph" w:styleId="78">
    <w:name w:val="List Paragraph"/>
    <w:basedOn w:val="1"/>
    <w:autoRedefine/>
    <w:qFormat/>
    <w:uiPriority w:val="99"/>
    <w:pPr>
      <w:ind w:firstLine="420" w:firstLineChars="200"/>
    </w:pPr>
  </w:style>
  <w:style w:type="table" w:customStyle="1" w:styleId="79">
    <w:name w:val="TableGrid"/>
    <w:autoRedefine/>
    <w:qFormat/>
    <w:uiPriority w:val="0"/>
    <w:rPr>
      <w:kern w:val="2"/>
      <w:sz w:val="21"/>
      <w:szCs w:val="22"/>
    </w:rPr>
    <w:tblPr>
      <w:tblCellMar>
        <w:top w:w="0" w:type="dxa"/>
        <w:left w:w="0" w:type="dxa"/>
        <w:bottom w:w="0" w:type="dxa"/>
        <w:right w:w="0" w:type="dxa"/>
      </w:tblCellMar>
    </w:tblPr>
  </w:style>
  <w:style w:type="character" w:customStyle="1" w:styleId="80">
    <w:name w:val="日期 Char"/>
    <w:basedOn w:val="38"/>
    <w:link w:val="20"/>
    <w:autoRedefine/>
    <w:qFormat/>
    <w:uiPriority w:val="0"/>
    <w:rPr>
      <w:rFonts w:ascii="Calibri" w:hAnsi="Calibri" w:cs="Calibri"/>
      <w:kern w:val="2"/>
      <w:sz w:val="21"/>
      <w:szCs w:val="21"/>
    </w:rPr>
  </w:style>
  <w:style w:type="character" w:customStyle="1" w:styleId="81">
    <w:name w:val="List Paragraph Char1"/>
    <w:link w:val="82"/>
    <w:autoRedefine/>
    <w:qFormat/>
    <w:locked/>
    <w:uiPriority w:val="0"/>
    <w:rPr>
      <w:sz w:val="24"/>
    </w:rPr>
  </w:style>
  <w:style w:type="paragraph" w:customStyle="1" w:styleId="82">
    <w:name w:val="列出段落2"/>
    <w:basedOn w:val="1"/>
    <w:link w:val="81"/>
    <w:autoRedefine/>
    <w:qFormat/>
    <w:uiPriority w:val="0"/>
    <w:pPr>
      <w:ind w:firstLine="420" w:firstLineChars="200"/>
    </w:pPr>
    <w:rPr>
      <w:rFonts w:ascii="Times New Roman" w:hAnsi="Times New Roman" w:cs="Times New Roman"/>
      <w:kern w:val="0"/>
      <w:sz w:val="24"/>
      <w:szCs w:val="20"/>
    </w:rPr>
  </w:style>
  <w:style w:type="table" w:customStyle="1" w:styleId="83">
    <w:name w:val="TableGrid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4">
    <w:name w:val="TableGrid2"/>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5">
    <w:name w:val="TableGrid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6">
    <w:name w:val="TableGrid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7">
    <w:name w:val="TableGrid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8">
    <w:name w:val="TableGrid6"/>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9">
    <w:name w:val="TableGrid7"/>
    <w:autoRedefine/>
    <w:qFormat/>
    <w:uiPriority w:val="0"/>
    <w:rPr>
      <w:rFonts w:ascii="Calibri" w:hAnsi="Calibri"/>
      <w:kern w:val="2"/>
      <w:sz w:val="21"/>
      <w:szCs w:val="22"/>
    </w:rPr>
    <w:tblPr>
      <w:tblCellMar>
        <w:top w:w="0" w:type="dxa"/>
        <w:left w:w="0" w:type="dxa"/>
        <w:bottom w:w="0" w:type="dxa"/>
        <w:right w:w="0" w:type="dxa"/>
      </w:tblCellMar>
    </w:tblPr>
  </w:style>
  <w:style w:type="character" w:customStyle="1" w:styleId="90">
    <w:name w:val="批注主题 Char"/>
    <w:basedOn w:val="53"/>
    <w:link w:val="33"/>
    <w:autoRedefine/>
    <w:semiHidden/>
    <w:qFormat/>
    <w:uiPriority w:val="99"/>
    <w:rPr>
      <w:rFonts w:ascii="Calibri" w:hAnsi="Calibri" w:eastAsia="宋体" w:cs="Calibri"/>
      <w:b/>
      <w:bCs/>
      <w:kern w:val="2"/>
      <w:sz w:val="21"/>
      <w:szCs w:val="21"/>
    </w:rPr>
  </w:style>
  <w:style w:type="paragraph" w:customStyle="1" w:styleId="91">
    <w:name w:val="列出段落3"/>
    <w:basedOn w:val="1"/>
    <w:autoRedefine/>
    <w:qFormat/>
    <w:uiPriority w:val="0"/>
    <w:pPr>
      <w:ind w:firstLine="420" w:firstLineChars="200"/>
    </w:pPr>
    <w:rPr>
      <w:rFonts w:ascii="Times New Roman" w:hAnsi="Times New Roman" w:cs="Times New Roman"/>
      <w:kern w:val="0"/>
      <w:sz w:val="24"/>
      <w:szCs w:val="20"/>
    </w:rPr>
  </w:style>
  <w:style w:type="table" w:customStyle="1" w:styleId="92">
    <w:name w:val="TableGrid8"/>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3">
    <w:name w:val="TableGrid9"/>
    <w:autoRedefine/>
    <w:qFormat/>
    <w:uiPriority w:val="0"/>
    <w:rPr>
      <w:kern w:val="2"/>
      <w:sz w:val="21"/>
      <w:szCs w:val="22"/>
    </w:rPr>
    <w:tblPr>
      <w:tblCellMar>
        <w:top w:w="0" w:type="dxa"/>
        <w:left w:w="0" w:type="dxa"/>
        <w:bottom w:w="0" w:type="dxa"/>
        <w:right w:w="0" w:type="dxa"/>
      </w:tblCellMar>
    </w:tblPr>
  </w:style>
  <w:style w:type="table" w:customStyle="1" w:styleId="94">
    <w:name w:val="TableGrid10"/>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5">
    <w:name w:val="TableGrid1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6">
    <w:name w:val="TableGrid12"/>
    <w:autoRedefine/>
    <w:qFormat/>
    <w:uiPriority w:val="0"/>
    <w:rPr>
      <w:kern w:val="2"/>
      <w:sz w:val="21"/>
      <w:szCs w:val="22"/>
    </w:rPr>
    <w:tblPr>
      <w:tblCellMar>
        <w:top w:w="0" w:type="dxa"/>
        <w:left w:w="0" w:type="dxa"/>
        <w:bottom w:w="0" w:type="dxa"/>
        <w:right w:w="0" w:type="dxa"/>
      </w:tblCellMar>
    </w:tblPr>
  </w:style>
  <w:style w:type="table" w:customStyle="1" w:styleId="97">
    <w:name w:val="TableGrid1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8">
    <w:name w:val="TableGrid1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9">
    <w:name w:val="TableGrid1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00">
    <w:name w:val="网格型1"/>
    <w:basedOn w:val="3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1">
    <w:name w:val="high-light-bg4"/>
    <w:basedOn w:val="38"/>
    <w:autoRedefine/>
    <w:qFormat/>
    <w:uiPriority w:val="0"/>
  </w:style>
  <w:style w:type="paragraph" w:customStyle="1" w:styleId="102">
    <w:name w:val="p16"/>
    <w:basedOn w:val="1"/>
    <w:autoRedefine/>
    <w:qFormat/>
    <w:uiPriority w:val="0"/>
    <w:pPr>
      <w:adjustRightInd/>
      <w:spacing w:after="0"/>
    </w:pPr>
    <w:rPr>
      <w:rFonts w:ascii="宋体" w:hAnsi="宋体" w:eastAsia="宋体" w:cs="宋体"/>
      <w:sz w:val="28"/>
      <w:szCs w:val="28"/>
    </w:rPr>
  </w:style>
  <w:style w:type="paragraph" w:customStyle="1" w:styleId="103">
    <w:name w:val="+正文"/>
    <w:basedOn w:val="1"/>
    <w:autoRedefine/>
    <w:qFormat/>
    <w:uiPriority w:val="99"/>
    <w:pPr>
      <w:spacing w:line="360" w:lineRule="auto"/>
      <w:ind w:firstLine="200" w:firstLineChars="200"/>
    </w:pPr>
  </w:style>
  <w:style w:type="paragraph" w:customStyle="1" w:styleId="104">
    <w:name w:val="正文格式"/>
    <w:basedOn w:val="1"/>
    <w:autoRedefine/>
    <w:qFormat/>
    <w:uiPriority w:val="0"/>
    <w:pPr>
      <w:adjustRightInd w:val="0"/>
      <w:snapToGrid w:val="0"/>
      <w:spacing w:line="400" w:lineRule="atLeast"/>
      <w:ind w:firstLine="482"/>
      <w:textAlignment w:val="baseline"/>
    </w:pPr>
  </w:style>
  <w:style w:type="paragraph" w:customStyle="1" w:styleId="105">
    <w:name w:val="1正文"/>
    <w:basedOn w:val="32"/>
    <w:autoRedefine/>
    <w:qFormat/>
    <w:uiPriority w:val="0"/>
    <w:pPr>
      <w:spacing w:beforeAutospacing="0" w:afterAutospacing="0" w:line="360" w:lineRule="auto"/>
      <w:ind w:firstLine="960" w:firstLineChars="200"/>
      <w:jc w:val="both"/>
    </w:pPr>
    <w:rPr>
      <w:rFonts w:ascii="Times New Roman" w:hAnsi="Times New Roman" w:cs="Times New Roman"/>
      <w:kern w:val="0"/>
      <w:szCs w:val="24"/>
    </w:rPr>
  </w:style>
  <w:style w:type="paragraph" w:customStyle="1" w:styleId="106">
    <w:name w:val="表格文字"/>
    <w:basedOn w:val="1"/>
    <w:autoRedefine/>
    <w:qFormat/>
    <w:uiPriority w:val="0"/>
    <w:pPr>
      <w:spacing w:before="120" w:after="120"/>
    </w:pPr>
    <w:rPr>
      <w:rFonts w:ascii="新宋体" w:hAnsi="宋体" w:eastAsia="新宋体" w:cstheme="minorBidi"/>
      <w:bCs/>
      <w:color w:val="000000"/>
      <w:sz w:val="18"/>
      <w:szCs w:val="18"/>
    </w:rPr>
  </w:style>
  <w:style w:type="paragraph" w:customStyle="1" w:styleId="107">
    <w:name w:val="样式 首行缩进:  2 字符"/>
    <w:basedOn w:val="1"/>
    <w:qFormat/>
    <w:uiPriority w:val="0"/>
    <w:pPr>
      <w:spacing w:line="400" w:lineRule="exact"/>
      <w:ind w:firstLine="200" w:firstLineChars="200"/>
    </w:pPr>
    <w:rPr>
      <w:rFonts w:cs="宋体"/>
      <w:sz w:val="24"/>
    </w:rPr>
  </w:style>
  <w:style w:type="paragraph" w:customStyle="1" w:styleId="108">
    <w:name w:val="Table Paragraph"/>
    <w:basedOn w:val="1"/>
    <w:qFormat/>
    <w:uiPriority w:val="1"/>
    <w:rPr>
      <w:rFonts w:ascii="仿宋" w:hAnsi="仿宋" w:eastAsia="仿宋" w:cs="仿宋"/>
      <w:lang w:val="ja-JP" w:eastAsia="ja-JP" w:bidi="ja-JP"/>
    </w:rPr>
  </w:style>
  <w:style w:type="paragraph" w:customStyle="1" w:styleId="109">
    <w:name w:val="Body text|1"/>
    <w:basedOn w:val="1"/>
    <w:qFormat/>
    <w:uiPriority w:val="0"/>
    <w:pPr>
      <w:spacing w:line="401" w:lineRule="auto"/>
      <w:ind w:firstLine="400"/>
    </w:pPr>
    <w:rPr>
      <w:rFonts w:ascii="宋体" w:hAnsi="宋体" w:cs="宋体"/>
      <w:sz w:val="30"/>
      <w:szCs w:val="30"/>
      <w:lang w:val="zh-TW" w:eastAsia="zh-TW" w:bidi="zh-TW"/>
    </w:rPr>
  </w:style>
  <w:style w:type="table" w:customStyle="1" w:styleId="110">
    <w:name w:val="Table Normal"/>
    <w:unhideWhenUsed/>
    <w:qFormat/>
    <w:uiPriority w:val="2"/>
    <w:tblPr>
      <w:tblCellMar>
        <w:top w:w="0" w:type="dxa"/>
        <w:left w:w="0" w:type="dxa"/>
        <w:bottom w:w="0" w:type="dxa"/>
        <w:right w:w="0" w:type="dxa"/>
      </w:tblCellMar>
    </w:tblPr>
  </w:style>
  <w:style w:type="paragraph" w:customStyle="1" w:styleId="111">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F180A0-0E1E-43DA-AE95-CE829FEE3260}">
  <ds:schemaRefs/>
</ds:datastoreItem>
</file>

<file path=docProps/app.xml><?xml version="1.0" encoding="utf-8"?>
<Properties xmlns="http://schemas.openxmlformats.org/officeDocument/2006/extended-properties" xmlns:vt="http://schemas.openxmlformats.org/officeDocument/2006/docPropsVTypes">
  <Template>Normal</Template>
  <Company>http://www.windows89.com</Company>
  <Pages>53</Pages>
  <Words>4620</Words>
  <Characters>5019</Characters>
  <Lines>198</Lines>
  <Paragraphs>55</Paragraphs>
  <TotalTime>12</TotalTime>
  <ScaleCrop>false</ScaleCrop>
  <LinksUpToDate>false</LinksUpToDate>
  <CharactersWithSpaces>5148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2020-08-06T01:08:00Z</dcterms:created>
  <dc:creator>Administrator</dc:creator>
  <cp:lastModifiedBy>半透明</cp:lastModifiedBy>
  <cp:lastPrinted>2025-07-02T08:50:00Z</cp:lastPrinted>
  <dcterms:modified xsi:type="dcterms:W3CDTF">2025-09-17T07:50:49Z</dcterms:modified>
  <dc:title>政府采购项目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C7730B937F6C4F30ADA89AF74461E98F_13</vt:lpwstr>
  </property>
  <property fmtid="{D5CDD505-2E9C-101B-9397-08002B2CF9AE}" pid="4" name="KSOTemplateDocerSaveRecord">
    <vt:lpwstr>eyJoZGlkIjoiNTYyOWQ1MWQ0MmI0MjU0NDhiYjc3NWIzYzAzMGQ3N2UiLCJ1c2VySWQiOiIxMjE2OTAyNjc1In0=</vt:lpwstr>
  </property>
</Properties>
</file>