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B512DE">
      <w:pPr>
        <w:pStyle w:val="4"/>
        <w:spacing w:line="500" w:lineRule="exact"/>
        <w:ind w:firstLine="2249" w:firstLineChars="700"/>
        <w:jc w:val="both"/>
        <w:outlineLvl w:val="1"/>
        <w:rPr>
          <w:rFonts w:hint="eastAsia" w:ascii="仿宋" w:hAnsi="仿宋" w:eastAsia="仿宋" w:cs="Times New Roman"/>
          <w:b/>
          <w:color w:val="000000"/>
          <w:sz w:val="32"/>
          <w:szCs w:val="32"/>
        </w:rPr>
      </w:pPr>
      <w:r>
        <w:rPr>
          <w:rFonts w:hint="eastAsia" w:ascii="仿宋" w:hAnsi="仿宋" w:eastAsia="仿宋" w:cs="Times New Roman"/>
          <w:b/>
          <w:color w:val="000000"/>
          <w:sz w:val="32"/>
          <w:szCs w:val="32"/>
        </w:rPr>
        <w:t xml:space="preserve">第四章  </w:t>
      </w:r>
      <w:bookmarkStart w:id="0" w:name="_Toc48834466"/>
      <w:bookmarkStart w:id="1" w:name="_Toc20365"/>
      <w:bookmarkStart w:id="2" w:name="_Toc48834107"/>
      <w:bookmarkStart w:id="3" w:name="_Toc48834304"/>
      <w:bookmarkStart w:id="4" w:name="_Toc48834545"/>
      <w:bookmarkStart w:id="5" w:name="_Toc48834177"/>
      <w:bookmarkStart w:id="6" w:name="_Toc14082138"/>
      <w:r>
        <w:rPr>
          <w:rFonts w:ascii="仿宋" w:hAnsi="仿宋" w:eastAsia="仿宋" w:cs="Times New Roman"/>
          <w:b/>
          <w:color w:val="000000"/>
          <w:sz w:val="32"/>
          <w:szCs w:val="32"/>
        </w:rPr>
        <w:t>磋商内容及采购</w:t>
      </w:r>
      <w:r>
        <w:rPr>
          <w:rFonts w:hint="eastAsia" w:ascii="仿宋" w:hAnsi="仿宋" w:eastAsia="仿宋" w:cs="Times New Roman"/>
          <w:b/>
          <w:color w:val="000000"/>
          <w:sz w:val="32"/>
          <w:szCs w:val="32"/>
        </w:rPr>
        <w:t>需</w:t>
      </w:r>
      <w:r>
        <w:rPr>
          <w:rFonts w:ascii="仿宋" w:hAnsi="仿宋" w:eastAsia="仿宋" w:cs="Times New Roman"/>
          <w:b/>
          <w:color w:val="000000"/>
          <w:sz w:val="32"/>
          <w:szCs w:val="32"/>
        </w:rPr>
        <w:t>求</w:t>
      </w:r>
    </w:p>
    <w:p w14:paraId="0253F4A0">
      <w:pPr>
        <w:pStyle w:val="7"/>
        <w:spacing w:line="500" w:lineRule="exact"/>
        <w:ind w:firstLine="567"/>
        <w:rPr>
          <w:rFonts w:hint="eastAsia" w:ascii="仿宋" w:hAnsi="仿宋" w:eastAsia="仿宋" w:cs="Times New Roman"/>
          <w:color w:val="000000"/>
        </w:rPr>
      </w:pPr>
      <w:r>
        <w:rPr>
          <w:rFonts w:hint="eastAsia" w:ascii="仿宋" w:hAnsi="仿宋" w:eastAsia="仿宋" w:cs="Times New Roman"/>
          <w:color w:val="000000"/>
        </w:rPr>
        <w:t>本次采购项目为</w:t>
      </w:r>
      <w:r>
        <w:rPr>
          <w:rFonts w:hint="eastAsia" w:ascii="仿宋" w:hAnsi="仿宋" w:eastAsia="仿宋" w:cs="Times New Roman"/>
          <w:color w:val="000000"/>
          <w:lang w:eastAsia="zh-CN"/>
        </w:rPr>
        <w:t>关于榆林市冬季清洁取暖技术咨询及审计服务项目</w:t>
      </w:r>
      <w:r>
        <w:rPr>
          <w:rFonts w:hint="eastAsia" w:ascii="仿宋" w:hAnsi="仿宋" w:eastAsia="仿宋" w:cs="Times New Roman"/>
          <w:color w:val="000000"/>
        </w:rPr>
        <w:t>，供应商必须对本项目进行整体响应，只对其中一部分内容进行的响应都被视为无效响应。投标报价应遵守《中华人民共和国价格法》，供应商不得以低于成本的报价参与投标。</w:t>
      </w:r>
      <w:bookmarkEnd w:id="0"/>
      <w:bookmarkEnd w:id="1"/>
      <w:bookmarkEnd w:id="2"/>
      <w:bookmarkEnd w:id="3"/>
      <w:bookmarkEnd w:id="4"/>
      <w:bookmarkEnd w:id="5"/>
      <w:bookmarkEnd w:id="6"/>
    </w:p>
    <w:p w14:paraId="50133DA1">
      <w:pPr>
        <w:pStyle w:val="7"/>
        <w:spacing w:line="500" w:lineRule="exact"/>
        <w:ind w:firstLine="567"/>
        <w:rPr>
          <w:rFonts w:hint="eastAsia" w:ascii="仿宋" w:hAnsi="仿宋" w:eastAsia="仿宋" w:cs="Times New Roman"/>
          <w:b/>
          <w:color w:val="000000"/>
          <w:sz w:val="32"/>
          <w:szCs w:val="32"/>
        </w:rPr>
      </w:pPr>
      <w:r>
        <w:rPr>
          <w:rFonts w:hint="eastAsia" w:ascii="仿宋" w:hAnsi="仿宋" w:eastAsia="仿宋" w:cs="Times New Roman"/>
          <w:color w:val="000000"/>
        </w:rPr>
        <w:t>采购需求：</w:t>
      </w:r>
    </w:p>
    <w:p w14:paraId="76E38D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/>
          <w:lang w:val="en-US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eastAsia="zh-CN" w:bidi="ar"/>
        </w:rPr>
        <w:t>一标段：榆林市冬季清洁取暖技术咨询服务</w:t>
      </w:r>
    </w:p>
    <w:p w14:paraId="17CBCC7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eastAsia="zh-CN" w:bidi="ar"/>
        </w:rPr>
        <w:t>（一）</w:t>
      </w: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bidi="ar"/>
        </w:rPr>
        <w:t>服务内容</w:t>
      </w:r>
    </w:p>
    <w:p w14:paraId="1D90F099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日常技术咨询</w:t>
      </w:r>
    </w:p>
    <w:p w14:paraId="3BD46246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年度实施方案、项目计划、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政策制定、制度建设、亮点打造、改造难点问题的技术攻关等方面提出针对性建议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68E39215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2.终期自评报告咨询</w:t>
      </w:r>
    </w:p>
    <w:p w14:paraId="79726262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（1）市级自评：按照四部委绩效考核文件要求，收集相关政策文件，业绩和资金佐证，编制绩效自评报告。产出成果为《榆林市冬季清洁取暖绩效终期自评报告（2021-202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年度）》。</w:t>
      </w:r>
    </w:p>
    <w:p w14:paraId="775CB639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（2）县级考评：按照榆林市绩效考核文件要求，收集相关绩效材料，总结提炼亮点工作经验，配合市清洁取暖办对12个县（区、市）的年度现场考核。主要产出成果包括各县区绩效打分成绩表、工作评价意见。</w:t>
      </w:r>
    </w:p>
    <w:p w14:paraId="1F9FA48B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（3）开展绩效自评、清洁能源应用等方面的技术培训。</w:t>
      </w:r>
    </w:p>
    <w:p w14:paraId="2B38405F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3.终期考核验收技术咨询</w:t>
      </w:r>
    </w:p>
    <w:p w14:paraId="17A9367E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（1）按照现场验收相关要求，协助制定迎检方案，准备中期检查报告和验收资料，配合考核验收各项工作。</w:t>
      </w:r>
    </w:p>
    <w:p w14:paraId="2BB8C229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（2）组织专家完成现场考核。</w:t>
      </w:r>
    </w:p>
    <w:p w14:paraId="257240E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val="en-US" w:eastAsia="zh-CN" w:bidi="ar"/>
        </w:rPr>
        <w:t>（二）服务方式</w:t>
      </w:r>
    </w:p>
    <w:p w14:paraId="0F996C14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现场服务与远程咨询相结合。</w:t>
      </w:r>
    </w:p>
    <w:p w14:paraId="28F65DA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val="en-US" w:eastAsia="zh-CN" w:bidi="ar"/>
        </w:rPr>
        <w:t>（三）服务成果</w:t>
      </w:r>
    </w:p>
    <w:p w14:paraId="3DFBF94C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1.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国家四部委年度检查材料（自评估报告、工作评分表、汇报材料等）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 w:bidi="ar"/>
        </w:rPr>
        <w:t>；</w:t>
      </w:r>
    </w:p>
    <w:p w14:paraId="7953FE30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2.对2025年度实施方案、项目计划、政策制定、制度建设、亮点打造、改造难点问题的技术攻关等方面提出针对性建议；</w:t>
      </w:r>
    </w:p>
    <w:p w14:paraId="67641FF1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3.中省相关部门临时性要求报送的调研、汇报材料等；</w:t>
      </w:r>
    </w:p>
    <w:p w14:paraId="6D7649DB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4.其他技术咨询指导意见。</w:t>
      </w:r>
    </w:p>
    <w:p w14:paraId="5F557E5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二标段：</w:t>
      </w:r>
      <w:r>
        <w:rPr>
          <w:rFonts w:hint="eastAsia" w:ascii="仿宋_GB2312" w:hAnsi="仿宋_GB2312" w:eastAsia="仿宋_GB2312" w:cs="仿宋_GB2312"/>
          <w:b/>
          <w:bCs/>
          <w:sz w:val="32"/>
          <w:lang w:val="en-US" w:eastAsia="zh-CN"/>
        </w:rPr>
        <w:t>榆林市冬季清洁取暖审计服务</w:t>
      </w:r>
    </w:p>
    <w:p w14:paraId="2B5CA37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val="en-US" w:eastAsia="zh-CN" w:bidi="ar"/>
        </w:rPr>
        <w:t>（一）项目</w:t>
      </w: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bidi="ar"/>
        </w:rPr>
        <w:t>内容</w:t>
      </w:r>
    </w:p>
    <w:p w14:paraId="0956FCA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根据《榆林市冬季清洁取暖工作领导小组办公室关于印发&lt;榆林市2024年冬季清洁取暖工作方案&gt;的通知》（榆清洁取暖办</w:t>
      </w:r>
      <w:r>
        <w:rPr>
          <w:rFonts w:hint="eastAsia" w:ascii="仿宋_GB2312" w:eastAsia="仿宋_GB2312"/>
          <w:spacing w:val="6"/>
          <w:sz w:val="32"/>
        </w:rPr>
        <w:t>〔20</w:t>
      </w:r>
      <w:r>
        <w:rPr>
          <w:rFonts w:hint="eastAsia" w:ascii="仿宋_GB2312" w:eastAsia="仿宋_GB2312"/>
          <w:spacing w:val="6"/>
          <w:sz w:val="32"/>
          <w:lang w:val="en-US" w:eastAsia="zh-CN"/>
        </w:rPr>
        <w:t>24</w:t>
      </w:r>
      <w:r>
        <w:rPr>
          <w:rFonts w:hint="eastAsia" w:ascii="仿宋_GB2312" w:eastAsia="仿宋_GB2312"/>
          <w:spacing w:val="6"/>
          <w:sz w:val="32"/>
        </w:rPr>
        <w:t>〕</w:t>
      </w:r>
      <w:r>
        <w:rPr>
          <w:rFonts w:hint="eastAsia" w:ascii="仿宋_GB2312" w:eastAsia="仿宋_GB2312"/>
          <w:spacing w:val="6"/>
          <w:sz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号）、及《榆林市冬季清洁取暖工作领导小组办公室关于修订&lt;榆林市冬季清洁取暖专项资金管理办法&gt;的通知》（榆清洁取暖办</w:t>
      </w:r>
      <w:r>
        <w:rPr>
          <w:rFonts w:hint="eastAsia" w:ascii="仿宋_GB2312" w:eastAsia="仿宋_GB2312"/>
          <w:spacing w:val="6"/>
          <w:sz w:val="32"/>
        </w:rPr>
        <w:t>〔20</w:t>
      </w:r>
      <w:r>
        <w:rPr>
          <w:rFonts w:hint="eastAsia" w:ascii="仿宋_GB2312" w:eastAsia="仿宋_GB2312"/>
          <w:spacing w:val="6"/>
          <w:sz w:val="32"/>
          <w:lang w:val="en-US" w:eastAsia="zh-CN"/>
        </w:rPr>
        <w:t>22</w:t>
      </w:r>
      <w:r>
        <w:rPr>
          <w:rFonts w:hint="eastAsia" w:ascii="仿宋_GB2312" w:eastAsia="仿宋_GB2312"/>
          <w:spacing w:val="6"/>
          <w:sz w:val="32"/>
        </w:rPr>
        <w:t>〕</w:t>
      </w:r>
      <w:r>
        <w:rPr>
          <w:rFonts w:hint="eastAsia" w:ascii="仿宋_GB2312" w:eastAsia="仿宋_GB2312"/>
          <w:spacing w:val="6"/>
          <w:sz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号）等政策要求，对全市12个县市区2024年度清洁取暖煤改气、煤改电、建筑节能改造、气网建设、公共机构改造及新能源示范等项目进行审计，通过资料查看、现场勘查的方式，重点审计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改造项目的建设程序、工程量、补助资金兑付及使用情况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等，确保清洁取暖项目真正惠民生、见实效。</w:t>
      </w:r>
    </w:p>
    <w:p w14:paraId="7AE8E16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val="en-US" w:eastAsia="zh-CN" w:bidi="ar"/>
        </w:rPr>
        <w:t>（二）项目要求</w:t>
      </w:r>
    </w:p>
    <w:p w14:paraId="1F3C763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1.第三方审计机构须委派至少3位相关专业人员对项目进行审计。</w:t>
      </w:r>
    </w:p>
    <w:p w14:paraId="57F6413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2.第三方审计机构须对提交的相关资料进行现场抽查核对，保证相关资料的真实性和准确性。</w:t>
      </w:r>
    </w:p>
    <w:p w14:paraId="2BB6C5D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3.第三方审计机构须熟悉省、市、县（区）相关文件精神。</w:t>
      </w:r>
    </w:p>
    <w:p w14:paraId="5CE72D3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4.第三方审计机构须恪守执业准则和职业道德，提供优质服务。</w:t>
      </w:r>
    </w:p>
    <w:p w14:paraId="05A7C9C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val="en-US" w:eastAsia="zh-CN" w:bidi="ar"/>
        </w:rPr>
        <w:t>（三）项目成果</w:t>
      </w:r>
    </w:p>
    <w:p w14:paraId="64D6182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根据审计情况，出具审计报告1份。</w:t>
      </w:r>
    </w:p>
    <w:p w14:paraId="6952373C">
      <w:pPr>
        <w:pStyle w:val="4"/>
        <w:spacing w:line="500" w:lineRule="exact"/>
        <w:ind w:firstLine="643" w:firstLineChars="200"/>
        <w:jc w:val="center"/>
        <w:outlineLvl w:val="1"/>
        <w:rPr>
          <w:rFonts w:hint="eastAsia" w:ascii="仿宋" w:hAnsi="仿宋" w:eastAsia="仿宋" w:cs="Times New Roman"/>
          <w:b/>
          <w:color w:val="000000"/>
          <w:sz w:val="32"/>
          <w:szCs w:val="32"/>
        </w:rPr>
      </w:pPr>
    </w:p>
    <w:p w14:paraId="394BABD3">
      <w:pPr>
        <w:pStyle w:val="4"/>
        <w:spacing w:line="500" w:lineRule="exact"/>
        <w:ind w:firstLine="643" w:firstLineChars="200"/>
        <w:jc w:val="center"/>
        <w:outlineLvl w:val="1"/>
        <w:rPr>
          <w:rFonts w:hint="eastAsia" w:ascii="仿宋" w:hAnsi="仿宋" w:eastAsia="仿宋" w:cs="Times New Roman"/>
          <w:b/>
          <w:color w:val="000000"/>
          <w:sz w:val="32"/>
          <w:szCs w:val="32"/>
        </w:rPr>
      </w:pPr>
    </w:p>
    <w:p w14:paraId="4EFFD89E">
      <w:pPr>
        <w:pStyle w:val="4"/>
        <w:spacing w:line="500" w:lineRule="exact"/>
        <w:ind w:firstLine="643" w:firstLineChars="200"/>
        <w:jc w:val="center"/>
        <w:outlineLvl w:val="1"/>
        <w:rPr>
          <w:rFonts w:hint="eastAsia" w:ascii="仿宋" w:hAnsi="仿宋" w:eastAsia="仿宋" w:cs="Times New Roman"/>
          <w:b/>
          <w:color w:val="000000"/>
          <w:sz w:val="32"/>
          <w:szCs w:val="32"/>
        </w:rPr>
      </w:pPr>
    </w:p>
    <w:p w14:paraId="2196B547">
      <w:pPr>
        <w:pStyle w:val="4"/>
        <w:spacing w:line="500" w:lineRule="exact"/>
        <w:ind w:firstLine="643" w:firstLineChars="200"/>
        <w:jc w:val="center"/>
        <w:outlineLvl w:val="1"/>
        <w:rPr>
          <w:rFonts w:hint="eastAsia" w:ascii="仿宋" w:hAnsi="仿宋" w:eastAsia="仿宋" w:cs="Times New Roman"/>
          <w:b/>
          <w:color w:val="000000"/>
          <w:sz w:val="32"/>
          <w:szCs w:val="32"/>
        </w:rPr>
      </w:pPr>
    </w:p>
    <w:p w14:paraId="489DA20C">
      <w:pPr>
        <w:pStyle w:val="4"/>
        <w:spacing w:line="500" w:lineRule="exact"/>
        <w:ind w:firstLine="643" w:firstLineChars="200"/>
        <w:jc w:val="center"/>
        <w:outlineLvl w:val="1"/>
        <w:rPr>
          <w:rFonts w:hint="eastAsia" w:ascii="仿宋" w:hAnsi="仿宋" w:eastAsia="仿宋" w:cs="Times New Roman"/>
          <w:b/>
          <w:color w:val="000000"/>
          <w:sz w:val="32"/>
          <w:szCs w:val="32"/>
        </w:rPr>
      </w:pPr>
    </w:p>
    <w:p w14:paraId="2F1A1C7C">
      <w:pPr>
        <w:pStyle w:val="4"/>
        <w:spacing w:line="500" w:lineRule="exact"/>
        <w:ind w:firstLine="643" w:firstLineChars="200"/>
        <w:jc w:val="center"/>
        <w:outlineLvl w:val="1"/>
        <w:rPr>
          <w:rFonts w:hint="eastAsia" w:ascii="仿宋" w:hAnsi="仿宋" w:eastAsia="仿宋" w:cs="Times New Roman"/>
          <w:b/>
          <w:color w:val="000000"/>
          <w:sz w:val="32"/>
          <w:szCs w:val="32"/>
        </w:rPr>
      </w:pPr>
    </w:p>
    <w:p w14:paraId="790CAAB8">
      <w:pPr>
        <w:pStyle w:val="4"/>
        <w:spacing w:line="500" w:lineRule="exact"/>
        <w:ind w:firstLine="643" w:firstLineChars="200"/>
        <w:jc w:val="center"/>
        <w:outlineLvl w:val="1"/>
        <w:rPr>
          <w:rFonts w:hint="eastAsia" w:ascii="仿宋" w:hAnsi="仿宋" w:eastAsia="仿宋" w:cs="Times New Roman"/>
          <w:b/>
          <w:color w:val="000000"/>
          <w:sz w:val="32"/>
          <w:szCs w:val="32"/>
        </w:rPr>
      </w:pPr>
    </w:p>
    <w:p w14:paraId="6B4BA1B6">
      <w:pPr>
        <w:pStyle w:val="4"/>
        <w:spacing w:line="500" w:lineRule="exact"/>
        <w:ind w:firstLine="643" w:firstLineChars="200"/>
        <w:jc w:val="center"/>
        <w:outlineLvl w:val="1"/>
        <w:rPr>
          <w:rFonts w:hint="eastAsia" w:ascii="仿宋" w:hAnsi="仿宋" w:eastAsia="仿宋" w:cs="Times New Roman"/>
          <w:b/>
          <w:color w:val="000000"/>
          <w:sz w:val="32"/>
          <w:szCs w:val="32"/>
        </w:rPr>
      </w:pPr>
    </w:p>
    <w:p w14:paraId="012979AD">
      <w:pPr>
        <w:pStyle w:val="4"/>
        <w:spacing w:line="500" w:lineRule="exact"/>
        <w:ind w:firstLine="643" w:firstLineChars="200"/>
        <w:jc w:val="center"/>
        <w:outlineLvl w:val="1"/>
        <w:rPr>
          <w:rFonts w:hint="eastAsia" w:ascii="仿宋" w:hAnsi="仿宋" w:eastAsia="仿宋" w:cs="Times New Roman"/>
          <w:b/>
          <w:color w:val="000000"/>
          <w:sz w:val="32"/>
          <w:szCs w:val="32"/>
        </w:rPr>
      </w:pPr>
    </w:p>
    <w:p w14:paraId="5BA701E9">
      <w:pPr>
        <w:pStyle w:val="4"/>
        <w:spacing w:line="500" w:lineRule="exact"/>
        <w:ind w:firstLine="643" w:firstLineChars="200"/>
        <w:jc w:val="center"/>
        <w:outlineLvl w:val="1"/>
        <w:rPr>
          <w:rFonts w:hint="eastAsia" w:ascii="仿宋" w:hAnsi="仿宋" w:eastAsia="仿宋" w:cs="Times New Roman"/>
          <w:b/>
          <w:color w:val="000000"/>
          <w:sz w:val="32"/>
          <w:szCs w:val="32"/>
        </w:rPr>
      </w:pPr>
    </w:p>
    <w:p w14:paraId="55A5D115">
      <w:pPr>
        <w:pStyle w:val="4"/>
        <w:spacing w:line="500" w:lineRule="exact"/>
        <w:ind w:firstLine="643" w:firstLineChars="200"/>
        <w:jc w:val="center"/>
        <w:outlineLvl w:val="1"/>
        <w:rPr>
          <w:rFonts w:hint="eastAsia" w:ascii="仿宋" w:hAnsi="仿宋" w:eastAsia="仿宋" w:cs="Times New Roman"/>
          <w:b/>
          <w:color w:val="000000"/>
          <w:sz w:val="32"/>
          <w:szCs w:val="32"/>
        </w:rPr>
      </w:pPr>
    </w:p>
    <w:p w14:paraId="1118454F">
      <w:pPr>
        <w:pStyle w:val="4"/>
        <w:spacing w:line="500" w:lineRule="exact"/>
        <w:ind w:firstLine="643" w:firstLineChars="200"/>
        <w:jc w:val="center"/>
        <w:outlineLvl w:val="1"/>
        <w:rPr>
          <w:rFonts w:hint="eastAsia" w:ascii="仿宋" w:hAnsi="仿宋" w:eastAsia="仿宋" w:cs="Times New Roman"/>
          <w:b/>
          <w:color w:val="000000"/>
          <w:sz w:val="32"/>
          <w:szCs w:val="32"/>
        </w:rPr>
      </w:pPr>
    </w:p>
    <w:p w14:paraId="6904EF9C">
      <w:pPr>
        <w:pStyle w:val="4"/>
        <w:spacing w:line="500" w:lineRule="exact"/>
        <w:ind w:firstLine="643" w:firstLineChars="200"/>
        <w:jc w:val="center"/>
        <w:outlineLvl w:val="1"/>
        <w:rPr>
          <w:rFonts w:hint="eastAsia" w:ascii="仿宋" w:hAnsi="仿宋" w:eastAsia="仿宋" w:cs="Times New Roman"/>
          <w:b/>
          <w:color w:val="000000"/>
          <w:sz w:val="32"/>
          <w:szCs w:val="32"/>
        </w:rPr>
      </w:pPr>
    </w:p>
    <w:p w14:paraId="1C31BDD6">
      <w:pPr>
        <w:pStyle w:val="4"/>
        <w:spacing w:line="500" w:lineRule="exact"/>
        <w:ind w:firstLine="643" w:firstLineChars="200"/>
        <w:jc w:val="center"/>
        <w:outlineLvl w:val="1"/>
        <w:rPr>
          <w:rFonts w:hint="eastAsia" w:ascii="仿宋" w:hAnsi="仿宋" w:eastAsia="仿宋" w:cs="Times New Roman"/>
          <w:b/>
          <w:color w:val="000000"/>
          <w:sz w:val="32"/>
          <w:szCs w:val="32"/>
        </w:rPr>
      </w:pPr>
    </w:p>
    <w:p w14:paraId="37E0C8C4">
      <w:pPr>
        <w:pStyle w:val="4"/>
        <w:spacing w:line="500" w:lineRule="exact"/>
        <w:ind w:firstLine="643" w:firstLineChars="200"/>
        <w:jc w:val="center"/>
        <w:outlineLvl w:val="1"/>
        <w:rPr>
          <w:rFonts w:hint="eastAsia" w:ascii="仿宋" w:hAnsi="仿宋" w:eastAsia="仿宋" w:cs="Times New Roman"/>
          <w:b/>
          <w:color w:val="000000"/>
          <w:sz w:val="32"/>
          <w:szCs w:val="32"/>
        </w:rPr>
      </w:pPr>
    </w:p>
    <w:p w14:paraId="23EA168A">
      <w:bookmarkStart w:id="7" w:name="_GoBack"/>
      <w:bookmarkEnd w:id="7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000001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01483B"/>
    <w:rsid w:val="27014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00" w:lineRule="exact"/>
      <w:jc w:val="both"/>
    </w:pPr>
    <w:rPr>
      <w:rFonts w:ascii="Calibri Light" w:hAnsi="Calibri Light" w:eastAsia="华文仿宋" w:cs="Calibri Light"/>
      <w:kern w:val="2"/>
      <w:sz w:val="28"/>
      <w:szCs w:val="28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nhideWhenUsed/>
    <w:qFormat/>
    <w:uiPriority w:val="99"/>
    <w:pPr>
      <w:ind w:firstLine="420"/>
    </w:pPr>
  </w:style>
  <w:style w:type="paragraph" w:styleId="3">
    <w:name w:val="Body Text"/>
    <w:basedOn w:val="1"/>
    <w:next w:val="1"/>
    <w:qFormat/>
    <w:uiPriority w:val="99"/>
    <w:pPr>
      <w:spacing w:afterLines="50" w:line="360" w:lineRule="auto"/>
    </w:pPr>
    <w:rPr>
      <w:rFonts w:ascii="宋体" w:hAnsi="宋体"/>
      <w:color w:val="000000"/>
      <w:sz w:val="24"/>
    </w:rPr>
  </w:style>
  <w:style w:type="paragraph" w:styleId="4">
    <w:name w:val="Body Text First Indent"/>
    <w:basedOn w:val="3"/>
    <w:unhideWhenUsed/>
    <w:qFormat/>
    <w:uiPriority w:val="0"/>
    <w:pPr>
      <w:spacing w:afterLines="0" w:line="240" w:lineRule="auto"/>
      <w:ind w:firstLine="420" w:firstLineChars="100"/>
    </w:pPr>
    <w:rPr>
      <w:rFonts w:ascii="Times New Roman" w:hAnsi="Times New Roman"/>
      <w:color w:val="auto"/>
      <w:sz w:val="18"/>
      <w:szCs w:val="18"/>
    </w:rPr>
  </w:style>
  <w:style w:type="paragraph" w:customStyle="1" w:styleId="7">
    <w:name w:val="正文（缩进 2 字符）"/>
    <w:basedOn w:val="1"/>
    <w:qFormat/>
    <w:uiPriority w:val="0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2025-10-09T02:14:00Z</dcterms:created>
  <dc:creator>apple</dc:creator>
  <cp:lastModifiedBy>apple</cp:lastModifiedBy>
  <dcterms:modified xsi:type="dcterms:W3CDTF">2025-10-09T02:14:25Z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42A74434621D4C99AC67D21ABBE019CD_11</vt:lpwstr>
  </property>
  <property fmtid="{D5CDD505-2E9C-101B-9397-08002B2CF9AE}" pid="4" name="KSOTemplateDocerSaveRecord">
    <vt:lpwstr>eyJoZGlkIjoiYTAxNzc3M2ZmOWExNzgyNzA1YmE1MWE5YTgyZDNjYTUiLCJ1c2VySWQiOiI3NDIyNDgzNjMifQ==</vt:lpwstr>
  </property>
</Properties>
</file>