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4C712B">
      <w:pPr>
        <w:jc w:val="center"/>
        <w:outlineLvl w:val="0"/>
        <w:rPr>
          <w:rFonts w:hint="eastAsia" w:ascii="仿宋" w:hAnsi="仿宋" w:eastAsia="仿宋" w:cs="仿宋"/>
          <w:b/>
          <w:bCs w:val="0"/>
          <w:color w:val="auto"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 w:val="0"/>
          <w:color w:val="auto"/>
          <w:sz w:val="44"/>
          <w:szCs w:val="44"/>
          <w:highlight w:val="none"/>
          <w:lang w:eastAsia="zh-CN"/>
        </w:rPr>
        <w:t>采购内容及技术要求</w:t>
      </w:r>
    </w:p>
    <w:p w14:paraId="7461ACB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项目概况</w:t>
      </w:r>
    </w:p>
    <w:p w14:paraId="1AD7A0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顺陵是武则天母亲杨氏的陵墓，位于陕西省西咸新区空港新城底张街道陈马村西南，紧邻西安咸阳国际机场，距咸阳市约17公里，距西安市约40公里。顺陵是中国现存风貌最完整的古陵园之一，1956年被列为陕西省第一批省文物保护单位，1961年被列入第一批全国重点文物保护单位。唐顺陵所在位于渭河与泾河之间的黄土原区，黄土发育良好，土地肥沃，陵园内大部分为农田。周围地形平坦开阔，北部较南部略高。</w:t>
      </w:r>
    </w:p>
    <w:p w14:paraId="4DBD7F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顺陵由封土、内城、外城、南神道四部分组成。陵园的核心是埋葬杨氏的地宫及覆斗形封土，封土南面排列东西相对的石刻群；封土的周圈筑有城垣（或称之为“内城”），城垣南北原设有门，南门现存门阙一对；正对封土的南端现存大型阙台遗迹；城垣之外的四面各有一组石刻，其中南面的神道两侧有石柱、天禄、走狮各一对，东西面各有蹲狮一对，北面原有蹲狮一对、石马三对。从南端的大型阙台至北端的石马，南北长约1300米；东西两面的蹲狮之间约860米。</w:t>
      </w:r>
    </w:p>
    <w:p w14:paraId="199BC8B7">
      <w:pPr>
        <w:pStyle w:val="2"/>
        <w:ind w:firstLine="0" w:firstLineChars="0"/>
        <w:jc w:val="center"/>
      </w:pPr>
      <w:r>
        <w:drawing>
          <wp:inline distT="0" distB="0" distL="114300" distR="114300">
            <wp:extent cx="3293110" cy="4336415"/>
            <wp:effectExtent l="147320" t="109855" r="160020" b="1257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7474" t="11588" r="4749" b="3059"/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3293110" cy="43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FF8B9">
      <w:pPr>
        <w:pStyle w:val="4"/>
        <w:ind w:left="0" w:leftChars="0" w:firstLine="0" w:firstLineChars="0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 xml:space="preserve">图 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 w:val="24"/>
          <w:szCs w:val="24"/>
        </w:rPr>
        <w:instrText xml:space="preserve"> STYLEREF 1 \s </w:instrText>
      </w:r>
      <w:r>
        <w:rPr>
          <w:rFonts w:hint="eastAsia" w:ascii="仿宋" w:hAnsi="仿宋" w:eastAsia="仿宋" w:cs="仿宋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1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-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 w:val="24"/>
          <w:szCs w:val="24"/>
        </w:rPr>
        <w:instrText xml:space="preserve"> SEQ 图 \* ARABIC \s 1 </w:instrText>
      </w:r>
      <w:r>
        <w:rPr>
          <w:rFonts w:hint="eastAsia" w:ascii="仿宋" w:hAnsi="仿宋" w:eastAsia="仿宋" w:cs="仿宋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1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  顺陵历史格局示意图</w:t>
      </w:r>
    </w:p>
    <w:p w14:paraId="33DA3D2D">
      <w:pPr>
        <w:pStyle w:val="2"/>
        <w:ind w:left="0" w:leftChars="0" w:firstLine="0" w:firstLineChars="0"/>
      </w:pPr>
      <w:r>
        <w:br w:type="page"/>
      </w:r>
    </w:p>
    <w:p w14:paraId="3CC692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本次监测对象为南神道两侧天禄、走狮各一对。天禄长3.5米，高4.55米，底座宽1.9米，体态强壮，头顶一弯曲的独角，头似鹿，身似马，胸部两侧雕有卷云状的支翅，形体方整，气派雄强，是综合几种动物形象于一身并赋予神异色彩的石刻，由汉代天禄、辟邪等演变而来。走狮长3.45米，高3.55米，底座宽1.4米，张嘴挺胸，脚粗爪利，有顶天立地的气魄，将写实与装饰相融合。石刻均由整块青石雕刻而成，形象逼真，姿态生动，石座的四周有线雕花纹。天禄和走狮整体保存完整，造型雄伟，体积巨大，均为一整块石头雕刻，雕工细腻，厚朴雄健，为稀有艺术品，充分显示了盛唐石刻艺术的造诣，具有很高的文物和艺术欣赏价值，被誉为唐陵石刻之冠。</w:t>
      </w:r>
    </w:p>
    <w:p w14:paraId="2C565521">
      <w:pPr>
        <w:ind w:left="0" w:leftChars="0" w:firstLine="0" w:firstLineChars="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5725795" cy="3328670"/>
            <wp:effectExtent l="0" t="0" r="8255" b="5080"/>
            <wp:docPr id="2" name="图片 2" descr="微信图片_20250325105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325105213"/>
                    <pic:cNvPicPr>
                      <a:picLocks noChangeAspect="1"/>
                    </pic:cNvPicPr>
                  </pic:nvPicPr>
                  <pic:blipFill>
                    <a:blip r:embed="rId5"/>
                    <a:srcRect t="35512" b="20903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A97F3">
      <w:pPr>
        <w:pStyle w:val="4"/>
        <w:ind w:left="0" w:leftChars="0" w:firstLine="0" w:firstLineChars="0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图 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instrText xml:space="preserve"> STYLEREF 1 \s </w:instrTex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fldChar w:fldCharType="end"/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-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instrText xml:space="preserve"> SEQ 图 \* ARABIC \s 1 </w:instrTex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fldChar w:fldCharType="end"/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 天禄现状图（摄于2025.02）</w:t>
      </w:r>
    </w:p>
    <w:p w14:paraId="7F126BBD">
      <w:pPr>
        <w:ind w:left="0" w:leftChars="0" w:firstLine="0" w:firstLineChars="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2772410" cy="3698240"/>
            <wp:effectExtent l="0" t="0" r="8890" b="16510"/>
            <wp:docPr id="3" name="图片 3" descr="微信图片_20250325105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3251052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2771775" cy="3698240"/>
            <wp:effectExtent l="0" t="0" r="9525" b="16510"/>
            <wp:docPr id="1" name="图片 4" descr="微信图片_20250325105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微信图片_202503251052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8464A">
      <w:pPr>
        <w:pStyle w:val="4"/>
        <w:ind w:left="0" w:leftChars="0" w:firstLine="0" w:firstLineChars="0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图 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instrText xml:space="preserve"> STYLEREF 1 \s </w:instrTex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fldChar w:fldCharType="end"/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-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instrText xml:space="preserve"> SEQ 图 \* ARABIC \s 1 </w:instrTex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fldChar w:fldCharType="end"/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 走狮现状图（摄于2025.02）</w:t>
      </w:r>
    </w:p>
    <w:p w14:paraId="739705C9">
      <w:pPr>
        <w:pStyle w:val="2"/>
        <w:ind w:firstLine="0" w:firstLineChars="0"/>
        <w:rPr>
          <w:rFonts w:hint="default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二、监测内容</w:t>
      </w:r>
    </w:p>
    <w:p w14:paraId="5ABD04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2" w:firstLineChars="200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1、东天禄、西走狮保护棚施工期间</w:t>
      </w:r>
    </w:p>
    <w:p w14:paraId="0BEF76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（1）沉降监测：对东天禄、西走狮开展沉降监测工作，监测文物本体沉降变形发展情况。</w:t>
      </w:r>
    </w:p>
    <w:p w14:paraId="03FC02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（2）振动监测：对东天禄、西走狮进行振动监测，监测分析施工振动对文物本体的影响。</w:t>
      </w:r>
    </w:p>
    <w:p w14:paraId="22A4FE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2" w:firstLineChars="200"/>
        <w:textAlignment w:val="auto"/>
        <w:rPr>
          <w:rFonts w:hint="default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2、保护棚施工完成后监测（两年）</w:t>
      </w:r>
    </w:p>
    <w:p w14:paraId="43E570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（1）气象环境监测：对天禄和走狮周围环境的降雨量、温湿度、空气污染物、风速风向等参数进行监测。</w:t>
      </w:r>
    </w:p>
    <w:p w14:paraId="6B988B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default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（2）石刻文物表面温湿度：拟对东天禄、西天禄、东走狮、西走狮开展表面温湿度监测，掌握有棚与无棚情况下石刻文物表面温湿度变化主要规律，为后续工作提供基础数据支撑。</w:t>
      </w:r>
    </w:p>
    <w:p w14:paraId="3CE532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（3）沉降监测：对石刻文物开展沉降监测工作，掌握不均匀沉降变形发展情况。</w:t>
      </w:r>
    </w:p>
    <w:p w14:paraId="3477A1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（4）本体病害监测</w:t>
      </w:r>
    </w:p>
    <w:p w14:paraId="784922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①定期人工监测：分别对东天禄、西天禄、东走狮、西走狮进行本体病害调查，主要包括表面溶蚀、表面起翘剥落、地衣苔藓和裂缝等。</w:t>
      </w:r>
    </w:p>
    <w:p w14:paraId="7EC493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②远程视频定点监控系统自动化监测：对石刻文物安装远程视频定点监控系统，监测文物本体的整体变形及病害变化情况。</w:t>
      </w:r>
    </w:p>
    <w:p w14:paraId="7BF831F6">
      <w:pPr>
        <w:pStyle w:val="2"/>
        <w:ind w:firstLine="0" w:firstLineChars="0"/>
        <w:rPr>
          <w:rFonts w:hint="default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三、监测工作量</w:t>
      </w:r>
    </w:p>
    <w:p w14:paraId="64F6456E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highlight w:val="none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  <w:shd w:val="clear" w:color="auto" w:fill="FFFFFF"/>
          <w:lang w:val="en-US" w:eastAsia="zh-CN"/>
        </w:rPr>
        <w:t>东天禄、西走狮保护棚施工周期内，保护棚建完后东、西天禄及东、西走狮工后监测周期为两年，</w:t>
      </w:r>
      <w:r>
        <w:rPr>
          <w:rFonts w:hint="eastAsia" w:ascii="仿宋" w:hAnsi="仿宋" w:eastAsia="仿宋" w:cs="仿宋"/>
          <w:color w:val="auto"/>
          <w:sz w:val="24"/>
          <w:highlight w:val="none"/>
          <w:shd w:val="clear" w:color="auto" w:fill="FFFFFF"/>
        </w:rPr>
        <w:t>具体监测工作量详见</w:t>
      </w:r>
      <w:r>
        <w:rPr>
          <w:rFonts w:hint="eastAsia" w:ascii="仿宋" w:hAnsi="仿宋" w:eastAsia="仿宋" w:cs="仿宋"/>
          <w:color w:val="auto"/>
          <w:sz w:val="24"/>
          <w:highlight w:val="none"/>
          <w:shd w:val="clear" w:color="auto" w:fill="FFFFFF"/>
        </w:rPr>
        <w:fldChar w:fldCharType="begin"/>
      </w:r>
      <w:r>
        <w:rPr>
          <w:rFonts w:hint="eastAsia" w:ascii="仿宋" w:hAnsi="仿宋" w:eastAsia="仿宋" w:cs="仿宋"/>
          <w:color w:val="auto"/>
          <w:sz w:val="24"/>
          <w:highlight w:val="none"/>
          <w:shd w:val="clear" w:color="auto" w:fill="FFFFFF"/>
        </w:rPr>
        <w:instrText xml:space="preserve"> REF _Ref25565 \h </w:instrText>
      </w:r>
      <w:r>
        <w:rPr>
          <w:rFonts w:hint="eastAsia" w:ascii="仿宋" w:hAnsi="仿宋" w:eastAsia="仿宋" w:cs="仿宋"/>
          <w:color w:val="auto"/>
          <w:sz w:val="24"/>
          <w:highlight w:val="none"/>
          <w:shd w:val="clear" w:color="auto" w:fill="FFFFFF"/>
        </w:rPr>
        <w:fldChar w:fldCharType="separate"/>
      </w:r>
      <w:r>
        <w:rPr>
          <w:rFonts w:hint="eastAsia" w:ascii="仿宋" w:hAnsi="仿宋" w:eastAsia="仿宋" w:cs="仿宋"/>
          <w:color w:val="auto"/>
          <w:sz w:val="24"/>
          <w:highlight w:val="none"/>
          <w:shd w:val="clear" w:color="auto" w:fill="FFFFFF"/>
          <w:lang w:val="en-US" w:eastAsia="zh-CN"/>
        </w:rPr>
        <w:t xml:space="preserve">表 </w:t>
      </w:r>
      <w:r>
        <w:rPr>
          <w:rFonts w:hint="eastAsia" w:ascii="仿宋" w:hAnsi="仿宋" w:eastAsia="仿宋" w:cs="仿宋"/>
          <w:color w:val="auto"/>
          <w:sz w:val="24"/>
          <w:highlight w:val="none"/>
          <w:shd w:val="clear" w:color="auto" w:fill="FFFFFF"/>
          <w:lang w:val="en-US" w:eastAsia="zh-CN"/>
        </w:rPr>
        <w:fldChar w:fldCharType="begin"/>
      </w:r>
      <w:r>
        <w:rPr>
          <w:rFonts w:hint="eastAsia" w:ascii="仿宋" w:hAnsi="仿宋" w:eastAsia="仿宋" w:cs="仿宋"/>
          <w:color w:val="auto"/>
          <w:sz w:val="24"/>
          <w:highlight w:val="none"/>
          <w:shd w:val="clear" w:color="auto" w:fill="FFFFFF"/>
          <w:lang w:val="en-US" w:eastAsia="zh-CN"/>
        </w:rPr>
        <w:instrText xml:space="preserve"> STYLEREF 1 \s </w:instrText>
      </w:r>
      <w:r>
        <w:rPr>
          <w:rFonts w:hint="eastAsia" w:ascii="仿宋" w:hAnsi="仿宋" w:eastAsia="仿宋" w:cs="仿宋"/>
          <w:color w:val="auto"/>
          <w:sz w:val="24"/>
          <w:highlight w:val="none"/>
          <w:shd w:val="clear" w:color="auto" w:fill="FFFFFF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color w:val="auto"/>
          <w:sz w:val="24"/>
          <w:highlight w:val="none"/>
          <w:shd w:val="clear" w:color="auto" w:fill="FFFFFF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24"/>
          <w:highlight w:val="none"/>
          <w:shd w:val="clear" w:color="auto" w:fill="FFFFFF"/>
          <w:lang w:val="en-US" w:eastAsia="zh-CN"/>
        </w:rPr>
        <w:fldChar w:fldCharType="end"/>
      </w:r>
      <w:r>
        <w:rPr>
          <w:rFonts w:hint="eastAsia" w:ascii="仿宋" w:hAnsi="仿宋" w:eastAsia="仿宋" w:cs="仿宋"/>
          <w:color w:val="auto"/>
          <w:sz w:val="24"/>
          <w:highlight w:val="none"/>
          <w:shd w:val="clear" w:color="auto" w:fill="FFFFFF"/>
          <w:lang w:val="en-US" w:eastAsia="zh-CN"/>
        </w:rPr>
        <w:t>-1</w:t>
      </w:r>
      <w:r>
        <w:rPr>
          <w:rFonts w:hint="eastAsia" w:ascii="仿宋" w:hAnsi="仿宋" w:eastAsia="仿宋" w:cs="仿宋"/>
          <w:color w:val="auto"/>
          <w:sz w:val="24"/>
          <w:highlight w:val="none"/>
          <w:shd w:val="clear" w:color="auto" w:fill="FFFFFF"/>
        </w:rPr>
        <w:fldChar w:fldCharType="end"/>
      </w:r>
      <w:r>
        <w:rPr>
          <w:rFonts w:hint="eastAsia" w:ascii="仿宋" w:hAnsi="仿宋" w:eastAsia="仿宋" w:cs="仿宋"/>
          <w:color w:val="auto"/>
          <w:sz w:val="24"/>
          <w:highlight w:val="none"/>
          <w:shd w:val="clear" w:color="auto" w:fill="FFFFFF"/>
        </w:rPr>
        <w:t>。</w:t>
      </w:r>
    </w:p>
    <w:p w14:paraId="61F95374">
      <w:pPr>
        <w:pStyle w:val="4"/>
        <w:bidi w:val="0"/>
        <w:rPr>
          <w:rFonts w:hint="eastAsia"/>
          <w:color w:val="auto"/>
          <w:lang w:val="en-US" w:eastAsia="zh-CN"/>
        </w:rPr>
      </w:pPr>
      <w:bookmarkStart w:id="0" w:name="_Ref25565"/>
      <w:r>
        <w:rPr>
          <w:rFonts w:hint="eastAsia"/>
          <w:color w:val="auto"/>
          <w:lang w:val="en-US" w:eastAsia="zh-CN"/>
        </w:rPr>
        <w:t xml:space="preserve">表 </w:t>
      </w: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color w:val="auto"/>
          <w:lang w:val="en-US" w:eastAsia="zh-CN"/>
        </w:rPr>
        <w:instrText xml:space="preserve"> STYLEREF 1 \s </w:instrText>
      </w:r>
      <w:r>
        <w:rPr>
          <w:rFonts w:hint="eastAsia"/>
          <w:color w:val="auto"/>
          <w:lang w:val="en-US" w:eastAsia="zh-CN"/>
        </w:rPr>
        <w:fldChar w:fldCharType="separate"/>
      </w:r>
      <w:r>
        <w:rPr>
          <w:rFonts w:hint="eastAsia"/>
          <w:color w:val="auto"/>
          <w:lang w:val="en-US" w:eastAsia="zh-CN"/>
        </w:rPr>
        <w:t>4</w:t>
      </w:r>
      <w:r>
        <w:rPr>
          <w:rFonts w:hint="eastAsia"/>
          <w:color w:val="auto"/>
          <w:lang w:val="en-US" w:eastAsia="zh-CN"/>
        </w:rPr>
        <w:fldChar w:fldCharType="end"/>
      </w:r>
      <w:r>
        <w:rPr>
          <w:rFonts w:hint="eastAsia"/>
          <w:color w:val="auto"/>
          <w:lang w:val="en-US" w:eastAsia="zh-CN"/>
        </w:rPr>
        <w:t>-</w:t>
      </w: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color w:val="auto"/>
          <w:lang w:val="en-US" w:eastAsia="zh-CN"/>
        </w:rPr>
        <w:instrText xml:space="preserve"> SEQ 表 \* ARABIC \s 1 </w:instrText>
      </w:r>
      <w:r>
        <w:rPr>
          <w:rFonts w:hint="eastAsia"/>
          <w:color w:val="auto"/>
          <w:lang w:val="en-US" w:eastAsia="zh-CN"/>
        </w:rPr>
        <w:fldChar w:fldCharType="separate"/>
      </w:r>
      <w:r>
        <w:rPr>
          <w:rFonts w:hint="eastAsia"/>
          <w:color w:val="auto"/>
          <w:lang w:val="en-US" w:eastAsia="zh-CN"/>
        </w:rPr>
        <w:t>1</w:t>
      </w:r>
      <w:r>
        <w:rPr>
          <w:rFonts w:hint="eastAsia"/>
          <w:color w:val="auto"/>
          <w:lang w:val="en-US" w:eastAsia="zh-CN"/>
        </w:rPr>
        <w:fldChar w:fldCharType="end"/>
      </w:r>
      <w:bookmarkEnd w:id="0"/>
      <w:r>
        <w:rPr>
          <w:rFonts w:hint="eastAsia"/>
          <w:color w:val="auto"/>
          <w:lang w:val="en-US" w:eastAsia="zh-CN"/>
        </w:rPr>
        <w:t xml:space="preserve">  监测工作量一览表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1139"/>
        <w:gridCol w:w="849"/>
        <w:gridCol w:w="1064"/>
        <w:gridCol w:w="1064"/>
        <w:gridCol w:w="1103"/>
        <w:gridCol w:w="2931"/>
      </w:tblGrid>
      <w:tr w14:paraId="66FC48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  <w:tblHeader/>
          <w:jc w:val="center"/>
        </w:trPr>
        <w:tc>
          <w:tcPr>
            <w:tcW w:w="1131" w:type="dxa"/>
            <w:noWrap w:val="0"/>
            <w:vAlign w:val="center"/>
          </w:tcPr>
          <w:p w14:paraId="5056E6EE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阶段</w:t>
            </w:r>
          </w:p>
        </w:tc>
        <w:tc>
          <w:tcPr>
            <w:tcW w:w="1139" w:type="dxa"/>
            <w:noWrap w:val="0"/>
            <w:vAlign w:val="center"/>
          </w:tcPr>
          <w:p w14:paraId="4F443D40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对象</w:t>
            </w:r>
          </w:p>
        </w:tc>
        <w:tc>
          <w:tcPr>
            <w:tcW w:w="1913" w:type="dxa"/>
            <w:gridSpan w:val="2"/>
            <w:noWrap w:val="0"/>
            <w:vAlign w:val="center"/>
          </w:tcPr>
          <w:p w14:paraId="539AA9E3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工作内容</w:t>
            </w:r>
          </w:p>
        </w:tc>
        <w:tc>
          <w:tcPr>
            <w:tcW w:w="1064" w:type="dxa"/>
            <w:noWrap w:val="0"/>
            <w:vAlign w:val="center"/>
          </w:tcPr>
          <w:p w14:paraId="399B4B79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单位</w:t>
            </w:r>
          </w:p>
        </w:tc>
        <w:tc>
          <w:tcPr>
            <w:tcW w:w="1103" w:type="dxa"/>
            <w:noWrap w:val="0"/>
            <w:vAlign w:val="center"/>
          </w:tcPr>
          <w:p w14:paraId="6D56329F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工作量</w:t>
            </w:r>
          </w:p>
        </w:tc>
        <w:tc>
          <w:tcPr>
            <w:tcW w:w="2931" w:type="dxa"/>
            <w:noWrap w:val="0"/>
            <w:vAlign w:val="center"/>
          </w:tcPr>
          <w:p w14:paraId="4C66FFC6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备注</w:t>
            </w:r>
          </w:p>
        </w:tc>
      </w:tr>
      <w:tr w14:paraId="26020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9" w:hRule="atLeast"/>
          <w:jc w:val="center"/>
        </w:trPr>
        <w:tc>
          <w:tcPr>
            <w:tcW w:w="1131" w:type="dxa"/>
            <w:vMerge w:val="restart"/>
            <w:noWrap w:val="0"/>
            <w:vAlign w:val="center"/>
          </w:tcPr>
          <w:p w14:paraId="6719AB28">
            <w:pPr>
              <w:pStyle w:val="8"/>
              <w:ind w:firstLine="0" w:firstLineChars="0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保护棚施工期</w:t>
            </w:r>
          </w:p>
        </w:tc>
        <w:tc>
          <w:tcPr>
            <w:tcW w:w="1139" w:type="dxa"/>
            <w:vMerge w:val="restart"/>
            <w:noWrap w:val="0"/>
            <w:vAlign w:val="center"/>
          </w:tcPr>
          <w:p w14:paraId="583A5139">
            <w:pPr>
              <w:pStyle w:val="8"/>
              <w:ind w:firstLine="0" w:firstLineChars="0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东天禄、西走狮</w:t>
            </w:r>
          </w:p>
        </w:tc>
        <w:tc>
          <w:tcPr>
            <w:tcW w:w="849" w:type="dxa"/>
            <w:vMerge w:val="restart"/>
            <w:noWrap w:val="0"/>
            <w:vAlign w:val="center"/>
          </w:tcPr>
          <w:p w14:paraId="3AB93FD6">
            <w:pPr>
              <w:pStyle w:val="8"/>
              <w:ind w:firstLine="0" w:firstLineChars="0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沉降监测</w:t>
            </w:r>
          </w:p>
        </w:tc>
        <w:tc>
          <w:tcPr>
            <w:tcW w:w="1064" w:type="dxa"/>
            <w:noWrap w:val="0"/>
            <w:vAlign w:val="center"/>
          </w:tcPr>
          <w:p w14:paraId="6729E580">
            <w:pPr>
              <w:pStyle w:val="8"/>
              <w:ind w:firstLine="0" w:firstLineChars="0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沉降监测基准网测量</w:t>
            </w:r>
          </w:p>
        </w:tc>
        <w:tc>
          <w:tcPr>
            <w:tcW w:w="1064" w:type="dxa"/>
            <w:noWrap w:val="0"/>
            <w:vAlign w:val="center"/>
          </w:tcPr>
          <w:p w14:paraId="1142D0FE">
            <w:pPr>
              <w:pStyle w:val="8"/>
              <w:ind w:firstLine="0" w:firstLineChars="0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Km·次</w:t>
            </w:r>
          </w:p>
        </w:tc>
        <w:tc>
          <w:tcPr>
            <w:tcW w:w="1103" w:type="dxa"/>
            <w:noWrap w:val="0"/>
            <w:vAlign w:val="center"/>
          </w:tcPr>
          <w:p w14:paraId="456A4505">
            <w:pPr>
              <w:pStyle w:val="8"/>
              <w:ind w:firstLine="0" w:firstLineChars="0"/>
              <w:jc w:val="center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931" w:type="dxa"/>
            <w:vMerge w:val="restart"/>
            <w:noWrap w:val="0"/>
            <w:vAlign w:val="center"/>
          </w:tcPr>
          <w:p w14:paraId="359EAAAF">
            <w:pPr>
              <w:pStyle w:val="8"/>
              <w:ind w:firstLine="0" w:firstLineChars="0"/>
              <w:jc w:val="left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安装监测基准点4处，监测观测点8处。监测频次为2次（施工前及施工中期各一次）。监测基准网测量1次。</w:t>
            </w:r>
          </w:p>
        </w:tc>
      </w:tr>
      <w:tr w14:paraId="18BB00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619" w:hRule="atLeast"/>
          <w:jc w:val="center"/>
        </w:trPr>
        <w:tc>
          <w:tcPr>
            <w:tcW w:w="1131" w:type="dxa"/>
            <w:vMerge w:val="continue"/>
            <w:noWrap w:val="0"/>
            <w:vAlign w:val="center"/>
          </w:tcPr>
          <w:p w14:paraId="33A7EEF4">
            <w:pPr>
              <w:pStyle w:val="8"/>
              <w:ind w:firstLine="0" w:firstLineChars="0"/>
              <w:rPr>
                <w:rFonts w:hint="default" w:ascii="Times New Roman" w:hAnsi="Times New Roman" w:eastAsia="仿宋" w:cs="Times New Roman"/>
                <w:sz w:val="21"/>
                <w:szCs w:val="21"/>
              </w:rPr>
            </w:pPr>
          </w:p>
        </w:tc>
        <w:tc>
          <w:tcPr>
            <w:tcW w:w="1139" w:type="dxa"/>
            <w:vMerge w:val="continue"/>
            <w:noWrap w:val="0"/>
            <w:vAlign w:val="center"/>
          </w:tcPr>
          <w:p w14:paraId="5E092B57">
            <w:pPr>
              <w:pStyle w:val="8"/>
              <w:ind w:firstLine="0" w:firstLineChars="0"/>
              <w:rPr>
                <w:rFonts w:hint="default" w:ascii="Times New Roman" w:hAnsi="Times New Roman" w:eastAsia="仿宋" w:cs="Times New Roman"/>
                <w:sz w:val="21"/>
                <w:szCs w:val="21"/>
              </w:rPr>
            </w:pPr>
          </w:p>
        </w:tc>
        <w:tc>
          <w:tcPr>
            <w:tcW w:w="849" w:type="dxa"/>
            <w:vMerge w:val="continue"/>
            <w:noWrap w:val="0"/>
            <w:vAlign w:val="center"/>
          </w:tcPr>
          <w:p w14:paraId="6C76EEB3">
            <w:pPr>
              <w:pStyle w:val="8"/>
              <w:ind w:firstLine="0" w:firstLineChars="0"/>
              <w:rPr>
                <w:rFonts w:hint="default" w:ascii="Times New Roman" w:hAnsi="Times New Roman" w:eastAsia="仿宋" w:cs="Times New Roman"/>
                <w:sz w:val="21"/>
                <w:szCs w:val="21"/>
              </w:rPr>
            </w:pPr>
          </w:p>
        </w:tc>
        <w:tc>
          <w:tcPr>
            <w:tcW w:w="1064" w:type="dxa"/>
            <w:noWrap w:val="0"/>
            <w:vAlign w:val="center"/>
          </w:tcPr>
          <w:p w14:paraId="33564CE5">
            <w:pPr>
              <w:pStyle w:val="8"/>
              <w:ind w:firstLine="0" w:firstLineChars="0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沉降监测观测点</w:t>
            </w:r>
          </w:p>
        </w:tc>
        <w:tc>
          <w:tcPr>
            <w:tcW w:w="1064" w:type="dxa"/>
            <w:noWrap w:val="0"/>
            <w:vAlign w:val="center"/>
          </w:tcPr>
          <w:p w14:paraId="3903F3AE">
            <w:pPr>
              <w:pStyle w:val="8"/>
              <w:ind w:firstLine="0" w:firstLineChars="0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点·次</w:t>
            </w:r>
          </w:p>
        </w:tc>
        <w:tc>
          <w:tcPr>
            <w:tcW w:w="1103" w:type="dxa"/>
            <w:noWrap w:val="0"/>
            <w:vAlign w:val="center"/>
          </w:tcPr>
          <w:p w14:paraId="0052272F">
            <w:pPr>
              <w:pStyle w:val="8"/>
              <w:ind w:firstLine="0" w:firstLineChars="0"/>
              <w:jc w:val="center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16</w:t>
            </w:r>
          </w:p>
        </w:tc>
        <w:tc>
          <w:tcPr>
            <w:tcW w:w="2931" w:type="dxa"/>
            <w:vMerge w:val="continue"/>
            <w:noWrap w:val="0"/>
            <w:vAlign w:val="center"/>
          </w:tcPr>
          <w:p w14:paraId="09C0F78E">
            <w:pPr>
              <w:pStyle w:val="8"/>
              <w:ind w:firstLine="0" w:firstLineChars="0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</w:p>
        </w:tc>
      </w:tr>
      <w:tr w14:paraId="252424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131" w:type="dxa"/>
            <w:vMerge w:val="continue"/>
            <w:noWrap w:val="0"/>
            <w:vAlign w:val="center"/>
          </w:tcPr>
          <w:p w14:paraId="13151703">
            <w:pPr>
              <w:pStyle w:val="8"/>
              <w:ind w:firstLine="0" w:firstLineChars="0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1139" w:type="dxa"/>
            <w:vMerge w:val="continue"/>
            <w:noWrap w:val="0"/>
            <w:vAlign w:val="center"/>
          </w:tcPr>
          <w:p w14:paraId="31F629F8">
            <w:pPr>
              <w:pStyle w:val="8"/>
              <w:ind w:firstLine="0" w:firstLineChars="0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1913" w:type="dxa"/>
            <w:gridSpan w:val="2"/>
            <w:noWrap w:val="0"/>
            <w:vAlign w:val="center"/>
          </w:tcPr>
          <w:p w14:paraId="7F461D92">
            <w:pPr>
              <w:pStyle w:val="8"/>
              <w:ind w:firstLine="0" w:firstLineChars="0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振动监测</w:t>
            </w:r>
          </w:p>
        </w:tc>
        <w:tc>
          <w:tcPr>
            <w:tcW w:w="1064" w:type="dxa"/>
            <w:noWrap w:val="0"/>
            <w:vAlign w:val="center"/>
          </w:tcPr>
          <w:p w14:paraId="5EFB2923">
            <w:pPr>
              <w:pStyle w:val="8"/>
              <w:ind w:firstLine="0" w:firstLineChars="0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点·次</w:t>
            </w:r>
          </w:p>
        </w:tc>
        <w:tc>
          <w:tcPr>
            <w:tcW w:w="1103" w:type="dxa"/>
            <w:noWrap w:val="0"/>
            <w:vAlign w:val="center"/>
          </w:tcPr>
          <w:p w14:paraId="546312E6">
            <w:pPr>
              <w:pStyle w:val="8"/>
              <w:ind w:firstLine="0" w:firstLineChars="0"/>
              <w:jc w:val="center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931" w:type="dxa"/>
            <w:noWrap w:val="0"/>
            <w:vAlign w:val="center"/>
          </w:tcPr>
          <w:p w14:paraId="342B3B92">
            <w:pPr>
              <w:pStyle w:val="8"/>
              <w:ind w:firstLine="0" w:firstLineChars="0"/>
              <w:jc w:val="left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东天禄、西走狮各布置一处振动监测点，监测频次为2次（自然工况及施工工况各一次）。</w:t>
            </w:r>
          </w:p>
        </w:tc>
      </w:tr>
      <w:tr w14:paraId="3EB38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131" w:type="dxa"/>
            <w:vMerge w:val="restart"/>
            <w:noWrap w:val="0"/>
            <w:vAlign w:val="center"/>
          </w:tcPr>
          <w:p w14:paraId="70A64F13">
            <w:pPr>
              <w:pStyle w:val="8"/>
              <w:ind w:firstLine="0" w:firstLineChars="0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工后监测期（两年）</w:t>
            </w:r>
          </w:p>
        </w:tc>
        <w:tc>
          <w:tcPr>
            <w:tcW w:w="1139" w:type="dxa"/>
            <w:noWrap w:val="0"/>
            <w:vAlign w:val="center"/>
          </w:tcPr>
          <w:p w14:paraId="0C73C402">
            <w:pPr>
              <w:pStyle w:val="8"/>
              <w:ind w:firstLine="0" w:firstLineChars="0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环境</w:t>
            </w:r>
          </w:p>
        </w:tc>
        <w:tc>
          <w:tcPr>
            <w:tcW w:w="1913" w:type="dxa"/>
            <w:gridSpan w:val="2"/>
            <w:noWrap w:val="0"/>
            <w:vAlign w:val="center"/>
          </w:tcPr>
          <w:p w14:paraId="4983FE08">
            <w:pPr>
              <w:pStyle w:val="8"/>
              <w:ind w:firstLine="0" w:firstLineChars="0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气象环境监测</w:t>
            </w:r>
          </w:p>
        </w:tc>
        <w:tc>
          <w:tcPr>
            <w:tcW w:w="1064" w:type="dxa"/>
            <w:noWrap w:val="0"/>
            <w:vAlign w:val="center"/>
          </w:tcPr>
          <w:p w14:paraId="51F63D0F">
            <w:pPr>
              <w:pStyle w:val="8"/>
              <w:ind w:firstLine="0" w:firstLineChars="0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次</w:t>
            </w:r>
          </w:p>
        </w:tc>
        <w:tc>
          <w:tcPr>
            <w:tcW w:w="1103" w:type="dxa"/>
            <w:noWrap w:val="0"/>
            <w:vAlign w:val="center"/>
          </w:tcPr>
          <w:p w14:paraId="29CB037D">
            <w:pPr>
              <w:pStyle w:val="8"/>
              <w:ind w:firstLine="0" w:firstLineChars="0"/>
              <w:jc w:val="center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2920</w:t>
            </w:r>
          </w:p>
        </w:tc>
        <w:tc>
          <w:tcPr>
            <w:tcW w:w="2931" w:type="dxa"/>
            <w:noWrap w:val="0"/>
            <w:vAlign w:val="center"/>
          </w:tcPr>
          <w:p w14:paraId="2F969C63">
            <w:pPr>
              <w:pStyle w:val="8"/>
              <w:ind w:firstLine="0" w:firstLineChars="0"/>
              <w:jc w:val="left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安装小型气象站1处，监测降雨量、温湿度、空气污染物、风速风向等参数。监测频次为1天4次。</w:t>
            </w:r>
          </w:p>
        </w:tc>
      </w:tr>
      <w:tr w14:paraId="613787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131" w:type="dxa"/>
            <w:vMerge w:val="continue"/>
            <w:noWrap w:val="0"/>
            <w:vAlign w:val="center"/>
          </w:tcPr>
          <w:p w14:paraId="1E0FC85D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1139" w:type="dxa"/>
            <w:vMerge w:val="restart"/>
            <w:noWrap w:val="0"/>
            <w:vAlign w:val="center"/>
          </w:tcPr>
          <w:p w14:paraId="032842DF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文物本体</w:t>
            </w:r>
          </w:p>
        </w:tc>
        <w:tc>
          <w:tcPr>
            <w:tcW w:w="1913" w:type="dxa"/>
            <w:gridSpan w:val="2"/>
            <w:noWrap w:val="0"/>
            <w:vAlign w:val="center"/>
          </w:tcPr>
          <w:p w14:paraId="2515D3FD">
            <w:pPr>
              <w:pStyle w:val="8"/>
              <w:ind w:firstLine="0" w:firstLineChars="0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石刻文物表面温度监测</w:t>
            </w:r>
          </w:p>
        </w:tc>
        <w:tc>
          <w:tcPr>
            <w:tcW w:w="1064" w:type="dxa"/>
            <w:noWrap w:val="0"/>
            <w:vAlign w:val="center"/>
          </w:tcPr>
          <w:p w14:paraId="42E4D55A">
            <w:pPr>
              <w:pStyle w:val="8"/>
              <w:ind w:firstLine="0" w:firstLineChars="0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点·次</w:t>
            </w:r>
          </w:p>
        </w:tc>
        <w:tc>
          <w:tcPr>
            <w:tcW w:w="1103" w:type="dxa"/>
            <w:noWrap w:val="0"/>
            <w:vAlign w:val="center"/>
          </w:tcPr>
          <w:p w14:paraId="13123003">
            <w:pPr>
              <w:pStyle w:val="8"/>
              <w:ind w:firstLine="0" w:firstLineChars="0"/>
              <w:jc w:val="center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46720</w:t>
            </w:r>
          </w:p>
        </w:tc>
        <w:tc>
          <w:tcPr>
            <w:tcW w:w="2931" w:type="dxa"/>
            <w:noWrap w:val="0"/>
            <w:vAlign w:val="center"/>
          </w:tcPr>
          <w:p w14:paraId="48C6D897">
            <w:pPr>
              <w:pStyle w:val="8"/>
              <w:ind w:firstLine="0" w:firstLineChars="0"/>
              <w:jc w:val="left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安装表面温湿度传感器16处，监测石刻文物表面温湿度。监测频次为1天4次。</w:t>
            </w:r>
          </w:p>
        </w:tc>
      </w:tr>
      <w:tr w14:paraId="7899EE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3" w:hRule="atLeast"/>
          <w:jc w:val="center"/>
        </w:trPr>
        <w:tc>
          <w:tcPr>
            <w:tcW w:w="1131" w:type="dxa"/>
            <w:vMerge w:val="continue"/>
            <w:noWrap w:val="0"/>
            <w:vAlign w:val="center"/>
          </w:tcPr>
          <w:p w14:paraId="4D607CC0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1139" w:type="dxa"/>
            <w:vMerge w:val="continue"/>
            <w:noWrap w:val="0"/>
            <w:vAlign w:val="center"/>
          </w:tcPr>
          <w:p w14:paraId="6E076558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849" w:type="dxa"/>
            <w:vMerge w:val="restart"/>
            <w:noWrap w:val="0"/>
            <w:vAlign w:val="center"/>
          </w:tcPr>
          <w:p w14:paraId="021D2AD5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沉降监测</w:t>
            </w:r>
          </w:p>
        </w:tc>
        <w:tc>
          <w:tcPr>
            <w:tcW w:w="1064" w:type="dxa"/>
            <w:noWrap w:val="0"/>
            <w:vAlign w:val="center"/>
          </w:tcPr>
          <w:p w14:paraId="48795663">
            <w:pPr>
              <w:pStyle w:val="8"/>
              <w:ind w:firstLine="0" w:firstLineChars="0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沉降监测基准网测量</w:t>
            </w:r>
          </w:p>
        </w:tc>
        <w:tc>
          <w:tcPr>
            <w:tcW w:w="1064" w:type="dxa"/>
            <w:noWrap w:val="0"/>
            <w:vAlign w:val="center"/>
          </w:tcPr>
          <w:p w14:paraId="527BF1B0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Km·次</w:t>
            </w:r>
          </w:p>
        </w:tc>
        <w:tc>
          <w:tcPr>
            <w:tcW w:w="1103" w:type="dxa"/>
            <w:noWrap w:val="0"/>
            <w:vAlign w:val="center"/>
          </w:tcPr>
          <w:p w14:paraId="0DB760AB">
            <w:pPr>
              <w:pStyle w:val="8"/>
              <w:jc w:val="center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2931" w:type="dxa"/>
            <w:vMerge w:val="restart"/>
            <w:noWrap w:val="0"/>
            <w:vAlign w:val="center"/>
          </w:tcPr>
          <w:p w14:paraId="6E6E1028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安装监测基准点4处，监测点16处。监测频次为1年4次，共计8次。基准网测量每季度1次，共计测量8次。</w:t>
            </w:r>
          </w:p>
        </w:tc>
      </w:tr>
      <w:tr w14:paraId="6A38A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3" w:hRule="atLeast"/>
          <w:jc w:val="center"/>
        </w:trPr>
        <w:tc>
          <w:tcPr>
            <w:tcW w:w="1131" w:type="dxa"/>
            <w:vMerge w:val="continue"/>
            <w:noWrap w:val="0"/>
            <w:vAlign w:val="center"/>
          </w:tcPr>
          <w:p w14:paraId="70DFF143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</w:rPr>
            </w:pPr>
          </w:p>
        </w:tc>
        <w:tc>
          <w:tcPr>
            <w:tcW w:w="1139" w:type="dxa"/>
            <w:vMerge w:val="continue"/>
            <w:noWrap w:val="0"/>
            <w:vAlign w:val="center"/>
          </w:tcPr>
          <w:p w14:paraId="069E9B9B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</w:rPr>
            </w:pPr>
          </w:p>
        </w:tc>
        <w:tc>
          <w:tcPr>
            <w:tcW w:w="849" w:type="dxa"/>
            <w:vMerge w:val="continue"/>
            <w:noWrap w:val="0"/>
            <w:vAlign w:val="center"/>
          </w:tcPr>
          <w:p w14:paraId="5737FA23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</w:rPr>
            </w:pPr>
          </w:p>
        </w:tc>
        <w:tc>
          <w:tcPr>
            <w:tcW w:w="1064" w:type="dxa"/>
            <w:noWrap w:val="0"/>
            <w:vAlign w:val="center"/>
          </w:tcPr>
          <w:p w14:paraId="096D9C27">
            <w:pPr>
              <w:pStyle w:val="8"/>
              <w:ind w:firstLine="0" w:firstLineChars="0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沉降监测观测点</w:t>
            </w:r>
          </w:p>
        </w:tc>
        <w:tc>
          <w:tcPr>
            <w:tcW w:w="1064" w:type="dxa"/>
            <w:noWrap w:val="0"/>
            <w:vAlign w:val="center"/>
          </w:tcPr>
          <w:p w14:paraId="65BAA1F7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点·次</w:t>
            </w:r>
          </w:p>
        </w:tc>
        <w:tc>
          <w:tcPr>
            <w:tcW w:w="1103" w:type="dxa"/>
            <w:noWrap w:val="0"/>
            <w:vAlign w:val="center"/>
          </w:tcPr>
          <w:p w14:paraId="48446C36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128</w:t>
            </w:r>
          </w:p>
        </w:tc>
        <w:tc>
          <w:tcPr>
            <w:tcW w:w="2931" w:type="dxa"/>
            <w:vMerge w:val="continue"/>
            <w:noWrap w:val="0"/>
            <w:vAlign w:val="center"/>
          </w:tcPr>
          <w:p w14:paraId="00E38692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</w:p>
        </w:tc>
      </w:tr>
      <w:tr w14:paraId="4D2D80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131" w:type="dxa"/>
            <w:vMerge w:val="continue"/>
            <w:noWrap w:val="0"/>
            <w:vAlign w:val="center"/>
          </w:tcPr>
          <w:p w14:paraId="1D755F9F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1139" w:type="dxa"/>
            <w:vMerge w:val="continue"/>
            <w:noWrap w:val="0"/>
            <w:vAlign w:val="center"/>
          </w:tcPr>
          <w:p w14:paraId="3FBC35EA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849" w:type="dxa"/>
            <w:vMerge w:val="restart"/>
            <w:noWrap w:val="0"/>
            <w:vAlign w:val="center"/>
          </w:tcPr>
          <w:p w14:paraId="12BB23B1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文物本体病害监测</w:t>
            </w:r>
          </w:p>
        </w:tc>
        <w:tc>
          <w:tcPr>
            <w:tcW w:w="1064" w:type="dxa"/>
            <w:noWrap w:val="0"/>
            <w:vAlign w:val="center"/>
          </w:tcPr>
          <w:p w14:paraId="75F05B06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病害定期人工调查</w:t>
            </w:r>
          </w:p>
        </w:tc>
        <w:tc>
          <w:tcPr>
            <w:tcW w:w="1064" w:type="dxa"/>
            <w:noWrap w:val="0"/>
            <w:vAlign w:val="center"/>
          </w:tcPr>
          <w:p w14:paraId="60FE2A12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次</w:t>
            </w:r>
          </w:p>
        </w:tc>
        <w:tc>
          <w:tcPr>
            <w:tcW w:w="1103" w:type="dxa"/>
            <w:noWrap w:val="0"/>
            <w:vAlign w:val="center"/>
          </w:tcPr>
          <w:p w14:paraId="01B7791D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2931" w:type="dxa"/>
            <w:noWrap w:val="0"/>
            <w:vAlign w:val="center"/>
          </w:tcPr>
          <w:p w14:paraId="7E31994F">
            <w:pPr>
              <w:pStyle w:val="8"/>
              <w:jc w:val="left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主要包括调查裂缝的宽度、长度，调查表面溶蚀、表面起翘剥落、地衣苔藓的范围面积，检测病害位置的纵波波速等。石刻文物表面积共约42㎡。调查频次为1年4次。</w:t>
            </w:r>
          </w:p>
        </w:tc>
      </w:tr>
      <w:tr w14:paraId="0C91C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131" w:type="dxa"/>
            <w:vMerge w:val="continue"/>
            <w:noWrap w:val="0"/>
            <w:vAlign w:val="center"/>
          </w:tcPr>
          <w:p w14:paraId="4F776442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1139" w:type="dxa"/>
            <w:vMerge w:val="continue"/>
            <w:noWrap w:val="0"/>
            <w:vAlign w:val="center"/>
          </w:tcPr>
          <w:p w14:paraId="5AC999F1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849" w:type="dxa"/>
            <w:vMerge w:val="continue"/>
            <w:noWrap w:val="0"/>
            <w:vAlign w:val="center"/>
          </w:tcPr>
          <w:p w14:paraId="5E6E3E96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1064" w:type="dxa"/>
            <w:noWrap w:val="0"/>
            <w:vAlign w:val="center"/>
          </w:tcPr>
          <w:p w14:paraId="6341E2B9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远程视频定点监控系统自动化监测</w:t>
            </w:r>
          </w:p>
        </w:tc>
        <w:tc>
          <w:tcPr>
            <w:tcW w:w="1064" w:type="dxa"/>
            <w:noWrap w:val="0"/>
            <w:vAlign w:val="center"/>
          </w:tcPr>
          <w:p w14:paraId="7CAE8504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点·次</w:t>
            </w:r>
          </w:p>
        </w:tc>
        <w:tc>
          <w:tcPr>
            <w:tcW w:w="1103" w:type="dxa"/>
            <w:noWrap w:val="0"/>
            <w:vAlign w:val="center"/>
          </w:tcPr>
          <w:p w14:paraId="36071105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600</w:t>
            </w:r>
          </w:p>
        </w:tc>
        <w:tc>
          <w:tcPr>
            <w:tcW w:w="2931" w:type="dxa"/>
            <w:noWrap w:val="0"/>
            <w:vAlign w:val="center"/>
          </w:tcPr>
          <w:p w14:paraId="7A64AAF1">
            <w:pPr>
              <w:pStyle w:val="8"/>
              <w:jc w:val="left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安装定向监测摄像机4处，监测石刻文物典型区域病害。监测频次为1周1次，雨季进行加密监测，约150次。</w:t>
            </w:r>
          </w:p>
        </w:tc>
      </w:tr>
      <w:tr w14:paraId="4B43F1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131" w:type="dxa"/>
            <w:vMerge w:val="continue"/>
            <w:noWrap w:val="0"/>
            <w:vAlign w:val="center"/>
          </w:tcPr>
          <w:p w14:paraId="4CCFB313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1139" w:type="dxa"/>
            <w:noWrap w:val="0"/>
            <w:vAlign w:val="center"/>
          </w:tcPr>
          <w:p w14:paraId="66819E86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可视化展示服务</w:t>
            </w:r>
          </w:p>
        </w:tc>
        <w:tc>
          <w:tcPr>
            <w:tcW w:w="1913" w:type="dxa"/>
            <w:gridSpan w:val="2"/>
            <w:noWrap w:val="0"/>
            <w:vAlign w:val="center"/>
          </w:tcPr>
          <w:p w14:paraId="4AB3960C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可视化软件开发</w:t>
            </w:r>
          </w:p>
        </w:tc>
        <w:tc>
          <w:tcPr>
            <w:tcW w:w="1064" w:type="dxa"/>
            <w:noWrap w:val="0"/>
            <w:vAlign w:val="center"/>
          </w:tcPr>
          <w:p w14:paraId="5FB7836C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项</w:t>
            </w:r>
          </w:p>
        </w:tc>
        <w:tc>
          <w:tcPr>
            <w:tcW w:w="1103" w:type="dxa"/>
            <w:noWrap w:val="0"/>
            <w:vAlign w:val="center"/>
          </w:tcPr>
          <w:p w14:paraId="6441A6D1">
            <w:pPr>
              <w:pStyle w:val="8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931" w:type="dxa"/>
            <w:noWrap w:val="0"/>
            <w:vAlign w:val="center"/>
          </w:tcPr>
          <w:p w14:paraId="16BBD249">
            <w:pPr>
              <w:pStyle w:val="8"/>
              <w:jc w:val="left"/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1"/>
                <w:szCs w:val="21"/>
                <w:lang w:val="en-US" w:eastAsia="zh-CN"/>
              </w:rPr>
              <w:t>在可视化云平台展示自动化监测数据，可在平台中实时查看监测数据和预警情况</w:t>
            </w:r>
          </w:p>
        </w:tc>
      </w:tr>
    </w:tbl>
    <w:p w14:paraId="0785EF25">
      <w:pPr>
        <w:pStyle w:val="2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</w:p>
    <w:p w14:paraId="004557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四、成果文件要求</w:t>
      </w:r>
    </w:p>
    <w:p w14:paraId="1781FC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（1）预警信息快报提交</w:t>
      </w:r>
    </w:p>
    <w:p w14:paraId="539095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当发现监测结果达到警戒值时，24小时内上报管理单位。</w:t>
      </w:r>
    </w:p>
    <w:p w14:paraId="15185B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（2）阶段性成果提交</w:t>
      </w:r>
    </w:p>
    <w:p w14:paraId="2B9C7F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每季度监测结束后及时整理数据，发现异常的应及时复测。并以固定格式形成季度报告，提交监测点汇总表、数据分析曲线及必要的文字说明及监测结论等。（3）最终成果报告提交</w:t>
      </w:r>
    </w:p>
    <w:p w14:paraId="2F2FD7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所有监测工作结束后，出具包含所有监测成果的最终报告，报告包含现场监测资料、分析资料、监测曲线、图表、文字报告及结论等；并将全部监测资料（包含成果影像）整理归档。</w:t>
      </w:r>
    </w:p>
    <w:p w14:paraId="0E51F8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0" w:firstLineChars="0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五、服务期限</w:t>
      </w:r>
    </w:p>
    <w:p w14:paraId="29C81BB1">
      <w:pPr>
        <w:pStyle w:val="5"/>
        <w:spacing w:beforeLines="0" w:afterLines="0"/>
        <w:ind w:firstLine="630"/>
        <w:jc w:val="both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第一阶段：合同签订之日起至保护棚施工完工；</w:t>
      </w:r>
    </w:p>
    <w:p w14:paraId="01BEF28D">
      <w:pPr>
        <w:pStyle w:val="5"/>
        <w:spacing w:beforeLines="0" w:afterLines="0"/>
        <w:ind w:firstLine="630"/>
        <w:jc w:val="both"/>
        <w:rPr>
          <w:rFonts w:hint="default"/>
          <w:lang w:val="en-US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FFFFFF"/>
          <w:lang w:val="en-US" w:eastAsia="zh-CN"/>
        </w:rPr>
        <w:t>第二阶段：保护棚施工完成后2年监测服务期。</w:t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5F2DDAF"/>
    <w:multiLevelType w:val="singleLevel"/>
    <w:tmpl w:val="65F2DDA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DF2F2B"/>
    <w:rsid w:val="200B0D98"/>
    <w:rsid w:val="44DF2F2B"/>
    <w:rsid w:val="49DB3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0"/>
    <w:pPr>
      <w:spacing w:line="240" w:lineRule="auto"/>
      <w:ind w:firstLine="420" w:firstLineChars="100"/>
    </w:pPr>
    <w:rPr>
      <w:rFonts w:ascii="Times New Roman" w:hAnsi="Times New Roman"/>
      <w:sz w:val="18"/>
      <w:szCs w:val="18"/>
    </w:rPr>
  </w:style>
  <w:style w:type="paragraph" w:styleId="3">
    <w:name w:val="Body Text"/>
    <w:basedOn w:val="1"/>
    <w:next w:val="1"/>
    <w:qFormat/>
    <w:uiPriority w:val="0"/>
    <w:pPr>
      <w:spacing w:after="120" w:afterLines="0"/>
    </w:pPr>
    <w:rPr>
      <w:rFonts w:ascii="Times New Roman"/>
      <w:kern w:val="2"/>
      <w:sz w:val="21"/>
    </w:rPr>
  </w:style>
  <w:style w:type="paragraph" w:styleId="4">
    <w:name w:val="caption"/>
    <w:basedOn w:val="1"/>
    <w:next w:val="1"/>
    <w:qFormat/>
    <w:uiPriority w:val="0"/>
    <w:pPr>
      <w:ind w:firstLine="0" w:firstLineChars="0"/>
      <w:jc w:val="center"/>
    </w:pPr>
    <w:rPr>
      <w:rFonts w:ascii="Times New Roman" w:hAnsi="Times New Roman" w:eastAsia="黑体"/>
    </w:rPr>
  </w:style>
  <w:style w:type="paragraph" w:styleId="5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/>
      <w:kern w:val="0"/>
      <w:sz w:val="24"/>
      <w:szCs w:val="24"/>
    </w:rPr>
  </w:style>
  <w:style w:type="paragraph" w:customStyle="1" w:styleId="8">
    <w:name w:val="表中文字"/>
    <w:basedOn w:val="1"/>
    <w:next w:val="1"/>
    <w:qFormat/>
    <w:uiPriority w:val="0"/>
    <w:pPr>
      <w:spacing w:line="240" w:lineRule="auto"/>
      <w:ind w:firstLine="0" w:firstLineChars="0"/>
      <w:jc w:val="center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2025-10-09T02:22:00Z</dcterms:created>
  <dc:creator>echo</dc:creator>
  <cp:lastModifiedBy>echo</cp:lastModifiedBy>
  <dcterms:modified xsi:type="dcterms:W3CDTF">2025-10-09T02:23:20Z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14A6BE55DF574F52903D0DCA55A48D36_11</vt:lpwstr>
  </property>
  <property fmtid="{D5CDD505-2E9C-101B-9397-08002B2CF9AE}" pid="4" name="KSOTemplateDocerSaveRecord">
    <vt:lpwstr>eyJoZGlkIjoiMTU1MjA4MDE1M2UyNDQ5OTZmNTY2MzZkYzY2NjJiOTQiLCJ1c2VySWQiOiIyNDg2NTg2NDAifQ==</vt:lpwstr>
  </property>
</Properties>
</file>