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17C1">
      <w:pPr>
        <w:pStyle w:val="5"/>
        <w:ind w:firstLine="420" w:firstLineChars="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本次榆林市消防救援支队数字集群移动站和IP中转基站建设项目从业务需求出发，来完善支队的无线通信网覆盖能力，日常战时通信通信能力，主要建设内容包括数字集群移动站5套，IP中转基站1套，从而解决日常点名、指挥调度等通信问题，提升支队的通信能力，兼容原有的防爆对讲机，与原有的IP互联系统实现无缝接入，组建覆盖榆林市消防救援支队的应急通信大网。</w:t>
      </w:r>
    </w:p>
    <w:tbl>
      <w:tblPr>
        <w:tblStyle w:val="3"/>
        <w:tblW w:w="48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96"/>
        <w:gridCol w:w="5101"/>
        <w:gridCol w:w="981"/>
      </w:tblGrid>
      <w:tr w14:paraId="7B62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9" w:type="pct"/>
            <w:noWrap w:val="0"/>
            <w:vAlign w:val="center"/>
          </w:tcPr>
          <w:p w14:paraId="29C206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06" w:type="pct"/>
            <w:noWrap w:val="0"/>
            <w:vAlign w:val="center"/>
          </w:tcPr>
          <w:p w14:paraId="3D50FF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3089" w:type="pct"/>
            <w:noWrap w:val="0"/>
            <w:vAlign w:val="center"/>
          </w:tcPr>
          <w:p w14:paraId="0AC2ED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技术参数</w:t>
            </w:r>
          </w:p>
        </w:tc>
        <w:tc>
          <w:tcPr>
            <w:tcW w:w="594" w:type="pct"/>
            <w:noWrap w:val="0"/>
            <w:vAlign w:val="center"/>
          </w:tcPr>
          <w:p w14:paraId="13D589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数量</w:t>
            </w:r>
          </w:p>
        </w:tc>
      </w:tr>
      <w:tr w14:paraId="2A4F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9" w:type="pct"/>
            <w:noWrap w:val="0"/>
            <w:vAlign w:val="center"/>
          </w:tcPr>
          <w:p w14:paraId="3BCA60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06" w:type="pct"/>
            <w:noWrap w:val="0"/>
            <w:vAlign w:val="center"/>
          </w:tcPr>
          <w:p w14:paraId="14018D15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数字集群移动基站（2载频）</w:t>
            </w:r>
          </w:p>
        </w:tc>
        <w:tc>
          <w:tcPr>
            <w:tcW w:w="3089" w:type="pct"/>
            <w:noWrap w:val="0"/>
            <w:vAlign w:val="center"/>
          </w:tcPr>
          <w:p w14:paraId="4431A05F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1.保证370兆PDT数字集群网络架构不变的前提下，新建基站能够在消防现有网管系统下进行查看、管理、配置；</w:t>
            </w:r>
          </w:p>
          <w:p w14:paraId="04B420F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2.PDT基站为基站控制单元和射频单元集成一体的高度一体化集成基站，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2载频基站，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重量:≤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Kg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带电池，连续工作时长不小于4小时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，体积:≤25L，防护等级≥IP6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，防风等级≥240Km/h，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支持背负、机载等形式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；</w:t>
            </w:r>
          </w:p>
          <w:p w14:paraId="3846E7A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3.整机功耗不大于350W，工作温度：-40℃到55℃，储存温度：-40℃到85℃。</w:t>
            </w:r>
          </w:p>
          <w:p w14:paraId="5F7E3A6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.支持系统下发信令，终端自动到指定基站登记；</w:t>
            </w:r>
          </w:p>
          <w:p w14:paraId="02EE2A62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.支持主备控制信道热备功能，当主控制信道关闭后，可自动切换到备用控制信道；</w:t>
            </w:r>
          </w:p>
          <w:p w14:paraId="302451C6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.基站具备配置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集群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覆盖区功能，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覆盖区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内注册的终端支持单呼、组呼，注册的终端和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集群基站下的终端可进行单呼组呼；</w:t>
            </w:r>
          </w:p>
          <w:p w14:paraId="7CAE75A6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当核心网与基站链路断开时，基站可自动弱化为单站，链路恢复后自动恢复集群工作模式。</w:t>
            </w:r>
          </w:p>
          <w:p w14:paraId="01BEFA37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8.主机自身自带屏幕，非外接屏幕，屏幕可显示设备信息包括不限于温度、屏幕亮度、熄屏配置、重启设备等，信道、频率、功率等信息、显示网口、光口、公网获取的网络IP等信息以及告警信息，可配置功率、频率、熄屏时间，满足现场配置需要。</w:t>
            </w:r>
          </w:p>
          <w:p w14:paraId="2D0DB4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9.须支持无缝接入陕西省应急管理厅和陕西省消防救援总队核心网，功能不得缺失，验证包括但不限于：系统语音功能：登记去登记、漫游、参与组附着、扫描组附着、用户区域限制、单呼、组呼、支持呼叫优先级、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后进入、组呼并入、主叫显示、支持短消息、状态消息、支持按组改频、支持多模终端从PDT系统向公网对讲发起跨系统业务呼叫等，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提供承诺函加盖投标人公章，中标方在合同签订后20个日历日内进行设备功能测试，测试不通过则合同作废并进行违约处罚。</w:t>
            </w:r>
          </w:p>
          <w:p w14:paraId="03B6D2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10.配置IP接口，支持连接卫星、4G/5G公网或其他传输链路，支持多种链路自动切换，以应对应急现场网络环境不稳定问题，支持无线链路和有线链路的自动切换，可通过手动设置链路优先级，当主链路故障时, 自动切换到备用链路，切换时间＜60秒。</w:t>
            </w:r>
          </w:p>
          <w:p w14:paraId="4C4EAF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11.基站支持两种频率切换方式，无需人工操作，遇到干扰自动切换频率，当基站发出频率告警时候，基站按键切换频率。</w:t>
            </w:r>
          </w:p>
          <w:p w14:paraId="42274E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12.移动基站须在卫星链路正常工作的情况下，移动站下终端与固定基站下的终端建立组呼呼叫的时间应不大于 1.5s；</w:t>
            </w:r>
          </w:p>
          <w:p w14:paraId="607A56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13.频率：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上行:372~376 MHz;下行:382~386MHz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281095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14.调制方式：4FSK；</w:t>
            </w:r>
          </w:p>
          <w:p w14:paraId="7DB075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15.语音编码方式：NVOC； </w:t>
            </w:r>
          </w:p>
          <w:p w14:paraId="30F285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16.载波间隔 ≥50KHz ； </w:t>
            </w:r>
          </w:p>
          <w:p w14:paraId="4E8DF7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17.占用带宽：≤8.5kHz；</w:t>
            </w:r>
          </w:p>
          <w:p w14:paraId="731A98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18.最大调制限制：±3.15kHz；</w:t>
            </w:r>
          </w:p>
          <w:p w14:paraId="7BB1B0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19.频率误差：±1×10-6 ；</w:t>
            </w:r>
          </w:p>
          <w:p w14:paraId="7EA216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20.互调衰减：≤–50dB；</w:t>
            </w:r>
          </w:p>
          <w:p w14:paraId="090F02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21.接收灵敏度 ≤-125dBm@BER5%；</w:t>
            </w:r>
          </w:p>
          <w:p w14:paraId="2F25A4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22. 共信道抑制 ≥–12dB；</w:t>
            </w:r>
          </w:p>
          <w:p w14:paraId="5755D1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23.邻道选择性 ≥ 60dB；</w:t>
            </w:r>
          </w:p>
          <w:p w14:paraId="7E3F1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24.互调响应抑制 ≥ 70dB； </w:t>
            </w:r>
          </w:p>
          <w:p w14:paraId="68D800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25.阻塞 ≥ 84dB；</w:t>
            </w:r>
          </w:p>
          <w:p w14:paraId="6F8941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26.杂散响应抗干扰 ≥ 70dB；</w:t>
            </w:r>
          </w:p>
          <w:p w14:paraId="689666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27.传导杂散9.00KHz～1.00GHz：≤-57dBm@100KHz；1.00GHz～12.75GHz：≤-47dBm@1MHz</w:t>
            </w:r>
          </w:p>
        </w:tc>
        <w:tc>
          <w:tcPr>
            <w:tcW w:w="594" w:type="pct"/>
            <w:noWrap w:val="0"/>
            <w:vAlign w:val="center"/>
          </w:tcPr>
          <w:p w14:paraId="12F84D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</w:tr>
      <w:tr w14:paraId="075F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9" w:type="pct"/>
            <w:noWrap w:val="0"/>
            <w:vAlign w:val="center"/>
          </w:tcPr>
          <w:p w14:paraId="687290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6" w:type="pct"/>
            <w:noWrap w:val="0"/>
            <w:vAlign w:val="center"/>
          </w:tcPr>
          <w:p w14:paraId="468B91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IP 中转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基站</w:t>
            </w:r>
          </w:p>
        </w:tc>
        <w:tc>
          <w:tcPr>
            <w:tcW w:w="3089" w:type="pct"/>
            <w:noWrap w:val="0"/>
            <w:vAlign w:val="center"/>
          </w:tcPr>
          <w:p w14:paraId="41C287C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1.双模操作，智能切换：支持数字和模拟两种模式，其可根据收到的信号类别智能选择工作信道。</w:t>
            </w:r>
          </w:p>
          <w:p w14:paraId="782BDF9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2.安全的数字加密技术：先进的256位数字加密技术，可以防止通话内容被他人非法窃听，从而保障您的通信安全。</w:t>
            </w:r>
          </w:p>
          <w:p w14:paraId="0F60E0C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3.灵活的安装方式：数字中转台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不大于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2U、19英寸机柜式设计，可灵活地安装在系统机架或支架内，也可放置于桌面上，安装方式简单便捷。机箱内部还预留有小型双工器安装位置，大大节省您的整机占用空间。</w:t>
            </w:r>
          </w:p>
          <w:p w14:paraId="5F3750F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4.卓越的散热性能：独热管散热器辅以温控散热风扇设计，使热量迅速散发，确保设备在100%满功率条件下也可顺畅运行。</w:t>
            </w:r>
          </w:p>
          <w:p w14:paraId="3FD71B6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信息显示指示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：用户对中转台工作状态一目了然，通过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显示器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可以实时了解当前信道、频点、设备序列号、设置配置情况等各种信息。 </w:t>
            </w:r>
          </w:p>
          <w:p w14:paraId="07692C1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6.附件扩展功能：支持第三方利用信号流和中转台二次开发PIN口控制，来完成中转台的前面板和后面板二次开发接口附件扩展功能开发。</w:t>
            </w:r>
          </w:p>
          <w:p w14:paraId="3299891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7.支持中转台远程诊断与控制：支持远程（由IP端口连接到因特网）（选配）和本地诊断（由USB）PC应用软件来监控、诊断和控制中转台状态，允许管理员监控接入网络的对讲机，从而提高工作效率。</w:t>
            </w:r>
          </w:p>
          <w:p w14:paraId="385BF46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8.支持双时隙数字语音流：支持2个语音时隙的语音流，同时也允许第三方来扩展其功能。</w:t>
            </w:r>
          </w:p>
          <w:p w14:paraId="59D9D7C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9.频率要求：350-400MHz，整机功耗不大于350W，工作温度：-40℃到55℃，储存温度：-40℃到85℃。重量不大于10KG,尺寸不大于100*500*366 mm。</w:t>
            </w:r>
          </w:p>
          <w:p w14:paraId="31461C5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10.载频数：1载频。时隙数：2/载频。</w:t>
            </w:r>
          </w:p>
          <w:p w14:paraId="0843AB0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11.支持SNMP 3.0协议，可实现数据加密，可以保证网管网络通信数据的安全性。</w:t>
            </w:r>
          </w:p>
          <w:p w14:paraId="59E8421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12.支持对接入网络的终端进行限制管理。只有当终端的终端ID在中转台设置的ID范围内时，中转台才会接收该终端的语音业务和数据业务并中转出去。</w:t>
            </w:r>
          </w:p>
          <w:p w14:paraId="6CC9F78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13.数字模式下支持IP互联功能。不同地区、不同频段的多个中转台可以通过IP网络互连，实现在同一网络下中转台之间的语音、数据和控制包交换。进一步扩展终端的通信覆盖范围。</w:t>
            </w:r>
          </w:p>
          <w:p w14:paraId="2DDBF0E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14.输出功率：5-50W</w:t>
            </w:r>
          </w:p>
          <w:p w14:paraId="0FDACEA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15.FM调制方式：11K0F3E@12.5kHz/14K0F3E@20kHz/16K0F3E@25kHz</w:t>
            </w:r>
          </w:p>
          <w:p w14:paraId="22A24C2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16.4FSK数字调制方式：12.5kHz仅数据：7K60FXD</w:t>
            </w:r>
          </w:p>
          <w:p w14:paraId="44802EA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12.5kHz数据和语音：7K60FXW</w:t>
            </w:r>
          </w:p>
          <w:p w14:paraId="48A6577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17.传导/辐射发射：-36dBm≤1GHz /-30dBm&gt;1GHz</w:t>
            </w:r>
          </w:p>
          <w:p w14:paraId="5A9B772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18.调制限制：±2.5kHz@12.5kHz/±4.0kHz@20kHz/±5.0kHz@25kHz</w:t>
            </w:r>
          </w:p>
          <w:p w14:paraId="3123577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19.FM交流声与噪声：≥40dB@12.5kHz/≥43dB@20KHz/≥45dB@25kHz</w:t>
            </w:r>
          </w:p>
          <w:p w14:paraId="047A1A7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20.邻道功率：≥60dB@12.5kHz/≥70dB@20/25kHz</w:t>
            </w:r>
          </w:p>
          <w:p w14:paraId="2D43FB2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21.音频响应：+1～-3dB</w:t>
            </w:r>
          </w:p>
          <w:p w14:paraId="1F149478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22.音频失真：≤3%</w:t>
            </w:r>
          </w:p>
        </w:tc>
        <w:tc>
          <w:tcPr>
            <w:tcW w:w="594" w:type="pct"/>
            <w:noWrap w:val="0"/>
            <w:vAlign w:val="center"/>
          </w:tcPr>
          <w:p w14:paraId="47139C3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1</w:t>
            </w:r>
          </w:p>
        </w:tc>
      </w:tr>
    </w:tbl>
    <w:p w14:paraId="26A7CE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8258E"/>
    <w:rsid w:val="042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5">
    <w:name w:val="my正文"/>
    <w:basedOn w:val="1"/>
    <w:qFormat/>
    <w:uiPriority w:val="0"/>
    <w:pPr>
      <w:spacing w:line="360" w:lineRule="auto"/>
      <w:ind w:firstLine="480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2025-10-09T05:46:00Z</dcterms:created>
  <dc:creator>我能吃十个蛋挞</dc:creator>
  <cp:lastModifiedBy>我能吃十个蛋挞</cp:lastModifiedBy>
  <dcterms:modified xsi:type="dcterms:W3CDTF">2025-10-09T05:47:26Z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564053E671FB483FB42846A2E54892CF_11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