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黑体" w:hAnsi="黑体" w:eastAsia="黑体"/>
          <w:sz w:val="28"/>
          <w:szCs w:val="28"/>
        </w:rPr>
      </w:pPr>
      <w:bookmarkStart w:id="7" w:name="_GoBack"/>
      <w:bookmarkEnd w:id="7"/>
      <w:bookmarkStart w:id="0" w:name="_Toc28359022"/>
      <w:bookmarkStart w:id="1" w:name="_Toc35393809"/>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周至县人民检察院中心机房升级改造</w:t>
      </w:r>
      <w:r>
        <w:rPr>
          <w:rFonts w:hint="eastAsia" w:ascii="方正小标宋简体" w:hAnsi="方正小标宋简体" w:eastAsia="方正小标宋简体" w:cs="方正小标宋简体"/>
          <w:b w:val="0"/>
          <w:bCs w:val="0"/>
        </w:rPr>
        <w:t>的成交结果公告</w:t>
      </w:r>
      <w:bookmarkEnd w:id="0"/>
      <w:bookmarkEnd w:id="1"/>
    </w:p>
    <w:p>
      <w:pPr>
        <w:pStyle w:val="27"/>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XCZX2025-0090-2</w:t>
      </w:r>
    </w:p>
    <w:p>
      <w:pPr>
        <w:pStyle w:val="27"/>
        <w:keepNext w:val="0"/>
        <w:keepLines w:val="0"/>
        <w:pageBreakBefore w:val="0"/>
        <w:kinsoku/>
        <w:wordWrap/>
        <w:overflowPunct/>
        <w:topLinePunct w:val="0"/>
        <w:autoSpaceDE/>
        <w:autoSpaceDN/>
        <w:bidi w:val="0"/>
        <w:adjustRightInd/>
        <w:snapToGrid/>
        <w:spacing w:line="480" w:lineRule="exact"/>
        <w:ind w:firstLine="560"/>
        <w:textAlignment w:val="auto"/>
        <w:rPr>
          <w:rFonts w:hint="default" w:ascii="黑体" w:hAnsi="黑体" w:eastAsia="仿宋"/>
          <w:sz w:val="28"/>
          <w:szCs w:val="28"/>
          <w:lang w:val="en-US"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ZCBN-西安市-202</w:t>
      </w:r>
      <w:r>
        <w:rPr>
          <w:rFonts w:hint="eastAsia" w:ascii="仿宋" w:hAnsi="仿宋" w:eastAsia="仿宋"/>
          <w:sz w:val="28"/>
          <w:szCs w:val="28"/>
          <w:lang w:val="en-US" w:eastAsia="zh-CN"/>
        </w:rPr>
        <w:t>5</w:t>
      </w:r>
      <w:r>
        <w:rPr>
          <w:rFonts w:hint="eastAsia" w:ascii="仿宋" w:hAnsi="仿宋" w:eastAsia="仿宋"/>
          <w:sz w:val="28"/>
          <w:szCs w:val="28"/>
        </w:rPr>
        <w:t>-0</w:t>
      </w:r>
      <w:r>
        <w:rPr>
          <w:rFonts w:hint="eastAsia" w:ascii="仿宋" w:hAnsi="仿宋" w:eastAsia="仿宋"/>
          <w:sz w:val="28"/>
          <w:szCs w:val="28"/>
          <w:lang w:val="en-US" w:eastAsia="zh-CN"/>
        </w:rPr>
        <w:t>3588</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周至县人民检察院中心机房升级改造</w:t>
      </w:r>
    </w:p>
    <w:p>
      <w:pPr>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sz w:val="28"/>
          <w:szCs w:val="28"/>
        </w:rPr>
      </w:pPr>
      <w:r>
        <w:rPr>
          <w:rFonts w:hint="eastAsia" w:ascii="黑体" w:hAnsi="黑体" w:eastAsia="黑体"/>
          <w:sz w:val="28"/>
          <w:szCs w:val="28"/>
        </w:rPr>
        <w:t>三、成交信息</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供应商名称：陕西中天智谷信息技术有限公司</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供应商地址：西安市高新区</w:t>
      </w:r>
      <w:r>
        <w:rPr>
          <w:rFonts w:hint="eastAsia" w:ascii="仿宋" w:hAnsi="仿宋" w:eastAsia="仿宋"/>
          <w:sz w:val="28"/>
          <w:szCs w:val="28"/>
          <w:lang w:val="en-US" w:eastAsia="zh-CN"/>
        </w:rPr>
        <w:t>创业大道林隐天下四期25幢1单元2312室</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成交金额：398000.00元</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彭丽君</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联系电话：1</w:t>
      </w:r>
      <w:r>
        <w:rPr>
          <w:rFonts w:hint="eastAsia" w:ascii="仿宋" w:hAnsi="仿宋" w:eastAsia="仿宋"/>
          <w:sz w:val="28"/>
          <w:szCs w:val="28"/>
          <w:lang w:val="en-US" w:eastAsia="zh-CN"/>
        </w:rPr>
        <w:t>3389269367</w:t>
      </w:r>
    </w:p>
    <w:p>
      <w:pPr>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sz w:val="28"/>
          <w:szCs w:val="28"/>
        </w:rPr>
      </w:pPr>
      <w:r>
        <w:rPr>
          <w:rFonts w:hint="eastAsia" w:ascii="黑体" w:hAnsi="黑体" w:eastAsia="黑体"/>
          <w:sz w:val="28"/>
          <w:szCs w:val="28"/>
        </w:rPr>
        <w:t>四、主要标的信息</w:t>
      </w:r>
    </w:p>
    <w:tbl>
      <w:tblPr>
        <w:tblStyle w:val="10"/>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5"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黑体" w:hAnsi="黑体" w:eastAsia="黑体"/>
                <w:color w:val="000000" w:themeColor="text1"/>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5" w:type="dxa"/>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_GB2312"/>
                <w:color w:val="000000" w:themeColor="text1"/>
                <w:kern w:val="0"/>
                <w:sz w:val="28"/>
                <w:szCs w:val="28"/>
              </w:rPr>
            </w:pPr>
            <w:r>
              <w:rPr>
                <w:rFonts w:hint="eastAsia" w:ascii="仿宋" w:hAnsi="仿宋" w:eastAsia="仿宋"/>
                <w:b/>
                <w:bCs/>
                <w:kern w:val="0"/>
                <w:sz w:val="28"/>
                <w:szCs w:val="28"/>
              </w:rPr>
              <w:t>详见附件</w:t>
            </w:r>
          </w:p>
        </w:tc>
      </w:tr>
    </w:tbl>
    <w:p>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刘佳乐、孟李林、赵华。</w:t>
      </w:r>
    </w:p>
    <w:p>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cs="仿宋"/>
          <w:sz w:val="28"/>
          <w:szCs w:val="28"/>
        </w:rPr>
      </w:pPr>
      <w:r>
        <w:rPr>
          <w:rFonts w:hint="eastAsia" w:ascii="黑体" w:hAnsi="黑体" w:eastAsia="黑体" w:cs="仿宋"/>
          <w:sz w:val="28"/>
          <w:szCs w:val="28"/>
        </w:rPr>
        <w:t>七、其他补充事宜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color w:val="000000" w:themeColor="text1"/>
          <w:kern w:val="0"/>
          <w:sz w:val="28"/>
          <w:szCs w:val="28"/>
          <w:lang w:val="en-US" w:eastAsia="zh-CN"/>
        </w:rPr>
        <w:t>1、</w:t>
      </w:r>
      <w:r>
        <w:rPr>
          <w:rFonts w:hint="eastAsia" w:ascii="仿宋" w:hAnsi="仿宋" w:eastAsia="仿宋" w:cs="宋体"/>
          <w:color w:val="000000" w:themeColor="text1"/>
          <w:kern w:val="0"/>
          <w:sz w:val="28"/>
          <w:szCs w:val="28"/>
        </w:rPr>
        <w:t>本项目为</w:t>
      </w:r>
      <w:r>
        <w:rPr>
          <w:rFonts w:hint="eastAsia" w:ascii="仿宋" w:hAnsi="仿宋" w:eastAsia="仿宋" w:cs="宋体"/>
          <w:color w:val="000000" w:themeColor="text1"/>
          <w:kern w:val="0"/>
          <w:sz w:val="28"/>
          <w:szCs w:val="28"/>
          <w:lang w:val="en-US" w:eastAsia="zh-CN"/>
        </w:rPr>
        <w:t>非</w:t>
      </w:r>
      <w:r>
        <w:rPr>
          <w:rFonts w:hint="eastAsia" w:ascii="仿宋" w:hAnsi="仿宋" w:eastAsia="仿宋" w:cs="宋体"/>
          <w:color w:val="000000" w:themeColor="text1"/>
          <w:kern w:val="0"/>
          <w:sz w:val="28"/>
          <w:szCs w:val="28"/>
        </w:rPr>
        <w:t>专门面向中小企业采购项目</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lang w:val="en-US" w:eastAsia="zh-CN"/>
        </w:rPr>
        <w:t>成交供应商不享受价格折扣，评审价格为</w:t>
      </w:r>
      <w:r>
        <w:rPr>
          <w:rFonts w:hint="eastAsia" w:ascii="仿宋" w:hAnsi="仿宋" w:eastAsia="仿宋"/>
          <w:sz w:val="28"/>
          <w:szCs w:val="28"/>
        </w:rPr>
        <w:t>398000.00</w:t>
      </w:r>
      <w:r>
        <w:rPr>
          <w:rFonts w:hint="eastAsia" w:ascii="仿宋" w:hAnsi="仿宋" w:eastAsia="仿宋"/>
          <w:color w:val="000000" w:themeColor="text1"/>
          <w:sz w:val="28"/>
          <w:szCs w:val="28"/>
        </w:rPr>
        <w:t>元</w:t>
      </w:r>
      <w:r>
        <w:rPr>
          <w:rFonts w:hint="eastAsia" w:ascii="仿宋" w:hAnsi="仿宋" w:eastAsia="仿宋"/>
          <w:color w:val="000000" w:themeColor="text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请成交供应商于本项目公告期届满之日起前往西安市公共资源交易中心八楼领取成交通知书，同时须提交密封好的纸质响应文件一正两副，内容与电子响应文件完全一致。</w:t>
      </w:r>
    </w:p>
    <w:p>
      <w:pPr>
        <w:keepNext w:val="0"/>
        <w:keepLines w:val="0"/>
        <w:pageBreakBefore w:val="0"/>
        <w:kinsoku/>
        <w:wordWrap/>
        <w:overflowPunct/>
        <w:topLinePunct w:val="0"/>
        <w:autoSpaceDE/>
        <w:autoSpaceDN/>
        <w:bidi w:val="0"/>
        <w:adjustRightInd/>
        <w:snapToGrid/>
        <w:spacing w:line="480" w:lineRule="exact"/>
        <w:textAlignment w:val="auto"/>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keepNext w:val="0"/>
        <w:keepLines w:val="0"/>
        <w:pageBreakBefore w:val="0"/>
        <w:kinsoku/>
        <w:wordWrap/>
        <w:overflowPunct/>
        <w:topLinePunct w:val="0"/>
        <w:autoSpaceDE/>
        <w:autoSpaceDN/>
        <w:bidi w:val="0"/>
        <w:adjustRightInd/>
        <w:snapToGrid/>
        <w:spacing w:line="480" w:lineRule="exact"/>
        <w:ind w:firstLine="703" w:firstLineChars="250"/>
        <w:jc w:val="left"/>
        <w:textAlignment w:val="auto"/>
        <w:rPr>
          <w:rFonts w:hint="eastAsia" w:ascii="仿宋" w:hAnsi="仿宋" w:eastAsia="仿宋" w:cs="宋体"/>
          <w:b/>
          <w:bCs w:val="0"/>
          <w:sz w:val="28"/>
          <w:szCs w:val="28"/>
        </w:rPr>
      </w:pPr>
      <w:bookmarkStart w:id="2" w:name="_Toc28359100"/>
      <w:bookmarkStart w:id="3" w:name="_Toc35393641"/>
      <w:bookmarkStart w:id="4" w:name="_Toc35393810"/>
      <w:bookmarkStart w:id="5" w:name="_Toc28359023"/>
      <w:r>
        <w:rPr>
          <w:rFonts w:hint="eastAsia" w:ascii="仿宋" w:hAnsi="仿宋" w:eastAsia="仿宋" w:cs="宋体"/>
          <w:b/>
          <w:bCs w:val="0"/>
          <w:sz w:val="28"/>
          <w:szCs w:val="28"/>
        </w:rPr>
        <w:t>1.采购人信息</w:t>
      </w:r>
      <w:bookmarkEnd w:id="2"/>
      <w:bookmarkEnd w:id="3"/>
      <w:bookmarkEnd w:id="4"/>
      <w:bookmarkEnd w:id="5"/>
    </w:p>
    <w:p>
      <w:pPr>
        <w:keepNext w:val="0"/>
        <w:keepLines w:val="0"/>
        <w:pageBreakBefore w:val="0"/>
        <w:kinsoku/>
        <w:wordWrap/>
        <w:overflowPunct/>
        <w:topLinePunct w:val="0"/>
        <w:autoSpaceDE/>
        <w:autoSpaceDN/>
        <w:bidi w:val="0"/>
        <w:adjustRightInd/>
        <w:snapToGrid/>
        <w:spacing w:line="480" w:lineRule="exact"/>
        <w:ind w:firstLine="980" w:firstLineChars="35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名    称：</w:t>
      </w:r>
      <w:r>
        <w:rPr>
          <w:rFonts w:hint="eastAsia" w:ascii="仿宋" w:hAnsi="仿宋" w:eastAsia="仿宋"/>
          <w:sz w:val="28"/>
          <w:szCs w:val="28"/>
          <w:lang w:eastAsia="zh-CN"/>
        </w:rPr>
        <w:t>周至县人民检察院</w:t>
      </w:r>
    </w:p>
    <w:p>
      <w:pPr>
        <w:keepNext w:val="0"/>
        <w:keepLines w:val="0"/>
        <w:pageBreakBefore w:val="0"/>
        <w:kinsoku/>
        <w:wordWrap/>
        <w:overflowPunct/>
        <w:topLinePunct w:val="0"/>
        <w:autoSpaceDE/>
        <w:autoSpaceDN/>
        <w:bidi w:val="0"/>
        <w:adjustRightInd/>
        <w:snapToGrid/>
        <w:spacing w:line="480" w:lineRule="exact"/>
        <w:ind w:firstLine="980" w:firstLineChars="35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地    址：西安市周至县工业路</w:t>
      </w:r>
    </w:p>
    <w:p>
      <w:pPr>
        <w:keepNext w:val="0"/>
        <w:keepLines w:val="0"/>
        <w:pageBreakBefore w:val="0"/>
        <w:kinsoku/>
        <w:wordWrap/>
        <w:overflowPunct/>
        <w:topLinePunct w:val="0"/>
        <w:autoSpaceDE/>
        <w:autoSpaceDN/>
        <w:bidi w:val="0"/>
        <w:adjustRightInd/>
        <w:snapToGrid/>
        <w:spacing w:line="480" w:lineRule="exact"/>
        <w:ind w:firstLine="980" w:firstLineChars="350"/>
        <w:jc w:val="left"/>
        <w:textAlignment w:val="auto"/>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联系方式：029-87110550</w:t>
      </w:r>
    </w:p>
    <w:p>
      <w:pPr>
        <w:keepNext w:val="0"/>
        <w:keepLines w:val="0"/>
        <w:pageBreakBefore w:val="0"/>
        <w:kinsoku/>
        <w:wordWrap/>
        <w:overflowPunct/>
        <w:topLinePunct w:val="0"/>
        <w:autoSpaceDE/>
        <w:autoSpaceDN/>
        <w:bidi w:val="0"/>
        <w:adjustRightInd/>
        <w:snapToGrid/>
        <w:spacing w:line="480" w:lineRule="exact"/>
        <w:ind w:firstLine="703" w:firstLineChars="250"/>
        <w:jc w:val="left"/>
        <w:textAlignment w:val="auto"/>
        <w:rPr>
          <w:rFonts w:ascii="仿宋" w:hAnsi="仿宋" w:eastAsia="仿宋" w:cs="宋体"/>
          <w:b/>
          <w:bCs w:val="0"/>
          <w:sz w:val="28"/>
          <w:szCs w:val="28"/>
        </w:rPr>
      </w:pPr>
      <w:r>
        <w:rPr>
          <w:rFonts w:hint="eastAsia" w:ascii="仿宋" w:hAnsi="仿宋" w:eastAsia="仿宋" w:cs="宋体"/>
          <w:b/>
          <w:bCs w:val="0"/>
          <w:sz w:val="28"/>
          <w:szCs w:val="28"/>
        </w:rPr>
        <w:t>2.项目联系人</w:t>
      </w:r>
    </w:p>
    <w:p>
      <w:pPr>
        <w:keepNext w:val="0"/>
        <w:keepLines w:val="0"/>
        <w:pageBreakBefore w:val="0"/>
        <w:kinsoku/>
        <w:wordWrap/>
        <w:overflowPunct/>
        <w:topLinePunct w:val="0"/>
        <w:autoSpaceDE/>
        <w:autoSpaceDN/>
        <w:bidi w:val="0"/>
        <w:adjustRightInd/>
        <w:snapToGrid/>
        <w:spacing w:line="48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keepNext w:val="0"/>
        <w:keepLines w:val="0"/>
        <w:pageBreakBefore w:val="0"/>
        <w:kinsoku/>
        <w:wordWrap/>
        <w:overflowPunct/>
        <w:topLinePunct w:val="0"/>
        <w:autoSpaceDE/>
        <w:autoSpaceDN/>
        <w:bidi w:val="0"/>
        <w:adjustRightInd/>
        <w:snapToGrid/>
        <w:spacing w:line="48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址：西安市未央区文景北路16号白桦林国际B座</w:t>
      </w:r>
    </w:p>
    <w:p>
      <w:pPr>
        <w:keepNext w:val="0"/>
        <w:keepLines w:val="0"/>
        <w:pageBreakBefore w:val="0"/>
        <w:kinsoku/>
        <w:wordWrap/>
        <w:overflowPunct/>
        <w:topLinePunct w:val="0"/>
        <w:autoSpaceDE/>
        <w:autoSpaceDN/>
        <w:bidi w:val="0"/>
        <w:adjustRightInd/>
        <w:snapToGrid/>
        <w:spacing w:line="48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项目联系人：朱老师</w:t>
      </w:r>
    </w:p>
    <w:p>
      <w:pPr>
        <w:keepNext w:val="0"/>
        <w:keepLines w:val="0"/>
        <w:pageBreakBefore w:val="0"/>
        <w:kinsoku/>
        <w:wordWrap/>
        <w:overflowPunct/>
        <w:topLinePunct w:val="0"/>
        <w:autoSpaceDE/>
        <w:autoSpaceDN/>
        <w:bidi w:val="0"/>
        <w:adjustRightInd/>
        <w:snapToGrid/>
        <w:spacing w:line="48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电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话：029-86510029、86510365转分机80805</w:t>
      </w:r>
    </w:p>
    <w:p>
      <w:pPr>
        <w:numPr>
          <w:ilvl w:val="0"/>
          <w:numId w:val="1"/>
        </w:numPr>
        <w:spacing w:line="560" w:lineRule="exact"/>
        <w:rPr>
          <w:rFonts w:ascii="黑体" w:hAnsi="黑体" w:eastAsia="黑体" w:cs="宋体"/>
          <w:kern w:val="0"/>
          <w:sz w:val="28"/>
          <w:szCs w:val="28"/>
        </w:rPr>
      </w:pPr>
      <w:r>
        <w:rPr>
          <w:rFonts w:hint="eastAsia" w:ascii="黑体" w:hAnsi="黑体" w:eastAsia="黑体" w:cs="宋体"/>
          <w:kern w:val="0"/>
          <w:sz w:val="28"/>
          <w:szCs w:val="28"/>
        </w:rPr>
        <w:t>附件</w:t>
      </w:r>
    </w:p>
    <w:p>
      <w:pPr>
        <w:pStyle w:val="3"/>
        <w:spacing w:before="0" w:after="0" w:line="360" w:lineRule="auto"/>
        <w:jc w:val="center"/>
        <w:rPr>
          <w:rFonts w:eastAsia="宋体" w:cs="Times New Roman"/>
          <w:color w:val="000000"/>
          <w:sz w:val="28"/>
          <w:szCs w:val="22"/>
        </w:rPr>
      </w:pPr>
      <w:bookmarkStart w:id="6" w:name="_Toc5643"/>
      <w:r>
        <w:rPr>
          <w:rFonts w:hint="eastAsia" w:eastAsia="宋体"/>
          <w:bCs w:val="0"/>
          <w:color w:val="000000"/>
          <w:sz w:val="28"/>
        </w:rPr>
        <w:t>分项报价表</w:t>
      </w:r>
      <w:bookmarkEnd w:id="6"/>
    </w:p>
    <w:p>
      <w:pPr>
        <w:widowControl/>
        <w:tabs>
          <w:tab w:val="right" w:pos="9078"/>
        </w:tabs>
        <w:spacing w:line="480" w:lineRule="exact"/>
        <w:jc w:val="right"/>
        <w:rPr>
          <w:rFonts w:ascii="宋体" w:hAnsi="宋体" w:eastAsia="宋体" w:cs="宋体"/>
        </w:rPr>
      </w:pPr>
      <w:r>
        <w:rPr>
          <w:rFonts w:hint="eastAsia" w:ascii="宋体" w:hAnsi="宋体" w:cs="宋体"/>
          <w:sz w:val="28"/>
          <w:szCs w:val="28"/>
          <w:lang w:bidi="ar"/>
        </w:rPr>
        <w:t>单位：元</w:t>
      </w:r>
    </w:p>
    <w:tbl>
      <w:tblPr>
        <w:tblStyle w:val="9"/>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01"/>
        <w:gridCol w:w="1050"/>
        <w:gridCol w:w="1037"/>
        <w:gridCol w:w="1450"/>
        <w:gridCol w:w="3513"/>
        <w:gridCol w:w="687"/>
        <w:gridCol w:w="1313"/>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10405" w:type="dxa"/>
            <w:gridSpan w:val="7"/>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标的名称</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品牌和型号</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制造商</w:t>
            </w:r>
          </w:p>
        </w:tc>
        <w:tc>
          <w:tcPr>
            <w:tcW w:w="3513"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687"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313" w:type="dxa"/>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w:t>
            </w:r>
          </w:p>
        </w:tc>
        <w:tc>
          <w:tcPr>
            <w:tcW w:w="1355" w:type="dxa"/>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专用吊顶龙骨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龙牌C38</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北新集团建材股份有限公司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主龙骨C38,五金、吊杆等</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铝制吊顶</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联兴600*600*0.8mm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西安联兴金属吊顶建材有限公司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600*600*0.8mm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L型金属收边条</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联兴L20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西安联兴金属吊顶建材有限公司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配套</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顶面防尘处理</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宝塔山防尘漆</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陕西宝塔山油漆股份有限公司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防尘漆处理</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机房彩钢板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京通1200*3000*12.6mm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保定金拓机房设备股份有限公司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1200*3000*12.6mm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68.4</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￥17,031.60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墙面龙骨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龙牌C75</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北新集团建材股份有限公司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C75龙骨制做</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68.4</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龙骨后保温</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恒翔5CM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南京恒翔保温材料制造有限公司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5CM岩棉</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68.4</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钢板踢脚线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鸿泰60x10mm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鸿泰不锈钢有限公司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60x10mm 拉丝不锈钢踢脚线</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封堵石膏板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泰山12mm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泰山石膏有限公司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12mm厚</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18.9</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抗静电地板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京通600*600*32mm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保定金拓机房设备股份有限公司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硫酸钙600*600*32mm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￥364.00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￥11,924.64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地板支腿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京通200mm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保定金拓机房设备股份有限公司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高200mm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靠墙面40角钢支撑</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国产L40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陕西钢铁集团有限公司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L40镀锌角钢</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地面防尘处理</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宝塔山防尘漆</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陕西宝塔山油漆股份有限公司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防尘漆处理</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￥1,474.20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设备支架</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国产40x40x4mm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陕西钢铁集团有限公司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40x40x4mm镀锌角钢</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￥766.00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抗静电泄漏网</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永压100*0.3mm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浙江永压铜业有限公司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100*0.3mm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等电位连接</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众邦BVR6mm²</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BVR6mm²(机柜、顶、地、墙、设备支架等）</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室内汇流铜排</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亨达40*4mm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保定市亨达铜业有限责任公司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40*4mm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接地干线（接大楼接地）</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众邦BVR16mm²</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BVR16mm²</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￥894.00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0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LED灯</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雷士600*600LED灯</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雷士国际控股有限公司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600*600LED灯、色温5700K、额定电压220V、输入电流0.16A、额定功率 36W、超薄款 。</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安全出口灯</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TCL3W</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罗格朗国际电工（惠州）有限公司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额定功率3W、输入电压高低压通用、应急时间90min、防护等级IP30、光源5050贴片LED。</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KBG钢管</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凤宝KBGΦ20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陕西西安凤宝管业有限公司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金属穿线管KBGΦ20</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金属软管</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凤宝Φ20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陕西西安凤宝管业有限公司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包塑金属软管Φ20</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多联开关</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TCL单联10A</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罗格朗国际电工（惠州）有限公司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单联10A，尺寸86*86mm、安装孔距60mm，白色</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电线线缆</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众邦ZR-BV2.5</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阻燃ZR-BV2.5</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墙面插座</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TCL10A </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罗格朗国际电工（惠州）有限公司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10A 5孔插座、尺寸86*86mm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电气配线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众邦ZR-BV4mm²</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阻燃电缆ZR-BV4mm²</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￥370.00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双网口面板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华隆86型</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乐清市华隆电子科技有限公司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双口（含六类模块）</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846"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天诚六类</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上海天诚通信技术股份有限公司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六类非屏蔽</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￥958.00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辅材</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扎带、接线盒等</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拆除</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原装修吊顶、地板等</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￥3,577.00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垃圾清理</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￥4,471.00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装修防护及设备搬移</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机房原有核心设备需保证在工作日正常使用，不受施工影响。实施期间需做好设备的防护、防尘、防水等保障；对现有机房布局优化，涉及7台机柜（含设备）的拆装、搬移、就位、线路迁移/续接、应急保障等。</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￥13,540.00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点型感烟探测器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三江JTY-GD-A30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深圳市高新投三江电子股份有限公司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使用环境温度：－10℃ ～ +50 ℃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使用环境湿度：≤95% RH（不凝露）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总线工作电压：DC24V脉动电压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风速：＜5m/s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报警确认灯：红色，报警常亮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巡检指示灯：绿色，闪亮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外壳护等级：IP30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执行标准：GB 4715《点型感烟火灾探测器》 GB 22370《家用火灾安全系统》(EI6012H)  监视电流：＜0.35mA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报警电流：＜0.8mA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保护面积：60 m2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线制：两总线，无极性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总线长度：≤2000m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颜色：白</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点型感温探测器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三江JTW-ZD-A20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深圳市高新投三江电子股份有限公司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使用环境温度：－10 ℃ ～ +50 ℃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使用环境湿度：≤95% RH（不凝露）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总线工作电压：DC24V脉动电压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动 作 温 度：56℃ ～ 66℃（出厂设置为56℃）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报警确认灯：红色，巡检闪亮，报警常亮（6013）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红色，报警常亮。（6013N/H巡检指示灯绿色闪亮）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外壳防护等级：IP30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执行标准：GB 4716《点型感温火灾探测器》GB 22370《家用火灾安全系统》(6013H)  监视电流：＜0.35mA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报警电流：＜0.8mA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保护面积：20 m2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线    制：两总线，无极性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总线长度：≤2000m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颜    色：白</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底座</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三江DZ-A16</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深圳市高新投三江电子股份有限公司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配套感烟/感温探测器使用</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紧急启/停按钮</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三江QM-AN-967</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深圳市高新投三江电子股份有限公司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工作电压：DC16～32V；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适用温度：-10℃～50℃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外形尺寸：86×86×48mm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重量：128g</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气体喷洒指示灯</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三江QM-ZSD-13</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深圳市高新投三江电子股份有限公司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工作电压：DC22～28V；  工作电流：＜280mA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适用温度：-10℃～50℃；湿度：≤95%RH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外形尺寸：300×120×26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重量：305g</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声光报警器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三江SG-A92</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深圳市高新投三江电子股份有限公司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使用环境温度：-10℃～55℃；相对湿度：≤95RH (不凝露)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电源电压：DC 24V1015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动作电流：≤75mA（平均值）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报警声压级：距正前方3m处≥ 75dB（A计权）；变调周期：1.5s～2.5s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基本闪光频率：60～90次/分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线制：电源（无极性）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外形尺寸：直径100mm、高55.5mm（不含底座）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重量：104g±5%（不含底座）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外壳防护等级：IP30</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消防报警主机</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三江JB-QBL-QM220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深圳市高新投三江电子股份有限公司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壁挂式，液晶显示；注塑机箱；总线制，总容量128点，直接连接现场设备。含DC24V/2A电源、2.2Ah备电、打印机。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交流输入电压：220V1015, 50Hz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交流输入功率：≤100W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直流备电：DC24V/5Ah,全密封免维护蓄电池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使用环境温度：0℃～40℃；相对湿度：≤95 (不凝露)  </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￥4,328.00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信号线</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众邦ZR-RVS-1.5</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阻燃双绞线ZR-RVS-1.5</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KBG钢管</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凤宝KBGΦ20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陕西西安凤宝管业有限公司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金属穿线管KBGΦ20</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金属软管</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凤宝国产Φ20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陕西西安凤宝管业有限公司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包塑金属软管Φ20</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七氟丙烷灭火装置</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君旺GQQ70/2.5JW</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江西君旺消防科技有限公司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柜式七氟丙烷灭火装置 单瓶GQQ70/2.5</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￥4,471.00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七氟丙烷灭火剂</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君旺HFC-227ea</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江西君旺消防科技有限公司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药剂HFC-227ea</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自动泄压装置</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君旺SXYK-0.12</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江西君旺消防科技有限公司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有效泄压面积0.1㎡</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10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精密空调</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山特SCC012UCE2</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山特电子（深圳）有限公司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1、单台总制冷量（KW）≥12.5；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2、风量（m³/h）≥3600；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3、显热比≥0.9；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4、全年能效比AEER≥4.0；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5、所投产品应采用直流变频高效压缩机，具有较高的能效比；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6、所投空调设备为了保障整机稳定性，要求机组的换热器应采用传热效率高的内螺纹式铜管和冲缝型亲水膜翅片，满足“/”型蒸发器设计；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7、所投产品在压缩机出口应标配油分离器，以保证压缩机安全高效地运行；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8、所投空调应采用可抽拉式铝框、过滤网，且过滤网方便维护清洗，拒绝采用纸质边框的低效过滤网；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9、所投空调设备的节流装置应采用电子膨胀阀，有利于精准控制，更加高效节能,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10、室内风机须采用可调速的EC离心风机；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11、所投产品在系统监控状态下应具备过压、欠压等报警及故障诊断，告警记录≥1000条设计，自动保护，自动恢复，自动重启，电力缺相保护等功能；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12、投标人所提供的设备应有CQC节能认证；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13、供应商所提供的设备应具有 CCC 认 证。</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￥25,286.00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￥25,286.00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10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柜式新排风一体机</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阔航XPG-400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杭州天方暖通设备有限公司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1、新风量400m3/h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2、新风噪音42dB(A)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3、过滤效率&gt;95%，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4、排风量2000m3/h，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5、排风噪音60dB(A)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6、标配粗效、中效、高效和活性碳四级过滤器，更高洁净度，更长维护间隔时间；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7、标配新、排风机分别联动的双电动风阀；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8、断电恢复自启动；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9、灾后排气系统可通过远控开关启动；</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￥13,902.00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UPS</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山特3C3 HD-30K</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山特电子（深圳）有限公司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1.UPS设备须为在线双变换高频塔式机，全数字化DSP控制技术，单机容量≥30kVA。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2.UPS运行环境要求：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1)工作环境：0~+50℃，0~40不降额，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2)工作湿度：≤95%（25℃,无凝露）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3)海拔高度：0~1000米无降额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4)噪音指标：≤65dB @1米距离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3.UPS的输出功率因数为1.0，UPS输出电压稳定精度≤±0.2%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4.UPS输出波形失真：100%线性负载&lt; 1%，非线性负载&lt; 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5.UPS输出三相电压不平衡度：≤0.5%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6.UPS输出电压相位偏差：≤0.2°（正常和电池逆变模式）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7.UPS逆变双转换效率：100%负载≥95%；50%负载≥96%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8.要求采用全彩色≥5英寸LCD触摸屏+LED指示灯双显示操作面板，中文操作界面，同时提供图形显示和数字显示，适合使用者查看状态、数据和进行操作控制。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9.UPS标配防火级防尘网，且具备拆卸和清洗功能设计。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10.UPS应具有定期对蓄电池组进行自动浮充、均充和休眠三段式循环充电相互转换。具备充电休息模式的智能充电功能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11.UPS必须具备内部电容健康监测及预警功能。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12.UPS智能监控网卡SNMP支持千兆以太网通讯(1000Base-T)，及IPv6。并具备USB调试接口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13.投标UPS产品应满足电信级抗震要求，通过8、9级烈度抗震性能检测。</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￥37,683.00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￥37,683.00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UPS电池柜</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联信C20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陕西联信电源设备有限公司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C20，含电池连接线等辅材</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蓄电池</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山特奥兰德D12-100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山特电子（深圳）有限公司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1、蓄电池容量要求：12V100Ah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2、阻燃性能要求：应符合YD/T799-2010中第6.4条的要求。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3、容量要求：蓄电池按YD/T799-2010第7.7规定的方法试验，10h率容量第一次循环应达到0.95 C10；在第三次循环之前，10h率容量应达到C10，3h率容量应达到0.75 C10,1h率容量应达到0.55 C10。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4、大电流放电性能要求：以30I10放电3min，极柱不熔断、内部汇流排不熔断，外观不出现异常。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5、蓄电池静置28天后容量保持率≥97%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6、密封反应率≥96%</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￥811.00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精密列头柜</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奥斯坦丁600*800*2000mm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浙江奥斯坦丁智能科技有限公司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1、颜色：黑色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2、含3P/160A*1个直流空开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3、含输入总空开3P/250A *1个，输入输出空开3P/160A *2个，维修旁路空开4P/160A *1个，输出空开1P/32A*14个，输出空调空开3P/32A *2个，输出照明空开1P/16A*4个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4、输入输出含C级防雷，含主路和支路监测功能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5、≥6寸触摸屏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6、柜体尺寸：600*800*2000MM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￥23,696.00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￥23,696.00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10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市电输入输出电缆</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众邦YJV4*50+1*25mm2</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YJV4*50+1*25mm2</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10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UPS输入输出电缆</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众邦YJV4*35+1*16mm2</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YJV4*35+1*16mm2</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10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空调电源线</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众邦YJV5*10mm3</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YJV5*10mm3</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10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机柜电源线</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众邦ZR-RVV3*6mm2</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众邦电缆集团有限公司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ZR-RVV3*6mm2</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PDU</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公牛16A</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慈溪市牛人电器有限公司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机柜插座插排机房专用铝合金外壳、输入16A，输出12位国标10A。</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工业连接器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威浦16A</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广东威浦电器有限公司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16A</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钢制桥架</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国产200*100*1.2mm</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陕西鸿顺桥架制造有限公司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防火喷塑桥架200*100*1.2mm</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UPS接入</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安山UPS软件接口</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1、通过设备自身提供的通讯接口和协议文本进行完整的状态监测；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2、实现UPS整流器、逆变器、电池、旁路、负载等各部分的运行状态与参数等参数的监测。</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精密配电柜接入</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安山精密配电柜接入</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1、通过设备自身提供的通讯接口和协议文本进行完整的状态监测；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2、实时监测市电进线三相电的电压、相电流、线电压、线电流、有功、无功、视在功率、频率、功率因数、电度等参数。</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精密空调接入</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安山空调软件接口</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1、通过设备自身提供的通讯接口和协议文本进行完整的状态监测；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2、实现精密空调压缩机、风机、水泵、加热器、加湿器、去湿器、滤网、回风温度和湿度等的运行状态与参数的监测。</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消防接入</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安山消防软件接口</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通过接入现场的消防主机信号，在有告警发生时，可通过通知相关人员确保告警不被遗漏。</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门禁接入</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安山门禁软件接口</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支持对接现有的门禁设备到管理平台。</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视频接入</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安山视频软件接口</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直接点击设备图标，可以调用当前摄像头实时视频，</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新风接入</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安山新风软件接口</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通过设备自身提供的通讯接口和协议文本进行完整的状态监测；</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智能温湿度传感器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安山THD-0101</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带LCD显示功能，监测范围温度：-20~80℃，湿度0～100%RH</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￥434.00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烟雾探测器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安山BC-2000</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工作电压：9V－30V，继电器输出：常开，火警后闭合</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漏水检测模块</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安山BC-7001</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直观展示水浸告警发生的位置，并以颜色、闪烁等作为明显提示；</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漏水检测线缆</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安山BC-9908</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通过现场设置5米水浸线缆，对空调或可能发生漏水的位置进行监测</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￥294.00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红外半球高清网络摄像机</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海康DS-2CD1345V2-LA(POE) </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杭州海康威视数字技术股份有限公司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 万高清网络 POE 红外夜视半球监控摄 像头，并配置相应的电源、支架等配件。</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网络硬盘录像机（NVR）</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海康DS-7908N-R4 4盘位</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杭州海康威视数字技术股份有限公司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8 路高清 4 盘位，录像保存时间不 低于 6 个月，确保录像随时调用，画质清晰。</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￥971.00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监控专用硬盘</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希捷4TB</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希捷国际科技（无锡）有限公司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监控硬盘4TB、安防视频录像机监控专 用 5400 转 64MB SATA6Gb/秒。</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POE交换机</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锐捷RG-ES118GS-LP-E（机架式）</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锐捷网络股份有限公司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10口千兆8口poe交换机 监控网络集线分线分流器</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数据集中管理模块</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正通ZHT-JZM01</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陕西正通电子科技有限公司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1.每个现场监控主机能够同时管理1～2组蓄电池。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2.负责采集蓄电池组总电压、充放电电流、环境温度、高速收敛各单体电池监测数据；监测蓄电池组状态（充电、放电、浮充）；在蓄电池组放电过程中估算蓄电池组剩余容量（SOC）和放电可持续时间。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3.采用不小于2.4寸彩色液晶屏，直观显示监测数据，可进行系统参数设置，告警门限设置，可进行手动内阻测试。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4.现场声光告警，可对当前告警和历史告警查询，可存储1000条告警信息。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5.在5秒时间内完成整组电池监测数据的全部刷新，保证数据的实时性和同步性。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6.采用DC12V供电；但不能从被测电池取电，必须采用外接供电。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7.具备2路干接点（一路为电池监测越限告警干接点，一路为监测设备本身故障干接点）1路RS485通信接口；开放式标准MODBUS协议。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8.总电压：范围0～1000V   精度&lt;0.2%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9.充放电电流：范围0～1000A   精度&lt;1%量程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10.环境温度：范围 -35℃～+125℃   精度≤0.5℃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11.剩余容量SOC：≤10%</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￥1,488.00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单体监测模块及配套线缆</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正通ZHT-TM0112</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陕西正通电子科技有限公司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1.监测蓄电池单体电压、内阻、负极温度；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具备一键断电功能：当UPS电源停用，电池组长期处于开路状态时，可以通过现场监控主机操作或通过后台命令操作让所有单体监测模块断电停止工作，并能在UPS恢复供电时再通过现场监控主机操作或通过后台命令操作让所有单体监测模块上电恢复正常工作状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3.单体监测模块不采用固定编号或编码器编号，必须具备自编号功能，能够对单体监测模块按照电池序号进行自动编号；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4.必须具备过流、过压、过温、反接、短路保护，耐压不小于60V；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5.电压：范围（12V电池）8-16.5V；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6.内阻：范围 0～65535μΩ 精度≤2%   重复精度≤1%；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7.温度：范围 -35℃～+125℃   精度≤0.5℃。</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￥198.00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电流传感器</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正通ZHT-CS300A</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陕西正通电子科技有限公司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检测充放电电流 监测精度&lt;1%，检测范围0~300A。</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一体化监控服务器</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安山FSM-0808 </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CPU：I5-3317U；内存4G；硬盘500G；4USB/8个串口/6DI/2DO，1个网口，可扩1块插卡</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￥12,263.00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短信/语音二合一模块</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安山BC-1123</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支持4G全网通，支持语音拨号告警，RS232/485串口连接，DC12V供电</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￥2,299.00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声光告警器</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安山ES603</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红色，声压指数：≧108dB（300mm），闪光频率：200次/分钟±10%</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全景显示屏</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康佳55英寸</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康佳集团股份有限公司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55英寸，含壁挂支架</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￥2,119.00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中心显示单元</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联想27英寸</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联想（北京）有限公司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21英寸</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安装配件</w:t>
            </w:r>
          </w:p>
        </w:tc>
        <w:tc>
          <w:tcPr>
            <w:tcW w:w="1037"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线材、辅材</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线材、辅材</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动环监测管理平台</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安山AndeSite V1.0 增强版</w:t>
            </w:r>
          </w:p>
        </w:tc>
        <w:tc>
          <w:tcPr>
            <w:tcW w:w="1450" w:type="dxa"/>
            <w:noWrap w:val="0"/>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西安石炭纪信息技术有限公司</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1、动环系统软件本身需同时支持在windows和linux操作系统下运行，支持主流国产麒麟操作系统。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2、动环系统需提供相关软件著作权及第三方软件测试报告，报告需有明确单项功能测试说明。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3、系统采用纯B/S技术架构，无需安装客户端，首页支持以全景式电子地图、2D组态等多种形式进行机房呈现，支持用户分类查询及多机房切换，设备运行参数以弹窗形式呈现。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4、提供组件自定义工具，用户可自行定义首页的组件位置，组件可包括供电、制冷、环境、PUE等统计组件，也包含视频轮巡等组件，满足大屏显示需求。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5、告警管理：系统应默认提供四级告警管理，可按告警分类、等级、时长等进行统计分析，以饼图、柱状图及列表进行可视化呈现。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6、支持现场撤布防模式、工程状态模式，支持告警翻转、告警延时、告警分级推送等设置。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7、报表管理：系统需具备自定义报表功能及跨设备信号的对比曲线，便于用户进行更灵活进行相关性分析。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资料管理：系统可以按照机房，将现场的资料信息进行上传，且支持现场设备图片、工程图纸等资料上传保存，便于资料存档，资料可与设备进行绑定，并通过设备数据查看界面直接查看该设备相关资料并进行浏览、下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9、自检功能：系统需具备自检功能，可以通过固定时间自动查询等方式检测系统、自检结果并能够通过短信方式输出；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10、联动管理：可实现设备本身或设备之间的关联操作，包括联动弹出弹窗、执行设定的控制命令，并可在系统内查看设置的联动规则列表。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11、支持对系统中接入的动力、环境设备 进行信息管理，包含厂家、型号、资产编 码、合同编号、启用日期、运行时长、维 保状态，停产状态等，并可通过报表快速 查看设备状态，且可以进行系统内修改。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12、空调群控：系统需支持空调群控管理模块，可根据机房内空调制冷量与实际需求制冷量的关系，对现有空调进行分组，设置轮巡逻辑、主备逻辑等不同策略，实现对空调群组的整体管控。(需提供截图盖章)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13、数据备份：系统可提供自动将大量历史数据的快速导出、备份与恢复功能，使得数据库内的总数据量保持在一个较为合理的数量范围内。</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￥6,813.00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新增业务系统网络点位</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按照甲方要求，对本检察院功能房间缺少业务系统1.5版和2.0版的各自网络进行终端点位的增加，单个点位需满足：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1.房间内安装六类网络面板1个、六类网络模块1个、房间内敷设明装走线槽至面板处、安装面板至电脑网络跳线；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2、房间至机房：敷设壁装宽线槽，敷设六类网线1根;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3、机房内：安装接入线缆配线架及理线器，每根接入线缆配套1根网络跳线至交换机；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4、整体：对新增敷设线缆及配线架等进行标识、登记台账等工作。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整体实施符合相关标准，满足连接需求；施工依照综合布线标准设计，强弱电规范（分离）施工，要具有高扩展性、灵活性、先进性、可管理性。在布线中，所有线路、信息点均有一定编号或颜色标识，以方便维护；综合布线系统的设计工程应符合GB/T 50311－2007《建筑与建筑群综合布线系统工程设计规范》。综合布线系统工程验收应符合GB/T 50312-2007《建筑与建筑群综合布线系统工程验收规范》。</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￥12,774.00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￥12,774.00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移除网络点位</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按照甲方要求，对本检察院已确定不再使用的业务系统1.5版终端点位进行移除，包括配套的面板、线缆、配线架、交换机、机房跳纤等链路完整移除，并做好登记工作。</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￥10,219.00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机房线缆整理级标识优化</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对改造完成后的机房各个机柜进行整理，包括机柜线缆整理、设备重新摆放、设备及线缆粘贴标识，输出完整的机房设备拓扑图及线缆检索表等资料。</w:t>
            </w:r>
          </w:p>
        </w:tc>
        <w:tc>
          <w:tcPr>
            <w:tcW w:w="687"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￥10,183.86</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￥10,183.86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安装实施服务</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包含机房所有设备（UPS、空调、消防装 置、监控设备、机柜等）的就位、固定、 管线敷设（含 KBG 钢管、桥架）、接线端 接、系统通电调试及与原有设备的对接整合。</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￥26,825.00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￥26,825.00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涉密区域隔离</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与非涉密区域设置实体隔断，采用防火、 防穿透材料，具备防盗防撬功能。</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￥9,368.00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系统集成</w:t>
            </w:r>
          </w:p>
        </w:tc>
        <w:tc>
          <w:tcPr>
            <w:tcW w:w="1037"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450"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3513" w:type="dxa"/>
            <w:noWrap w:val="0"/>
            <w:vAlign w:val="center"/>
          </w:tcPr>
          <w:p>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所有机房改造子系统（包括装饰装修、供配电、制冷、消防、安防监控、动力环境 监控及综合布线等）进行统一集成，确保 各系统无缝协同运作，实现数据互通与集 中管理。改造完成后，机房新增设备与机 房原有设备能共同运行，所提供的服务器 设备需兼容国产化。</w:t>
            </w:r>
          </w:p>
        </w:tc>
        <w:tc>
          <w:tcPr>
            <w:tcW w:w="687"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13" w:type="dxa"/>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￥18,565.00</w:t>
            </w:r>
          </w:p>
        </w:tc>
        <w:tc>
          <w:tcPr>
            <w:tcW w:w="1355" w:type="dxa"/>
            <w:noWrap w:val="0"/>
            <w:vAlign w:val="center"/>
          </w:tcPr>
          <w:p>
            <w:pPr>
              <w:keepNext w:val="0"/>
              <w:keepLines w:val="0"/>
              <w:widowControl/>
              <w:suppressLineNumbers w:val="0"/>
              <w:snapToGrid w:val="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10405" w:type="dxa"/>
            <w:gridSpan w:val="7"/>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050"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费用名称</w:t>
            </w:r>
          </w:p>
        </w:tc>
        <w:tc>
          <w:tcPr>
            <w:tcW w:w="6000" w:type="dxa"/>
            <w:gridSpan w:val="3"/>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费用描述</w:t>
            </w:r>
          </w:p>
        </w:tc>
        <w:tc>
          <w:tcPr>
            <w:tcW w:w="687"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313" w:type="dxa"/>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w:t>
            </w:r>
          </w:p>
        </w:tc>
        <w:tc>
          <w:tcPr>
            <w:tcW w:w="1355" w:type="dxa"/>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050" w:type="dxa"/>
            <w:noWrap/>
            <w:vAlign w:val="center"/>
          </w:tcPr>
          <w:p>
            <w:pPr>
              <w:snapToGrid w:val="0"/>
              <w:jc w:val="center"/>
              <w:rPr>
                <w:rFonts w:hint="eastAsia" w:ascii="宋体" w:hAnsi="宋体" w:eastAsia="宋体" w:cs="宋体"/>
                <w:i w:val="0"/>
                <w:iCs w:val="0"/>
                <w:color w:val="auto"/>
                <w:sz w:val="21"/>
                <w:szCs w:val="21"/>
                <w:u w:val="none"/>
              </w:rPr>
            </w:pPr>
          </w:p>
        </w:tc>
        <w:tc>
          <w:tcPr>
            <w:tcW w:w="6000" w:type="dxa"/>
            <w:gridSpan w:val="3"/>
            <w:noWrap/>
            <w:vAlign w:val="center"/>
          </w:tcPr>
          <w:p>
            <w:pPr>
              <w:snapToGrid w:val="0"/>
              <w:jc w:val="center"/>
              <w:rPr>
                <w:rFonts w:hint="eastAsia" w:ascii="宋体" w:hAnsi="宋体" w:eastAsia="宋体" w:cs="宋体"/>
                <w:i w:val="0"/>
                <w:iCs w:val="0"/>
                <w:color w:val="auto"/>
                <w:sz w:val="21"/>
                <w:szCs w:val="21"/>
                <w:u w:val="none"/>
              </w:rPr>
            </w:pPr>
          </w:p>
        </w:tc>
        <w:tc>
          <w:tcPr>
            <w:tcW w:w="687" w:type="dxa"/>
            <w:noWrap/>
            <w:vAlign w:val="center"/>
          </w:tcPr>
          <w:p>
            <w:pPr>
              <w:snapToGrid w:val="0"/>
              <w:jc w:val="center"/>
              <w:rPr>
                <w:rFonts w:hint="eastAsia" w:ascii="宋体" w:hAnsi="宋体" w:eastAsia="宋体" w:cs="宋体"/>
                <w:i w:val="0"/>
                <w:iCs w:val="0"/>
                <w:color w:val="auto"/>
                <w:sz w:val="21"/>
                <w:szCs w:val="21"/>
                <w:u w:val="none"/>
              </w:rPr>
            </w:pPr>
          </w:p>
        </w:tc>
        <w:tc>
          <w:tcPr>
            <w:tcW w:w="1313" w:type="dxa"/>
            <w:noWrap/>
            <w:vAlign w:val="center"/>
          </w:tcPr>
          <w:p>
            <w:pPr>
              <w:snapToGrid w:val="0"/>
              <w:jc w:val="left"/>
              <w:rPr>
                <w:rFonts w:hint="eastAsia" w:ascii="宋体" w:hAnsi="宋体" w:eastAsia="宋体" w:cs="宋体"/>
                <w:i w:val="0"/>
                <w:iCs w:val="0"/>
                <w:color w:val="auto"/>
                <w:sz w:val="21"/>
                <w:szCs w:val="21"/>
                <w:u w:val="none"/>
              </w:rPr>
            </w:pPr>
          </w:p>
        </w:tc>
        <w:tc>
          <w:tcPr>
            <w:tcW w:w="1355" w:type="dxa"/>
            <w:noWrap w:val="0"/>
            <w:vAlign w:val="center"/>
          </w:tcPr>
          <w:p>
            <w:pPr>
              <w:snapToGrid w:val="0"/>
              <w:jc w:val="right"/>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050" w:type="dxa"/>
            <w:noWrap/>
            <w:vAlign w:val="center"/>
          </w:tcPr>
          <w:p>
            <w:pPr>
              <w:snapToGrid w:val="0"/>
              <w:jc w:val="center"/>
              <w:rPr>
                <w:rFonts w:hint="eastAsia" w:ascii="宋体" w:hAnsi="宋体" w:eastAsia="宋体" w:cs="宋体"/>
                <w:i w:val="0"/>
                <w:iCs w:val="0"/>
                <w:color w:val="auto"/>
                <w:sz w:val="21"/>
                <w:szCs w:val="21"/>
                <w:u w:val="none"/>
              </w:rPr>
            </w:pPr>
          </w:p>
        </w:tc>
        <w:tc>
          <w:tcPr>
            <w:tcW w:w="6000" w:type="dxa"/>
            <w:gridSpan w:val="3"/>
            <w:noWrap/>
            <w:vAlign w:val="center"/>
          </w:tcPr>
          <w:p>
            <w:pPr>
              <w:snapToGrid w:val="0"/>
              <w:jc w:val="center"/>
              <w:rPr>
                <w:rFonts w:hint="eastAsia" w:ascii="宋体" w:hAnsi="宋体" w:eastAsia="宋体" w:cs="宋体"/>
                <w:i w:val="0"/>
                <w:iCs w:val="0"/>
                <w:color w:val="auto"/>
                <w:sz w:val="21"/>
                <w:szCs w:val="21"/>
                <w:u w:val="none"/>
              </w:rPr>
            </w:pPr>
          </w:p>
        </w:tc>
        <w:tc>
          <w:tcPr>
            <w:tcW w:w="687" w:type="dxa"/>
            <w:noWrap/>
            <w:vAlign w:val="center"/>
          </w:tcPr>
          <w:p>
            <w:pPr>
              <w:snapToGrid w:val="0"/>
              <w:jc w:val="center"/>
              <w:rPr>
                <w:rFonts w:hint="eastAsia" w:ascii="宋体" w:hAnsi="宋体" w:eastAsia="宋体" w:cs="宋体"/>
                <w:i w:val="0"/>
                <w:iCs w:val="0"/>
                <w:color w:val="auto"/>
                <w:sz w:val="21"/>
                <w:szCs w:val="21"/>
                <w:u w:val="none"/>
              </w:rPr>
            </w:pPr>
          </w:p>
        </w:tc>
        <w:tc>
          <w:tcPr>
            <w:tcW w:w="1313" w:type="dxa"/>
            <w:noWrap/>
            <w:vAlign w:val="center"/>
          </w:tcPr>
          <w:p>
            <w:pPr>
              <w:snapToGrid w:val="0"/>
              <w:jc w:val="left"/>
              <w:rPr>
                <w:rFonts w:hint="eastAsia" w:ascii="宋体" w:hAnsi="宋体" w:eastAsia="宋体" w:cs="宋体"/>
                <w:i w:val="0"/>
                <w:iCs w:val="0"/>
                <w:color w:val="auto"/>
                <w:sz w:val="21"/>
                <w:szCs w:val="21"/>
                <w:u w:val="none"/>
              </w:rPr>
            </w:pPr>
          </w:p>
        </w:tc>
        <w:tc>
          <w:tcPr>
            <w:tcW w:w="1355" w:type="dxa"/>
            <w:noWrap w:val="0"/>
            <w:vAlign w:val="center"/>
          </w:tcPr>
          <w:p>
            <w:pPr>
              <w:snapToGrid w:val="0"/>
              <w:jc w:val="right"/>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01" w:type="dxa"/>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050" w:type="dxa"/>
            <w:noWrap/>
            <w:vAlign w:val="center"/>
          </w:tcPr>
          <w:p>
            <w:pPr>
              <w:snapToGrid w:val="0"/>
              <w:jc w:val="center"/>
              <w:rPr>
                <w:rFonts w:hint="eastAsia" w:ascii="宋体" w:hAnsi="宋体" w:eastAsia="宋体" w:cs="宋体"/>
                <w:i w:val="0"/>
                <w:iCs w:val="0"/>
                <w:color w:val="auto"/>
                <w:sz w:val="21"/>
                <w:szCs w:val="21"/>
                <w:u w:val="none"/>
              </w:rPr>
            </w:pPr>
          </w:p>
        </w:tc>
        <w:tc>
          <w:tcPr>
            <w:tcW w:w="6000" w:type="dxa"/>
            <w:gridSpan w:val="3"/>
            <w:noWrap/>
            <w:vAlign w:val="center"/>
          </w:tcPr>
          <w:p>
            <w:pPr>
              <w:snapToGrid w:val="0"/>
              <w:jc w:val="center"/>
              <w:rPr>
                <w:rFonts w:hint="eastAsia" w:ascii="宋体" w:hAnsi="宋体" w:eastAsia="宋体" w:cs="宋体"/>
                <w:i w:val="0"/>
                <w:iCs w:val="0"/>
                <w:color w:val="auto"/>
                <w:sz w:val="21"/>
                <w:szCs w:val="21"/>
                <w:u w:val="none"/>
              </w:rPr>
            </w:pPr>
          </w:p>
        </w:tc>
        <w:tc>
          <w:tcPr>
            <w:tcW w:w="687" w:type="dxa"/>
            <w:noWrap/>
            <w:vAlign w:val="center"/>
          </w:tcPr>
          <w:p>
            <w:pPr>
              <w:snapToGrid w:val="0"/>
              <w:jc w:val="center"/>
              <w:rPr>
                <w:rFonts w:hint="eastAsia" w:ascii="宋体" w:hAnsi="宋体" w:eastAsia="宋体" w:cs="宋体"/>
                <w:i w:val="0"/>
                <w:iCs w:val="0"/>
                <w:color w:val="auto"/>
                <w:sz w:val="21"/>
                <w:szCs w:val="21"/>
                <w:u w:val="none"/>
              </w:rPr>
            </w:pPr>
          </w:p>
        </w:tc>
        <w:tc>
          <w:tcPr>
            <w:tcW w:w="1313" w:type="dxa"/>
            <w:noWrap/>
            <w:vAlign w:val="center"/>
          </w:tcPr>
          <w:p>
            <w:pPr>
              <w:snapToGrid w:val="0"/>
              <w:jc w:val="center"/>
              <w:rPr>
                <w:rFonts w:hint="eastAsia" w:ascii="宋体" w:hAnsi="宋体" w:eastAsia="宋体" w:cs="宋体"/>
                <w:i w:val="0"/>
                <w:iCs w:val="0"/>
                <w:color w:val="auto"/>
                <w:sz w:val="21"/>
                <w:szCs w:val="21"/>
                <w:u w:val="none"/>
              </w:rPr>
            </w:pPr>
          </w:p>
        </w:tc>
        <w:tc>
          <w:tcPr>
            <w:tcW w:w="1355" w:type="dxa"/>
            <w:noWrap w:val="0"/>
            <w:vAlign w:val="center"/>
          </w:tcPr>
          <w:p>
            <w:pPr>
              <w:snapToGrid w:val="0"/>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551" w:type="dxa"/>
            <w:gridSpan w:val="7"/>
            <w:noWrap w:val="0"/>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1355" w:type="dxa"/>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auto"/>
                <w:sz w:val="21"/>
                <w:szCs w:val="21"/>
                <w:u w:val="none"/>
              </w:rPr>
            </w:pPr>
            <w:r>
              <w:rPr>
                <w:rFonts w:hint="eastAsia" w:ascii="宋体" w:hAnsi="宋体" w:eastAsia="宋体" w:cs="宋体"/>
                <w:b/>
                <w:i w:val="0"/>
                <w:iCs w:val="0"/>
                <w:color w:val="auto"/>
                <w:kern w:val="0"/>
                <w:sz w:val="21"/>
                <w:szCs w:val="21"/>
                <w:u w:val="none"/>
                <w:lang w:val="en-US" w:eastAsia="zh-CN" w:bidi="ar"/>
              </w:rPr>
              <w:t>￥398,000.00</w:t>
            </w:r>
          </w:p>
        </w:tc>
      </w:tr>
    </w:tbl>
    <w:p>
      <w:pPr>
        <w:widowControl/>
        <w:tabs>
          <w:tab w:val="right" w:pos="9078"/>
        </w:tabs>
        <w:spacing w:line="480" w:lineRule="exact"/>
        <w:jc w:val="right"/>
        <w:rPr>
          <w:rFonts w:ascii="宋体" w:hAnsi="宋体" w:eastAsia="宋体" w:cs="宋体"/>
        </w:rPr>
      </w:pPr>
    </w:p>
    <w:p>
      <w:pPr>
        <w:spacing w:line="560" w:lineRule="exact"/>
        <w:ind w:firstLine="840" w:firstLineChars="300"/>
        <w:rPr>
          <w:rFonts w:ascii="仿宋" w:hAnsi="仿宋" w:eastAsia="仿宋" w:cs="宋体"/>
          <w:bCs/>
          <w:sz w:val="28"/>
          <w:szCs w:val="28"/>
        </w:rPr>
      </w:pPr>
    </w:p>
    <w:p>
      <w:pPr>
        <w:spacing w:line="560" w:lineRule="exact"/>
        <w:ind w:firstLine="3920" w:firstLineChars="1400"/>
        <w:jc w:val="right"/>
        <w:rPr>
          <w:rFonts w:ascii="仿宋" w:hAnsi="仿宋" w:eastAsia="仿宋" w:cs="宋体"/>
          <w:bCs/>
          <w:sz w:val="28"/>
          <w:szCs w:val="28"/>
        </w:rPr>
      </w:pPr>
      <w:r>
        <w:rPr>
          <w:rFonts w:ascii="仿宋" w:hAnsi="仿宋" w:eastAsia="仿宋" w:cs="宋体"/>
          <w:bCs/>
          <w:sz w:val="28"/>
          <w:szCs w:val="28"/>
        </w:rPr>
        <w:t>西安市市级单位政府采购中心</w:t>
      </w:r>
    </w:p>
    <w:p>
      <w:pPr>
        <w:spacing w:line="560" w:lineRule="exact"/>
        <w:ind w:right="560" w:firstLine="4760" w:firstLineChars="1700"/>
        <w:jc w:val="center"/>
        <w:rPr>
          <w:rFonts w:ascii="仿宋" w:hAnsi="仿宋" w:eastAsia="仿宋" w:cs="宋体"/>
          <w:bCs/>
          <w:sz w:val="28"/>
          <w:szCs w:val="28"/>
        </w:rPr>
      </w:pPr>
      <w:r>
        <w:rPr>
          <w:rFonts w:ascii="仿宋" w:hAnsi="仿宋" w:eastAsia="仿宋" w:cs="宋体"/>
          <w:bCs/>
          <w:sz w:val="28"/>
          <w:szCs w:val="28"/>
        </w:rPr>
        <w:t xml:space="preserve">     20</w:t>
      </w:r>
      <w:r>
        <w:rPr>
          <w:rFonts w:hint="eastAsia" w:ascii="仿宋" w:hAnsi="仿宋" w:eastAsia="仿宋" w:cs="宋体"/>
          <w:bCs/>
          <w:sz w:val="28"/>
          <w:szCs w:val="28"/>
        </w:rPr>
        <w:t>2</w:t>
      </w:r>
      <w:r>
        <w:rPr>
          <w:rFonts w:hint="eastAsia" w:ascii="仿宋" w:hAnsi="仿宋" w:eastAsia="仿宋" w:cs="宋体"/>
          <w:bCs/>
          <w:sz w:val="28"/>
          <w:szCs w:val="28"/>
          <w:lang w:val="en-US" w:eastAsia="zh-CN"/>
        </w:rPr>
        <w:t>5</w:t>
      </w:r>
      <w:r>
        <w:rPr>
          <w:rFonts w:ascii="仿宋" w:hAnsi="仿宋" w:eastAsia="仿宋" w:cs="宋体"/>
          <w:bCs/>
          <w:sz w:val="28"/>
          <w:szCs w:val="28"/>
        </w:rPr>
        <w:t>年</w:t>
      </w:r>
      <w:r>
        <w:rPr>
          <w:rFonts w:hint="eastAsia" w:ascii="仿宋" w:hAnsi="仿宋" w:eastAsia="仿宋" w:cs="宋体"/>
          <w:bCs/>
          <w:sz w:val="28"/>
          <w:szCs w:val="28"/>
          <w:lang w:val="en-US" w:eastAsia="zh-CN"/>
        </w:rPr>
        <w:t>10</w:t>
      </w:r>
      <w:r>
        <w:rPr>
          <w:rFonts w:ascii="仿宋" w:hAnsi="仿宋" w:eastAsia="仿宋" w:cs="宋体"/>
          <w:bCs/>
          <w:sz w:val="28"/>
          <w:szCs w:val="28"/>
        </w:rPr>
        <w:t>月</w:t>
      </w:r>
      <w:r>
        <w:rPr>
          <w:rFonts w:hint="eastAsia" w:ascii="仿宋" w:hAnsi="仿宋" w:eastAsia="仿宋" w:cs="宋体"/>
          <w:bCs/>
          <w:sz w:val="28"/>
          <w:szCs w:val="28"/>
          <w:lang w:val="en-US" w:eastAsia="zh-CN"/>
        </w:rPr>
        <w:t>9</w:t>
      </w:r>
      <w:r>
        <w:rPr>
          <w:rFonts w:ascii="仿宋" w:hAnsi="仿宋" w:eastAsia="仿宋" w:cs="宋体"/>
          <w:bCs/>
          <w:sz w:val="28"/>
          <w:szCs w:val="28"/>
        </w:rPr>
        <w:t>日</w:t>
      </w:r>
    </w:p>
    <w:sectPr>
      <w:pgSz w:w="11906" w:h="16838"/>
      <w:pgMar w:top="1610" w:right="1746"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F2F72"/>
    <w:multiLevelType w:val="singleLevel"/>
    <w:tmpl w:val="6EFF2F7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51AD40E1"/>
    <w:rsid w:val="0002278E"/>
    <w:rsid w:val="000B623F"/>
    <w:rsid w:val="00126CB5"/>
    <w:rsid w:val="00155F16"/>
    <w:rsid w:val="001651CB"/>
    <w:rsid w:val="001703BB"/>
    <w:rsid w:val="001934ED"/>
    <w:rsid w:val="00226C66"/>
    <w:rsid w:val="002845ED"/>
    <w:rsid w:val="002B2993"/>
    <w:rsid w:val="002C42AD"/>
    <w:rsid w:val="002E44D4"/>
    <w:rsid w:val="002E6CBF"/>
    <w:rsid w:val="00315B30"/>
    <w:rsid w:val="00320011"/>
    <w:rsid w:val="00345C19"/>
    <w:rsid w:val="0034769F"/>
    <w:rsid w:val="00361D61"/>
    <w:rsid w:val="00401950"/>
    <w:rsid w:val="00417D8B"/>
    <w:rsid w:val="00437E09"/>
    <w:rsid w:val="00456682"/>
    <w:rsid w:val="004A57EC"/>
    <w:rsid w:val="004E342D"/>
    <w:rsid w:val="00542404"/>
    <w:rsid w:val="0056631F"/>
    <w:rsid w:val="0059678E"/>
    <w:rsid w:val="005972C7"/>
    <w:rsid w:val="005D5FBA"/>
    <w:rsid w:val="006C552E"/>
    <w:rsid w:val="006D550B"/>
    <w:rsid w:val="007175C9"/>
    <w:rsid w:val="0073527D"/>
    <w:rsid w:val="00756A59"/>
    <w:rsid w:val="007C2C56"/>
    <w:rsid w:val="008670F2"/>
    <w:rsid w:val="00944072"/>
    <w:rsid w:val="00951614"/>
    <w:rsid w:val="00956E74"/>
    <w:rsid w:val="009F4FD5"/>
    <w:rsid w:val="00A20271"/>
    <w:rsid w:val="00A27C31"/>
    <w:rsid w:val="00A52D31"/>
    <w:rsid w:val="00AA6AA6"/>
    <w:rsid w:val="00AB1E1F"/>
    <w:rsid w:val="00AF27D6"/>
    <w:rsid w:val="00B10DE4"/>
    <w:rsid w:val="00B604EF"/>
    <w:rsid w:val="00B61B62"/>
    <w:rsid w:val="00B95BD1"/>
    <w:rsid w:val="00C00746"/>
    <w:rsid w:val="00C0236D"/>
    <w:rsid w:val="00C47260"/>
    <w:rsid w:val="00C50EE7"/>
    <w:rsid w:val="00C6331E"/>
    <w:rsid w:val="00C74260"/>
    <w:rsid w:val="00CA203C"/>
    <w:rsid w:val="00CD52E2"/>
    <w:rsid w:val="00CF0BAC"/>
    <w:rsid w:val="00D76E95"/>
    <w:rsid w:val="00DA3968"/>
    <w:rsid w:val="00E06575"/>
    <w:rsid w:val="00EC2952"/>
    <w:rsid w:val="00EE7BD8"/>
    <w:rsid w:val="00F010A8"/>
    <w:rsid w:val="00F05261"/>
    <w:rsid w:val="00F22DAF"/>
    <w:rsid w:val="00F4333F"/>
    <w:rsid w:val="00F62C2B"/>
    <w:rsid w:val="00F823FE"/>
    <w:rsid w:val="00FA1A0D"/>
    <w:rsid w:val="00FC1266"/>
    <w:rsid w:val="00FF5AC7"/>
    <w:rsid w:val="09A20F5E"/>
    <w:rsid w:val="0BED4220"/>
    <w:rsid w:val="176945C9"/>
    <w:rsid w:val="17AE794C"/>
    <w:rsid w:val="21E87FC7"/>
    <w:rsid w:val="22D458AF"/>
    <w:rsid w:val="2DD005FB"/>
    <w:rsid w:val="2EEA68FA"/>
    <w:rsid w:val="2FF661D2"/>
    <w:rsid w:val="33141CB1"/>
    <w:rsid w:val="38084878"/>
    <w:rsid w:val="38F31687"/>
    <w:rsid w:val="3900043F"/>
    <w:rsid w:val="3AC86C36"/>
    <w:rsid w:val="40892604"/>
    <w:rsid w:val="41A84679"/>
    <w:rsid w:val="4B5A7B64"/>
    <w:rsid w:val="51AD40E1"/>
    <w:rsid w:val="53764710"/>
    <w:rsid w:val="5469207D"/>
    <w:rsid w:val="6A5E7DF6"/>
    <w:rsid w:val="74BF4BE6"/>
    <w:rsid w:val="7583776C"/>
    <w:rsid w:val="76163A8B"/>
    <w:rsid w:val="763B1B73"/>
    <w:rsid w:val="794F3FE6"/>
    <w:rsid w:val="7B156BA3"/>
    <w:rsid w:val="7B4D2B63"/>
    <w:rsid w:val="7CBB1D0B"/>
    <w:rsid w:val="7E1705E2"/>
    <w:rsid w:val="7E4827DB"/>
    <w:rsid w:val="7E516E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color w:val="993300"/>
      <w:sz w:val="24"/>
    </w:rPr>
  </w:style>
  <w:style w:type="paragraph" w:styleId="5">
    <w:name w:val="Plain Text"/>
    <w:basedOn w:val="1"/>
    <w:link w:val="26"/>
    <w:qFormat/>
    <w:uiPriority w:val="0"/>
    <w:rPr>
      <w:rFonts w:ascii="宋体" w:hAnsi="Courier New"/>
      <w:szCs w:val="22"/>
    </w:rPr>
  </w:style>
  <w:style w:type="paragraph" w:styleId="6">
    <w:name w:val="Balloon Text"/>
    <w:basedOn w:val="1"/>
    <w:link w:val="35"/>
    <w:semiHidden/>
    <w:unhideWhenUsed/>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semiHidden/>
    <w:unhideWhenUsed/>
    <w:uiPriority w:val="0"/>
    <w:rPr>
      <w:color w:val="800080"/>
      <w:u w:val="none"/>
    </w:rPr>
  </w:style>
  <w:style w:type="character" w:styleId="14">
    <w:name w:val="Emphasis"/>
    <w:basedOn w:val="11"/>
    <w:qFormat/>
    <w:uiPriority w:val="0"/>
    <w:rPr>
      <w:b/>
      <w:bCs/>
    </w:rPr>
  </w:style>
  <w:style w:type="character" w:styleId="15">
    <w:name w:val="HTML Definition"/>
    <w:basedOn w:val="11"/>
    <w:semiHidden/>
    <w:unhideWhenUsed/>
    <w:uiPriority w:val="0"/>
  </w:style>
  <w:style w:type="character" w:styleId="16">
    <w:name w:val="HTML Typewriter"/>
    <w:basedOn w:val="11"/>
    <w:semiHidden/>
    <w:unhideWhenUsed/>
    <w:uiPriority w:val="0"/>
    <w:rPr>
      <w:rFonts w:hint="default" w:ascii="monospace" w:hAnsi="monospace" w:eastAsia="monospace" w:cs="monospace"/>
      <w:color w:val="FFFFFF"/>
      <w:sz w:val="20"/>
      <w:shd w:val="clear" w:fill="76C0E3"/>
    </w:rPr>
  </w:style>
  <w:style w:type="character" w:styleId="17">
    <w:name w:val="HTML Acronym"/>
    <w:basedOn w:val="11"/>
    <w:semiHidden/>
    <w:unhideWhenUsed/>
    <w:uiPriority w:val="0"/>
  </w:style>
  <w:style w:type="character" w:styleId="18">
    <w:name w:val="HTML Variable"/>
    <w:basedOn w:val="11"/>
    <w:semiHidden/>
    <w:unhideWhenUsed/>
    <w:uiPriority w:val="0"/>
  </w:style>
  <w:style w:type="character" w:styleId="19">
    <w:name w:val="Hyperlink"/>
    <w:basedOn w:val="11"/>
    <w:semiHidden/>
    <w:unhideWhenUsed/>
    <w:uiPriority w:val="0"/>
    <w:rPr>
      <w:color w:val="0000FF"/>
      <w:u w:val="none"/>
    </w:rPr>
  </w:style>
  <w:style w:type="character" w:styleId="20">
    <w:name w:val="HTML Code"/>
    <w:basedOn w:val="11"/>
    <w:semiHidden/>
    <w:unhideWhenUsed/>
    <w:uiPriority w:val="0"/>
    <w:rPr>
      <w:rFonts w:hint="default" w:ascii="monospace" w:hAnsi="monospace" w:eastAsia="monospace" w:cs="monospace"/>
      <w:sz w:val="20"/>
    </w:rPr>
  </w:style>
  <w:style w:type="character" w:styleId="21">
    <w:name w:val="HTML Cite"/>
    <w:basedOn w:val="11"/>
    <w:semiHidden/>
    <w:unhideWhenUsed/>
    <w:uiPriority w:val="0"/>
  </w:style>
  <w:style w:type="character" w:styleId="22">
    <w:name w:val="HTML Keyboard"/>
    <w:basedOn w:val="11"/>
    <w:semiHidden/>
    <w:unhideWhenUsed/>
    <w:uiPriority w:val="0"/>
    <w:rPr>
      <w:rFonts w:ascii="monospace" w:hAnsi="monospace" w:eastAsia="monospace" w:cs="monospace"/>
      <w:sz w:val="20"/>
    </w:rPr>
  </w:style>
  <w:style w:type="character" w:styleId="23">
    <w:name w:val="HTML Sample"/>
    <w:basedOn w:val="11"/>
    <w:semiHidden/>
    <w:unhideWhenUsed/>
    <w:qFormat/>
    <w:uiPriority w:val="0"/>
    <w:rPr>
      <w:rFonts w:hint="default" w:ascii="monospace" w:hAnsi="monospace" w:eastAsia="monospace" w:cs="monospace"/>
    </w:rPr>
  </w:style>
  <w:style w:type="character" w:customStyle="1" w:styleId="24">
    <w:name w:val="标题 1 字符"/>
    <w:basedOn w:val="11"/>
    <w:link w:val="2"/>
    <w:qFormat/>
    <w:uiPriority w:val="9"/>
    <w:rPr>
      <w:rFonts w:ascii="Times New Roman" w:hAnsi="Times New Roman" w:eastAsia="宋体" w:cs="Times New Roman"/>
      <w:b/>
      <w:bCs/>
      <w:kern w:val="44"/>
      <w:sz w:val="44"/>
      <w:szCs w:val="44"/>
    </w:rPr>
  </w:style>
  <w:style w:type="character" w:customStyle="1" w:styleId="25">
    <w:name w:val="标题 2 字符"/>
    <w:basedOn w:val="11"/>
    <w:link w:val="3"/>
    <w:qFormat/>
    <w:uiPriority w:val="0"/>
    <w:rPr>
      <w:rFonts w:ascii="Arial" w:hAnsi="Arial" w:eastAsia="黑体" w:cs="Arial"/>
      <w:b/>
      <w:bCs/>
      <w:kern w:val="2"/>
      <w:sz w:val="32"/>
      <w:szCs w:val="32"/>
    </w:rPr>
  </w:style>
  <w:style w:type="character" w:customStyle="1" w:styleId="26">
    <w:name w:val="纯文本 字符"/>
    <w:basedOn w:val="11"/>
    <w:link w:val="5"/>
    <w:qFormat/>
    <w:uiPriority w:val="0"/>
    <w:rPr>
      <w:rFonts w:ascii="宋体" w:hAnsi="Courier New"/>
      <w:kern w:val="2"/>
      <w:sz w:val="21"/>
      <w:szCs w:val="22"/>
    </w:rPr>
  </w:style>
  <w:style w:type="paragraph" w:styleId="27">
    <w:name w:val="List Paragraph"/>
    <w:basedOn w:val="1"/>
    <w:qFormat/>
    <w:uiPriority w:val="99"/>
    <w:pPr>
      <w:ind w:firstLine="420" w:firstLineChars="200"/>
    </w:pPr>
  </w:style>
  <w:style w:type="character" w:customStyle="1" w:styleId="28">
    <w:name w:val="页眉 字符"/>
    <w:basedOn w:val="11"/>
    <w:link w:val="8"/>
    <w:qFormat/>
    <w:uiPriority w:val="0"/>
    <w:rPr>
      <w:kern w:val="2"/>
      <w:sz w:val="18"/>
      <w:szCs w:val="18"/>
    </w:rPr>
  </w:style>
  <w:style w:type="character" w:customStyle="1" w:styleId="29">
    <w:name w:val="页脚 字符"/>
    <w:basedOn w:val="11"/>
    <w:link w:val="7"/>
    <w:qFormat/>
    <w:uiPriority w:val="0"/>
    <w:rPr>
      <w:kern w:val="2"/>
      <w:sz w:val="18"/>
      <w:szCs w:val="18"/>
    </w:rPr>
  </w:style>
  <w:style w:type="paragraph" w:customStyle="1" w:styleId="30">
    <w:name w:val="Default"/>
    <w:qFormat/>
    <w:uiPriority w:val="0"/>
    <w:pPr>
      <w:widowControl w:val="0"/>
      <w:autoSpaceDE w:val="0"/>
      <w:autoSpaceDN w:val="0"/>
      <w:adjustRightInd w:val="0"/>
    </w:pPr>
    <w:rPr>
      <w:rFonts w:ascii="华文仿宋" w:hAnsi="华文仿宋" w:eastAsia="微软雅黑" w:cs="华文仿宋"/>
      <w:color w:val="000000"/>
      <w:sz w:val="24"/>
      <w:szCs w:val="24"/>
      <w:lang w:val="en-US" w:eastAsia="zh-CN" w:bidi="ar-SA"/>
    </w:rPr>
  </w:style>
  <w:style w:type="paragraph" w:customStyle="1" w:styleId="31">
    <w:name w:val="※封面题须"/>
    <w:basedOn w:val="1"/>
    <w:qFormat/>
    <w:uiPriority w:val="0"/>
    <w:pPr>
      <w:ind w:left="850" w:leftChars="350" w:right="250" w:rightChars="250" w:hanging="500" w:hangingChars="500"/>
      <w:jc w:val="left"/>
    </w:pPr>
    <w:rPr>
      <w:sz w:val="36"/>
      <w:szCs w:val="36"/>
    </w:rPr>
  </w:style>
  <w:style w:type="paragraph" w:customStyle="1" w:styleId="32">
    <w:name w:val="※正文"/>
    <w:basedOn w:val="1"/>
    <w:next w:val="1"/>
    <w:qFormat/>
    <w:uiPriority w:val="0"/>
    <w:pPr>
      <w:wordWrap w:val="0"/>
    </w:pPr>
  </w:style>
  <w:style w:type="paragraph" w:customStyle="1" w:styleId="33">
    <w:name w:val="页眉1"/>
    <w:basedOn w:val="1"/>
    <w:next w:val="8"/>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34">
    <w:name w:val="页脚1"/>
    <w:basedOn w:val="1"/>
    <w:next w:val="7"/>
    <w:qFormat/>
    <w:uiPriority w:val="99"/>
    <w:pPr>
      <w:tabs>
        <w:tab w:val="center" w:pos="4153"/>
        <w:tab w:val="right" w:pos="8306"/>
      </w:tabs>
      <w:snapToGrid w:val="0"/>
      <w:jc w:val="left"/>
    </w:pPr>
    <w:rPr>
      <w:rFonts w:ascii="Calibri Light" w:hAnsi="Calibri Light" w:eastAsia="华文仿宋"/>
      <w:sz w:val="18"/>
      <w:szCs w:val="28"/>
    </w:rPr>
  </w:style>
  <w:style w:type="character" w:customStyle="1" w:styleId="35">
    <w:name w:val="批注框文本 字符"/>
    <w:basedOn w:val="11"/>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00D4-1C16-48B7-A70C-D9337018ABE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754</Words>
  <Characters>1001</Characters>
  <Lines>8</Lines>
  <Paragraphs>2</Paragraphs>
  <TotalTime>17</TotalTime>
  <ScaleCrop>false</ScaleCrop>
  <LinksUpToDate>false</LinksUpToDate>
  <CharactersWithSpaces>1028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趋之若鹜</cp:lastModifiedBy>
  <cp:lastPrinted>2025-10-09T07:51:00Z</cp:lastPrinted>
  <dcterms:modified xsi:type="dcterms:W3CDTF">2025-10-09T08:17:50Z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96B91EBC9258482DA3F4226ABBFC52CE</vt:lpwstr>
  </property>
  <property fmtid="{D5CDD505-2E9C-101B-9397-08002B2CF9AE}" pid="4" name="KSOTemplateDocerSaveRecord">
    <vt:lpwstr>eyJoZGlkIjoiMTY0Y2ZjNTgwMDJlM2E2ZmNhMjdhMDA5MDUzOGZjZGUiLCJ1c2VySWQiOiIxOTMwNzk2ODgifQ==</vt:lpwstr>
  </property>
</Properties>
</file>