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740C24">
      <w:pPr>
        <w:pStyle w:val="26"/>
        <w:jc w:val="both"/>
        <w:rPr>
          <w:rFonts w:hint="eastAsia" w:ascii="宋体" w:hAnsi="宋体" w:cs="宋体"/>
          <w:b/>
          <w:bCs/>
          <w:color w:val="auto"/>
          <w:sz w:val="56"/>
          <w:szCs w:val="56"/>
          <w:lang w:eastAsia="zh-CN"/>
        </w:rPr>
      </w:pPr>
      <w:r>
        <w:rPr>
          <w:rFonts w:hint="eastAsia" w:ascii="宋体" w:hAnsi="宋体" w:eastAsia="宋体" w:cs="宋体"/>
          <w:b/>
          <w:bCs/>
          <w:color w:val="auto"/>
          <w:sz w:val="28"/>
          <w:szCs w:val="28"/>
        </w:rPr>
        <w:t>采购项目编号：</w:t>
      </w:r>
      <w:bookmarkStart w:id="524" w:name="_GoBack"/>
      <w:r>
        <w:rPr>
          <w:rFonts w:hint="eastAsia" w:ascii="宋体" w:hAnsi="宋体" w:cs="宋体"/>
          <w:b/>
          <w:bCs/>
          <w:color w:val="auto"/>
          <w:sz w:val="28"/>
          <w:szCs w:val="28"/>
          <w:lang w:eastAsia="zh-CN"/>
        </w:rPr>
        <w:t>HJLZB-2025-56</w:t>
      </w:r>
    </w:p>
    <w:bookmarkEnd w:id="524"/>
    <w:p w14:paraId="44F53A1C">
      <w:pPr>
        <w:pStyle w:val="26"/>
        <w:jc w:val="center"/>
        <w:rPr>
          <w:rFonts w:hint="eastAsia" w:ascii="宋体" w:hAnsi="宋体" w:cs="宋体"/>
          <w:b/>
          <w:bCs/>
          <w:color w:val="auto"/>
          <w:sz w:val="56"/>
          <w:szCs w:val="56"/>
          <w:lang w:eastAsia="zh-CN"/>
        </w:rPr>
      </w:pPr>
    </w:p>
    <w:p w14:paraId="21A8753D">
      <w:pPr>
        <w:jc w:val="center"/>
        <w:rPr>
          <w:rFonts w:hint="eastAsia" w:ascii="宋体" w:hAnsi="宋体" w:eastAsia="宋体" w:cs="宋体"/>
          <w:b/>
          <w:color w:val="auto"/>
          <w:sz w:val="72"/>
          <w:szCs w:val="72"/>
        </w:rPr>
      </w:pPr>
      <w:r>
        <w:rPr>
          <w:rFonts w:hint="eastAsia" w:ascii="宋体" w:hAnsi="宋体" w:cs="宋体"/>
          <w:b/>
          <w:bCs/>
          <w:color w:val="auto"/>
          <w:sz w:val="72"/>
          <w:szCs w:val="72"/>
          <w:lang w:eastAsia="zh-CN"/>
        </w:rPr>
        <w:t>田家寨镇张圪崂村张圪崂大型淤地坝提升改造工程</w:t>
      </w:r>
    </w:p>
    <w:p w14:paraId="38F7E75D">
      <w:pPr>
        <w:pStyle w:val="3"/>
        <w:rPr>
          <w:rFonts w:hint="eastAsia"/>
          <w:color w:val="auto"/>
        </w:rPr>
      </w:pPr>
    </w:p>
    <w:p w14:paraId="3B80BC4A">
      <w:pPr>
        <w:rPr>
          <w:rFonts w:hint="eastAsia"/>
        </w:rPr>
      </w:pPr>
    </w:p>
    <w:p w14:paraId="03738F77">
      <w:pPr>
        <w:jc w:val="center"/>
        <w:rPr>
          <w:rFonts w:hint="eastAsia" w:ascii="宋体" w:hAnsi="宋体" w:eastAsia="宋体" w:cs="宋体"/>
          <w:b/>
          <w:bCs/>
          <w:color w:val="auto"/>
          <w:sz w:val="72"/>
          <w:szCs w:val="72"/>
        </w:rPr>
      </w:pPr>
      <w:r>
        <w:rPr>
          <w:rFonts w:hint="eastAsia" w:ascii="宋体" w:hAnsi="宋体" w:eastAsia="宋体" w:cs="宋体"/>
          <w:b/>
          <w:color w:val="auto"/>
          <w:sz w:val="56"/>
          <w:szCs w:val="56"/>
        </w:rPr>
        <w:t>竞争性磋商文件</w:t>
      </w:r>
    </w:p>
    <w:p w14:paraId="4A9DEE7B">
      <w:pPr>
        <w:jc w:val="center"/>
        <w:rPr>
          <w:rFonts w:hint="eastAsia" w:ascii="宋体" w:hAnsi="宋体" w:eastAsia="宋体" w:cs="宋体"/>
          <w:b/>
          <w:bCs/>
          <w:color w:val="auto"/>
          <w:sz w:val="28"/>
          <w:szCs w:val="28"/>
        </w:rPr>
      </w:pPr>
    </w:p>
    <w:p w14:paraId="598E0ADD">
      <w:pPr>
        <w:jc w:val="center"/>
        <w:rPr>
          <w:rFonts w:hint="eastAsia" w:ascii="宋体" w:hAnsi="宋体" w:eastAsia="宋体" w:cs="宋体"/>
          <w:b/>
          <w:bCs/>
          <w:color w:val="auto"/>
          <w:sz w:val="28"/>
          <w:szCs w:val="28"/>
          <w:lang w:eastAsia="zh-CN"/>
        </w:rPr>
      </w:pPr>
    </w:p>
    <w:p w14:paraId="6CC5C15E">
      <w:pPr>
        <w:jc w:val="center"/>
        <w:rPr>
          <w:rFonts w:hint="eastAsia" w:ascii="宋体" w:hAnsi="宋体" w:eastAsia="宋体" w:cs="宋体"/>
          <w:b/>
          <w:bCs/>
          <w:color w:val="auto"/>
          <w:sz w:val="28"/>
          <w:szCs w:val="28"/>
        </w:rPr>
      </w:pPr>
    </w:p>
    <w:p w14:paraId="07EA922F">
      <w:pPr>
        <w:keepNext w:val="0"/>
        <w:keepLines w:val="0"/>
        <w:widowControl/>
        <w:suppressLineNumbers w:val="0"/>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ab/>
      </w:r>
    </w:p>
    <w:p w14:paraId="3F8D4F22">
      <w:pPr>
        <w:keepNext w:val="0"/>
        <w:keepLines w:val="0"/>
        <w:widowControl/>
        <w:suppressLineNumbers w:val="0"/>
        <w:jc w:val="left"/>
        <w:rPr>
          <w:rFonts w:hint="eastAsia" w:ascii="宋体" w:hAnsi="宋体" w:eastAsia="宋体" w:cs="宋体"/>
          <w:color w:val="auto"/>
        </w:rPr>
      </w:pPr>
    </w:p>
    <w:p w14:paraId="61D4C4F3">
      <w:pPr>
        <w:spacing w:line="720" w:lineRule="auto"/>
        <w:ind w:firstLine="964" w:firstLineChars="300"/>
        <w:rPr>
          <w:rFonts w:hint="eastAsia" w:ascii="宋体" w:hAnsi="宋体" w:eastAsia="宋体" w:cs="宋体"/>
          <w:color w:val="auto"/>
          <w:sz w:val="32"/>
          <w:szCs w:val="32"/>
          <w:u w:val="none"/>
        </w:rPr>
      </w:pPr>
      <w:r>
        <w:rPr>
          <w:rFonts w:hint="eastAsia" w:ascii="宋体" w:hAnsi="宋体" w:eastAsia="宋体" w:cs="宋体"/>
          <w:b/>
          <w:bCs/>
          <w:color w:val="auto"/>
          <w:sz w:val="32"/>
          <w:szCs w:val="32"/>
          <w:u w:val="none"/>
        </w:rPr>
        <w:t>采   购   人：</w:t>
      </w:r>
      <w:r>
        <w:rPr>
          <w:rFonts w:hint="eastAsia" w:ascii="宋体" w:hAnsi="宋体" w:eastAsia="宋体" w:cs="宋体"/>
          <w:b/>
          <w:bCs/>
          <w:color w:val="auto"/>
          <w:sz w:val="32"/>
          <w:szCs w:val="32"/>
          <w:u w:val="none"/>
          <w:lang w:val="en-US" w:eastAsia="zh-CN"/>
        </w:rPr>
        <w:t>府谷县田家寨镇人民政府</w:t>
      </w:r>
      <w:r>
        <w:rPr>
          <w:rFonts w:hint="eastAsia" w:ascii="宋体" w:hAnsi="宋体" w:eastAsia="宋体" w:cs="宋体"/>
          <w:b/>
          <w:bCs/>
          <w:color w:val="auto"/>
          <w:sz w:val="32"/>
          <w:szCs w:val="32"/>
          <w:u w:val="none"/>
        </w:rPr>
        <w:t xml:space="preserve">   </w:t>
      </w:r>
    </w:p>
    <w:p w14:paraId="075E4C92">
      <w:pPr>
        <w:spacing w:line="720" w:lineRule="auto"/>
        <w:ind w:firstLine="964" w:firstLineChars="300"/>
        <w:rPr>
          <w:rFonts w:hint="eastAsia" w:ascii="宋体" w:hAnsi="宋体" w:eastAsia="宋体" w:cs="宋体"/>
          <w:b/>
          <w:bCs/>
          <w:color w:val="auto"/>
          <w:sz w:val="32"/>
          <w:szCs w:val="32"/>
          <w:u w:val="none"/>
        </w:rPr>
      </w:pPr>
      <w:r>
        <w:rPr>
          <w:rFonts w:hint="eastAsia" w:ascii="宋体" w:hAnsi="宋体" w:eastAsia="宋体" w:cs="宋体"/>
          <w:b/>
          <w:bCs/>
          <w:color w:val="auto"/>
          <w:sz w:val="32"/>
          <w:szCs w:val="32"/>
          <w:u w:val="none"/>
        </w:rPr>
        <w:t>采购代理机构：</w:t>
      </w:r>
      <w:r>
        <w:rPr>
          <w:rFonts w:hint="eastAsia" w:ascii="宋体" w:hAnsi="宋体" w:eastAsia="宋体" w:cs="宋体"/>
          <w:b/>
          <w:bCs/>
          <w:color w:val="auto"/>
          <w:sz w:val="32"/>
          <w:szCs w:val="32"/>
          <w:u w:val="none"/>
          <w:lang w:eastAsia="zh-CN"/>
        </w:rPr>
        <w:t>华建联（陕西）招标代理有限公司</w:t>
      </w:r>
      <w:r>
        <w:rPr>
          <w:rFonts w:hint="eastAsia" w:ascii="宋体" w:hAnsi="宋体" w:eastAsia="宋体" w:cs="宋体"/>
          <w:b/>
          <w:bCs/>
          <w:color w:val="auto"/>
          <w:sz w:val="32"/>
          <w:szCs w:val="32"/>
          <w:u w:val="none"/>
        </w:rPr>
        <w:t xml:space="preserve">  </w:t>
      </w:r>
    </w:p>
    <w:p w14:paraId="5475E740">
      <w:pPr>
        <w:jc w:val="center"/>
        <w:rPr>
          <w:rFonts w:hint="eastAsia" w:ascii="宋体" w:hAnsi="宋体" w:eastAsia="宋体" w:cs="宋体"/>
          <w:b/>
          <w:bCs/>
          <w:color w:val="auto"/>
          <w:sz w:val="32"/>
          <w:szCs w:val="32"/>
          <w:u w:val="none"/>
        </w:rPr>
      </w:pPr>
    </w:p>
    <w:p w14:paraId="2F2CC941">
      <w:pPr>
        <w:jc w:val="center"/>
        <w:rPr>
          <w:rFonts w:hint="eastAsia" w:ascii="宋体" w:hAnsi="宋体" w:eastAsia="宋体" w:cs="宋体"/>
          <w:b/>
          <w:bCs/>
          <w:color w:val="auto"/>
          <w:sz w:val="32"/>
          <w:szCs w:val="32"/>
          <w:u w:val="none"/>
        </w:rPr>
      </w:pPr>
      <w:r>
        <w:rPr>
          <w:rFonts w:hint="eastAsia" w:ascii="宋体" w:hAnsi="宋体" w:eastAsia="宋体" w:cs="宋体"/>
          <w:b/>
          <w:bCs/>
          <w:color w:val="auto"/>
          <w:sz w:val="32"/>
          <w:szCs w:val="32"/>
          <w:u w:val="none"/>
          <w:lang w:val="en-US" w:eastAsia="zh-CN"/>
        </w:rPr>
        <w:t>二〇二五</w:t>
      </w:r>
      <w:r>
        <w:rPr>
          <w:rFonts w:hint="eastAsia" w:ascii="宋体" w:hAnsi="宋体" w:eastAsia="宋体" w:cs="宋体"/>
          <w:b/>
          <w:bCs/>
          <w:color w:val="auto"/>
          <w:sz w:val="32"/>
          <w:szCs w:val="32"/>
          <w:u w:val="none"/>
        </w:rPr>
        <w:t>年</w:t>
      </w:r>
      <w:r>
        <w:rPr>
          <w:rFonts w:hint="eastAsia" w:ascii="宋体" w:hAnsi="宋体" w:eastAsia="宋体" w:cs="宋体"/>
          <w:b/>
          <w:bCs/>
          <w:color w:val="auto"/>
          <w:sz w:val="32"/>
          <w:szCs w:val="32"/>
          <w:u w:val="none"/>
          <w:lang w:val="en-US" w:eastAsia="zh-CN"/>
        </w:rPr>
        <w:t>九月</w:t>
      </w:r>
    </w:p>
    <w:p w14:paraId="469B50B9">
      <w:pPr>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br w:type="page"/>
      </w:r>
    </w:p>
    <w:p w14:paraId="6183D461">
      <w:pPr>
        <w:spacing w:before="0" w:beforeLines="0" w:after="0" w:afterLines="0" w:line="240" w:lineRule="auto"/>
        <w:ind w:left="0" w:leftChars="0" w:right="0" w:rightChars="0" w:firstLine="0" w:firstLineChars="0"/>
        <w:jc w:val="center"/>
        <w:rPr>
          <w:rFonts w:hint="eastAsia" w:ascii="宋体" w:hAnsi="宋体" w:eastAsia="宋体" w:cs="宋体"/>
          <w:color w:val="auto"/>
          <w:kern w:val="2"/>
          <w:sz w:val="21"/>
          <w:szCs w:val="24"/>
          <w:lang w:val="en-US" w:eastAsia="zh-CN" w:bidi="ar-SA"/>
        </w:rPr>
      </w:pPr>
    </w:p>
    <w:sdt>
      <w:sdtPr>
        <w:rPr>
          <w:rFonts w:hint="eastAsia" w:ascii="宋体" w:hAnsi="宋体" w:eastAsia="宋体" w:cs="宋体"/>
          <w:color w:val="auto"/>
          <w:kern w:val="2"/>
          <w:sz w:val="36"/>
          <w:szCs w:val="36"/>
          <w:lang w:val="en-US" w:eastAsia="zh-CN" w:bidi="ar-SA"/>
        </w:rPr>
        <w:id w:val="147476632"/>
        <w15:color w:val="DBDBDB"/>
        <w:docPartObj>
          <w:docPartGallery w:val="Table of Contents"/>
          <w:docPartUnique/>
        </w:docPartObj>
      </w:sdtPr>
      <w:sdtEndPr>
        <w:rPr>
          <w:rFonts w:hint="eastAsia" w:ascii="宋体" w:hAnsi="宋体" w:eastAsia="宋体" w:cs="宋体"/>
          <w:color w:val="auto"/>
          <w:kern w:val="2"/>
          <w:sz w:val="24"/>
          <w:szCs w:val="21"/>
          <w:lang w:val="en-US" w:eastAsia="zh-CN" w:bidi="ar-SA"/>
        </w:rPr>
      </w:sdtEndPr>
      <w:sdtContent>
        <w:sdt>
          <w:sdtPr>
            <w:rPr>
              <w:rFonts w:hint="eastAsia" w:ascii="宋体" w:hAnsi="宋体" w:eastAsia="宋体" w:cs="宋体"/>
              <w:color w:val="auto"/>
              <w:kern w:val="2"/>
              <w:sz w:val="36"/>
              <w:szCs w:val="36"/>
              <w:lang w:val="en-US" w:eastAsia="zh-CN" w:bidi="ar-SA"/>
            </w:rPr>
            <w:id w:val="147468977"/>
            <w15:color w:val="DBDBDB"/>
            <w:docPartObj>
              <w:docPartGallery w:val="Table of Contents"/>
              <w:docPartUnique/>
            </w:docPartObj>
          </w:sdtPr>
          <w:sdtEndPr>
            <w:rPr>
              <w:rFonts w:hint="eastAsia" w:ascii="宋体" w:hAnsi="宋体" w:eastAsia="宋体" w:cs="宋体"/>
              <w:color w:val="auto"/>
              <w:kern w:val="2"/>
              <w:sz w:val="24"/>
              <w:szCs w:val="21"/>
              <w:lang w:val="en-US" w:eastAsia="zh-CN" w:bidi="ar-SA"/>
            </w:rPr>
          </w:sdtEndPr>
          <w:sdtContent>
            <w:p w14:paraId="35F11454">
              <w:pPr>
                <w:spacing w:before="0" w:beforeLines="0" w:after="0" w:afterLines="0" w:line="240" w:lineRule="auto"/>
                <w:ind w:left="0" w:leftChars="0" w:right="0" w:rightChars="0" w:firstLine="0" w:firstLineChars="0"/>
                <w:jc w:val="center"/>
                <w:rPr>
                  <w:rFonts w:hint="eastAsia"/>
                  <w:color w:val="auto"/>
                </w:rPr>
              </w:pPr>
              <w:r>
                <w:rPr>
                  <w:rFonts w:hint="eastAsia" w:ascii="宋体" w:hAnsi="宋体" w:eastAsia="宋体" w:cs="宋体"/>
                  <w:color w:val="auto"/>
                  <w:sz w:val="36"/>
                  <w:szCs w:val="36"/>
                </w:rPr>
                <w:t>目</w:t>
              </w:r>
              <w:r>
                <w:rPr>
                  <w:rFonts w:hint="eastAsia" w:ascii="宋体" w:hAnsi="宋体" w:eastAsia="宋体" w:cs="宋体"/>
                  <w:color w:val="auto"/>
                  <w:sz w:val="36"/>
                  <w:szCs w:val="36"/>
                  <w:lang w:val="en-US" w:eastAsia="zh-CN"/>
                </w:rPr>
                <w:t xml:space="preserve"> </w:t>
              </w:r>
              <w:r>
                <w:rPr>
                  <w:rFonts w:hint="eastAsia" w:ascii="宋体" w:hAnsi="宋体" w:eastAsia="宋体" w:cs="宋体"/>
                  <w:color w:val="auto"/>
                  <w:sz w:val="36"/>
                  <w:szCs w:val="36"/>
                </w:rPr>
                <w:t>录</w:t>
              </w:r>
            </w:p>
            <w:p w14:paraId="717901FD">
              <w:pPr>
                <w:pStyle w:val="16"/>
                <w:tabs>
                  <w:tab w:val="right" w:leader="dot" w:pos="9360"/>
                </w:tabs>
                <w:spacing w:line="600" w:lineRule="auto"/>
                <w:rPr>
                  <w:color w:val="auto"/>
                  <w:sz w:val="28"/>
                  <w:szCs w:val="28"/>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TOC \o "1-1" \h \u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_Toc2362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28"/>
                </w:rPr>
                <w:t>第一章  竞争性磋商公告</w:t>
              </w:r>
              <w:r>
                <w:rPr>
                  <w:color w:val="auto"/>
                  <w:sz w:val="28"/>
                  <w:szCs w:val="28"/>
                </w:rPr>
                <w:tab/>
              </w:r>
              <w:r>
                <w:rPr>
                  <w:color w:val="auto"/>
                  <w:sz w:val="28"/>
                  <w:szCs w:val="28"/>
                </w:rPr>
                <w:fldChar w:fldCharType="begin"/>
              </w:r>
              <w:r>
                <w:rPr>
                  <w:color w:val="auto"/>
                  <w:sz w:val="28"/>
                  <w:szCs w:val="28"/>
                </w:rPr>
                <w:instrText xml:space="preserve"> PAGEREF _Toc2362 \h </w:instrText>
              </w:r>
              <w:r>
                <w:rPr>
                  <w:color w:val="auto"/>
                  <w:sz w:val="28"/>
                  <w:szCs w:val="28"/>
                </w:rPr>
                <w:fldChar w:fldCharType="separate"/>
              </w:r>
              <w:r>
                <w:rPr>
                  <w:color w:val="auto"/>
                  <w:sz w:val="28"/>
                  <w:szCs w:val="28"/>
                </w:rPr>
                <w:t>1</w:t>
              </w:r>
              <w:r>
                <w:rPr>
                  <w:color w:val="auto"/>
                  <w:sz w:val="28"/>
                  <w:szCs w:val="28"/>
                </w:rPr>
                <w:fldChar w:fldCharType="end"/>
              </w:r>
              <w:r>
                <w:rPr>
                  <w:rFonts w:hint="eastAsia" w:ascii="宋体" w:hAnsi="宋体" w:eastAsia="宋体" w:cs="宋体"/>
                  <w:color w:val="auto"/>
                  <w:sz w:val="28"/>
                  <w:szCs w:val="22"/>
                </w:rPr>
                <w:fldChar w:fldCharType="end"/>
              </w:r>
            </w:p>
            <w:p w14:paraId="41CCA877">
              <w:pPr>
                <w:pStyle w:val="16"/>
                <w:tabs>
                  <w:tab w:val="right" w:leader="dot" w:pos="9360"/>
                </w:tabs>
                <w:spacing w:line="600" w:lineRule="auto"/>
                <w:rPr>
                  <w:color w:val="auto"/>
                  <w:sz w:val="28"/>
                  <w:szCs w:val="28"/>
                </w:rPr>
              </w:pP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_Toc2544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28"/>
                </w:rPr>
                <w:t>第二章  供应商须知</w:t>
              </w:r>
              <w:r>
                <w:rPr>
                  <w:color w:val="auto"/>
                  <w:sz w:val="28"/>
                  <w:szCs w:val="28"/>
                </w:rPr>
                <w:tab/>
              </w:r>
              <w:r>
                <w:rPr>
                  <w:color w:val="auto"/>
                  <w:sz w:val="28"/>
                  <w:szCs w:val="28"/>
                </w:rPr>
                <w:fldChar w:fldCharType="begin"/>
              </w:r>
              <w:r>
                <w:rPr>
                  <w:color w:val="auto"/>
                  <w:sz w:val="28"/>
                  <w:szCs w:val="28"/>
                </w:rPr>
                <w:instrText xml:space="preserve"> PAGEREF _Toc2544 \h </w:instrText>
              </w:r>
              <w:r>
                <w:rPr>
                  <w:color w:val="auto"/>
                  <w:sz w:val="28"/>
                  <w:szCs w:val="28"/>
                </w:rPr>
                <w:fldChar w:fldCharType="separate"/>
              </w:r>
              <w:r>
                <w:rPr>
                  <w:color w:val="auto"/>
                  <w:sz w:val="28"/>
                  <w:szCs w:val="28"/>
                </w:rPr>
                <w:t>5</w:t>
              </w:r>
              <w:r>
                <w:rPr>
                  <w:color w:val="auto"/>
                  <w:sz w:val="28"/>
                  <w:szCs w:val="28"/>
                </w:rPr>
                <w:fldChar w:fldCharType="end"/>
              </w:r>
              <w:r>
                <w:rPr>
                  <w:rFonts w:hint="eastAsia" w:ascii="宋体" w:hAnsi="宋体" w:eastAsia="宋体" w:cs="宋体"/>
                  <w:color w:val="auto"/>
                  <w:sz w:val="28"/>
                  <w:szCs w:val="22"/>
                </w:rPr>
                <w:fldChar w:fldCharType="end"/>
              </w:r>
            </w:p>
            <w:p w14:paraId="11AA1380">
              <w:pPr>
                <w:pStyle w:val="16"/>
                <w:tabs>
                  <w:tab w:val="right" w:leader="dot" w:pos="9360"/>
                </w:tabs>
                <w:spacing w:line="600" w:lineRule="auto"/>
                <w:rPr>
                  <w:color w:val="auto"/>
                  <w:sz w:val="28"/>
                  <w:szCs w:val="28"/>
                </w:rPr>
              </w:pP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_Toc4918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32"/>
                  <w:highlight w:val="none"/>
                </w:rPr>
                <w:t>第三章  评审办法</w:t>
              </w:r>
              <w:r>
                <w:rPr>
                  <w:color w:val="auto"/>
                  <w:sz w:val="28"/>
                  <w:szCs w:val="28"/>
                </w:rPr>
                <w:tab/>
              </w:r>
              <w:r>
                <w:rPr>
                  <w:color w:val="auto"/>
                  <w:sz w:val="28"/>
                  <w:szCs w:val="28"/>
                </w:rPr>
                <w:fldChar w:fldCharType="begin"/>
              </w:r>
              <w:r>
                <w:rPr>
                  <w:color w:val="auto"/>
                  <w:sz w:val="28"/>
                  <w:szCs w:val="28"/>
                </w:rPr>
                <w:instrText xml:space="preserve"> PAGEREF _Toc4918 \h </w:instrText>
              </w:r>
              <w:r>
                <w:rPr>
                  <w:color w:val="auto"/>
                  <w:sz w:val="28"/>
                  <w:szCs w:val="28"/>
                </w:rPr>
                <w:fldChar w:fldCharType="separate"/>
              </w:r>
              <w:r>
                <w:rPr>
                  <w:color w:val="auto"/>
                  <w:sz w:val="28"/>
                  <w:szCs w:val="28"/>
                </w:rPr>
                <w:t>22</w:t>
              </w:r>
              <w:r>
                <w:rPr>
                  <w:color w:val="auto"/>
                  <w:sz w:val="28"/>
                  <w:szCs w:val="28"/>
                </w:rPr>
                <w:fldChar w:fldCharType="end"/>
              </w:r>
              <w:r>
                <w:rPr>
                  <w:rFonts w:hint="eastAsia" w:ascii="宋体" w:hAnsi="宋体" w:eastAsia="宋体" w:cs="宋体"/>
                  <w:color w:val="auto"/>
                  <w:sz w:val="28"/>
                  <w:szCs w:val="22"/>
                </w:rPr>
                <w:fldChar w:fldCharType="end"/>
              </w:r>
            </w:p>
            <w:p w14:paraId="3FDDBC37">
              <w:pPr>
                <w:pStyle w:val="16"/>
                <w:tabs>
                  <w:tab w:val="right" w:leader="dot" w:pos="9360"/>
                </w:tabs>
                <w:spacing w:line="600" w:lineRule="auto"/>
                <w:rPr>
                  <w:color w:val="auto"/>
                  <w:sz w:val="28"/>
                  <w:szCs w:val="28"/>
                </w:rPr>
              </w:pP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_Toc27781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28"/>
                </w:rPr>
                <w:t>第四章  合同条款及格式</w:t>
              </w:r>
              <w:r>
                <w:rPr>
                  <w:color w:val="auto"/>
                  <w:sz w:val="28"/>
                  <w:szCs w:val="28"/>
                </w:rPr>
                <w:tab/>
              </w:r>
              <w:r>
                <w:rPr>
                  <w:color w:val="auto"/>
                  <w:sz w:val="28"/>
                  <w:szCs w:val="28"/>
                </w:rPr>
                <w:fldChar w:fldCharType="begin"/>
              </w:r>
              <w:r>
                <w:rPr>
                  <w:color w:val="auto"/>
                  <w:sz w:val="28"/>
                  <w:szCs w:val="28"/>
                </w:rPr>
                <w:instrText xml:space="preserve"> PAGEREF _Toc27781 \h </w:instrText>
              </w:r>
              <w:r>
                <w:rPr>
                  <w:color w:val="auto"/>
                  <w:sz w:val="28"/>
                  <w:szCs w:val="28"/>
                </w:rPr>
                <w:fldChar w:fldCharType="separate"/>
              </w:r>
              <w:r>
                <w:rPr>
                  <w:color w:val="auto"/>
                  <w:sz w:val="28"/>
                  <w:szCs w:val="28"/>
                </w:rPr>
                <w:t>27</w:t>
              </w:r>
              <w:r>
                <w:rPr>
                  <w:color w:val="auto"/>
                  <w:sz w:val="28"/>
                  <w:szCs w:val="28"/>
                </w:rPr>
                <w:fldChar w:fldCharType="end"/>
              </w:r>
              <w:r>
                <w:rPr>
                  <w:rFonts w:hint="eastAsia" w:ascii="宋体" w:hAnsi="宋体" w:eastAsia="宋体" w:cs="宋体"/>
                  <w:color w:val="auto"/>
                  <w:sz w:val="28"/>
                  <w:szCs w:val="22"/>
                </w:rPr>
                <w:fldChar w:fldCharType="end"/>
              </w:r>
            </w:p>
            <w:p w14:paraId="5BBC540E">
              <w:pPr>
                <w:pStyle w:val="16"/>
                <w:tabs>
                  <w:tab w:val="right" w:leader="dot" w:pos="9360"/>
                </w:tabs>
                <w:spacing w:line="600" w:lineRule="auto"/>
                <w:rPr>
                  <w:rFonts w:hint="eastAsia" w:ascii="宋体" w:hAnsi="宋体" w:eastAsia="宋体" w:cs="宋体"/>
                  <w:color w:val="auto"/>
                  <w:sz w:val="28"/>
                  <w:szCs w:val="22"/>
                </w:rPr>
              </w:pP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_Toc17060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28"/>
                  <w:highlight w:val="none"/>
                  <w:lang w:eastAsia="zh-CN"/>
                </w:rPr>
                <w:t>第</w:t>
              </w:r>
              <w:r>
                <w:rPr>
                  <w:rFonts w:hint="eastAsia" w:ascii="宋体" w:hAnsi="宋体" w:eastAsia="宋体" w:cs="宋体"/>
                  <w:color w:val="auto"/>
                  <w:sz w:val="28"/>
                  <w:szCs w:val="28"/>
                  <w:highlight w:val="none"/>
                </w:rPr>
                <w:t>五章  采购需求</w:t>
              </w:r>
              <w:r>
                <w:rPr>
                  <w:color w:val="auto"/>
                  <w:sz w:val="28"/>
                  <w:szCs w:val="28"/>
                </w:rPr>
                <w:tab/>
              </w:r>
              <w:r>
                <w:rPr>
                  <w:color w:val="auto"/>
                  <w:sz w:val="28"/>
                  <w:szCs w:val="28"/>
                </w:rPr>
                <w:fldChar w:fldCharType="begin"/>
              </w:r>
              <w:r>
                <w:rPr>
                  <w:color w:val="auto"/>
                  <w:sz w:val="28"/>
                  <w:szCs w:val="28"/>
                </w:rPr>
                <w:instrText xml:space="preserve"> PAGEREF _Toc17060 \h </w:instrText>
              </w:r>
              <w:r>
                <w:rPr>
                  <w:color w:val="auto"/>
                  <w:sz w:val="28"/>
                  <w:szCs w:val="28"/>
                </w:rPr>
                <w:fldChar w:fldCharType="separate"/>
              </w:r>
              <w:r>
                <w:rPr>
                  <w:color w:val="auto"/>
                  <w:sz w:val="28"/>
                  <w:szCs w:val="28"/>
                </w:rPr>
                <w:t>29</w:t>
              </w:r>
              <w:r>
                <w:rPr>
                  <w:color w:val="auto"/>
                  <w:sz w:val="28"/>
                  <w:szCs w:val="28"/>
                </w:rPr>
                <w:fldChar w:fldCharType="end"/>
              </w:r>
              <w:r>
                <w:rPr>
                  <w:rFonts w:hint="eastAsia" w:ascii="宋体" w:hAnsi="宋体" w:eastAsia="宋体" w:cs="宋体"/>
                  <w:color w:val="auto"/>
                  <w:sz w:val="28"/>
                  <w:szCs w:val="22"/>
                </w:rPr>
                <w:fldChar w:fldCharType="end"/>
              </w:r>
            </w:p>
            <w:p w14:paraId="573185E1">
              <w:pPr>
                <w:pStyle w:val="16"/>
                <w:tabs>
                  <w:tab w:val="right" w:leader="dot" w:pos="9360"/>
                </w:tabs>
                <w:spacing w:line="600" w:lineRule="auto"/>
                <w:rPr>
                  <w:rFonts w:hint="default" w:ascii="宋体" w:hAnsi="宋体" w:eastAsia="宋体" w:cs="宋体"/>
                  <w:color w:val="auto"/>
                  <w:sz w:val="28"/>
                  <w:szCs w:val="22"/>
                  <w:lang w:val="en-US" w:eastAsia="zh-CN"/>
                </w:rPr>
              </w:pP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_Toc17060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28"/>
                  <w:highlight w:val="none"/>
                  <w:lang w:eastAsia="zh-CN"/>
                </w:rPr>
                <w:t>第</w:t>
              </w:r>
              <w:r>
                <w:rPr>
                  <w:rFonts w:hint="eastAsia" w:ascii="宋体" w:hAnsi="宋体" w:eastAsia="宋体" w:cs="宋体"/>
                  <w:color w:val="auto"/>
                  <w:sz w:val="28"/>
                  <w:szCs w:val="28"/>
                  <w:highlight w:val="none"/>
                  <w:lang w:val="en-US" w:eastAsia="zh-CN"/>
                </w:rPr>
                <w:t>六</w:t>
              </w:r>
              <w:r>
                <w:rPr>
                  <w:rFonts w:hint="eastAsia" w:ascii="宋体" w:hAnsi="宋体" w:eastAsia="宋体" w:cs="宋体"/>
                  <w:color w:val="auto"/>
                  <w:sz w:val="28"/>
                  <w:szCs w:val="28"/>
                  <w:highlight w:val="none"/>
                </w:rPr>
                <w:t>章  工程量清单</w:t>
              </w:r>
              <w:r>
                <w:rPr>
                  <w:color w:val="auto"/>
                  <w:sz w:val="28"/>
                  <w:szCs w:val="28"/>
                </w:rPr>
                <w:tab/>
              </w:r>
              <w:r>
                <w:rPr>
                  <w:rFonts w:hint="eastAsia" w:ascii="宋体" w:hAnsi="宋体" w:eastAsia="宋体" w:cs="宋体"/>
                  <w:color w:val="auto"/>
                  <w:sz w:val="28"/>
                  <w:szCs w:val="22"/>
                </w:rPr>
                <w:fldChar w:fldCharType="end"/>
              </w:r>
              <w:r>
                <w:rPr>
                  <w:rFonts w:hint="eastAsia" w:ascii="宋体" w:hAnsi="宋体" w:eastAsia="宋体" w:cs="宋体"/>
                  <w:color w:val="auto"/>
                  <w:sz w:val="28"/>
                  <w:szCs w:val="22"/>
                  <w:lang w:val="en-US" w:eastAsia="zh-CN"/>
                </w:rPr>
                <w:t>60</w:t>
              </w:r>
            </w:p>
            <w:p w14:paraId="500A33EC">
              <w:pPr>
                <w:pStyle w:val="16"/>
                <w:tabs>
                  <w:tab w:val="right" w:leader="dot" w:pos="9360"/>
                </w:tabs>
                <w:spacing w:line="600" w:lineRule="auto"/>
                <w:rPr>
                  <w:rFonts w:hint="default" w:eastAsia="宋体"/>
                  <w:color w:val="auto"/>
                  <w:lang w:val="en-US" w:eastAsia="zh-CN"/>
                </w:rPr>
              </w:pP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_Toc5590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28"/>
                </w:rPr>
                <w:t>第</w:t>
              </w:r>
              <w:r>
                <w:rPr>
                  <w:rFonts w:hint="eastAsia" w:ascii="宋体" w:hAnsi="宋体" w:eastAsia="宋体" w:cs="宋体"/>
                  <w:color w:val="auto"/>
                  <w:sz w:val="28"/>
                  <w:szCs w:val="28"/>
                  <w:lang w:val="en-US" w:eastAsia="zh-CN"/>
                </w:rPr>
                <w:t>七</w:t>
              </w:r>
              <w:r>
                <w:rPr>
                  <w:rFonts w:hint="eastAsia" w:ascii="宋体" w:hAnsi="宋体" w:eastAsia="宋体" w:cs="宋体"/>
                  <w:color w:val="auto"/>
                  <w:sz w:val="28"/>
                  <w:szCs w:val="28"/>
                </w:rPr>
                <w:t>章  竞争性磋商响应文件参考格式</w:t>
              </w:r>
              <w:r>
                <w:rPr>
                  <w:color w:val="auto"/>
                  <w:sz w:val="28"/>
                  <w:szCs w:val="28"/>
                </w:rPr>
                <w:tab/>
              </w:r>
              <w:r>
                <w:rPr>
                  <w:rFonts w:hint="eastAsia" w:ascii="宋体" w:hAnsi="宋体" w:eastAsia="宋体" w:cs="宋体"/>
                  <w:color w:val="auto"/>
                  <w:sz w:val="28"/>
                  <w:szCs w:val="22"/>
                </w:rPr>
                <w:fldChar w:fldCharType="end"/>
              </w:r>
              <w:r>
                <w:rPr>
                  <w:rFonts w:hint="eastAsia" w:ascii="宋体" w:hAnsi="宋体" w:eastAsia="宋体" w:cs="宋体"/>
                  <w:color w:val="auto"/>
                  <w:sz w:val="28"/>
                  <w:szCs w:val="22"/>
                  <w:lang w:val="en-US" w:eastAsia="zh-CN"/>
                </w:rPr>
                <w:t>64</w:t>
              </w:r>
            </w:p>
            <w:p w14:paraId="1D919F05">
              <w:pPr>
                <w:pStyle w:val="16"/>
                <w:tabs>
                  <w:tab w:val="right" w:leader="dot" w:pos="9360"/>
                </w:tabs>
                <w:rPr>
                  <w:color w:val="auto"/>
                </w:rPr>
              </w:pPr>
            </w:p>
            <w:p w14:paraId="557E6445">
              <w:pPr>
                <w:rPr>
                  <w:rFonts w:hint="eastAsia" w:ascii="宋体" w:hAnsi="宋体" w:eastAsia="宋体" w:cs="宋体"/>
                  <w:color w:val="auto"/>
                  <w:kern w:val="2"/>
                  <w:sz w:val="24"/>
                  <w:szCs w:val="21"/>
                  <w:lang w:val="en-US" w:eastAsia="zh-CN" w:bidi="ar-SA"/>
                </w:rPr>
              </w:pPr>
              <w:r>
                <w:rPr>
                  <w:rFonts w:hint="eastAsia" w:ascii="宋体" w:hAnsi="宋体" w:eastAsia="宋体" w:cs="宋体"/>
                  <w:color w:val="auto"/>
                  <w:szCs w:val="21"/>
                </w:rPr>
                <w:fldChar w:fldCharType="end"/>
              </w:r>
            </w:p>
          </w:sdtContent>
        </w:sdt>
        <w:p w14:paraId="772E111B">
          <w:pPr>
            <w:rPr>
              <w:rFonts w:hint="eastAsia" w:ascii="宋体" w:hAnsi="宋体" w:eastAsia="宋体" w:cs="宋体"/>
              <w:color w:val="auto"/>
              <w:sz w:val="21"/>
              <w:szCs w:val="21"/>
            </w:rPr>
            <w:sectPr>
              <w:pgSz w:w="11906" w:h="16838"/>
              <w:pgMar w:top="1440" w:right="1226" w:bottom="1440" w:left="1320" w:header="851" w:footer="992" w:gutter="0"/>
              <w:pgNumType w:fmt="decimal"/>
              <w:cols w:space="425" w:num="1"/>
              <w:docGrid w:type="lines" w:linePitch="312" w:charSpace="0"/>
            </w:sectPr>
          </w:pPr>
        </w:p>
      </w:sdtContent>
    </w:sdt>
    <w:p w14:paraId="28665B47">
      <w:pPr>
        <w:pStyle w:val="2"/>
        <w:spacing w:line="240" w:lineRule="auto"/>
        <w:rPr>
          <w:rFonts w:hint="eastAsia" w:ascii="宋体" w:hAnsi="宋体" w:eastAsia="宋体" w:cs="宋体"/>
          <w:color w:val="auto"/>
        </w:rPr>
      </w:pPr>
      <w:bookmarkStart w:id="0" w:name="_Toc30697"/>
      <w:bookmarkStart w:id="1" w:name="_Toc10447"/>
      <w:bookmarkStart w:id="2" w:name="_Toc30007"/>
      <w:bookmarkStart w:id="3" w:name="_Toc2362"/>
      <w:r>
        <w:rPr>
          <w:rFonts w:hint="eastAsia" w:ascii="宋体" w:hAnsi="宋体" w:eastAsia="宋体" w:cs="宋体"/>
          <w:color w:val="auto"/>
        </w:rPr>
        <w:t>第一章  竞争性磋商公告</w:t>
      </w:r>
      <w:bookmarkEnd w:id="0"/>
      <w:bookmarkEnd w:id="1"/>
      <w:bookmarkEnd w:id="2"/>
      <w:bookmarkEnd w:id="3"/>
    </w:p>
    <w:p w14:paraId="332319E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240" w:lineRule="auto"/>
        <w:ind w:left="0" w:right="0" w:firstLine="0"/>
        <w:textAlignment w:val="baseline"/>
        <w:rPr>
          <w:rFonts w:hint="eastAsia" w:ascii="宋体" w:hAnsi="宋体" w:cs="宋体"/>
          <w:b/>
          <w:bCs/>
          <w:i w:val="0"/>
          <w:iCs w:val="0"/>
          <w:caps w:val="0"/>
          <w:color w:val="auto"/>
          <w:spacing w:val="0"/>
          <w:sz w:val="24"/>
          <w:szCs w:val="24"/>
          <w:shd w:val="clear" w:fill="FFFFFF"/>
          <w:vertAlign w:val="baseline"/>
          <w:lang w:eastAsia="zh-CN"/>
        </w:rPr>
      </w:pPr>
      <w:bookmarkStart w:id="4" w:name="_Toc27312"/>
    </w:p>
    <w:p w14:paraId="18E2176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0"/>
        <w:textAlignment w:val="baseline"/>
        <w:rPr>
          <w:rFonts w:hint="eastAsia" w:ascii="宋体" w:hAnsi="宋体" w:eastAsia="宋体" w:cs="宋体"/>
          <w:b/>
          <w:bCs/>
          <w:i w:val="0"/>
          <w:iCs w:val="0"/>
          <w:caps w:val="0"/>
          <w:color w:val="auto"/>
          <w:spacing w:val="0"/>
          <w:sz w:val="24"/>
          <w:szCs w:val="24"/>
        </w:rPr>
      </w:pPr>
      <w:r>
        <w:rPr>
          <w:rFonts w:hint="eastAsia" w:ascii="宋体" w:hAnsi="宋体" w:cs="宋体"/>
          <w:b/>
          <w:bCs/>
          <w:i w:val="0"/>
          <w:iCs w:val="0"/>
          <w:caps w:val="0"/>
          <w:color w:val="auto"/>
          <w:spacing w:val="0"/>
          <w:sz w:val="24"/>
          <w:szCs w:val="24"/>
          <w:shd w:val="clear" w:fill="FFFFFF"/>
          <w:vertAlign w:val="baseline"/>
          <w:lang w:eastAsia="zh-CN"/>
        </w:rPr>
        <w:t>田家寨镇张圪崂村张圪崂大型淤地坝提升改造工程</w:t>
      </w:r>
      <w:r>
        <w:rPr>
          <w:rFonts w:hint="eastAsia" w:ascii="宋体" w:hAnsi="宋体" w:eastAsia="宋体" w:cs="宋体"/>
          <w:b/>
          <w:bCs/>
          <w:i w:val="0"/>
          <w:iCs w:val="0"/>
          <w:caps w:val="0"/>
          <w:color w:val="auto"/>
          <w:spacing w:val="0"/>
          <w:sz w:val="24"/>
          <w:szCs w:val="24"/>
          <w:shd w:val="clear" w:fill="FFFFFF"/>
          <w:vertAlign w:val="baseline"/>
        </w:rPr>
        <w:t>竞争性磋商公告</w:t>
      </w:r>
      <w:bookmarkEnd w:id="4"/>
    </w:p>
    <w:p w14:paraId="5BCCAB1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Style w:val="25"/>
          <w:rFonts w:hint="eastAsia" w:ascii="宋体" w:hAnsi="宋体" w:eastAsia="宋体" w:cs="宋体"/>
          <w:b/>
          <w:bCs/>
          <w:i w:val="0"/>
          <w:iCs w:val="0"/>
          <w:caps w:val="0"/>
          <w:color w:val="auto"/>
          <w:spacing w:val="0"/>
          <w:sz w:val="24"/>
          <w:szCs w:val="24"/>
          <w:shd w:val="clear" w:fill="FFFFFF"/>
          <w:vertAlign w:val="baseline"/>
        </w:rPr>
        <w:t>项目概况</w:t>
      </w:r>
    </w:p>
    <w:p w14:paraId="4375F41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lang w:eastAsia="zh-CN"/>
        </w:rPr>
        <w:t>田家寨镇张圪崂村张圪崂大型淤地坝提升改造工程采购项目</w:t>
      </w:r>
      <w:r>
        <w:rPr>
          <w:rFonts w:hint="eastAsia" w:ascii="宋体" w:hAnsi="宋体" w:eastAsia="宋体" w:cs="宋体"/>
          <w:i w:val="0"/>
          <w:iCs w:val="0"/>
          <w:caps w:val="0"/>
          <w:color w:val="auto"/>
          <w:spacing w:val="0"/>
          <w:sz w:val="24"/>
          <w:szCs w:val="24"/>
          <w:shd w:val="clear" w:fill="FFFFFF"/>
          <w:vertAlign w:val="baseline"/>
        </w:rPr>
        <w:t>的潜在供应商应在全国公共资源交易中心平台（陕西省）【http://www.sxggzyjy.cn】使用CA锁报名后自行下载获取</w:t>
      </w:r>
      <w:r>
        <w:rPr>
          <w:rFonts w:hint="eastAsia" w:ascii="宋体" w:hAnsi="宋体" w:eastAsia="宋体" w:cs="宋体"/>
          <w:i w:val="0"/>
          <w:iCs w:val="0"/>
          <w:caps w:val="0"/>
          <w:color w:val="auto"/>
          <w:spacing w:val="0"/>
          <w:sz w:val="24"/>
          <w:szCs w:val="24"/>
          <w:shd w:val="clear" w:fill="FFFFFF"/>
          <w:vertAlign w:val="baseline"/>
          <w:lang w:val="en-US" w:eastAsia="zh-CN"/>
        </w:rPr>
        <w:t>磋商</w:t>
      </w:r>
      <w:r>
        <w:rPr>
          <w:rFonts w:hint="eastAsia" w:ascii="宋体" w:hAnsi="宋体" w:eastAsia="宋体" w:cs="宋体"/>
          <w:i w:val="0"/>
          <w:iCs w:val="0"/>
          <w:caps w:val="0"/>
          <w:color w:val="auto"/>
          <w:spacing w:val="0"/>
          <w:sz w:val="24"/>
          <w:szCs w:val="24"/>
          <w:shd w:val="clear" w:fill="FFFFFF"/>
          <w:vertAlign w:val="baseline"/>
        </w:rPr>
        <w:t>文件，并于</w:t>
      </w:r>
      <w:r>
        <w:rPr>
          <w:rFonts w:hint="eastAsia" w:ascii="宋体" w:hAnsi="宋体" w:eastAsia="宋体" w:cs="宋体"/>
          <w:i w:val="0"/>
          <w:iCs w:val="0"/>
          <w:caps w:val="0"/>
          <w:color w:val="auto"/>
          <w:spacing w:val="0"/>
          <w:sz w:val="24"/>
          <w:szCs w:val="24"/>
          <w:shd w:val="clear" w:fill="FFFFFF"/>
          <w:vertAlign w:val="baseline"/>
          <w:lang w:eastAsia="zh-CN"/>
        </w:rPr>
        <w:t>2025年</w:t>
      </w:r>
      <w:r>
        <w:rPr>
          <w:rFonts w:hint="eastAsia" w:ascii="宋体" w:hAnsi="宋体" w:eastAsia="宋体"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lang w:eastAsia="zh-CN"/>
        </w:rPr>
        <w:t>月</w:t>
      </w:r>
      <w:r>
        <w:rPr>
          <w:rFonts w:hint="eastAsia" w:ascii="宋体" w:hAnsi="宋体" w:eastAsia="宋体" w:cs="宋体"/>
          <w:i w:val="0"/>
          <w:iCs w:val="0"/>
          <w:caps w:val="0"/>
          <w:color w:val="auto"/>
          <w:spacing w:val="0"/>
          <w:sz w:val="24"/>
          <w:szCs w:val="24"/>
          <w:shd w:val="clear" w:fill="FFFFFF"/>
          <w:vertAlign w:val="baseline"/>
          <w:lang w:val="en-US" w:eastAsia="zh-CN"/>
        </w:rPr>
        <w:t>09</w:t>
      </w:r>
      <w:r>
        <w:rPr>
          <w:rFonts w:hint="eastAsia" w:ascii="宋体" w:hAnsi="宋体" w:eastAsia="宋体" w:cs="宋体"/>
          <w:i w:val="0"/>
          <w:iCs w:val="0"/>
          <w:caps w:val="0"/>
          <w:color w:val="auto"/>
          <w:spacing w:val="0"/>
          <w:sz w:val="24"/>
          <w:szCs w:val="24"/>
          <w:shd w:val="clear" w:fill="FFFFFF"/>
          <w:vertAlign w:val="baseline"/>
          <w:lang w:eastAsia="zh-CN"/>
        </w:rPr>
        <w:t>日</w:t>
      </w:r>
      <w:r>
        <w:rPr>
          <w:rFonts w:hint="eastAsia" w:ascii="宋体" w:hAnsi="宋体" w:eastAsia="宋体" w:cs="宋体"/>
          <w:i w:val="0"/>
          <w:iCs w:val="0"/>
          <w:caps w:val="0"/>
          <w:color w:val="auto"/>
          <w:spacing w:val="0"/>
          <w:sz w:val="24"/>
          <w:szCs w:val="24"/>
          <w:shd w:val="clear" w:fill="FFFFFF"/>
          <w:vertAlign w:val="baseline"/>
          <w:lang w:val="en-US" w:eastAsia="zh-CN"/>
        </w:rPr>
        <w:t>15</w:t>
      </w:r>
      <w:r>
        <w:rPr>
          <w:rFonts w:hint="eastAsia" w:ascii="宋体" w:hAnsi="宋体" w:eastAsia="宋体" w:cs="宋体"/>
          <w:i w:val="0"/>
          <w:iCs w:val="0"/>
          <w:caps w:val="0"/>
          <w:color w:val="auto"/>
          <w:spacing w:val="0"/>
          <w:sz w:val="24"/>
          <w:szCs w:val="24"/>
          <w:shd w:val="clear" w:fill="FFFFFF"/>
          <w:vertAlign w:val="baseline"/>
          <w:lang w:eastAsia="zh-CN"/>
        </w:rPr>
        <w:t>时</w:t>
      </w:r>
      <w:r>
        <w:rPr>
          <w:rFonts w:hint="eastAsia" w:ascii="宋体" w:hAnsi="宋体" w:eastAsia="宋体" w:cs="宋体"/>
          <w:i w:val="0"/>
          <w:iCs w:val="0"/>
          <w:caps w:val="0"/>
          <w:color w:val="auto"/>
          <w:spacing w:val="0"/>
          <w:sz w:val="24"/>
          <w:szCs w:val="24"/>
          <w:shd w:val="clear" w:fill="FFFFFF"/>
          <w:vertAlign w:val="baseline"/>
          <w:lang w:val="en-US" w:eastAsia="zh-CN"/>
        </w:rPr>
        <w:t>00</w:t>
      </w:r>
      <w:r>
        <w:rPr>
          <w:rFonts w:hint="eastAsia" w:ascii="宋体" w:hAnsi="宋体" w:eastAsia="宋体" w:cs="宋体"/>
          <w:i w:val="0"/>
          <w:iCs w:val="0"/>
          <w:caps w:val="0"/>
          <w:color w:val="auto"/>
          <w:spacing w:val="0"/>
          <w:sz w:val="24"/>
          <w:szCs w:val="24"/>
          <w:shd w:val="clear" w:fill="FFFFFF"/>
          <w:vertAlign w:val="baseline"/>
          <w:lang w:eastAsia="zh-CN"/>
        </w:rPr>
        <w:t>分</w:t>
      </w:r>
      <w:r>
        <w:rPr>
          <w:rFonts w:hint="eastAsia" w:ascii="宋体" w:hAnsi="宋体" w:eastAsia="宋体" w:cs="宋体"/>
          <w:i w:val="0"/>
          <w:iCs w:val="0"/>
          <w:caps w:val="0"/>
          <w:color w:val="auto"/>
          <w:spacing w:val="0"/>
          <w:sz w:val="24"/>
          <w:szCs w:val="24"/>
          <w:shd w:val="clear" w:fill="FFFFFF"/>
          <w:vertAlign w:val="baseline"/>
        </w:rPr>
        <w:t>（北京时间）前提交响应文件。</w:t>
      </w:r>
    </w:p>
    <w:p w14:paraId="7A958A3F">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360" w:lineRule="auto"/>
        <w:ind w:left="-375" w:leftChars="0" w:right="0" w:rightChars="0" w:firstLine="241" w:firstLineChars="100"/>
        <w:jc w:val="left"/>
        <w:textAlignment w:val="baseline"/>
        <w:rPr>
          <w:rFonts w:hint="eastAsia" w:ascii="宋体" w:hAnsi="宋体" w:eastAsia="宋体" w:cs="宋体"/>
          <w:b w:val="0"/>
          <w:bCs w:val="0"/>
          <w:color w:val="auto"/>
          <w:sz w:val="24"/>
          <w:szCs w:val="24"/>
        </w:rPr>
      </w:pPr>
      <w:r>
        <w:rPr>
          <w:rStyle w:val="25"/>
          <w:rFonts w:hint="eastAsia" w:ascii="宋体" w:hAnsi="宋体" w:eastAsia="宋体" w:cs="宋体"/>
          <w:b/>
          <w:bCs/>
          <w:i w:val="0"/>
          <w:iCs w:val="0"/>
          <w:caps w:val="0"/>
          <w:color w:val="auto"/>
          <w:spacing w:val="0"/>
          <w:sz w:val="24"/>
          <w:szCs w:val="24"/>
          <w:shd w:val="clear" w:fill="FFFFFF"/>
          <w:vertAlign w:val="baseline"/>
        </w:rPr>
        <w:t>一、项目基本情况</w:t>
      </w:r>
    </w:p>
    <w:p w14:paraId="067DB3E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项目编号：</w:t>
      </w:r>
      <w:r>
        <w:rPr>
          <w:rFonts w:hint="eastAsia" w:ascii="宋体" w:hAnsi="宋体" w:eastAsia="宋体" w:cs="宋体"/>
          <w:i w:val="0"/>
          <w:iCs w:val="0"/>
          <w:caps w:val="0"/>
          <w:color w:val="auto"/>
          <w:spacing w:val="0"/>
          <w:sz w:val="24"/>
          <w:szCs w:val="24"/>
          <w:shd w:val="clear" w:fill="FFFFFF"/>
          <w:vertAlign w:val="baseline"/>
          <w:lang w:eastAsia="zh-CN"/>
        </w:rPr>
        <w:t>HJLZB-2025-56</w:t>
      </w:r>
    </w:p>
    <w:p w14:paraId="1F0D1B6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项目名称：</w:t>
      </w:r>
      <w:r>
        <w:rPr>
          <w:rFonts w:hint="eastAsia" w:ascii="宋体" w:hAnsi="宋体" w:eastAsia="宋体" w:cs="宋体"/>
          <w:i w:val="0"/>
          <w:iCs w:val="0"/>
          <w:caps w:val="0"/>
          <w:color w:val="auto"/>
          <w:spacing w:val="0"/>
          <w:sz w:val="24"/>
          <w:szCs w:val="24"/>
          <w:shd w:val="clear" w:fill="FFFFFF"/>
          <w:vertAlign w:val="baseline"/>
          <w:lang w:eastAsia="zh-CN"/>
        </w:rPr>
        <w:t>田家寨镇张圪崂村张圪崂大型淤地坝提升改造工程</w:t>
      </w:r>
    </w:p>
    <w:p w14:paraId="11147A7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采购方式：竞争性磋商</w:t>
      </w:r>
    </w:p>
    <w:p w14:paraId="4015C9B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预算金额：</w:t>
      </w:r>
      <w:r>
        <w:rPr>
          <w:rFonts w:hint="eastAsia" w:ascii="宋体" w:hAnsi="宋体" w:eastAsia="宋体" w:cs="宋体"/>
          <w:i w:val="0"/>
          <w:iCs w:val="0"/>
          <w:caps w:val="0"/>
          <w:color w:val="auto"/>
          <w:spacing w:val="0"/>
          <w:sz w:val="24"/>
          <w:szCs w:val="24"/>
          <w:shd w:val="clear" w:fill="FFFFFF"/>
          <w:vertAlign w:val="baseline"/>
          <w:lang w:val="en-US" w:eastAsia="zh-CN"/>
        </w:rPr>
        <w:t>1066200.00</w:t>
      </w:r>
      <w:r>
        <w:rPr>
          <w:rFonts w:hint="eastAsia" w:ascii="宋体" w:hAnsi="宋体" w:eastAsia="宋体" w:cs="宋体"/>
          <w:i w:val="0"/>
          <w:iCs w:val="0"/>
          <w:caps w:val="0"/>
          <w:color w:val="auto"/>
          <w:spacing w:val="0"/>
          <w:sz w:val="24"/>
          <w:szCs w:val="24"/>
          <w:shd w:val="clear" w:fill="FFFFFF"/>
          <w:vertAlign w:val="baseline"/>
        </w:rPr>
        <w:t>元</w:t>
      </w:r>
    </w:p>
    <w:p w14:paraId="4130198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采购需求：</w:t>
      </w:r>
    </w:p>
    <w:p w14:paraId="7051EB6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ascii="宋体" w:hAnsi="宋体" w:eastAsia="宋体" w:cs="宋体"/>
          <w:i w:val="0"/>
          <w:iCs w:val="0"/>
          <w:caps w:val="0"/>
          <w:color w:val="auto"/>
          <w:spacing w:val="0"/>
          <w:sz w:val="24"/>
          <w:szCs w:val="24"/>
          <w:shd w:val="clear" w:fill="FFFFFF"/>
          <w:vertAlign w:val="baseline"/>
          <w:lang w:eastAsia="zh-CN"/>
        </w:rPr>
        <w:t>田家寨镇张圪崂村张圪崂大型淤地坝提升改造工程</w:t>
      </w:r>
      <w:r>
        <w:rPr>
          <w:rFonts w:hint="eastAsia" w:ascii="宋体" w:hAnsi="宋体" w:eastAsia="宋体" w:cs="宋体"/>
          <w:i w:val="0"/>
          <w:iCs w:val="0"/>
          <w:caps w:val="0"/>
          <w:color w:val="auto"/>
          <w:spacing w:val="0"/>
          <w:sz w:val="24"/>
          <w:szCs w:val="24"/>
          <w:shd w:val="clear" w:fill="FFFFFF"/>
          <w:vertAlign w:val="baseline"/>
        </w:rPr>
        <w:t>)</w:t>
      </w:r>
    </w:p>
    <w:p w14:paraId="26329A2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合同包预算金额：</w:t>
      </w:r>
      <w:r>
        <w:rPr>
          <w:rFonts w:hint="eastAsia" w:ascii="宋体" w:hAnsi="宋体" w:eastAsia="宋体" w:cs="宋体"/>
          <w:i w:val="0"/>
          <w:iCs w:val="0"/>
          <w:caps w:val="0"/>
          <w:color w:val="auto"/>
          <w:spacing w:val="0"/>
          <w:sz w:val="24"/>
          <w:szCs w:val="24"/>
          <w:shd w:val="clear" w:fill="FFFFFF"/>
          <w:vertAlign w:val="baseline"/>
          <w:lang w:val="en-US" w:eastAsia="zh-CN"/>
        </w:rPr>
        <w:t>1066200.00</w:t>
      </w:r>
      <w:r>
        <w:rPr>
          <w:rFonts w:hint="eastAsia" w:ascii="宋体" w:hAnsi="宋体" w:eastAsia="宋体" w:cs="宋体"/>
          <w:i w:val="0"/>
          <w:iCs w:val="0"/>
          <w:caps w:val="0"/>
          <w:color w:val="auto"/>
          <w:spacing w:val="0"/>
          <w:sz w:val="24"/>
          <w:szCs w:val="24"/>
          <w:shd w:val="clear" w:fill="FFFFFF"/>
          <w:vertAlign w:val="baseline"/>
        </w:rPr>
        <w:t>元</w:t>
      </w:r>
    </w:p>
    <w:p w14:paraId="0D4B8DD7">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合同包最高限价：</w:t>
      </w:r>
      <w:r>
        <w:rPr>
          <w:rFonts w:hint="eastAsia" w:ascii="宋体" w:hAnsi="宋体" w:eastAsia="宋体" w:cs="宋体"/>
          <w:i w:val="0"/>
          <w:iCs w:val="0"/>
          <w:caps w:val="0"/>
          <w:color w:val="auto"/>
          <w:spacing w:val="0"/>
          <w:sz w:val="24"/>
          <w:szCs w:val="24"/>
          <w:shd w:val="clear" w:fill="FFFFFF"/>
          <w:vertAlign w:val="baseline"/>
          <w:lang w:val="en-US" w:eastAsia="zh-CN"/>
        </w:rPr>
        <w:t>1066200.00</w:t>
      </w:r>
      <w:r>
        <w:rPr>
          <w:rFonts w:hint="eastAsia" w:ascii="宋体" w:hAnsi="宋体" w:eastAsia="宋体" w:cs="宋体"/>
          <w:i w:val="0"/>
          <w:iCs w:val="0"/>
          <w:caps w:val="0"/>
          <w:color w:val="auto"/>
          <w:spacing w:val="0"/>
          <w:sz w:val="24"/>
          <w:szCs w:val="24"/>
          <w:shd w:val="clear" w:fill="FFFFFF"/>
          <w:vertAlign w:val="baseline"/>
        </w:rPr>
        <w:t>元</w:t>
      </w:r>
    </w:p>
    <w:tbl>
      <w:tblPr>
        <w:tblStyle w:val="22"/>
        <w:tblW w:w="959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41"/>
        <w:gridCol w:w="1417"/>
        <w:gridCol w:w="1769"/>
        <w:gridCol w:w="991"/>
        <w:gridCol w:w="1663"/>
        <w:gridCol w:w="1507"/>
        <w:gridCol w:w="1509"/>
      </w:tblGrid>
      <w:tr w14:paraId="5F83C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3" w:hRule="atLeast"/>
          <w:tblHeader/>
        </w:trPr>
        <w:tc>
          <w:tcPr>
            <w:tcW w:w="7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80A8EE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品目号</w:t>
            </w:r>
          </w:p>
        </w:tc>
        <w:tc>
          <w:tcPr>
            <w:tcW w:w="143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E0D5B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品目名称</w:t>
            </w:r>
          </w:p>
        </w:tc>
        <w:tc>
          <w:tcPr>
            <w:tcW w:w="17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0D9D8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采购标的</w:t>
            </w:r>
          </w:p>
        </w:tc>
        <w:tc>
          <w:tcPr>
            <w:tcW w:w="99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EFC51F">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数量（单位）</w:t>
            </w:r>
          </w:p>
        </w:tc>
        <w:tc>
          <w:tcPr>
            <w:tcW w:w="161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5030FC">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技术规格、参数及要求</w:t>
            </w:r>
          </w:p>
        </w:tc>
        <w:tc>
          <w:tcPr>
            <w:tcW w:w="150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7D65FC">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品目预算(元)</w:t>
            </w:r>
          </w:p>
        </w:tc>
        <w:tc>
          <w:tcPr>
            <w:tcW w:w="150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C9ABB4">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最高限价(元)</w:t>
            </w:r>
          </w:p>
        </w:tc>
      </w:tr>
      <w:tr w14:paraId="2D5E4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1" w:hRule="atLeast"/>
        </w:trPr>
        <w:tc>
          <w:tcPr>
            <w:tcW w:w="7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CA8A4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jc w:val="right"/>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1-1</w:t>
            </w:r>
          </w:p>
        </w:tc>
        <w:tc>
          <w:tcPr>
            <w:tcW w:w="143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09335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jc w:val="center"/>
              <w:textAlignment w:val="center"/>
              <w:rPr>
                <w:rFonts w:hint="default"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堤坝工程施工</w:t>
            </w:r>
          </w:p>
        </w:tc>
        <w:tc>
          <w:tcPr>
            <w:tcW w:w="17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22CA3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jc w:val="center"/>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田家寨镇张圪崂村张圪崂大型淤地坝提升改造工程</w:t>
            </w:r>
          </w:p>
        </w:tc>
        <w:tc>
          <w:tcPr>
            <w:tcW w:w="99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C931B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jc w:val="right"/>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1FE2F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jc w:val="center"/>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CBA69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jc w:val="right"/>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1066200.00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C4DB9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jc w:val="right"/>
              <w:textAlignment w:val="center"/>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4"/>
                <w:szCs w:val="24"/>
                <w:shd w:val="clear" w:fill="FFFFFF"/>
                <w:vertAlign w:val="baseline"/>
                <w:lang w:val="en-US" w:eastAsia="zh-CN"/>
              </w:rPr>
              <w:t>1066200.00</w:t>
            </w:r>
          </w:p>
        </w:tc>
      </w:tr>
    </w:tbl>
    <w:p w14:paraId="379FED5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本合同包不接受联合体投标</w:t>
      </w:r>
    </w:p>
    <w:p w14:paraId="4A69CE3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Autospacing="0" w:afterAutospacing="0" w:line="360" w:lineRule="auto"/>
        <w:ind w:left="0" w:right="0" w:firstLine="630"/>
        <w:jc w:val="both"/>
        <w:textAlignment w:val="baseline"/>
        <w:rPr>
          <w:rFonts w:hint="default" w:ascii="宋体" w:hAnsi="宋体" w:eastAsia="宋体" w:cs="宋体"/>
          <w:color w:val="auto"/>
          <w:sz w:val="24"/>
          <w:szCs w:val="24"/>
          <w:lang w:val="en-US"/>
        </w:rPr>
      </w:pPr>
      <w:r>
        <w:rPr>
          <w:rFonts w:hint="eastAsia" w:ascii="宋体" w:hAnsi="宋体" w:eastAsia="宋体" w:cs="宋体"/>
          <w:i w:val="0"/>
          <w:iCs w:val="0"/>
          <w:caps w:val="0"/>
          <w:color w:val="auto"/>
          <w:spacing w:val="0"/>
          <w:sz w:val="24"/>
          <w:szCs w:val="24"/>
          <w:shd w:val="clear" w:fill="FFFFFF"/>
          <w:vertAlign w:val="baseline"/>
        </w:rPr>
        <w:t>合同履行期限：</w:t>
      </w:r>
      <w:r>
        <w:rPr>
          <w:rFonts w:hint="eastAsia" w:ascii="宋体" w:hAnsi="宋体" w:eastAsia="宋体" w:cs="宋体"/>
          <w:i w:val="0"/>
          <w:iCs w:val="0"/>
          <w:caps w:val="0"/>
          <w:color w:val="auto"/>
          <w:spacing w:val="0"/>
          <w:sz w:val="24"/>
          <w:szCs w:val="24"/>
          <w:shd w:val="clear" w:fill="FFFFFF"/>
          <w:vertAlign w:val="baseline"/>
          <w:lang w:val="en-US" w:eastAsia="zh-CN"/>
        </w:rPr>
        <w:t>45日历天</w:t>
      </w:r>
    </w:p>
    <w:p w14:paraId="529FA3F7">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360" w:lineRule="auto"/>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5"/>
          <w:rFonts w:hint="eastAsia" w:ascii="宋体" w:hAnsi="宋体" w:eastAsia="宋体" w:cs="宋体"/>
          <w:b/>
          <w:bCs/>
          <w:i w:val="0"/>
          <w:iCs w:val="0"/>
          <w:caps w:val="0"/>
          <w:color w:val="auto"/>
          <w:spacing w:val="0"/>
          <w:sz w:val="24"/>
          <w:szCs w:val="24"/>
          <w:shd w:val="clear" w:fill="FFFFFF"/>
          <w:vertAlign w:val="baseline"/>
        </w:rPr>
        <w:t>二、申请人的资格要求：</w:t>
      </w:r>
    </w:p>
    <w:p w14:paraId="1E3487F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14:paraId="09A7468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2.落实政府采购政策需满足的资格要求：</w:t>
      </w:r>
    </w:p>
    <w:p w14:paraId="14C9DD6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ascii="宋体" w:hAnsi="宋体" w:eastAsia="宋体" w:cs="宋体"/>
          <w:i w:val="0"/>
          <w:iCs w:val="0"/>
          <w:caps w:val="0"/>
          <w:color w:val="auto"/>
          <w:spacing w:val="0"/>
          <w:sz w:val="24"/>
          <w:szCs w:val="24"/>
          <w:shd w:val="clear" w:fill="FFFFFF"/>
          <w:vertAlign w:val="baseline"/>
          <w:lang w:eastAsia="zh-CN"/>
        </w:rPr>
        <w:t>田家寨镇张圪崂村张圪崂大型淤地坝提升改造工程</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p>
    <w:p w14:paraId="33C330C2">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482" w:leftChars="0" w:right="0" w:right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①</w:t>
      </w:r>
      <w:r>
        <w:rPr>
          <w:rFonts w:hint="eastAsia" w:ascii="宋体" w:hAnsi="宋体" w:eastAsia="宋体" w:cs="宋体"/>
          <w:i w:val="0"/>
          <w:iCs w:val="0"/>
          <w:caps w:val="0"/>
          <w:color w:val="auto"/>
          <w:spacing w:val="0"/>
          <w:sz w:val="24"/>
          <w:szCs w:val="24"/>
          <w:shd w:val="clear" w:fill="FFFFFF"/>
          <w:vertAlign w:val="baseline"/>
        </w:rPr>
        <w:t>《政府采购促进中小企业发展管理办法》（财库〔2020〕46号）；</w:t>
      </w:r>
    </w:p>
    <w:p w14:paraId="6B86B824">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482" w:leftChars="0" w:right="0" w:rightChars="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②、《三部门联合发布关于促进残疾人就业政府采购政策的通知》（财库[2017]141号）； </w:t>
      </w:r>
    </w:p>
    <w:p w14:paraId="545A46F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③、《财政部司法部关于政府采购支持监狱企业发展有关问题的通知》（财库〔2014〕68号）；</w:t>
      </w:r>
    </w:p>
    <w:p w14:paraId="2FE68F2B">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④、《国务院办公厅关于建立政府强制采购节能产品制度的通知》（国办发[2007]51号）； </w:t>
      </w:r>
    </w:p>
    <w:p w14:paraId="4C3051C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⑤、《环境标志产品政府采购实施的意见》（财库[2006]90号）； </w:t>
      </w:r>
    </w:p>
    <w:p w14:paraId="040A558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⑥、《节能产品政府采购实施意见》（财库[2004]185号）；</w:t>
      </w:r>
    </w:p>
    <w:p w14:paraId="3280720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⑦、《财政部发展改革委生态环境部市场监管总局关于调整优化节能产品、环境标志产品政府采购执行机制的通知》（财库〔2019〕9号）；</w:t>
      </w:r>
    </w:p>
    <w:p w14:paraId="55A57D1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⑧、《陕西省中小企业政府采购信用融资办法》（陕财办采〔2018〕23号）；</w:t>
      </w:r>
    </w:p>
    <w:p w14:paraId="5D3093D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⑨、《关于进一步加大政府采购支持中小企业力度的通知》（财库〔2022〕19号）；</w:t>
      </w:r>
    </w:p>
    <w:p w14:paraId="4057ECD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⑩、 落实其它相关政策。</w:t>
      </w:r>
    </w:p>
    <w:p w14:paraId="46190FA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14:paraId="5569BF5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ascii="宋体" w:hAnsi="宋体" w:eastAsia="宋体" w:cs="宋体"/>
          <w:i w:val="0"/>
          <w:iCs w:val="0"/>
          <w:caps w:val="0"/>
          <w:color w:val="auto"/>
          <w:spacing w:val="0"/>
          <w:sz w:val="24"/>
          <w:szCs w:val="24"/>
          <w:shd w:val="clear" w:fill="FFFFFF"/>
          <w:vertAlign w:val="baseline"/>
          <w:lang w:eastAsia="zh-CN"/>
        </w:rPr>
        <w:t>田家寨镇张圪崂村张圪崂大型淤地坝提升改造工程</w:t>
      </w:r>
      <w:r>
        <w:rPr>
          <w:rFonts w:hint="eastAsia" w:ascii="宋体" w:hAnsi="宋体" w:eastAsia="宋体" w:cs="宋体"/>
          <w:i w:val="0"/>
          <w:iCs w:val="0"/>
          <w:caps w:val="0"/>
          <w:color w:val="auto"/>
          <w:spacing w:val="0"/>
          <w:sz w:val="24"/>
          <w:szCs w:val="24"/>
          <w:shd w:val="clear" w:fill="FFFFFF"/>
          <w:vertAlign w:val="baseline"/>
        </w:rPr>
        <w:t>)特定资格要求如下:</w:t>
      </w:r>
    </w:p>
    <w:p w14:paraId="3DE83B42">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kern w:val="2"/>
          <w:sz w:val="24"/>
          <w:szCs w:val="24"/>
          <w:shd w:val="clear"/>
          <w:lang w:val="en-US" w:eastAsia="zh-CN" w:bidi="ar-SA"/>
        </w:rPr>
        <w:t>1、</w:t>
      </w:r>
      <w:r>
        <w:rPr>
          <w:rFonts w:hint="eastAsia" w:asciiTheme="majorEastAsia" w:hAnsiTheme="majorEastAsia" w:eastAsiaTheme="majorEastAsia" w:cstheme="majorEastAsia"/>
          <w:color w:val="auto"/>
          <w:sz w:val="24"/>
          <w:szCs w:val="24"/>
          <w:shd w:val="clear"/>
          <w:lang w:eastAsia="zh-CN"/>
        </w:rPr>
        <w:t>供应商具有独立承担民事责任能力的法人、其他组织或自然人，并出具合法有效的营业执照副本（附营业执照</w:t>
      </w:r>
      <w:r>
        <w:rPr>
          <w:rFonts w:hint="eastAsia" w:asciiTheme="majorEastAsia" w:hAnsiTheme="majorEastAsia" w:eastAsiaTheme="majorEastAsia" w:cstheme="majorEastAsia"/>
          <w:color w:val="auto"/>
          <w:sz w:val="24"/>
          <w:szCs w:val="24"/>
          <w:shd w:val="clear"/>
          <w:lang w:val="en-US" w:eastAsia="zh-CN"/>
        </w:rPr>
        <w:t>的2024年</w:t>
      </w:r>
      <w:r>
        <w:rPr>
          <w:rFonts w:hint="eastAsia" w:asciiTheme="majorEastAsia" w:hAnsiTheme="majorEastAsia" w:eastAsiaTheme="majorEastAsia" w:cstheme="majorEastAsia"/>
          <w:color w:val="auto"/>
          <w:sz w:val="24"/>
          <w:szCs w:val="24"/>
          <w:shd w:val="clear"/>
          <w:lang w:eastAsia="zh-CN"/>
        </w:rPr>
        <w:t>企业年度报告书）</w:t>
      </w:r>
      <w:r>
        <w:rPr>
          <w:rFonts w:hint="eastAsia" w:asciiTheme="majorEastAsia" w:hAnsiTheme="majorEastAsia" w:eastAsiaTheme="majorEastAsia" w:cstheme="majorEastAsia"/>
          <w:color w:val="auto"/>
          <w:sz w:val="24"/>
          <w:szCs w:val="24"/>
          <w:lang w:eastAsia="zh-CN"/>
        </w:rPr>
        <w:t>或事业单位法人证书等国家规定的相关证明，自然人参与的提供其身份证明；</w:t>
      </w:r>
    </w:p>
    <w:p w14:paraId="5E315A39">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kern w:val="2"/>
          <w:sz w:val="24"/>
          <w:szCs w:val="24"/>
          <w:lang w:val="en-US" w:eastAsia="zh-CN" w:bidi="ar-SA"/>
        </w:rPr>
        <w:t>2、</w:t>
      </w:r>
      <w:r>
        <w:rPr>
          <w:rFonts w:hint="eastAsia" w:ascii="宋体" w:hAnsi="宋体" w:eastAsia="宋体" w:cs="宋体"/>
          <w:color w:val="auto"/>
          <w:sz w:val="24"/>
          <w:szCs w:val="24"/>
          <w:highlight w:val="none"/>
          <w:lang w:val="en-US" w:eastAsia="zh-CN"/>
        </w:rPr>
        <w:t>本项目要求投标人需具备建设行政主管部门颁发的</w:t>
      </w:r>
      <w:r>
        <w:rPr>
          <w:rFonts w:hint="eastAsia" w:hAnsi="宋体" w:eastAsia="宋体" w:cs="宋体"/>
          <w:color w:val="auto"/>
          <w:sz w:val="24"/>
          <w:szCs w:val="24"/>
          <w:highlight w:val="none"/>
          <w:lang w:val="en-US" w:eastAsia="zh-CN"/>
        </w:rPr>
        <w:t>水利水电工程</w:t>
      </w:r>
      <w:r>
        <w:rPr>
          <w:rFonts w:hint="eastAsia" w:ascii="宋体" w:hAnsi="宋体" w:eastAsia="宋体" w:cs="宋体"/>
          <w:color w:val="auto"/>
          <w:sz w:val="24"/>
          <w:szCs w:val="24"/>
          <w:highlight w:val="none"/>
          <w:lang w:val="en-US" w:eastAsia="zh-CN"/>
        </w:rPr>
        <w:t>施工总承包三级及其以上资质的独立企业法人，并具备有效的安全生产许可证，并在人员、设备、资金等方面有相应的施工能力。</w:t>
      </w:r>
    </w:p>
    <w:p w14:paraId="5B417997">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Theme="majorEastAsia" w:hAnsiTheme="majorEastAsia" w:eastAsiaTheme="majorEastAsia" w:cstheme="majorEastAsia"/>
          <w:color w:val="auto"/>
          <w:sz w:val="24"/>
          <w:szCs w:val="24"/>
          <w:lang w:val="en-US" w:eastAsia="zh-CN"/>
        </w:rPr>
      </w:pPr>
      <w:r>
        <w:rPr>
          <w:rFonts w:hint="eastAsia" w:ascii="宋体" w:hAnsi="宋体" w:eastAsia="宋体" w:cs="宋体"/>
          <w:color w:val="auto"/>
          <w:sz w:val="24"/>
          <w:szCs w:val="24"/>
          <w:highlight w:val="none"/>
          <w:lang w:val="en-US" w:eastAsia="zh-CN"/>
        </w:rPr>
        <w:t>3、拟派项目负责人需具备水利水电工程专业二级及以上注册建造师证书和有效的安全生产考核合格证书（水安B证），以及2025年8月、9月或10月份至少一个月的社保经办机构出具的本企业社保缴纳证明材料（五险一金其中一项即可，应可查询），且未担任其他在建工程的项目负责人；</w:t>
      </w:r>
    </w:p>
    <w:p w14:paraId="45FCA933">
      <w:pPr>
        <w:pStyle w:val="1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val="en-US" w:eastAsia="zh-CN"/>
        </w:rPr>
        <w:t>4、</w:t>
      </w:r>
      <w:r>
        <w:rPr>
          <w:rFonts w:hint="eastAsia" w:asciiTheme="majorEastAsia" w:hAnsiTheme="majorEastAsia" w:eastAsiaTheme="majorEastAsia" w:cstheme="majorEastAsia"/>
          <w:color w:val="auto"/>
          <w:sz w:val="24"/>
          <w:szCs w:val="24"/>
        </w:rPr>
        <w:t>财务状况报告：财务状况良好，提供</w:t>
      </w:r>
      <w:r>
        <w:rPr>
          <w:rFonts w:hint="eastAsia" w:asciiTheme="majorEastAsia" w:hAnsiTheme="majorEastAsia" w:eastAsiaTheme="majorEastAsia" w:cstheme="majorEastAsia"/>
          <w:color w:val="auto"/>
          <w:sz w:val="24"/>
          <w:szCs w:val="24"/>
          <w:lang w:val="en-US" w:eastAsia="zh-CN"/>
        </w:rPr>
        <w:t>2024年</w:t>
      </w:r>
      <w:r>
        <w:rPr>
          <w:rFonts w:hint="eastAsia" w:asciiTheme="majorEastAsia" w:hAnsiTheme="majorEastAsia" w:eastAsiaTheme="majorEastAsia" w:cstheme="majorEastAsia"/>
          <w:color w:val="auto"/>
          <w:sz w:val="24"/>
          <w:szCs w:val="24"/>
        </w:rPr>
        <w:t>度财务审计报告（公司成立不足一年的需提供基本存款账户开户银行出具的资信证明）；</w:t>
      </w:r>
    </w:p>
    <w:p w14:paraId="1440313E">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rPr>
        <w:t>税收缴纳证明：</w:t>
      </w:r>
      <w:r>
        <w:rPr>
          <w:rFonts w:hint="eastAsia" w:asciiTheme="majorEastAsia" w:hAnsiTheme="majorEastAsia" w:eastAsiaTheme="majorEastAsia" w:cstheme="majorEastAsia"/>
          <w:color w:val="auto"/>
          <w:sz w:val="24"/>
          <w:szCs w:val="24"/>
          <w:lang w:eastAsia="zh-CN"/>
        </w:rPr>
        <w:t>提供202</w:t>
      </w: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lang w:eastAsia="zh-CN"/>
        </w:rPr>
        <w:t>年1月至投标截止时间已缴纳的至少一个月的纳税证明或完税证明，依法免税的单位应提供相关证明材料</w:t>
      </w:r>
      <w:r>
        <w:rPr>
          <w:rFonts w:hint="eastAsia" w:asciiTheme="majorEastAsia" w:hAnsiTheme="majorEastAsia" w:eastAsiaTheme="majorEastAsia" w:cstheme="majorEastAsia"/>
          <w:color w:val="auto"/>
          <w:sz w:val="24"/>
          <w:szCs w:val="24"/>
        </w:rPr>
        <w:t>；</w:t>
      </w:r>
    </w:p>
    <w:p w14:paraId="4DA81BBD">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6、社会保障资金缴纳证明：提供2025年1月至投标截止时间已缴纳的至少一个月的社会保障资金缴存单据或社保机构开具的社会保险参保缴费情况证明。依法不需要缴纳社会保障资金的供应商应提供相关文件证明；</w:t>
      </w:r>
    </w:p>
    <w:p w14:paraId="5337C7C6">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7、信用要求：投标供应商在中国政府采购网（www.ccgp.gov.cn）中未被列入政府采购严重违法失信行为记录名单；投标供应商、法定代表人及拟派本项目的项目负责人在“信用中国”网站（https://www.creditchina.gov.cn/）中未被列入失信被执行人名单，投标供应商提供企业完整信用报告，投标供应商、法定代表人及拟派本项目的项目负责人提供网页查询截图加盖企业原色印章（截图及报告生成时间段为磋商公告发出至递交响应文件截止时间内,未被列入失信被执行人名单截图可在其“中国执行信息公开网”网站（http://zxgk.court.gov.cn）中全国范围内查询）。</w:t>
      </w:r>
    </w:p>
    <w:p w14:paraId="4BC840A3">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8、书面声明：参加本次政府采购活动前三年内在经营活动中没有重大违法记录的声明函；</w:t>
      </w:r>
    </w:p>
    <w:p w14:paraId="2EBC530F">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9、本项目不接受联合体磋商。各供应商单位负责人为同一人或者存在直接控股、管理关系的不同供应商，不得参加同一合同项下的政府采购活动。违反规定的，其投标均无效；</w:t>
      </w:r>
    </w:p>
    <w:p w14:paraId="1BBC5B0F">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10、提供榆林市政府采购工程类项目供应商信用承诺书原件及信用中国（陕西榆林）主动承诺网页截图；</w:t>
      </w:r>
    </w:p>
    <w:p w14:paraId="0A024845">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11、磋商保证金：用投标信用承诺书代替（提供投标信用承诺书原件及信用中国（陕西榆林）主动承诺网页截图）</w:t>
      </w:r>
    </w:p>
    <w:p w14:paraId="2A89C8F5">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12、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4BD3943E">
      <w:pPr>
        <w:spacing w:line="360" w:lineRule="auto"/>
        <w:ind w:firstLine="480" w:firstLineChars="2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13、拟投入项目管理人员情况应配备合理，</w:t>
      </w:r>
      <w:r>
        <w:rPr>
          <w:rFonts w:hint="eastAsia" w:ascii="宋体" w:hAnsi="宋体" w:eastAsia="宋体" w:cs="宋体"/>
          <w:sz w:val="24"/>
          <w:szCs w:val="24"/>
          <w:lang w:val="en-US" w:eastAsia="zh-CN"/>
        </w:rPr>
        <w:t>配备包括但不限于：</w:t>
      </w:r>
      <w:r>
        <w:rPr>
          <w:rFonts w:hint="eastAsia" w:asciiTheme="majorEastAsia" w:hAnsiTheme="majorEastAsia" w:eastAsiaTheme="majorEastAsia" w:cstheme="majorEastAsia"/>
          <w:color w:val="auto"/>
          <w:kern w:val="2"/>
          <w:sz w:val="24"/>
          <w:szCs w:val="24"/>
          <w:lang w:val="en-US" w:eastAsia="zh-CN" w:bidi="ar-SA"/>
        </w:rPr>
        <w:t>技术负责人、安全员、质量员、材料员、施工员；</w:t>
      </w:r>
    </w:p>
    <w:p w14:paraId="0B61D734">
      <w:pPr>
        <w:spacing w:line="360" w:lineRule="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 xml:space="preserve">1）质量员、材料员、施工员应持有岗位证书及身份证复印件； </w:t>
      </w:r>
    </w:p>
    <w:p w14:paraId="76F82C5D">
      <w:pPr>
        <w:spacing w:line="360" w:lineRule="auto"/>
        <w:rPr>
          <w:rFonts w:hint="eastAsia" w:ascii="宋体" w:hAnsi="宋体" w:eastAsia="宋体" w:cs="宋体"/>
          <w:sz w:val="24"/>
          <w:szCs w:val="24"/>
          <w:lang w:val="en-US" w:eastAsia="zh-CN"/>
        </w:rPr>
      </w:pPr>
      <w:r>
        <w:rPr>
          <w:rFonts w:hint="eastAsia" w:asciiTheme="majorEastAsia" w:hAnsiTheme="majorEastAsia" w:eastAsiaTheme="majorEastAsia" w:cstheme="majorEastAsia"/>
          <w:color w:val="auto"/>
          <w:kern w:val="2"/>
          <w:sz w:val="24"/>
          <w:szCs w:val="24"/>
          <w:lang w:val="en-US" w:eastAsia="zh-CN" w:bidi="ar-SA"/>
        </w:rPr>
        <w:t>2）</w:t>
      </w:r>
      <w:r>
        <w:rPr>
          <w:rFonts w:hint="eastAsia" w:ascii="宋体" w:hAnsi="宋体" w:eastAsia="宋体" w:cs="宋体"/>
          <w:sz w:val="24"/>
          <w:szCs w:val="24"/>
          <w:lang w:val="en-US" w:eastAsia="zh-CN"/>
        </w:rPr>
        <w:t>技术负责人提供水利水电工程相关专业中级及以上职称证书；</w:t>
      </w:r>
    </w:p>
    <w:p w14:paraId="7356889D">
      <w:pPr>
        <w:spacing w:line="360" w:lineRule="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3）安全员应持有有效的安全生产考核合格证书（水安C证）及身份证复印件。</w:t>
      </w:r>
    </w:p>
    <w:p w14:paraId="591C7A5C">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360" w:lineRule="auto"/>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5"/>
          <w:rFonts w:hint="eastAsia" w:ascii="宋体" w:hAnsi="宋体" w:eastAsia="宋体" w:cs="宋体"/>
          <w:b/>
          <w:bCs/>
          <w:i w:val="0"/>
          <w:iCs w:val="0"/>
          <w:caps w:val="0"/>
          <w:color w:val="auto"/>
          <w:spacing w:val="0"/>
          <w:sz w:val="24"/>
          <w:szCs w:val="24"/>
          <w:shd w:val="clear" w:fill="FFFFFF"/>
          <w:vertAlign w:val="baseline"/>
        </w:rPr>
        <w:t>三、获取采购文件</w:t>
      </w:r>
    </w:p>
    <w:p w14:paraId="24BF086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时间：202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09</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24</w:t>
      </w:r>
      <w:r>
        <w:rPr>
          <w:rFonts w:hint="eastAsia" w:ascii="宋体" w:hAnsi="宋体" w:eastAsia="宋体" w:cs="宋体"/>
          <w:i w:val="0"/>
          <w:iCs w:val="0"/>
          <w:caps w:val="0"/>
          <w:color w:val="auto"/>
          <w:spacing w:val="0"/>
          <w:sz w:val="24"/>
          <w:szCs w:val="24"/>
          <w:shd w:val="clear" w:fill="FFFFFF"/>
          <w:vertAlign w:val="baseline"/>
        </w:rPr>
        <w:t>日至202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09</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29</w:t>
      </w:r>
      <w:r>
        <w:rPr>
          <w:rFonts w:hint="eastAsia" w:ascii="宋体" w:hAnsi="宋体" w:eastAsia="宋体" w:cs="宋体"/>
          <w:i w:val="0"/>
          <w:iCs w:val="0"/>
          <w:caps w:val="0"/>
          <w:color w:val="auto"/>
          <w:spacing w:val="0"/>
          <w:sz w:val="24"/>
          <w:szCs w:val="24"/>
          <w:shd w:val="clear" w:fill="FFFFFF"/>
          <w:vertAlign w:val="baseline"/>
        </w:rPr>
        <w:t>日，每天上午</w:t>
      </w:r>
      <w:r>
        <w:rPr>
          <w:rFonts w:hint="eastAsia" w:ascii="宋体" w:hAnsi="宋体" w:eastAsia="宋体" w:cs="宋体"/>
          <w:i w:val="0"/>
          <w:iCs w:val="0"/>
          <w:caps w:val="0"/>
          <w:color w:val="auto"/>
          <w:spacing w:val="0"/>
          <w:sz w:val="24"/>
          <w:szCs w:val="24"/>
          <w:shd w:val="clear" w:color="auto" w:fill="FFFFFF"/>
        </w:rPr>
        <w:t>0</w:t>
      </w:r>
      <w:r>
        <w:rPr>
          <w:rFonts w:hint="eastAsia" w:ascii="宋体" w:hAnsi="宋体" w:eastAsia="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00</w:t>
      </w:r>
      <w:r>
        <w:rPr>
          <w:rFonts w:hint="eastAsia" w:ascii="宋体" w:hAnsi="宋体" w:eastAsia="宋体" w:cs="宋体"/>
          <w:i w:val="0"/>
          <w:iCs w:val="0"/>
          <w:caps w:val="0"/>
          <w:color w:val="auto"/>
          <w:spacing w:val="0"/>
          <w:sz w:val="24"/>
          <w:szCs w:val="24"/>
          <w:shd w:val="clear" w:color="auto" w:fill="FFFFFF"/>
        </w:rPr>
        <w:t>:00至1</w:t>
      </w:r>
      <w:r>
        <w:rPr>
          <w:rFonts w:hint="eastAsia" w:ascii="宋体" w:hAnsi="宋体" w:eastAsia="宋体" w:cs="宋体"/>
          <w:i w:val="0"/>
          <w:iCs w:val="0"/>
          <w:caps w:val="0"/>
          <w:color w:val="auto"/>
          <w:spacing w:val="0"/>
          <w:sz w:val="24"/>
          <w:szCs w:val="24"/>
          <w:shd w:val="clear" w:color="auto" w:fill="FFFFFF"/>
          <w:lang w:val="en-US" w:eastAsia="zh-CN"/>
        </w:rPr>
        <w:t>1</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30</w:t>
      </w:r>
      <w:r>
        <w:rPr>
          <w:rFonts w:hint="eastAsia" w:ascii="宋体" w:hAnsi="宋体" w:eastAsia="宋体" w:cs="宋体"/>
          <w:i w:val="0"/>
          <w:iCs w:val="0"/>
          <w:caps w:val="0"/>
          <w:color w:val="auto"/>
          <w:spacing w:val="0"/>
          <w:sz w:val="24"/>
          <w:szCs w:val="24"/>
          <w:shd w:val="clear" w:color="auto" w:fill="FFFFFF"/>
        </w:rPr>
        <w:t>:00，下午</w:t>
      </w:r>
      <w:r>
        <w:rPr>
          <w:rFonts w:hint="eastAsia" w:ascii="宋体" w:hAnsi="宋体" w:eastAsia="宋体" w:cs="宋体"/>
          <w:i w:val="0"/>
          <w:iCs w:val="0"/>
          <w:caps w:val="0"/>
          <w:color w:val="auto"/>
          <w:spacing w:val="0"/>
          <w:sz w:val="24"/>
          <w:szCs w:val="24"/>
          <w:shd w:val="clear" w:color="auto" w:fill="FFFFFF"/>
          <w:lang w:val="en-US" w:eastAsia="zh-CN"/>
        </w:rPr>
        <w:t>15</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00</w:t>
      </w:r>
      <w:r>
        <w:rPr>
          <w:rFonts w:hint="eastAsia" w:ascii="宋体" w:hAnsi="宋体" w:eastAsia="宋体" w:cs="宋体"/>
          <w:i w:val="0"/>
          <w:iCs w:val="0"/>
          <w:caps w:val="0"/>
          <w:color w:val="auto"/>
          <w:spacing w:val="0"/>
          <w:sz w:val="24"/>
          <w:szCs w:val="24"/>
          <w:shd w:val="clear" w:color="auto" w:fill="FFFFFF"/>
        </w:rPr>
        <w:t>:00至1</w:t>
      </w:r>
      <w:r>
        <w:rPr>
          <w:rFonts w:hint="eastAsia" w:ascii="宋体" w:hAnsi="宋体" w:eastAsia="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30</w:t>
      </w:r>
      <w:r>
        <w:rPr>
          <w:rFonts w:hint="eastAsia" w:ascii="宋体" w:hAnsi="宋体" w:eastAsia="宋体" w:cs="宋体"/>
          <w:i w:val="0"/>
          <w:iCs w:val="0"/>
          <w:caps w:val="0"/>
          <w:color w:val="auto"/>
          <w:spacing w:val="0"/>
          <w:sz w:val="24"/>
          <w:szCs w:val="24"/>
          <w:shd w:val="clear" w:color="auto" w:fill="FFFFFF"/>
        </w:rPr>
        <w:t>:00</w:t>
      </w:r>
      <w:r>
        <w:rPr>
          <w:rFonts w:hint="eastAsia" w:ascii="宋体" w:hAnsi="宋体" w:eastAsia="宋体" w:cs="宋体"/>
          <w:i w:val="0"/>
          <w:iCs w:val="0"/>
          <w:caps w:val="0"/>
          <w:color w:val="auto"/>
          <w:spacing w:val="0"/>
          <w:sz w:val="24"/>
          <w:szCs w:val="24"/>
          <w:shd w:val="clear" w:fill="FFFFFF"/>
          <w:vertAlign w:val="baseline"/>
        </w:rPr>
        <w:t>（北京时间）</w:t>
      </w:r>
    </w:p>
    <w:p w14:paraId="70B0AC9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地点：全国公共资源交易中心平台（陕西省）【http://www.sxggzyjy.cn】使用CA锁报名后自行下载</w:t>
      </w:r>
    </w:p>
    <w:p w14:paraId="79500D9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方式：在线获取</w:t>
      </w:r>
    </w:p>
    <w:p w14:paraId="3D1DE69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售价：免费获取</w:t>
      </w:r>
    </w:p>
    <w:p w14:paraId="375D83A5">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360" w:lineRule="auto"/>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5"/>
          <w:rFonts w:hint="eastAsia" w:ascii="宋体" w:hAnsi="宋体" w:eastAsia="宋体" w:cs="宋体"/>
          <w:b/>
          <w:bCs/>
          <w:i w:val="0"/>
          <w:iCs w:val="0"/>
          <w:caps w:val="0"/>
          <w:color w:val="auto"/>
          <w:spacing w:val="0"/>
          <w:sz w:val="24"/>
          <w:szCs w:val="24"/>
          <w:shd w:val="clear" w:fill="FFFFFF"/>
          <w:vertAlign w:val="baseline"/>
        </w:rPr>
        <w:t>四、响应文件提交</w:t>
      </w:r>
    </w:p>
    <w:p w14:paraId="574BF6A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截止时间：</w:t>
      </w:r>
      <w:r>
        <w:rPr>
          <w:rFonts w:hint="eastAsia" w:ascii="宋体" w:hAnsi="宋体" w:eastAsia="宋体" w:cs="宋体"/>
          <w:i w:val="0"/>
          <w:iCs w:val="0"/>
          <w:caps w:val="0"/>
          <w:color w:val="auto"/>
          <w:spacing w:val="0"/>
          <w:sz w:val="24"/>
          <w:szCs w:val="24"/>
          <w:shd w:val="clear" w:fill="FFFFFF"/>
          <w:vertAlign w:val="baseline"/>
          <w:lang w:eastAsia="zh-CN"/>
        </w:rPr>
        <w:t>2025年</w:t>
      </w:r>
      <w:r>
        <w:rPr>
          <w:rFonts w:hint="eastAsia" w:ascii="宋体" w:hAnsi="宋体" w:eastAsia="宋体"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lang w:eastAsia="zh-CN"/>
        </w:rPr>
        <w:t>月</w:t>
      </w:r>
      <w:r>
        <w:rPr>
          <w:rFonts w:hint="eastAsia" w:ascii="宋体" w:hAnsi="宋体" w:eastAsia="宋体" w:cs="宋体"/>
          <w:i w:val="0"/>
          <w:iCs w:val="0"/>
          <w:caps w:val="0"/>
          <w:color w:val="auto"/>
          <w:spacing w:val="0"/>
          <w:sz w:val="24"/>
          <w:szCs w:val="24"/>
          <w:shd w:val="clear" w:fill="FFFFFF"/>
          <w:vertAlign w:val="baseline"/>
          <w:lang w:val="en-US" w:eastAsia="zh-CN"/>
        </w:rPr>
        <w:t>09</w:t>
      </w:r>
      <w:r>
        <w:rPr>
          <w:rFonts w:hint="eastAsia" w:ascii="宋体" w:hAnsi="宋体" w:eastAsia="宋体" w:cs="宋体"/>
          <w:i w:val="0"/>
          <w:iCs w:val="0"/>
          <w:caps w:val="0"/>
          <w:color w:val="auto"/>
          <w:spacing w:val="0"/>
          <w:sz w:val="24"/>
          <w:szCs w:val="24"/>
          <w:shd w:val="clear" w:fill="FFFFFF"/>
          <w:vertAlign w:val="baseline"/>
          <w:lang w:eastAsia="zh-CN"/>
        </w:rPr>
        <w:t>日</w:t>
      </w:r>
      <w:r>
        <w:rPr>
          <w:rFonts w:hint="eastAsia" w:ascii="宋体" w:hAnsi="宋体" w:eastAsia="宋体" w:cs="宋体"/>
          <w:i w:val="0"/>
          <w:iCs w:val="0"/>
          <w:caps w:val="0"/>
          <w:color w:val="auto"/>
          <w:spacing w:val="0"/>
          <w:sz w:val="24"/>
          <w:szCs w:val="24"/>
          <w:shd w:val="clear" w:fill="FFFFFF"/>
          <w:vertAlign w:val="baseline"/>
          <w:lang w:val="en-US" w:eastAsia="zh-CN"/>
        </w:rPr>
        <w:t>15</w:t>
      </w:r>
      <w:r>
        <w:rPr>
          <w:rFonts w:hint="eastAsia" w:ascii="宋体" w:hAnsi="宋体" w:eastAsia="宋体" w:cs="宋体"/>
          <w:i w:val="0"/>
          <w:iCs w:val="0"/>
          <w:caps w:val="0"/>
          <w:color w:val="auto"/>
          <w:spacing w:val="0"/>
          <w:sz w:val="24"/>
          <w:szCs w:val="24"/>
          <w:shd w:val="clear" w:fill="FFFFFF"/>
          <w:vertAlign w:val="baseline"/>
          <w:lang w:eastAsia="zh-CN"/>
        </w:rPr>
        <w:t>时</w:t>
      </w:r>
      <w:r>
        <w:rPr>
          <w:rFonts w:hint="eastAsia" w:ascii="宋体" w:hAnsi="宋体" w:eastAsia="宋体" w:cs="宋体"/>
          <w:i w:val="0"/>
          <w:iCs w:val="0"/>
          <w:caps w:val="0"/>
          <w:color w:val="auto"/>
          <w:spacing w:val="0"/>
          <w:sz w:val="24"/>
          <w:szCs w:val="24"/>
          <w:shd w:val="clear" w:fill="FFFFFF"/>
          <w:vertAlign w:val="baseline"/>
          <w:lang w:val="en-US" w:eastAsia="zh-CN"/>
        </w:rPr>
        <w:t>00</w:t>
      </w:r>
      <w:r>
        <w:rPr>
          <w:rFonts w:hint="eastAsia" w:ascii="宋体" w:hAnsi="宋体" w:eastAsia="宋体" w:cs="宋体"/>
          <w:i w:val="0"/>
          <w:iCs w:val="0"/>
          <w:caps w:val="0"/>
          <w:color w:val="auto"/>
          <w:spacing w:val="0"/>
          <w:sz w:val="24"/>
          <w:szCs w:val="24"/>
          <w:shd w:val="clear" w:fill="FFFFFF"/>
          <w:vertAlign w:val="baseline"/>
          <w:lang w:eastAsia="zh-CN"/>
        </w:rPr>
        <w:t>分</w:t>
      </w:r>
      <w:r>
        <w:rPr>
          <w:rFonts w:hint="eastAsia" w:ascii="宋体" w:hAnsi="宋体" w:eastAsia="宋体" w:cs="宋体"/>
          <w:i w:val="0"/>
          <w:iCs w:val="0"/>
          <w:caps w:val="0"/>
          <w:color w:val="auto"/>
          <w:spacing w:val="0"/>
          <w:sz w:val="24"/>
          <w:szCs w:val="24"/>
          <w:shd w:val="clear" w:fill="FFFFFF"/>
          <w:vertAlign w:val="baseline"/>
        </w:rPr>
        <w:t>00秒（北京时间）</w:t>
      </w:r>
    </w:p>
    <w:p w14:paraId="13889B6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default"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fill="FFFFFF"/>
          <w:vertAlign w:val="baseline"/>
        </w:rPr>
        <w:t>地点：</w:t>
      </w:r>
      <w:r>
        <w:rPr>
          <w:rFonts w:hint="eastAsia" w:ascii="宋体" w:hAnsi="宋体" w:eastAsia="宋体" w:cs="宋体"/>
          <w:i w:val="0"/>
          <w:iCs w:val="0"/>
          <w:caps w:val="0"/>
          <w:color w:val="auto"/>
          <w:spacing w:val="0"/>
          <w:sz w:val="24"/>
          <w:szCs w:val="24"/>
          <w:shd w:val="clear" w:fill="FFFFFF"/>
          <w:vertAlign w:val="baseline"/>
          <w:lang w:val="en-US" w:eastAsia="zh-CN"/>
        </w:rPr>
        <w:t>府谷县新区高家湾世纪花园三楼</w:t>
      </w:r>
    </w:p>
    <w:p w14:paraId="7B373114">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360" w:lineRule="auto"/>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5"/>
          <w:rFonts w:hint="eastAsia" w:ascii="宋体" w:hAnsi="宋体" w:eastAsia="宋体" w:cs="宋体"/>
          <w:b/>
          <w:bCs/>
          <w:i w:val="0"/>
          <w:iCs w:val="0"/>
          <w:caps w:val="0"/>
          <w:color w:val="auto"/>
          <w:spacing w:val="0"/>
          <w:sz w:val="24"/>
          <w:szCs w:val="24"/>
          <w:shd w:val="clear" w:fill="FFFFFF"/>
          <w:vertAlign w:val="baseline"/>
        </w:rPr>
        <w:t>五、开启</w:t>
      </w:r>
    </w:p>
    <w:p w14:paraId="7A94CD2F">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时间：</w:t>
      </w:r>
      <w:r>
        <w:rPr>
          <w:rFonts w:hint="eastAsia" w:ascii="宋体" w:hAnsi="宋体" w:eastAsia="宋体" w:cs="宋体"/>
          <w:i w:val="0"/>
          <w:iCs w:val="0"/>
          <w:caps w:val="0"/>
          <w:color w:val="auto"/>
          <w:spacing w:val="0"/>
          <w:sz w:val="24"/>
          <w:szCs w:val="24"/>
          <w:shd w:val="clear" w:fill="FFFFFF"/>
          <w:vertAlign w:val="baseline"/>
          <w:lang w:eastAsia="zh-CN"/>
        </w:rPr>
        <w:t>2025年</w:t>
      </w:r>
      <w:r>
        <w:rPr>
          <w:rFonts w:hint="eastAsia" w:ascii="宋体" w:hAnsi="宋体" w:eastAsia="宋体"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lang w:eastAsia="zh-CN"/>
        </w:rPr>
        <w:t>月</w:t>
      </w:r>
      <w:r>
        <w:rPr>
          <w:rFonts w:hint="eastAsia" w:ascii="宋体" w:hAnsi="宋体" w:eastAsia="宋体" w:cs="宋体"/>
          <w:i w:val="0"/>
          <w:iCs w:val="0"/>
          <w:caps w:val="0"/>
          <w:color w:val="auto"/>
          <w:spacing w:val="0"/>
          <w:sz w:val="24"/>
          <w:szCs w:val="24"/>
          <w:shd w:val="clear" w:fill="FFFFFF"/>
          <w:vertAlign w:val="baseline"/>
          <w:lang w:val="en-US" w:eastAsia="zh-CN"/>
        </w:rPr>
        <w:t>09</w:t>
      </w:r>
      <w:r>
        <w:rPr>
          <w:rFonts w:hint="eastAsia" w:ascii="宋体" w:hAnsi="宋体" w:eastAsia="宋体" w:cs="宋体"/>
          <w:i w:val="0"/>
          <w:iCs w:val="0"/>
          <w:caps w:val="0"/>
          <w:color w:val="auto"/>
          <w:spacing w:val="0"/>
          <w:sz w:val="24"/>
          <w:szCs w:val="24"/>
          <w:shd w:val="clear" w:fill="FFFFFF"/>
          <w:vertAlign w:val="baseline"/>
          <w:lang w:eastAsia="zh-CN"/>
        </w:rPr>
        <w:t>日</w:t>
      </w:r>
      <w:r>
        <w:rPr>
          <w:rFonts w:hint="eastAsia" w:ascii="宋体" w:hAnsi="宋体" w:eastAsia="宋体" w:cs="宋体"/>
          <w:i w:val="0"/>
          <w:iCs w:val="0"/>
          <w:caps w:val="0"/>
          <w:color w:val="auto"/>
          <w:spacing w:val="0"/>
          <w:sz w:val="24"/>
          <w:szCs w:val="24"/>
          <w:shd w:val="clear" w:fill="FFFFFF"/>
          <w:vertAlign w:val="baseline"/>
          <w:lang w:val="en-US" w:eastAsia="zh-CN"/>
        </w:rPr>
        <w:t>15</w:t>
      </w:r>
      <w:r>
        <w:rPr>
          <w:rFonts w:hint="eastAsia" w:ascii="宋体" w:hAnsi="宋体" w:eastAsia="宋体" w:cs="宋体"/>
          <w:i w:val="0"/>
          <w:iCs w:val="0"/>
          <w:caps w:val="0"/>
          <w:color w:val="auto"/>
          <w:spacing w:val="0"/>
          <w:sz w:val="24"/>
          <w:szCs w:val="24"/>
          <w:shd w:val="clear" w:fill="FFFFFF"/>
          <w:vertAlign w:val="baseline"/>
          <w:lang w:eastAsia="zh-CN"/>
        </w:rPr>
        <w:t>时</w:t>
      </w:r>
      <w:r>
        <w:rPr>
          <w:rFonts w:hint="eastAsia" w:ascii="宋体" w:hAnsi="宋体" w:eastAsia="宋体" w:cs="宋体"/>
          <w:i w:val="0"/>
          <w:iCs w:val="0"/>
          <w:caps w:val="0"/>
          <w:color w:val="auto"/>
          <w:spacing w:val="0"/>
          <w:sz w:val="24"/>
          <w:szCs w:val="24"/>
          <w:shd w:val="clear" w:fill="FFFFFF"/>
          <w:vertAlign w:val="baseline"/>
          <w:lang w:val="en-US" w:eastAsia="zh-CN"/>
        </w:rPr>
        <w:t>00</w:t>
      </w:r>
      <w:r>
        <w:rPr>
          <w:rFonts w:hint="eastAsia" w:ascii="宋体" w:hAnsi="宋体" w:eastAsia="宋体" w:cs="宋体"/>
          <w:i w:val="0"/>
          <w:iCs w:val="0"/>
          <w:caps w:val="0"/>
          <w:color w:val="auto"/>
          <w:spacing w:val="0"/>
          <w:sz w:val="24"/>
          <w:szCs w:val="24"/>
          <w:shd w:val="clear" w:fill="FFFFFF"/>
          <w:vertAlign w:val="baseline"/>
          <w:lang w:eastAsia="zh-CN"/>
        </w:rPr>
        <w:t>分</w:t>
      </w:r>
      <w:r>
        <w:rPr>
          <w:rFonts w:hint="eastAsia" w:ascii="宋体" w:hAnsi="宋体" w:eastAsia="宋体" w:cs="宋体"/>
          <w:i w:val="0"/>
          <w:iCs w:val="0"/>
          <w:caps w:val="0"/>
          <w:color w:val="auto"/>
          <w:spacing w:val="0"/>
          <w:sz w:val="24"/>
          <w:szCs w:val="24"/>
          <w:shd w:val="clear" w:fill="FFFFFF"/>
          <w:vertAlign w:val="baseline"/>
        </w:rPr>
        <w:t>00秒（北京时间）</w:t>
      </w:r>
    </w:p>
    <w:p w14:paraId="37D79096">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both"/>
        <w:rPr>
          <w:rFonts w:hint="eastAsia" w:ascii="宋体" w:hAnsi="宋体" w:eastAsia="宋体" w:cs="宋体"/>
          <w:color w:val="auto"/>
          <w:sz w:val="28"/>
          <w:szCs w:val="28"/>
          <w:lang w:eastAsia="zh-CN"/>
        </w:rPr>
      </w:pPr>
      <w:r>
        <w:rPr>
          <w:rFonts w:hint="eastAsia" w:ascii="宋体" w:hAnsi="宋体" w:eastAsia="宋体" w:cs="宋体"/>
          <w:i w:val="0"/>
          <w:iCs w:val="0"/>
          <w:caps w:val="0"/>
          <w:color w:val="auto"/>
          <w:spacing w:val="0"/>
          <w:sz w:val="24"/>
          <w:szCs w:val="24"/>
          <w:shd w:val="clear" w:fill="FFFFFF"/>
          <w:vertAlign w:val="baseline"/>
        </w:rPr>
        <w:t>地点：</w:t>
      </w:r>
      <w:r>
        <w:rPr>
          <w:rFonts w:hint="eastAsia" w:ascii="宋体" w:hAnsi="宋体" w:eastAsia="宋体" w:cs="宋体"/>
          <w:i w:val="0"/>
          <w:caps w:val="0"/>
          <w:color w:val="auto"/>
          <w:spacing w:val="0"/>
          <w:kern w:val="0"/>
          <w:sz w:val="24"/>
          <w:szCs w:val="24"/>
          <w:shd w:val="clear" w:color="auto" w:fill="FFFFFF"/>
          <w:lang w:val="en-US" w:eastAsia="zh-CN" w:bidi="ar"/>
        </w:rPr>
        <w:t>府谷县新区高家湾世纪花园三楼</w:t>
      </w:r>
    </w:p>
    <w:p w14:paraId="0910FD42">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360" w:lineRule="auto"/>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5"/>
          <w:rFonts w:hint="eastAsia" w:ascii="宋体" w:hAnsi="宋体" w:eastAsia="宋体" w:cs="宋体"/>
          <w:b/>
          <w:bCs/>
          <w:i w:val="0"/>
          <w:iCs w:val="0"/>
          <w:caps w:val="0"/>
          <w:color w:val="auto"/>
          <w:spacing w:val="0"/>
          <w:sz w:val="24"/>
          <w:szCs w:val="24"/>
          <w:shd w:val="clear" w:fill="FFFFFF"/>
          <w:vertAlign w:val="baseline"/>
        </w:rPr>
        <w:t>六、公告期限</w:t>
      </w:r>
    </w:p>
    <w:p w14:paraId="36CD846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自本公告发布之日起</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个工作日。</w:t>
      </w:r>
    </w:p>
    <w:p w14:paraId="70ADDCFE">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360" w:lineRule="auto"/>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5"/>
          <w:rFonts w:hint="eastAsia" w:ascii="宋体" w:hAnsi="宋体" w:eastAsia="宋体" w:cs="宋体"/>
          <w:b/>
          <w:bCs/>
          <w:i w:val="0"/>
          <w:iCs w:val="0"/>
          <w:caps w:val="0"/>
          <w:color w:val="auto"/>
          <w:spacing w:val="0"/>
          <w:sz w:val="24"/>
          <w:szCs w:val="24"/>
          <w:shd w:val="clear" w:fill="FFFFFF"/>
          <w:vertAlign w:val="baseline"/>
        </w:rPr>
        <w:t>七、其他补充事宜</w:t>
      </w:r>
    </w:p>
    <w:p w14:paraId="2E31AA4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线上与线下需同时报名，二者缺一不可，否则视为报名无效；</w:t>
      </w:r>
    </w:p>
    <w:p w14:paraId="6D88C16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1、供应商可登录全国公共资源交易中心平台（陕西省） （http://www.sxggzyjy.cn/）,选择“电子交易平台-政府采购交易系统-企业端进行登录，登录后选择“交易乙方”身份进入供应商界面进行报名并免费下载采购文件。</w:t>
      </w:r>
    </w:p>
    <w:p w14:paraId="2006446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2、线上报名与线下报名需同时进行，线上报名成功后请携带网上报名回执单、单位介绍信原件、经办人身份证原件、复印件加盖公章到华建联（陕西）招标代理有限公司(陕西省府谷县新区高家湾世纪花园三楼）进行线下报名，线上与线下报名信息须一致，否则视为报名无效。本工程所属行业为建筑业，报名时间：2025年09月24日至2025年09月29日（双休日除外）上午09:00:00至11:30:00,下午</w:t>
      </w:r>
      <w:r>
        <w:rPr>
          <w:rFonts w:hint="eastAsia" w:ascii="宋体" w:hAnsi="宋体" w:eastAsia="宋体" w:cs="宋体"/>
          <w:i w:val="0"/>
          <w:iCs w:val="0"/>
          <w:caps w:val="0"/>
          <w:color w:val="auto"/>
          <w:spacing w:val="0"/>
          <w:sz w:val="24"/>
          <w:szCs w:val="24"/>
          <w:shd w:val="clear" w:color="auto" w:fill="FFFFFF"/>
          <w:lang w:val="en-US" w:eastAsia="zh-CN"/>
        </w:rPr>
        <w:t>15</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00</w:t>
      </w:r>
      <w:r>
        <w:rPr>
          <w:rFonts w:hint="eastAsia" w:ascii="宋体" w:hAnsi="宋体" w:eastAsia="宋体" w:cs="宋体"/>
          <w:i w:val="0"/>
          <w:iCs w:val="0"/>
          <w:caps w:val="0"/>
          <w:color w:val="auto"/>
          <w:spacing w:val="0"/>
          <w:sz w:val="24"/>
          <w:szCs w:val="24"/>
          <w:shd w:val="clear" w:color="auto" w:fill="FFFFFF"/>
        </w:rPr>
        <w:t>:00至1</w:t>
      </w:r>
      <w:r>
        <w:rPr>
          <w:rFonts w:hint="eastAsia" w:ascii="宋体" w:hAnsi="宋体" w:eastAsia="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30</w:t>
      </w:r>
      <w:r>
        <w:rPr>
          <w:rFonts w:hint="eastAsia" w:ascii="宋体" w:hAnsi="宋体" w:eastAsia="宋体" w:cs="宋体"/>
          <w:i w:val="0"/>
          <w:iCs w:val="0"/>
          <w:caps w:val="0"/>
          <w:color w:val="auto"/>
          <w:spacing w:val="0"/>
          <w:sz w:val="24"/>
          <w:szCs w:val="24"/>
          <w:shd w:val="clear" w:color="auto" w:fill="FFFFFF"/>
        </w:rPr>
        <w:t>:00</w:t>
      </w:r>
      <w:r>
        <w:rPr>
          <w:rFonts w:hint="eastAsia" w:ascii="宋体" w:hAnsi="宋体" w:eastAsia="宋体" w:cs="宋体"/>
          <w:i w:val="0"/>
          <w:iCs w:val="0"/>
          <w:caps w:val="0"/>
          <w:color w:val="auto"/>
          <w:spacing w:val="0"/>
          <w:kern w:val="0"/>
          <w:sz w:val="24"/>
          <w:szCs w:val="24"/>
          <w:shd w:val="clear" w:fill="FFFFFF"/>
          <w:vertAlign w:val="baseline"/>
          <w:lang w:val="en-US" w:eastAsia="zh-CN" w:bidi="ar"/>
        </w:rPr>
        <w:t>（谢绝邮寄）。</w:t>
      </w:r>
    </w:p>
    <w:p w14:paraId="581C842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3、办理CA锁方式（仅供参考）：榆林市市民大厦三楼窗口,电话：0912-3515031。</w:t>
      </w:r>
    </w:p>
    <w:p w14:paraId="1B2B6FEB">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4、请供应商按照陕西省财政厅关于政府采购供应商注册登记有关事项的通知中的要求，通过陕西省政府采购网（http://www.ccgp-shaanxi.gov.cn/）注册登记加入陕西省政府采购供应商库。</w:t>
      </w:r>
    </w:p>
    <w:p w14:paraId="4DA4D835">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360" w:lineRule="auto"/>
        <w:ind w:left="-375" w:leftChars="0" w:right="0" w:rightChars="0" w:firstLine="241" w:firstLineChars="100"/>
        <w:jc w:val="left"/>
        <w:textAlignment w:val="baseline"/>
        <w:rPr>
          <w:rFonts w:hint="eastAsia" w:ascii="宋体" w:hAnsi="宋体" w:eastAsia="宋体" w:cs="宋体"/>
          <w:b w:val="0"/>
          <w:bCs w:val="0"/>
          <w:color w:val="auto"/>
          <w:sz w:val="24"/>
          <w:szCs w:val="24"/>
        </w:rPr>
      </w:pPr>
      <w:r>
        <w:rPr>
          <w:rStyle w:val="25"/>
          <w:rFonts w:hint="eastAsia" w:ascii="宋体" w:hAnsi="宋体" w:eastAsia="宋体" w:cs="宋体"/>
          <w:b/>
          <w:bCs/>
          <w:i w:val="0"/>
          <w:iCs w:val="0"/>
          <w:caps w:val="0"/>
          <w:color w:val="auto"/>
          <w:spacing w:val="0"/>
          <w:sz w:val="24"/>
          <w:szCs w:val="24"/>
          <w:shd w:val="clear" w:fill="FFFFFF"/>
          <w:vertAlign w:val="baseline"/>
        </w:rPr>
        <w:t>八、凡对本次采购提出询问，请按以下方式联系。</w:t>
      </w:r>
    </w:p>
    <w:p w14:paraId="2D2DC2FD">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left"/>
        <w:rPr>
          <w:rFonts w:hint="eastAsia" w:ascii="宋体" w:hAnsi="宋体" w:eastAsia="宋体" w:cs="宋体"/>
          <w:b w:val="0"/>
          <w:color w:val="auto"/>
          <w:kern w:val="0"/>
          <w:sz w:val="24"/>
          <w:szCs w:val="24"/>
        </w:rPr>
      </w:pPr>
      <w:r>
        <w:rPr>
          <w:rFonts w:hint="eastAsia" w:ascii="宋体" w:hAnsi="宋体" w:eastAsia="宋体" w:cs="宋体"/>
          <w:b w:val="0"/>
          <w:i w:val="0"/>
          <w:caps w:val="0"/>
          <w:color w:val="auto"/>
          <w:spacing w:val="0"/>
          <w:kern w:val="0"/>
          <w:sz w:val="24"/>
          <w:szCs w:val="24"/>
          <w:shd w:val="clear" w:color="auto" w:fill="FFFFFF"/>
        </w:rPr>
        <w:t>1.采购人信息</w:t>
      </w:r>
    </w:p>
    <w:p w14:paraId="5AAC9A7E">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both"/>
        <w:rPr>
          <w:rFonts w:hint="eastAsia" w:ascii="宋体" w:hAnsi="宋体" w:eastAsia="宋体" w:cs="宋体"/>
          <w:i w:val="0"/>
          <w:caps w:val="0"/>
          <w:color w:val="auto"/>
          <w:spacing w:val="0"/>
          <w:kern w:val="0"/>
          <w:sz w:val="24"/>
          <w:szCs w:val="24"/>
          <w:shd w:val="clear" w:color="auto" w:fill="FFFFFF"/>
        </w:rPr>
      </w:pPr>
      <w:r>
        <w:rPr>
          <w:rFonts w:hint="eastAsia" w:ascii="宋体" w:hAnsi="宋体" w:eastAsia="宋体" w:cs="宋体"/>
          <w:i w:val="0"/>
          <w:caps w:val="0"/>
          <w:color w:val="auto"/>
          <w:spacing w:val="0"/>
          <w:kern w:val="0"/>
          <w:sz w:val="24"/>
          <w:szCs w:val="24"/>
          <w:shd w:val="clear" w:color="auto" w:fill="FFFFFF"/>
          <w:lang w:val="en-US" w:eastAsia="zh-CN" w:bidi="ar"/>
        </w:rPr>
        <w:t>名称：府谷县田家寨镇人民政府</w:t>
      </w:r>
    </w:p>
    <w:p w14:paraId="6CC950CE">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both"/>
        <w:rPr>
          <w:rFonts w:hint="eastAsia" w:ascii="宋体" w:hAnsi="宋体" w:eastAsia="宋体" w:cs="宋体"/>
          <w:i w:val="0"/>
          <w:caps w:val="0"/>
          <w:color w:val="auto"/>
          <w:spacing w:val="0"/>
          <w:kern w:val="0"/>
          <w:sz w:val="24"/>
          <w:szCs w:val="24"/>
          <w:shd w:val="clear" w:color="auto" w:fill="FFFFFF"/>
          <w:lang w:val="en-US" w:eastAsia="zh-CN" w:bidi="ar"/>
        </w:rPr>
      </w:pPr>
      <w:r>
        <w:rPr>
          <w:rFonts w:hint="eastAsia" w:ascii="宋体" w:hAnsi="宋体" w:eastAsia="宋体" w:cs="宋体"/>
          <w:i w:val="0"/>
          <w:caps w:val="0"/>
          <w:color w:val="auto"/>
          <w:spacing w:val="0"/>
          <w:kern w:val="0"/>
          <w:sz w:val="24"/>
          <w:szCs w:val="24"/>
          <w:shd w:val="clear" w:color="auto" w:fill="FFFFFF"/>
          <w:lang w:val="en-US" w:eastAsia="zh-CN" w:bidi="ar"/>
        </w:rPr>
        <w:t>地址：府谷县田家寨镇</w:t>
      </w:r>
    </w:p>
    <w:p w14:paraId="31C49970">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rPr>
      </w:pPr>
      <w:r>
        <w:rPr>
          <w:rFonts w:hint="eastAsia" w:ascii="宋体" w:hAnsi="宋体" w:eastAsia="宋体" w:cs="宋体"/>
          <w:i w:val="0"/>
          <w:caps w:val="0"/>
          <w:color w:val="auto"/>
          <w:spacing w:val="0"/>
          <w:kern w:val="0"/>
          <w:sz w:val="24"/>
          <w:szCs w:val="24"/>
          <w:shd w:val="clear" w:color="auto" w:fill="FFFFFF"/>
          <w:lang w:val="en-US" w:eastAsia="zh-CN" w:bidi="ar"/>
        </w:rPr>
        <w:t>联系方式：0912-8983001</w:t>
      </w:r>
    </w:p>
    <w:p w14:paraId="142F4F76">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left"/>
        <w:rPr>
          <w:rFonts w:hint="eastAsia" w:ascii="宋体" w:hAnsi="宋体" w:eastAsia="宋体" w:cs="宋体"/>
          <w:b w:val="0"/>
          <w:color w:val="auto"/>
          <w:kern w:val="0"/>
          <w:sz w:val="24"/>
          <w:szCs w:val="24"/>
        </w:rPr>
      </w:pPr>
      <w:r>
        <w:rPr>
          <w:rFonts w:hint="eastAsia" w:ascii="宋体" w:hAnsi="宋体" w:eastAsia="宋体" w:cs="宋体"/>
          <w:b w:val="0"/>
          <w:i w:val="0"/>
          <w:caps w:val="0"/>
          <w:color w:val="auto"/>
          <w:spacing w:val="0"/>
          <w:kern w:val="0"/>
          <w:sz w:val="24"/>
          <w:szCs w:val="24"/>
          <w:shd w:val="clear" w:color="auto" w:fill="FFFFFF"/>
        </w:rPr>
        <w:t>2.采购代理机构信息</w:t>
      </w:r>
    </w:p>
    <w:p w14:paraId="230A303D">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rPr>
      </w:pPr>
      <w:r>
        <w:rPr>
          <w:rFonts w:hint="eastAsia" w:ascii="宋体" w:hAnsi="宋体" w:eastAsia="宋体" w:cs="宋体"/>
          <w:i w:val="0"/>
          <w:caps w:val="0"/>
          <w:color w:val="auto"/>
          <w:spacing w:val="0"/>
          <w:kern w:val="0"/>
          <w:sz w:val="24"/>
          <w:szCs w:val="24"/>
          <w:shd w:val="clear" w:color="auto" w:fill="FFFFFF"/>
          <w:lang w:val="en-US" w:eastAsia="zh-CN" w:bidi="ar"/>
        </w:rPr>
        <w:t>名称：华建联（陕西）招标代理有限公司</w:t>
      </w:r>
    </w:p>
    <w:p w14:paraId="6413036E">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rPr>
      </w:pPr>
      <w:r>
        <w:rPr>
          <w:rFonts w:hint="eastAsia" w:ascii="宋体" w:hAnsi="宋体" w:eastAsia="宋体" w:cs="宋体"/>
          <w:i w:val="0"/>
          <w:caps w:val="0"/>
          <w:color w:val="auto"/>
          <w:spacing w:val="0"/>
          <w:kern w:val="0"/>
          <w:sz w:val="24"/>
          <w:szCs w:val="24"/>
          <w:shd w:val="clear" w:color="auto" w:fill="FFFFFF"/>
          <w:lang w:val="en-US" w:eastAsia="zh-CN" w:bidi="ar"/>
        </w:rPr>
        <w:t>地址：府谷县新区高家湾世纪花园三楼</w:t>
      </w:r>
    </w:p>
    <w:p w14:paraId="5BB7167F">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left"/>
        <w:rPr>
          <w:rFonts w:hint="eastAsia" w:ascii="宋体" w:hAnsi="宋体" w:eastAsia="宋体" w:cs="宋体"/>
          <w:b w:val="0"/>
          <w:color w:val="auto"/>
          <w:kern w:val="0"/>
          <w:sz w:val="24"/>
          <w:szCs w:val="24"/>
        </w:rPr>
      </w:pPr>
      <w:r>
        <w:rPr>
          <w:rFonts w:hint="eastAsia" w:ascii="宋体" w:hAnsi="宋体" w:eastAsia="宋体" w:cs="宋体"/>
          <w:b w:val="0"/>
          <w:i w:val="0"/>
          <w:caps w:val="0"/>
          <w:color w:val="auto"/>
          <w:spacing w:val="0"/>
          <w:kern w:val="0"/>
          <w:sz w:val="24"/>
          <w:szCs w:val="24"/>
          <w:shd w:val="clear" w:color="auto" w:fill="FFFFFF"/>
        </w:rPr>
        <w:t>3.项目联系方式</w:t>
      </w:r>
    </w:p>
    <w:p w14:paraId="6BC01829">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both"/>
        <w:rPr>
          <w:rFonts w:hint="eastAsia" w:ascii="宋体" w:hAnsi="宋体" w:eastAsia="宋体" w:cs="宋体"/>
          <w:i w:val="0"/>
          <w:caps w:val="0"/>
          <w:color w:val="auto"/>
          <w:spacing w:val="0"/>
          <w:kern w:val="0"/>
          <w:sz w:val="24"/>
          <w:szCs w:val="24"/>
          <w:shd w:val="clear" w:color="auto" w:fill="FFFFFF"/>
          <w:lang w:val="en-US" w:eastAsia="zh-CN" w:bidi="ar"/>
        </w:rPr>
      </w:pPr>
      <w:r>
        <w:rPr>
          <w:rFonts w:hint="eastAsia" w:ascii="宋体" w:hAnsi="宋体" w:eastAsia="宋体" w:cs="宋体"/>
          <w:i w:val="0"/>
          <w:caps w:val="0"/>
          <w:color w:val="auto"/>
          <w:spacing w:val="0"/>
          <w:kern w:val="0"/>
          <w:sz w:val="24"/>
          <w:szCs w:val="24"/>
          <w:shd w:val="clear" w:color="auto" w:fill="FFFFFF"/>
          <w:lang w:val="en-US" w:eastAsia="zh-CN" w:bidi="ar"/>
        </w:rPr>
        <w:t>项目联系人：苏工</w:t>
      </w:r>
    </w:p>
    <w:p w14:paraId="32AAA7A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default" w:ascii="宋体" w:hAnsi="宋体" w:eastAsia="宋体" w:cs="宋体"/>
          <w:i w:val="0"/>
          <w:caps w:val="0"/>
          <w:color w:val="auto"/>
          <w:spacing w:val="0"/>
          <w:kern w:val="0"/>
          <w:sz w:val="24"/>
          <w:szCs w:val="24"/>
          <w:shd w:val="clear" w:color="auto" w:fill="FFFFFF"/>
          <w:lang w:val="en-US" w:eastAsia="zh-CN" w:bidi="ar"/>
        </w:rPr>
      </w:pPr>
      <w:r>
        <w:rPr>
          <w:rFonts w:hint="eastAsia" w:ascii="宋体" w:hAnsi="宋体" w:eastAsia="宋体" w:cs="宋体"/>
          <w:i w:val="0"/>
          <w:caps w:val="0"/>
          <w:color w:val="auto"/>
          <w:spacing w:val="0"/>
          <w:kern w:val="0"/>
          <w:sz w:val="24"/>
          <w:szCs w:val="24"/>
          <w:shd w:val="clear" w:color="auto" w:fill="FFFFFF"/>
          <w:lang w:val="en-US" w:eastAsia="zh-CN" w:bidi="ar"/>
        </w:rPr>
        <w:t>电话：13239243308</w:t>
      </w:r>
    </w:p>
    <w:p w14:paraId="269B447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right"/>
        <w:textAlignment w:val="baseline"/>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lang w:eastAsia="zh-CN"/>
        </w:rPr>
        <w:t>华建联（陕西）招标代理有限公司</w:t>
      </w:r>
    </w:p>
    <w:p w14:paraId="030D5153">
      <w:pPr>
        <w:keepNext w:val="0"/>
        <w:keepLines w:val="0"/>
        <w:pageBreakBefore w:val="0"/>
        <w:kinsoku/>
        <w:overflowPunct/>
        <w:topLinePunct w:val="0"/>
        <w:autoSpaceDE/>
        <w:autoSpaceDN/>
        <w:bidi w:val="0"/>
        <w:adjustRightInd/>
        <w:snapToGrid/>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52B2E759">
      <w:pPr>
        <w:pStyle w:val="2"/>
        <w:keepNext/>
        <w:keepLines/>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rPr>
      </w:pPr>
      <w:bookmarkStart w:id="5" w:name="_Toc5013"/>
      <w:bookmarkStart w:id="6" w:name="_Toc4593"/>
      <w:bookmarkStart w:id="7" w:name="_Toc8674"/>
      <w:bookmarkStart w:id="8" w:name="_Toc2544"/>
      <w:bookmarkStart w:id="9" w:name="_Toc3201"/>
      <w:r>
        <w:rPr>
          <w:rFonts w:hint="eastAsia" w:ascii="宋体" w:hAnsi="宋体" w:eastAsia="宋体" w:cs="宋体"/>
          <w:color w:val="auto"/>
        </w:rPr>
        <w:t>第二章  供应商须知</w:t>
      </w:r>
      <w:bookmarkEnd w:id="5"/>
      <w:bookmarkEnd w:id="6"/>
      <w:bookmarkEnd w:id="7"/>
      <w:bookmarkEnd w:id="8"/>
      <w:bookmarkEnd w:id="9"/>
    </w:p>
    <w:p w14:paraId="30817D10">
      <w:pPr>
        <w:pStyle w:val="3"/>
        <w:rPr>
          <w:rFonts w:hint="eastAsia" w:ascii="宋体" w:hAnsi="宋体" w:eastAsia="宋体" w:cs="宋体"/>
          <w:color w:val="auto"/>
        </w:rPr>
      </w:pPr>
      <w:bookmarkStart w:id="10" w:name="_Toc926"/>
      <w:bookmarkStart w:id="11" w:name="_Toc518821208"/>
      <w:bookmarkStart w:id="12" w:name="_Toc24884"/>
      <w:bookmarkStart w:id="13" w:name="_Toc24366"/>
      <w:bookmarkStart w:id="14" w:name="_Toc6896"/>
      <w:r>
        <w:rPr>
          <w:rFonts w:hint="eastAsia" w:ascii="宋体" w:hAnsi="宋体" w:eastAsia="宋体" w:cs="宋体"/>
          <w:color w:val="auto"/>
        </w:rPr>
        <w:t>供应商须知前附表</w:t>
      </w:r>
      <w:bookmarkEnd w:id="10"/>
      <w:bookmarkEnd w:id="11"/>
      <w:bookmarkEnd w:id="12"/>
      <w:bookmarkEnd w:id="13"/>
    </w:p>
    <w:tbl>
      <w:tblPr>
        <w:tblStyle w:val="22"/>
        <w:tblW w:w="9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1320"/>
        <w:gridCol w:w="7307"/>
      </w:tblGrid>
      <w:tr w14:paraId="1ABF2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950" w:type="dxa"/>
            <w:shd w:val="clear" w:color="auto" w:fill="auto"/>
            <w:vAlign w:val="center"/>
          </w:tcPr>
          <w:p w14:paraId="25862C94">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条款号</w:t>
            </w:r>
          </w:p>
        </w:tc>
        <w:tc>
          <w:tcPr>
            <w:tcW w:w="1320" w:type="dxa"/>
            <w:shd w:val="clear" w:color="auto" w:fill="auto"/>
            <w:vAlign w:val="center"/>
          </w:tcPr>
          <w:p w14:paraId="11DF2433">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内容</w:t>
            </w:r>
          </w:p>
        </w:tc>
        <w:tc>
          <w:tcPr>
            <w:tcW w:w="7307" w:type="dxa"/>
            <w:shd w:val="clear" w:color="auto" w:fill="auto"/>
            <w:vAlign w:val="center"/>
          </w:tcPr>
          <w:p w14:paraId="5FCA301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说明与要求</w:t>
            </w:r>
          </w:p>
        </w:tc>
      </w:tr>
      <w:tr w14:paraId="1B533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398E973">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1.1.2 </w:t>
            </w:r>
          </w:p>
        </w:tc>
        <w:tc>
          <w:tcPr>
            <w:tcW w:w="1320" w:type="dxa"/>
            <w:vAlign w:val="center"/>
          </w:tcPr>
          <w:p w14:paraId="182293CE">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采购人</w:t>
            </w:r>
          </w:p>
        </w:tc>
        <w:tc>
          <w:tcPr>
            <w:tcW w:w="7307" w:type="dxa"/>
            <w:vAlign w:val="center"/>
          </w:tcPr>
          <w:p w14:paraId="1896C556">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eastAsia="zh-CN"/>
              </w:rPr>
              <w:t>名称：府谷县田家寨镇人民政府</w:t>
            </w:r>
          </w:p>
          <w:p w14:paraId="565A93D7">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eastAsia="zh-CN"/>
              </w:rPr>
              <w:t>地址：</w:t>
            </w:r>
            <w:r>
              <w:rPr>
                <w:rFonts w:hint="eastAsia" w:asciiTheme="majorEastAsia" w:hAnsiTheme="majorEastAsia" w:eastAsiaTheme="majorEastAsia" w:cstheme="majorEastAsia"/>
                <w:color w:val="auto"/>
                <w:sz w:val="24"/>
                <w:szCs w:val="24"/>
                <w:lang w:val="en-US" w:eastAsia="zh-CN"/>
              </w:rPr>
              <w:t>府谷县田家寨镇</w:t>
            </w:r>
          </w:p>
          <w:p w14:paraId="7743F500">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right="0"/>
              <w:jc w:val="both"/>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eastAsia="zh-CN"/>
              </w:rPr>
              <w:t>联系方式：</w:t>
            </w:r>
            <w:r>
              <w:rPr>
                <w:rFonts w:hint="eastAsia" w:asciiTheme="majorEastAsia" w:hAnsiTheme="majorEastAsia" w:eastAsiaTheme="majorEastAsia" w:cstheme="majorEastAsia"/>
                <w:color w:val="auto"/>
                <w:kern w:val="2"/>
                <w:sz w:val="24"/>
                <w:szCs w:val="24"/>
                <w:lang w:val="en-US" w:eastAsia="zh-CN" w:bidi="ar-SA"/>
              </w:rPr>
              <w:t>0912-8983001</w:t>
            </w:r>
          </w:p>
        </w:tc>
      </w:tr>
      <w:tr w14:paraId="78AE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260A43D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1.1.3</w:t>
            </w:r>
          </w:p>
        </w:tc>
        <w:tc>
          <w:tcPr>
            <w:tcW w:w="1320" w:type="dxa"/>
            <w:vAlign w:val="center"/>
          </w:tcPr>
          <w:p w14:paraId="0A68C89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采购代理</w:t>
            </w:r>
          </w:p>
          <w:p w14:paraId="6AFD6A24">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机构</w:t>
            </w:r>
          </w:p>
        </w:tc>
        <w:tc>
          <w:tcPr>
            <w:tcW w:w="7307" w:type="dxa"/>
            <w:vAlign w:val="center"/>
          </w:tcPr>
          <w:p w14:paraId="0A9BE5D5">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rPr>
              <w:t>名  称：</w:t>
            </w:r>
            <w:r>
              <w:rPr>
                <w:rFonts w:hint="eastAsia" w:asciiTheme="majorEastAsia" w:hAnsiTheme="majorEastAsia" w:eastAsiaTheme="majorEastAsia" w:cstheme="majorEastAsia"/>
                <w:color w:val="auto"/>
                <w:sz w:val="24"/>
                <w:szCs w:val="24"/>
                <w:lang w:eastAsia="zh-CN"/>
              </w:rPr>
              <w:t>华建联（陕西）招标代理有限公司</w:t>
            </w:r>
          </w:p>
          <w:p w14:paraId="33AC2EB2">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rPr>
              <w:t>地  址：</w:t>
            </w:r>
            <w:r>
              <w:rPr>
                <w:rFonts w:hint="eastAsia" w:asciiTheme="majorEastAsia" w:hAnsiTheme="majorEastAsia" w:eastAsiaTheme="majorEastAsia" w:cstheme="majorEastAsia"/>
                <w:color w:val="auto"/>
                <w:sz w:val="24"/>
                <w:szCs w:val="24"/>
                <w:lang w:eastAsia="zh-CN"/>
              </w:rPr>
              <w:t>陕西省府谷县新区高家湾世纪花园三楼</w:t>
            </w:r>
          </w:p>
          <w:p w14:paraId="0A891CE3">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rPr>
              <w:t>联系人：</w:t>
            </w:r>
            <w:r>
              <w:rPr>
                <w:rFonts w:hint="eastAsia" w:asciiTheme="majorEastAsia" w:hAnsiTheme="majorEastAsia" w:eastAsiaTheme="majorEastAsia" w:cstheme="majorEastAsia"/>
                <w:color w:val="auto"/>
                <w:sz w:val="24"/>
                <w:szCs w:val="24"/>
                <w:lang w:val="en-US" w:eastAsia="zh-CN"/>
              </w:rPr>
              <w:t>苏工</w:t>
            </w:r>
          </w:p>
          <w:p w14:paraId="7C6C7BC8">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rPr>
              <w:t>电  话：</w:t>
            </w:r>
            <w:r>
              <w:rPr>
                <w:rFonts w:hint="eastAsia" w:asciiTheme="majorEastAsia" w:hAnsiTheme="majorEastAsia" w:eastAsiaTheme="majorEastAsia" w:cstheme="majorEastAsia"/>
                <w:color w:val="auto"/>
                <w:sz w:val="24"/>
                <w:szCs w:val="24"/>
                <w:lang w:val="en-US" w:eastAsia="zh-CN"/>
              </w:rPr>
              <w:t>13239243308</w:t>
            </w:r>
          </w:p>
          <w:p w14:paraId="241A928F">
            <w:pPr>
              <w:keepNext w:val="0"/>
              <w:keepLines w:val="0"/>
              <w:pageBreakBefore w:val="0"/>
              <w:widowControl w:val="0"/>
              <w:kinsoku/>
              <w:wordWrap/>
              <w:overflowPunct/>
              <w:bidi w:val="0"/>
              <w:spacing w:line="440" w:lineRule="exact"/>
              <w:rPr>
                <w:rFonts w:hint="default"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shd w:val="clear"/>
              </w:rPr>
              <w:t>电子邮箱</w:t>
            </w:r>
            <w:r>
              <w:rPr>
                <w:rFonts w:hint="eastAsia" w:asciiTheme="majorEastAsia" w:hAnsiTheme="majorEastAsia" w:eastAsiaTheme="majorEastAsia" w:cstheme="majorEastAsia"/>
                <w:color w:val="auto"/>
                <w:sz w:val="24"/>
                <w:szCs w:val="24"/>
                <w:shd w:val="clear"/>
                <w:lang w:eastAsia="zh-CN"/>
              </w:rPr>
              <w:t>：</w:t>
            </w:r>
            <w:r>
              <w:rPr>
                <w:rFonts w:hint="eastAsia" w:asciiTheme="majorEastAsia" w:hAnsiTheme="majorEastAsia" w:eastAsiaTheme="majorEastAsia" w:cstheme="majorEastAsia"/>
                <w:color w:val="auto"/>
                <w:sz w:val="24"/>
                <w:szCs w:val="24"/>
                <w:shd w:val="clear"/>
                <w:lang w:val="en-US" w:eastAsia="zh-CN"/>
              </w:rPr>
              <w:t>18628695755@163.com</w:t>
            </w:r>
          </w:p>
        </w:tc>
      </w:tr>
      <w:tr w14:paraId="5B78A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324E5EF3">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1.1.4</w:t>
            </w:r>
          </w:p>
        </w:tc>
        <w:tc>
          <w:tcPr>
            <w:tcW w:w="1320" w:type="dxa"/>
            <w:vAlign w:val="center"/>
          </w:tcPr>
          <w:p w14:paraId="1D3C1367">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lang w:val="en-US" w:eastAsia="zh-CN"/>
              </w:rPr>
              <w:t>磋商</w:t>
            </w:r>
            <w:r>
              <w:rPr>
                <w:rFonts w:hint="eastAsia" w:asciiTheme="majorEastAsia" w:hAnsiTheme="majorEastAsia" w:eastAsiaTheme="majorEastAsia" w:cstheme="majorEastAsia"/>
                <w:color w:val="auto"/>
                <w:sz w:val="24"/>
                <w:szCs w:val="24"/>
                <w:highlight w:val="none"/>
              </w:rPr>
              <w:t>项目</w:t>
            </w:r>
          </w:p>
          <w:p w14:paraId="4FC3E94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名称</w:t>
            </w:r>
          </w:p>
        </w:tc>
        <w:tc>
          <w:tcPr>
            <w:tcW w:w="7307" w:type="dxa"/>
            <w:vAlign w:val="center"/>
          </w:tcPr>
          <w:p w14:paraId="31BCC398">
            <w:pPr>
              <w:keepNext w:val="0"/>
              <w:keepLines w:val="0"/>
              <w:pageBreakBefore w:val="0"/>
              <w:widowControl w:val="0"/>
              <w:kinsoku/>
              <w:wordWrap/>
              <w:overflowPunct/>
              <w:bidi w:val="0"/>
              <w:adjustRightInd w:val="0"/>
              <w:snapToGrid w:val="0"/>
              <w:spacing w:line="440" w:lineRule="exact"/>
              <w:ind w:left="17" w:hanging="19" w:hangingChars="8"/>
              <w:textAlignment w:val="baseline"/>
              <w:rPr>
                <w:rFonts w:hint="eastAsia" w:asciiTheme="majorEastAsia" w:hAnsiTheme="majorEastAsia" w:eastAsiaTheme="majorEastAsia" w:cstheme="majorEastAsia"/>
                <w:color w:val="auto"/>
                <w:sz w:val="24"/>
                <w:szCs w:val="24"/>
                <w:highlight w:val="none"/>
                <w:lang w:eastAsia="zh-CN"/>
              </w:rPr>
            </w:pPr>
            <w:r>
              <w:rPr>
                <w:rFonts w:hint="eastAsia" w:asciiTheme="majorEastAsia" w:hAnsiTheme="majorEastAsia" w:eastAsiaTheme="majorEastAsia" w:cstheme="majorEastAsia"/>
                <w:color w:val="auto"/>
                <w:sz w:val="24"/>
                <w:szCs w:val="24"/>
                <w:highlight w:val="none"/>
                <w:lang w:eastAsia="zh-CN"/>
              </w:rPr>
              <w:t>田家寨镇张圪崂村张圪崂大型淤地坝提升改造工程</w:t>
            </w:r>
          </w:p>
        </w:tc>
      </w:tr>
      <w:tr w14:paraId="1E3C9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0A4C2B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1.2 </w:t>
            </w:r>
          </w:p>
        </w:tc>
        <w:tc>
          <w:tcPr>
            <w:tcW w:w="1320" w:type="dxa"/>
            <w:vAlign w:val="center"/>
          </w:tcPr>
          <w:p w14:paraId="7EAB8D3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资金来源及落实</w:t>
            </w:r>
          </w:p>
        </w:tc>
        <w:tc>
          <w:tcPr>
            <w:tcW w:w="7307" w:type="dxa"/>
            <w:vAlign w:val="center"/>
          </w:tcPr>
          <w:p w14:paraId="15145A98">
            <w:pPr>
              <w:keepNext w:val="0"/>
              <w:keepLines w:val="0"/>
              <w:pageBreakBefore w:val="0"/>
              <w:widowControl w:val="0"/>
              <w:kinsoku/>
              <w:wordWrap/>
              <w:overflowPunct/>
              <w:bidi w:val="0"/>
              <w:adjustRightInd w:val="0"/>
              <w:snapToGrid w:val="0"/>
              <w:spacing w:line="440" w:lineRule="exact"/>
              <w:ind w:left="17" w:hanging="19" w:hangingChars="8"/>
              <w:textAlignment w:val="baseline"/>
              <w:rPr>
                <w:rFonts w:hint="eastAsia" w:asciiTheme="majorEastAsia" w:hAnsiTheme="majorEastAsia" w:eastAsiaTheme="majorEastAsia" w:cstheme="majorEastAsia"/>
                <w:color w:val="auto"/>
                <w:kern w:val="0"/>
                <w:sz w:val="24"/>
                <w:szCs w:val="24"/>
              </w:rPr>
            </w:pPr>
            <w:r>
              <w:rPr>
                <w:rFonts w:hint="eastAsia" w:asciiTheme="majorEastAsia" w:hAnsiTheme="majorEastAsia" w:eastAsiaTheme="majorEastAsia" w:cstheme="majorEastAsia"/>
                <w:color w:val="auto"/>
                <w:sz w:val="24"/>
                <w:szCs w:val="24"/>
              </w:rPr>
              <w:t>财政拨款，已落实</w:t>
            </w:r>
          </w:p>
        </w:tc>
      </w:tr>
      <w:tr w14:paraId="4A6AF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950" w:type="dxa"/>
            <w:vMerge w:val="restart"/>
            <w:vAlign w:val="center"/>
          </w:tcPr>
          <w:p w14:paraId="38378D02">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1.3.1</w:t>
            </w:r>
          </w:p>
        </w:tc>
        <w:tc>
          <w:tcPr>
            <w:tcW w:w="1320" w:type="dxa"/>
            <w:vMerge w:val="restart"/>
            <w:shd w:val="clear" w:color="auto" w:fill="auto"/>
            <w:vAlign w:val="center"/>
          </w:tcPr>
          <w:p w14:paraId="10341829">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采购内容及质量要求</w:t>
            </w:r>
          </w:p>
        </w:tc>
        <w:tc>
          <w:tcPr>
            <w:tcW w:w="7307" w:type="dxa"/>
            <w:shd w:val="clear" w:color="auto" w:fill="auto"/>
            <w:vAlign w:val="center"/>
          </w:tcPr>
          <w:p w14:paraId="4CDCDFDA">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lang w:val="en-US"/>
              </w:rPr>
            </w:pPr>
            <w:r>
              <w:rPr>
                <w:rFonts w:hint="eastAsia" w:asciiTheme="majorEastAsia" w:hAnsiTheme="majorEastAsia" w:eastAsiaTheme="majorEastAsia" w:cstheme="majorEastAsia"/>
                <w:color w:val="auto"/>
                <w:sz w:val="24"/>
                <w:szCs w:val="24"/>
              </w:rPr>
              <w:t>采购内容：对田家寨镇张圪崂村张圪大型淤地坝进行提升改造，主要包括加高加固坝体，新建泄水建筑物。</w:t>
            </w:r>
            <w:r>
              <w:rPr>
                <w:rFonts w:hint="eastAsia" w:asciiTheme="majorEastAsia" w:hAnsiTheme="majorEastAsia" w:eastAsiaTheme="majorEastAsia" w:cstheme="majorEastAsia"/>
                <w:color w:val="auto"/>
                <w:sz w:val="24"/>
                <w:szCs w:val="24"/>
                <w:lang w:val="en-US" w:eastAsia="zh-CN"/>
              </w:rPr>
              <w:t>具体内容详见工程量清单。</w:t>
            </w:r>
          </w:p>
        </w:tc>
      </w:tr>
      <w:tr w14:paraId="30E8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3F0FBC31">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1320" w:type="dxa"/>
            <w:vMerge w:val="continue"/>
            <w:vAlign w:val="center"/>
          </w:tcPr>
          <w:p w14:paraId="770F0D4F">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7307" w:type="dxa"/>
            <w:vAlign w:val="center"/>
          </w:tcPr>
          <w:p w14:paraId="30FF386A">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质量要求：符合国家及</w:t>
            </w:r>
            <w:r>
              <w:rPr>
                <w:rFonts w:hint="eastAsia" w:asciiTheme="majorEastAsia" w:hAnsiTheme="majorEastAsia" w:eastAsiaTheme="majorEastAsia" w:cstheme="majorEastAsia"/>
                <w:color w:val="auto"/>
                <w:sz w:val="24"/>
                <w:szCs w:val="24"/>
                <w:lang w:val="en-US" w:eastAsia="zh-CN"/>
              </w:rPr>
              <w:t>行业</w:t>
            </w:r>
            <w:r>
              <w:rPr>
                <w:rFonts w:hint="eastAsia" w:asciiTheme="majorEastAsia" w:hAnsiTheme="majorEastAsia" w:eastAsiaTheme="majorEastAsia" w:cstheme="majorEastAsia"/>
                <w:color w:val="auto"/>
                <w:sz w:val="24"/>
                <w:szCs w:val="24"/>
              </w:rPr>
              <w:t>相关部门规定的验收合格标准</w:t>
            </w:r>
          </w:p>
        </w:tc>
      </w:tr>
      <w:tr w14:paraId="7536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shd w:val="clear" w:color="auto" w:fill="auto"/>
            <w:vAlign w:val="center"/>
          </w:tcPr>
          <w:p w14:paraId="3633FB54">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1.3.2</w:t>
            </w:r>
          </w:p>
        </w:tc>
        <w:tc>
          <w:tcPr>
            <w:tcW w:w="1320" w:type="dxa"/>
            <w:shd w:val="clear" w:color="auto" w:fill="auto"/>
            <w:vAlign w:val="center"/>
          </w:tcPr>
          <w:p w14:paraId="1618034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合同履行期限（</w:t>
            </w:r>
            <w:r>
              <w:rPr>
                <w:rFonts w:hint="eastAsia" w:asciiTheme="majorEastAsia" w:hAnsiTheme="majorEastAsia" w:eastAsiaTheme="majorEastAsia" w:cstheme="majorEastAsia"/>
                <w:color w:val="auto"/>
                <w:sz w:val="24"/>
                <w:szCs w:val="24"/>
                <w:lang w:eastAsia="zh-CN"/>
              </w:rPr>
              <w:t>工期</w:t>
            </w:r>
            <w:r>
              <w:rPr>
                <w:rFonts w:hint="eastAsia" w:asciiTheme="majorEastAsia" w:hAnsiTheme="majorEastAsia" w:eastAsiaTheme="majorEastAsia" w:cstheme="majorEastAsia"/>
                <w:color w:val="auto"/>
                <w:sz w:val="24"/>
                <w:szCs w:val="24"/>
              </w:rPr>
              <w:t>）</w:t>
            </w:r>
          </w:p>
        </w:tc>
        <w:tc>
          <w:tcPr>
            <w:tcW w:w="7307" w:type="dxa"/>
            <w:shd w:val="clear" w:color="auto" w:fill="auto"/>
            <w:vAlign w:val="center"/>
          </w:tcPr>
          <w:p w14:paraId="3B81263B">
            <w:pPr>
              <w:keepNext w:val="0"/>
              <w:keepLines w:val="0"/>
              <w:pageBreakBefore w:val="0"/>
              <w:widowControl w:val="0"/>
              <w:kinsoku/>
              <w:wordWrap/>
              <w:overflowPunct/>
              <w:bidi w:val="0"/>
              <w:adjustRightInd w:val="0"/>
              <w:snapToGrid w:val="0"/>
              <w:spacing w:line="440" w:lineRule="exact"/>
              <w:jc w:val="left"/>
              <w:textAlignment w:val="baseline"/>
              <w:rPr>
                <w:rFonts w:hint="default"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45日历天</w:t>
            </w:r>
          </w:p>
        </w:tc>
      </w:tr>
      <w:tr w14:paraId="3E38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0" w:type="dxa"/>
            <w:vAlign w:val="center"/>
          </w:tcPr>
          <w:p w14:paraId="54439AAE">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1.4.1</w:t>
            </w:r>
          </w:p>
        </w:tc>
        <w:tc>
          <w:tcPr>
            <w:tcW w:w="1320" w:type="dxa"/>
            <w:shd w:val="clear" w:color="auto" w:fill="auto"/>
            <w:vAlign w:val="center"/>
          </w:tcPr>
          <w:p w14:paraId="60DA93DC">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供应商</w:t>
            </w:r>
          </w:p>
          <w:p w14:paraId="0A4FE031">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资质条件</w:t>
            </w:r>
          </w:p>
        </w:tc>
        <w:tc>
          <w:tcPr>
            <w:tcW w:w="7307" w:type="dxa"/>
            <w:shd w:val="clear" w:color="auto" w:fill="auto"/>
            <w:vAlign w:val="center"/>
          </w:tcPr>
          <w:p w14:paraId="3731CE85">
            <w:pPr>
              <w:pStyle w:val="12"/>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(1)</w:t>
            </w:r>
            <w:r>
              <w:rPr>
                <w:rFonts w:hint="eastAsia" w:asciiTheme="majorEastAsia" w:hAnsiTheme="majorEastAsia" w:eastAsiaTheme="majorEastAsia" w:cstheme="majorEastAsia"/>
                <w:color w:val="auto"/>
                <w:sz w:val="24"/>
                <w:szCs w:val="24"/>
              </w:rPr>
              <w:t>、基本资格条件：符合《中华人民共和国政府采购法》第二十二条的规定（提供承诺</w:t>
            </w:r>
            <w:r>
              <w:rPr>
                <w:rFonts w:hint="eastAsia" w:asciiTheme="majorEastAsia" w:hAnsiTheme="majorEastAsia" w:eastAsiaTheme="majorEastAsia" w:cstheme="majorEastAsia"/>
                <w:color w:val="auto"/>
                <w:sz w:val="24"/>
                <w:szCs w:val="24"/>
                <w:lang w:val="en-US" w:eastAsia="zh-CN"/>
              </w:rPr>
              <w:t>书</w:t>
            </w:r>
            <w:r>
              <w:rPr>
                <w:rFonts w:hint="eastAsia" w:asciiTheme="majorEastAsia" w:hAnsiTheme="majorEastAsia" w:eastAsiaTheme="majorEastAsia" w:cstheme="majorEastAsia"/>
                <w:color w:val="auto"/>
                <w:sz w:val="24"/>
                <w:szCs w:val="24"/>
              </w:rPr>
              <w:t>）。</w:t>
            </w:r>
          </w:p>
          <w:p w14:paraId="359935E9">
            <w:pPr>
              <w:pStyle w:val="12"/>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(2)</w:t>
            </w:r>
            <w:r>
              <w:rPr>
                <w:rFonts w:hint="eastAsia" w:asciiTheme="majorEastAsia" w:hAnsiTheme="majorEastAsia" w:eastAsiaTheme="majorEastAsia" w:cstheme="majorEastAsia"/>
                <w:color w:val="auto"/>
                <w:sz w:val="24"/>
                <w:szCs w:val="24"/>
              </w:rPr>
              <w:t>、特定资格条件：</w:t>
            </w:r>
          </w:p>
          <w:p w14:paraId="356BD04F">
            <w:pPr>
              <w:pStyle w:val="1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kern w:val="2"/>
                <w:sz w:val="24"/>
                <w:szCs w:val="24"/>
                <w:shd w:val="clear"/>
                <w:lang w:val="en-US" w:eastAsia="zh-CN" w:bidi="ar-SA"/>
              </w:rPr>
              <w:t>1、</w:t>
            </w:r>
            <w:r>
              <w:rPr>
                <w:rFonts w:hint="eastAsia" w:asciiTheme="majorEastAsia" w:hAnsiTheme="majorEastAsia" w:eastAsiaTheme="majorEastAsia" w:cstheme="majorEastAsia"/>
                <w:color w:val="auto"/>
                <w:sz w:val="24"/>
                <w:szCs w:val="24"/>
                <w:shd w:val="clear"/>
                <w:lang w:eastAsia="zh-CN"/>
              </w:rPr>
              <w:t>供应商具有独立承担民事责任能力的法人、其他组织或自然人，并出具合法有效的营业执照副本（附营业执照</w:t>
            </w:r>
            <w:r>
              <w:rPr>
                <w:rFonts w:hint="eastAsia" w:asciiTheme="majorEastAsia" w:hAnsiTheme="majorEastAsia" w:eastAsiaTheme="majorEastAsia" w:cstheme="majorEastAsia"/>
                <w:color w:val="auto"/>
                <w:sz w:val="24"/>
                <w:szCs w:val="24"/>
                <w:shd w:val="clear"/>
                <w:lang w:val="en-US" w:eastAsia="zh-CN"/>
              </w:rPr>
              <w:t>的2024年</w:t>
            </w:r>
            <w:r>
              <w:rPr>
                <w:rFonts w:hint="eastAsia" w:asciiTheme="majorEastAsia" w:hAnsiTheme="majorEastAsia" w:eastAsiaTheme="majorEastAsia" w:cstheme="majorEastAsia"/>
                <w:color w:val="auto"/>
                <w:sz w:val="24"/>
                <w:szCs w:val="24"/>
                <w:shd w:val="clear"/>
                <w:lang w:eastAsia="zh-CN"/>
              </w:rPr>
              <w:t>企业年度报告书）</w:t>
            </w:r>
            <w:r>
              <w:rPr>
                <w:rFonts w:hint="eastAsia" w:asciiTheme="majorEastAsia" w:hAnsiTheme="majorEastAsia" w:eastAsiaTheme="majorEastAsia" w:cstheme="majorEastAsia"/>
                <w:color w:val="auto"/>
                <w:sz w:val="24"/>
                <w:szCs w:val="24"/>
                <w:lang w:eastAsia="zh-CN"/>
              </w:rPr>
              <w:t>或事业单位法人证书等国家规定的相关证明，自然人参与的提供其身份证明；</w:t>
            </w:r>
          </w:p>
          <w:p w14:paraId="4DB263CC">
            <w:pPr>
              <w:pStyle w:val="1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kern w:val="2"/>
                <w:sz w:val="24"/>
                <w:szCs w:val="24"/>
                <w:lang w:val="en-US" w:eastAsia="zh-CN" w:bidi="ar-SA"/>
              </w:rPr>
              <w:t>2、</w:t>
            </w:r>
            <w:r>
              <w:rPr>
                <w:rFonts w:hint="eastAsia" w:ascii="宋体" w:hAnsi="宋体" w:eastAsia="宋体" w:cs="宋体"/>
                <w:color w:val="auto"/>
                <w:sz w:val="24"/>
                <w:szCs w:val="24"/>
                <w:highlight w:val="none"/>
                <w:lang w:val="en-US" w:eastAsia="zh-CN"/>
              </w:rPr>
              <w:t>本项目要求投标人需具备建设行政主管部门颁发的</w:t>
            </w:r>
            <w:r>
              <w:rPr>
                <w:rFonts w:hint="eastAsia" w:hAnsi="宋体" w:eastAsia="宋体" w:cs="宋体"/>
                <w:color w:val="auto"/>
                <w:sz w:val="24"/>
                <w:szCs w:val="24"/>
                <w:highlight w:val="none"/>
                <w:lang w:val="en-US" w:eastAsia="zh-CN"/>
              </w:rPr>
              <w:t>水利水电工程</w:t>
            </w:r>
            <w:r>
              <w:rPr>
                <w:rFonts w:hint="eastAsia" w:ascii="宋体" w:hAnsi="宋体" w:eastAsia="宋体" w:cs="宋体"/>
                <w:color w:val="auto"/>
                <w:sz w:val="24"/>
                <w:szCs w:val="24"/>
                <w:highlight w:val="none"/>
                <w:lang w:val="en-US" w:eastAsia="zh-CN"/>
              </w:rPr>
              <w:t>施工总承包三级及其以上资质的独立企业法人，并具备有效的安全生产许可证，并在人员、设备、资金等方面有相应的施工能力。</w:t>
            </w:r>
          </w:p>
          <w:p w14:paraId="7FC63E61">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9"/>
              <w:rPr>
                <w:rFonts w:hint="eastAsia" w:asciiTheme="majorEastAsia" w:hAnsiTheme="majorEastAsia" w:eastAsiaTheme="majorEastAsia" w:cstheme="majorEastAsia"/>
                <w:color w:val="auto"/>
                <w:sz w:val="24"/>
                <w:szCs w:val="24"/>
                <w:lang w:val="en-US" w:eastAsia="zh-CN"/>
              </w:rPr>
            </w:pPr>
            <w:r>
              <w:rPr>
                <w:rFonts w:hint="eastAsia" w:ascii="宋体" w:hAnsi="宋体" w:eastAsia="宋体" w:cs="宋体"/>
                <w:color w:val="auto"/>
                <w:sz w:val="24"/>
                <w:szCs w:val="24"/>
                <w:highlight w:val="none"/>
                <w:lang w:val="en-US" w:eastAsia="zh-CN"/>
              </w:rPr>
              <w:t>3、拟派项目负责人需具备水利水电工程专业二级及以上注册建造师证书和有效的安全生产考核合格证书（水安B证），以及2025年8月、9月或10月份至少一个月的社保经办机构出具的本企业社保缴纳证明材料（五险一金其中一项即可，应可查询），且未担任其他在建工程的项目负责人；</w:t>
            </w:r>
          </w:p>
          <w:p w14:paraId="0D444B51">
            <w:pPr>
              <w:pStyle w:val="12"/>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val="en-US" w:eastAsia="zh-CN"/>
              </w:rPr>
              <w:t>4、</w:t>
            </w:r>
            <w:r>
              <w:rPr>
                <w:rFonts w:hint="eastAsia" w:asciiTheme="majorEastAsia" w:hAnsiTheme="majorEastAsia" w:eastAsiaTheme="majorEastAsia" w:cstheme="majorEastAsia"/>
                <w:color w:val="auto"/>
                <w:sz w:val="24"/>
                <w:szCs w:val="24"/>
              </w:rPr>
              <w:t>财务状况报告：财务状况良好，提供</w:t>
            </w:r>
            <w:r>
              <w:rPr>
                <w:rFonts w:hint="eastAsia" w:asciiTheme="majorEastAsia" w:hAnsiTheme="majorEastAsia" w:eastAsiaTheme="majorEastAsia" w:cstheme="majorEastAsia"/>
                <w:color w:val="auto"/>
                <w:sz w:val="24"/>
                <w:szCs w:val="24"/>
                <w:lang w:val="en-US" w:eastAsia="zh-CN"/>
              </w:rPr>
              <w:t>2024年</w:t>
            </w:r>
            <w:r>
              <w:rPr>
                <w:rFonts w:hint="eastAsia" w:asciiTheme="majorEastAsia" w:hAnsiTheme="majorEastAsia" w:eastAsiaTheme="majorEastAsia" w:cstheme="majorEastAsia"/>
                <w:color w:val="auto"/>
                <w:sz w:val="24"/>
                <w:szCs w:val="24"/>
              </w:rPr>
              <w:t>度财务审计报告（公司成立不足一年的需提供基本存款账户开户银行出具的资信证明）；</w:t>
            </w:r>
          </w:p>
          <w:p w14:paraId="5485D015">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rPr>
              <w:t>税收缴纳证明：</w:t>
            </w:r>
            <w:r>
              <w:rPr>
                <w:rFonts w:hint="eastAsia" w:asciiTheme="majorEastAsia" w:hAnsiTheme="majorEastAsia" w:eastAsiaTheme="majorEastAsia" w:cstheme="majorEastAsia"/>
                <w:color w:val="auto"/>
                <w:sz w:val="24"/>
                <w:szCs w:val="24"/>
                <w:lang w:eastAsia="zh-CN"/>
              </w:rPr>
              <w:t>提供202</w:t>
            </w: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lang w:eastAsia="zh-CN"/>
              </w:rPr>
              <w:t>年1月至投标截止时间已缴纳的至少一个月的纳税证明或完税证明，依法免税的单位应提供相关证明材料</w:t>
            </w:r>
            <w:r>
              <w:rPr>
                <w:rFonts w:hint="eastAsia" w:asciiTheme="majorEastAsia" w:hAnsiTheme="majorEastAsia" w:eastAsiaTheme="majorEastAsia" w:cstheme="majorEastAsia"/>
                <w:color w:val="auto"/>
                <w:sz w:val="24"/>
                <w:szCs w:val="24"/>
              </w:rPr>
              <w:t>；</w:t>
            </w:r>
          </w:p>
          <w:p w14:paraId="5E219426">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6、社会保障资金缴纳证明：提供2025年1月至投标截止时间已缴纳的至少一个月的社会保障资金缴存单据或社保机构开具的社会保险参保缴费情况证明。依法不需要缴纳社会保障资金的供应商应提供相关文件证明；</w:t>
            </w:r>
          </w:p>
          <w:p w14:paraId="59B54F4E">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7、投标供应商在中国政府采购网（www.ccgp.gov.cn）中未被列入政府采购严重违法失信行为记录名单；投标供应商、法定代表人及拟派本项目的项目负责人在“信用中国”网站（https://www.creditchina.gov.cn/）中未被列入失信被执行人名单，投标供应商提供企业完整信用报告，投标供应商、法定代表人及拟派本项目的项目负责人提供网页查询截图加盖企业原色印章（截图及报告生成时间段为磋商公告发出至递交响应文件截止时间内,未被列入失信被执行人名单截图可在其“中国执行信息公开网”网站（http://zxgk.court.gov.cn）中全国范围内查询）。</w:t>
            </w:r>
          </w:p>
          <w:p w14:paraId="48CA5B1A">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8、书面声明：参加本次政府采购活动前三年内在经营活动中没有重大违法记录的声明函；</w:t>
            </w:r>
          </w:p>
          <w:p w14:paraId="32829837">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9、本项目不接受联合体磋商。各供应商单位负责人为同一人或者存在直接控股、管理关系的不同供应商，不得参加同一合同项下的政府采购活动。违反规定的，其投标均无效；</w:t>
            </w:r>
          </w:p>
          <w:p w14:paraId="03DE96B5">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10、提供榆林市政府采购工程类项目供应商信用承诺书原件及信用中国（陕西榆林）主动承诺网页截图；</w:t>
            </w:r>
          </w:p>
          <w:p w14:paraId="6DD6CA3A">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11、磋商保证金：用投标信用承诺书代替（提供投标信用承诺书原件及信用中国（陕西榆林）主动承诺网页截图）</w:t>
            </w:r>
          </w:p>
          <w:p w14:paraId="1BFBF750">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12、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7A83426E">
            <w:pPr>
              <w:spacing w:line="360" w:lineRule="auto"/>
              <w:ind w:firstLine="480" w:firstLineChars="2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13、拟投入项目管理人员情况应配备合理，</w:t>
            </w:r>
            <w:r>
              <w:rPr>
                <w:rFonts w:hint="eastAsia" w:ascii="宋体" w:hAnsi="宋体" w:eastAsia="宋体" w:cs="宋体"/>
                <w:sz w:val="24"/>
                <w:szCs w:val="24"/>
                <w:lang w:val="en-US" w:eastAsia="zh-CN"/>
              </w:rPr>
              <w:t>配备包括但不限于：</w:t>
            </w:r>
            <w:r>
              <w:rPr>
                <w:rFonts w:hint="eastAsia" w:asciiTheme="majorEastAsia" w:hAnsiTheme="majorEastAsia" w:eastAsiaTheme="majorEastAsia" w:cstheme="majorEastAsia"/>
                <w:color w:val="auto"/>
                <w:kern w:val="2"/>
                <w:sz w:val="24"/>
                <w:szCs w:val="24"/>
                <w:lang w:val="en-US" w:eastAsia="zh-CN" w:bidi="ar-SA"/>
              </w:rPr>
              <w:t>技术负责人、安全员、质量员、材料员、施工员；</w:t>
            </w:r>
          </w:p>
          <w:p w14:paraId="7989C03B">
            <w:pPr>
              <w:spacing w:line="360" w:lineRule="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 xml:space="preserve">1）质量员、材料员、施工员应持有岗位证书及身份证复印件； </w:t>
            </w:r>
          </w:p>
          <w:p w14:paraId="2BC59BB4">
            <w:pPr>
              <w:spacing w:line="360" w:lineRule="auto"/>
              <w:rPr>
                <w:rFonts w:hint="eastAsia" w:ascii="宋体" w:hAnsi="宋体" w:eastAsia="宋体" w:cs="宋体"/>
                <w:sz w:val="24"/>
                <w:szCs w:val="24"/>
                <w:lang w:val="en-US" w:eastAsia="zh-CN"/>
              </w:rPr>
            </w:pPr>
            <w:r>
              <w:rPr>
                <w:rFonts w:hint="eastAsia" w:asciiTheme="majorEastAsia" w:hAnsiTheme="majorEastAsia" w:eastAsiaTheme="majorEastAsia" w:cstheme="majorEastAsia"/>
                <w:color w:val="auto"/>
                <w:kern w:val="2"/>
                <w:sz w:val="24"/>
                <w:szCs w:val="24"/>
                <w:lang w:val="en-US" w:eastAsia="zh-CN" w:bidi="ar-SA"/>
              </w:rPr>
              <w:t>2）</w:t>
            </w:r>
            <w:r>
              <w:rPr>
                <w:rFonts w:hint="eastAsia" w:ascii="宋体" w:hAnsi="宋体" w:eastAsia="宋体" w:cs="宋体"/>
                <w:sz w:val="24"/>
                <w:szCs w:val="24"/>
                <w:lang w:val="en-US" w:eastAsia="zh-CN"/>
              </w:rPr>
              <w:t>技术负责人提供水利水电工程相关专业中级及以上职称证书；</w:t>
            </w:r>
          </w:p>
          <w:p w14:paraId="2679E5AC">
            <w:pPr>
              <w:spacing w:line="360" w:lineRule="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3）安全员应持有有效的安全生产考核合格证书（水安C证）及身份证复印件；</w:t>
            </w:r>
          </w:p>
          <w:p w14:paraId="21A377FE">
            <w:pPr>
              <w:keepNext w:val="0"/>
              <w:keepLines w:val="0"/>
              <w:pageBreakBefore w:val="0"/>
              <w:widowControl w:val="0"/>
              <w:kinsoku/>
              <w:wordWrap/>
              <w:overflowPunct/>
              <w:bidi w:val="0"/>
              <w:spacing w:line="440" w:lineRule="exact"/>
              <w:ind w:left="1" w:firstLine="482" w:firstLineChars="200"/>
              <w:rPr>
                <w:rFonts w:hint="eastAsia"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以上资格条件为必备资格条件，</w:t>
            </w:r>
            <w:r>
              <w:rPr>
                <w:rFonts w:hint="eastAsia" w:asciiTheme="majorEastAsia" w:hAnsiTheme="majorEastAsia" w:eastAsiaTheme="majorEastAsia" w:cstheme="majorEastAsia"/>
                <w:b/>
                <w:bCs/>
                <w:color w:val="auto"/>
                <w:sz w:val="24"/>
                <w:szCs w:val="24"/>
                <w:lang w:val="en-US" w:eastAsia="zh-CN"/>
              </w:rPr>
              <w:t>应单独密封资格证明文件内，</w:t>
            </w:r>
            <w:r>
              <w:rPr>
                <w:rFonts w:hint="eastAsia" w:asciiTheme="majorEastAsia" w:hAnsiTheme="majorEastAsia" w:eastAsiaTheme="majorEastAsia" w:cstheme="majorEastAsia"/>
                <w:b/>
                <w:bCs/>
                <w:color w:val="auto"/>
                <w:sz w:val="24"/>
                <w:szCs w:val="24"/>
              </w:rPr>
              <w:t>缺一项或某项达不到要求，按无效文件处理，资格证明文件</w:t>
            </w:r>
            <w:r>
              <w:rPr>
                <w:rFonts w:hint="eastAsia" w:asciiTheme="majorEastAsia" w:hAnsiTheme="majorEastAsia" w:eastAsiaTheme="majorEastAsia" w:cstheme="majorEastAsia"/>
                <w:b/>
                <w:bCs/>
                <w:color w:val="auto"/>
                <w:sz w:val="24"/>
                <w:szCs w:val="24"/>
                <w:lang w:val="en-US" w:eastAsia="zh-CN"/>
              </w:rPr>
              <w:t>复印件</w:t>
            </w:r>
            <w:r>
              <w:rPr>
                <w:rFonts w:hint="eastAsia" w:asciiTheme="majorEastAsia" w:hAnsiTheme="majorEastAsia" w:eastAsiaTheme="majorEastAsia" w:cstheme="majorEastAsia"/>
                <w:b/>
                <w:bCs/>
                <w:color w:val="auto"/>
                <w:sz w:val="24"/>
                <w:szCs w:val="24"/>
              </w:rPr>
              <w:t>谈判现场同谈判响应文件一并递交</w:t>
            </w:r>
            <w:r>
              <w:rPr>
                <w:rFonts w:hint="eastAsia" w:asciiTheme="majorEastAsia" w:hAnsiTheme="majorEastAsia" w:eastAsiaTheme="majorEastAsia" w:cstheme="majorEastAsia"/>
                <w:b/>
                <w:bCs/>
                <w:color w:val="auto"/>
                <w:sz w:val="24"/>
                <w:szCs w:val="24"/>
                <w:lang w:eastAsia="zh-CN"/>
              </w:rPr>
              <w:t>，</w:t>
            </w:r>
            <w:r>
              <w:rPr>
                <w:rFonts w:hint="eastAsia" w:asciiTheme="majorEastAsia" w:hAnsiTheme="majorEastAsia" w:eastAsiaTheme="majorEastAsia" w:cstheme="majorEastAsia"/>
                <w:b/>
                <w:bCs/>
                <w:color w:val="auto"/>
                <w:sz w:val="24"/>
                <w:szCs w:val="24"/>
                <w:lang w:val="en-US" w:eastAsia="zh-CN"/>
              </w:rPr>
              <w:t>过时不接受任何补充资料。</w:t>
            </w:r>
          </w:p>
          <w:p w14:paraId="2766361B">
            <w:pPr>
              <w:pStyle w:val="12"/>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备注：</w:t>
            </w:r>
          </w:p>
          <w:p w14:paraId="42BA00FB">
            <w:pPr>
              <w:pStyle w:val="27"/>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以上证件</w:t>
            </w:r>
            <w:r>
              <w:rPr>
                <w:rFonts w:hint="eastAsia" w:asciiTheme="majorEastAsia" w:hAnsiTheme="majorEastAsia" w:eastAsiaTheme="majorEastAsia" w:cstheme="majorEastAsia"/>
                <w:color w:val="auto"/>
                <w:sz w:val="24"/>
                <w:szCs w:val="24"/>
                <w:lang w:val="en-US" w:eastAsia="zh-CN"/>
              </w:rPr>
              <w:t>均</w:t>
            </w:r>
            <w:r>
              <w:rPr>
                <w:rFonts w:hint="eastAsia" w:asciiTheme="majorEastAsia" w:hAnsiTheme="majorEastAsia" w:eastAsiaTheme="majorEastAsia" w:cstheme="majorEastAsia"/>
                <w:color w:val="auto"/>
                <w:sz w:val="24"/>
                <w:szCs w:val="24"/>
              </w:rPr>
              <w:t>提供加盖</w:t>
            </w:r>
            <w:r>
              <w:rPr>
                <w:rFonts w:hint="eastAsia" w:asciiTheme="majorEastAsia" w:hAnsiTheme="majorEastAsia" w:eastAsiaTheme="majorEastAsia" w:cstheme="majorEastAsia"/>
                <w:color w:val="auto"/>
                <w:sz w:val="24"/>
                <w:szCs w:val="24"/>
                <w:lang w:eastAsia="zh-CN"/>
              </w:rPr>
              <w:t>供应商鲜章</w:t>
            </w:r>
            <w:r>
              <w:rPr>
                <w:rFonts w:hint="eastAsia" w:asciiTheme="majorEastAsia" w:hAnsiTheme="majorEastAsia" w:eastAsiaTheme="majorEastAsia" w:cstheme="majorEastAsia"/>
                <w:color w:val="auto"/>
                <w:sz w:val="24"/>
                <w:szCs w:val="24"/>
              </w:rPr>
              <w:t>的</w:t>
            </w:r>
            <w:r>
              <w:rPr>
                <w:rFonts w:hint="eastAsia" w:asciiTheme="majorEastAsia" w:hAnsiTheme="majorEastAsia" w:eastAsiaTheme="majorEastAsia" w:cstheme="majorEastAsia"/>
                <w:color w:val="auto"/>
                <w:sz w:val="24"/>
                <w:szCs w:val="24"/>
                <w:lang w:val="en-US" w:eastAsia="zh-CN"/>
              </w:rPr>
              <w:t>复印件。</w:t>
            </w:r>
          </w:p>
        </w:tc>
      </w:tr>
      <w:tr w14:paraId="5A96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4EAA228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1.9.1</w:t>
            </w:r>
          </w:p>
        </w:tc>
        <w:tc>
          <w:tcPr>
            <w:tcW w:w="1320" w:type="dxa"/>
            <w:vAlign w:val="center"/>
          </w:tcPr>
          <w:p w14:paraId="4BC5067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踏勘现场</w:t>
            </w:r>
          </w:p>
        </w:tc>
        <w:tc>
          <w:tcPr>
            <w:tcW w:w="7307" w:type="dxa"/>
            <w:vAlign w:val="center"/>
          </w:tcPr>
          <w:p w14:paraId="0209AF9E">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□组织</w:t>
            </w:r>
          </w:p>
          <w:p w14:paraId="575FA87E">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color w:val="auto"/>
                <w:sz w:val="24"/>
                <w:szCs w:val="24"/>
              </w:rPr>
              <w:sym w:font="Wingdings 2" w:char="F052"/>
            </w:r>
            <w:r>
              <w:rPr>
                <w:rFonts w:hint="eastAsia" w:asciiTheme="majorEastAsia" w:hAnsiTheme="majorEastAsia" w:eastAsiaTheme="majorEastAsia" w:cstheme="majorEastAsia"/>
                <w:color w:val="auto"/>
                <w:sz w:val="24"/>
                <w:szCs w:val="24"/>
              </w:rPr>
              <w:t>不组织</w:t>
            </w:r>
          </w:p>
          <w:p w14:paraId="427774D7">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说明：采购人不统一组织踏勘，供应商可自行前往现场进行踏勘；供应商应充分了解项目及其它任何足以影响投标和报价的情况，任何因忽视或误解项目情况而导致的费用索赔申请不获批准。</w:t>
            </w:r>
          </w:p>
        </w:tc>
      </w:tr>
      <w:tr w14:paraId="7F23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1C5B0E3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2.2.4</w:t>
            </w:r>
          </w:p>
          <w:p w14:paraId="1E33262B">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2.3.3</w:t>
            </w:r>
          </w:p>
        </w:tc>
        <w:tc>
          <w:tcPr>
            <w:tcW w:w="1320" w:type="dxa"/>
            <w:vAlign w:val="bottom"/>
          </w:tcPr>
          <w:p w14:paraId="611EB48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供应商确认及回复时间</w:t>
            </w:r>
          </w:p>
        </w:tc>
        <w:tc>
          <w:tcPr>
            <w:tcW w:w="7307" w:type="dxa"/>
            <w:vAlign w:val="center"/>
          </w:tcPr>
          <w:p w14:paraId="21801418">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收到相应澄清、修改或答疑文件1日内</w:t>
            </w:r>
          </w:p>
        </w:tc>
      </w:tr>
      <w:tr w14:paraId="15D54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2EAE3C9E">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3.3.1</w:t>
            </w:r>
          </w:p>
        </w:tc>
        <w:tc>
          <w:tcPr>
            <w:tcW w:w="1320" w:type="dxa"/>
            <w:vAlign w:val="center"/>
          </w:tcPr>
          <w:p w14:paraId="4D456D80">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磋商有效期</w:t>
            </w:r>
          </w:p>
        </w:tc>
        <w:tc>
          <w:tcPr>
            <w:tcW w:w="7307" w:type="dxa"/>
            <w:vAlign w:val="center"/>
          </w:tcPr>
          <w:p w14:paraId="0B9B9CE7">
            <w:pPr>
              <w:keepNext w:val="0"/>
              <w:keepLines w:val="0"/>
              <w:pageBreakBefore w:val="0"/>
              <w:widowControl w:val="0"/>
              <w:kinsoku/>
              <w:wordWrap/>
              <w:overflowPunct/>
              <w:bidi w:val="0"/>
              <w:adjustRightInd w:val="0"/>
              <w:snapToGrid w:val="0"/>
              <w:spacing w:line="440" w:lineRule="exact"/>
              <w:jc w:val="lef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自磋商初次报价时间之日起90日历天</w:t>
            </w:r>
          </w:p>
        </w:tc>
      </w:tr>
      <w:tr w14:paraId="2394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764874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3.7.3</w:t>
            </w:r>
          </w:p>
        </w:tc>
        <w:tc>
          <w:tcPr>
            <w:tcW w:w="1320" w:type="dxa"/>
            <w:vAlign w:val="center"/>
          </w:tcPr>
          <w:p w14:paraId="4532679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签字或盖章要求</w:t>
            </w:r>
          </w:p>
        </w:tc>
        <w:tc>
          <w:tcPr>
            <w:tcW w:w="7307" w:type="dxa"/>
            <w:vAlign w:val="center"/>
          </w:tcPr>
          <w:p w14:paraId="4ADB5712">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根据采购文件要求加盖供应商公章和法人印章或签字或授权代表签字。</w:t>
            </w:r>
          </w:p>
        </w:tc>
      </w:tr>
      <w:tr w14:paraId="448B0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restart"/>
            <w:vAlign w:val="center"/>
          </w:tcPr>
          <w:p w14:paraId="39CA5FE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3.7.4 </w:t>
            </w:r>
          </w:p>
        </w:tc>
        <w:tc>
          <w:tcPr>
            <w:tcW w:w="1320" w:type="dxa"/>
            <w:vAlign w:val="center"/>
          </w:tcPr>
          <w:p w14:paraId="2EBE1BB3">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竞争性磋商响应文件数量</w:t>
            </w:r>
          </w:p>
        </w:tc>
        <w:tc>
          <w:tcPr>
            <w:tcW w:w="7307" w:type="dxa"/>
            <w:vAlign w:val="center"/>
          </w:tcPr>
          <w:p w14:paraId="162D0DC2">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bCs/>
                <w:color w:val="auto"/>
                <w:sz w:val="24"/>
                <w:szCs w:val="24"/>
                <w:u w:val="single"/>
              </w:rPr>
              <w:t>壹</w:t>
            </w:r>
            <w:r>
              <w:rPr>
                <w:rFonts w:hint="eastAsia" w:asciiTheme="majorEastAsia" w:hAnsiTheme="majorEastAsia" w:eastAsiaTheme="majorEastAsia" w:cstheme="majorEastAsia"/>
                <w:b/>
                <w:bCs/>
                <w:color w:val="auto"/>
                <w:sz w:val="24"/>
                <w:szCs w:val="24"/>
              </w:rPr>
              <w:t>正</w:t>
            </w:r>
            <w:r>
              <w:rPr>
                <w:rFonts w:hint="eastAsia" w:asciiTheme="majorEastAsia" w:hAnsiTheme="majorEastAsia" w:eastAsiaTheme="majorEastAsia" w:cstheme="majorEastAsia"/>
                <w:b/>
                <w:bCs/>
                <w:color w:val="auto"/>
                <w:sz w:val="24"/>
                <w:szCs w:val="24"/>
                <w:u w:val="single"/>
                <w:lang w:val="en-US" w:eastAsia="zh-CN"/>
              </w:rPr>
              <w:t>贰</w:t>
            </w:r>
            <w:r>
              <w:rPr>
                <w:rFonts w:hint="eastAsia" w:asciiTheme="majorEastAsia" w:hAnsiTheme="majorEastAsia" w:eastAsiaTheme="majorEastAsia" w:cstheme="majorEastAsia"/>
                <w:b/>
                <w:bCs/>
                <w:color w:val="auto"/>
                <w:sz w:val="24"/>
                <w:szCs w:val="24"/>
              </w:rPr>
              <w:t>副，电子文件（U盘）</w:t>
            </w:r>
            <w:r>
              <w:rPr>
                <w:rFonts w:hint="eastAsia" w:asciiTheme="majorEastAsia" w:hAnsiTheme="majorEastAsia" w:eastAsiaTheme="majorEastAsia" w:cstheme="majorEastAsia"/>
                <w:b/>
                <w:bCs/>
                <w:color w:val="auto"/>
                <w:sz w:val="24"/>
                <w:szCs w:val="24"/>
                <w:lang w:val="en-US" w:eastAsia="zh-CN"/>
              </w:rPr>
              <w:t>贰</w:t>
            </w:r>
            <w:r>
              <w:rPr>
                <w:rFonts w:hint="eastAsia" w:asciiTheme="majorEastAsia" w:hAnsiTheme="majorEastAsia" w:eastAsiaTheme="majorEastAsia" w:cstheme="majorEastAsia"/>
                <w:b/>
                <w:bCs/>
                <w:color w:val="auto"/>
                <w:sz w:val="24"/>
                <w:szCs w:val="24"/>
              </w:rPr>
              <w:t>份</w:t>
            </w:r>
            <w:r>
              <w:rPr>
                <w:rFonts w:hint="eastAsia" w:asciiTheme="majorEastAsia" w:hAnsiTheme="majorEastAsia" w:eastAsiaTheme="majorEastAsia" w:cstheme="majorEastAsia"/>
                <w:color w:val="auto"/>
                <w:sz w:val="24"/>
                <w:szCs w:val="24"/>
              </w:rPr>
              <w:t>（电子版磋商响应文件必须与正本完全一致，</w:t>
            </w:r>
            <w:r>
              <w:rPr>
                <w:rFonts w:hint="eastAsia" w:asciiTheme="majorEastAsia" w:hAnsiTheme="majorEastAsia" w:eastAsiaTheme="majorEastAsia" w:cstheme="majorEastAsia"/>
                <w:color w:val="auto"/>
                <w:sz w:val="24"/>
                <w:szCs w:val="24"/>
                <w:shd w:val="clear"/>
              </w:rPr>
              <w:t>电子版包括： word版磋商响应文件。</w:t>
            </w:r>
          </w:p>
        </w:tc>
      </w:tr>
      <w:tr w14:paraId="21EB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41AF4A3C">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1320" w:type="dxa"/>
            <w:vAlign w:val="center"/>
          </w:tcPr>
          <w:p w14:paraId="18E431E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竞争性磋商响应文件（纸质版）装订</w:t>
            </w:r>
          </w:p>
        </w:tc>
        <w:tc>
          <w:tcPr>
            <w:tcW w:w="7307" w:type="dxa"/>
            <w:vAlign w:val="center"/>
          </w:tcPr>
          <w:p w14:paraId="6912D380">
            <w:pPr>
              <w:keepNext w:val="0"/>
              <w:keepLines w:val="0"/>
              <w:pageBreakBefore w:val="0"/>
              <w:widowControl w:val="0"/>
              <w:kinsoku/>
              <w:wordWrap/>
              <w:overflowPunct/>
              <w:autoSpaceDE w:val="0"/>
              <w:autoSpaceDN w:val="0"/>
              <w:bidi w:val="0"/>
              <w:adjustRightInd w:val="0"/>
              <w:spacing w:line="440" w:lineRule="exact"/>
              <w:rPr>
                <w:rFonts w:hint="eastAsia"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磋商响应文件（纸质版）连续编码并牢固装订成册，不可插页抽页。</w:t>
            </w:r>
          </w:p>
          <w:p w14:paraId="48CF8423">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牢固装订成册是指书脊涂有胶粘剂以保证磋商响应文件不至于散开或用简单办法不能将任何一页在没有任何损坏的情况下取出或插入。各种用活页夹、文件夹、塑料方便式书脊（插入式或穿孔式）装订均不认为是牢固装订。</w:t>
            </w:r>
          </w:p>
        </w:tc>
      </w:tr>
      <w:tr w14:paraId="4DCA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109FD88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3.8.2</w:t>
            </w:r>
          </w:p>
        </w:tc>
        <w:tc>
          <w:tcPr>
            <w:tcW w:w="1320" w:type="dxa"/>
            <w:vAlign w:val="center"/>
          </w:tcPr>
          <w:p w14:paraId="1137A40A">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封套上写明</w:t>
            </w:r>
          </w:p>
        </w:tc>
        <w:tc>
          <w:tcPr>
            <w:tcW w:w="7307" w:type="dxa"/>
            <w:vAlign w:val="center"/>
          </w:tcPr>
          <w:p w14:paraId="3F510CF8">
            <w:pPr>
              <w:keepNext w:val="0"/>
              <w:keepLines w:val="0"/>
              <w:pageBreakBefore w:val="0"/>
              <w:widowControl w:val="0"/>
              <w:kinsoku/>
              <w:wordWrap/>
              <w:overflowPunct/>
              <w:bidi w:val="0"/>
              <w:spacing w:line="440" w:lineRule="exact"/>
              <w:jc w:val="center"/>
              <w:rPr>
                <w:rFonts w:hint="eastAsia"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rPr>
              <w:t>磋商响应文件</w:t>
            </w:r>
            <w:r>
              <w:rPr>
                <w:rFonts w:hint="eastAsia" w:asciiTheme="majorEastAsia" w:hAnsiTheme="majorEastAsia" w:eastAsiaTheme="majorEastAsia" w:cstheme="majorEastAsia"/>
                <w:b/>
                <w:bCs/>
                <w:color w:val="auto"/>
                <w:sz w:val="24"/>
                <w:szCs w:val="24"/>
                <w:lang w:val="en-US" w:eastAsia="zh-CN"/>
              </w:rPr>
              <w:t>或资格证明部分或电子版U盘</w:t>
            </w:r>
          </w:p>
          <w:p w14:paraId="4F5EADB2">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密封袋上应注明下列识别标志：</w:t>
            </w:r>
          </w:p>
          <w:p w14:paraId="65C68CFB">
            <w:pPr>
              <w:keepNext w:val="0"/>
              <w:keepLines w:val="0"/>
              <w:pageBreakBefore w:val="0"/>
              <w:widowControl w:val="0"/>
              <w:tabs>
                <w:tab w:val="left" w:pos="900"/>
                <w:tab w:val="left" w:pos="132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采购项目编号：</w:t>
            </w:r>
          </w:p>
          <w:p w14:paraId="53864919">
            <w:pPr>
              <w:keepNext w:val="0"/>
              <w:keepLines w:val="0"/>
              <w:pageBreakBefore w:val="0"/>
              <w:widowControl w:val="0"/>
              <w:tabs>
                <w:tab w:val="left" w:pos="900"/>
                <w:tab w:val="left" w:pos="132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采购项目名称：</w:t>
            </w:r>
          </w:p>
          <w:p w14:paraId="75E06A8B">
            <w:pPr>
              <w:keepNext w:val="0"/>
              <w:keepLines w:val="0"/>
              <w:pageBreakBefore w:val="0"/>
              <w:widowControl w:val="0"/>
              <w:tabs>
                <w:tab w:val="left" w:pos="900"/>
                <w:tab w:val="left" w:pos="132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供应商的名称：</w:t>
            </w:r>
          </w:p>
          <w:p w14:paraId="77171825">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密封袋的封口处注明      年   月   日    时    分以前不得开封。</w:t>
            </w:r>
          </w:p>
        </w:tc>
      </w:tr>
      <w:tr w14:paraId="077D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950" w:type="dxa"/>
            <w:vAlign w:val="center"/>
          </w:tcPr>
          <w:p w14:paraId="6BF2077C">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3.9.2</w:t>
            </w:r>
          </w:p>
        </w:tc>
        <w:tc>
          <w:tcPr>
            <w:tcW w:w="1320" w:type="dxa"/>
            <w:vAlign w:val="center"/>
          </w:tcPr>
          <w:p w14:paraId="6AFDF47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递交磋商响应文件的地点</w:t>
            </w:r>
          </w:p>
        </w:tc>
        <w:tc>
          <w:tcPr>
            <w:tcW w:w="7307" w:type="dxa"/>
            <w:vAlign w:val="center"/>
          </w:tcPr>
          <w:p w14:paraId="0710B9F5">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见竞争性磋商公告</w:t>
            </w:r>
          </w:p>
        </w:tc>
      </w:tr>
      <w:tr w14:paraId="6187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A91F45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3.9.3</w:t>
            </w:r>
          </w:p>
        </w:tc>
        <w:tc>
          <w:tcPr>
            <w:tcW w:w="1320" w:type="dxa"/>
            <w:vAlign w:val="center"/>
          </w:tcPr>
          <w:p w14:paraId="0D79A5C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是否退还磋商文件</w:t>
            </w:r>
          </w:p>
        </w:tc>
        <w:tc>
          <w:tcPr>
            <w:tcW w:w="7307" w:type="dxa"/>
            <w:vAlign w:val="center"/>
          </w:tcPr>
          <w:p w14:paraId="49D3A4D3">
            <w:pPr>
              <w:pStyle w:val="9"/>
              <w:keepNext w:val="0"/>
              <w:keepLines w:val="0"/>
              <w:pageBreakBefore w:val="0"/>
              <w:widowControl w:val="0"/>
              <w:kinsoku/>
              <w:wordWrap/>
              <w:overflowPunct/>
              <w:topLine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color w:val="auto"/>
                <w:sz w:val="24"/>
                <w:szCs w:val="24"/>
              </w:rPr>
              <w:sym w:font="Wingdings 2" w:char="F052"/>
            </w:r>
            <w:r>
              <w:rPr>
                <w:rFonts w:hint="eastAsia" w:asciiTheme="majorEastAsia" w:hAnsiTheme="majorEastAsia" w:eastAsiaTheme="majorEastAsia" w:cstheme="majorEastAsia"/>
                <w:color w:val="auto"/>
                <w:sz w:val="24"/>
                <w:szCs w:val="24"/>
              </w:rPr>
              <w:t>否</w:t>
            </w:r>
          </w:p>
          <w:p w14:paraId="05FD8C48">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w:t>
            </w:r>
          </w:p>
        </w:tc>
      </w:tr>
      <w:tr w14:paraId="193CA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408AC132">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4.1</w:t>
            </w:r>
          </w:p>
        </w:tc>
        <w:tc>
          <w:tcPr>
            <w:tcW w:w="1320" w:type="dxa"/>
            <w:vAlign w:val="center"/>
          </w:tcPr>
          <w:p w14:paraId="159CDE84">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磋商时间和地点</w:t>
            </w:r>
          </w:p>
        </w:tc>
        <w:tc>
          <w:tcPr>
            <w:tcW w:w="7307" w:type="dxa"/>
            <w:vAlign w:val="center"/>
          </w:tcPr>
          <w:p w14:paraId="7A0762D0">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rPr>
              <w:t>磋商时间：</w:t>
            </w:r>
            <w:r>
              <w:rPr>
                <w:rFonts w:hint="eastAsia" w:asciiTheme="majorEastAsia" w:hAnsiTheme="majorEastAsia" w:eastAsiaTheme="majorEastAsia" w:cstheme="majorEastAsia"/>
                <w:color w:val="auto"/>
                <w:sz w:val="24"/>
                <w:szCs w:val="24"/>
                <w:lang w:val="en-US" w:eastAsia="zh-CN"/>
              </w:rPr>
              <w:t>见竞争性磋商公告</w:t>
            </w:r>
          </w:p>
          <w:p w14:paraId="703BF564">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磋商地点：同递交磋商响应文件的地点</w:t>
            </w:r>
          </w:p>
        </w:tc>
      </w:tr>
      <w:tr w14:paraId="5DD59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92C42EB">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4.3.1</w:t>
            </w:r>
          </w:p>
        </w:tc>
        <w:tc>
          <w:tcPr>
            <w:tcW w:w="1320" w:type="dxa"/>
            <w:vAlign w:val="center"/>
          </w:tcPr>
          <w:p w14:paraId="109028C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磋商小组的组建</w:t>
            </w:r>
          </w:p>
        </w:tc>
        <w:tc>
          <w:tcPr>
            <w:tcW w:w="7307" w:type="dxa"/>
            <w:vAlign w:val="center"/>
          </w:tcPr>
          <w:p w14:paraId="1A40B4EB">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磋商小组构成：3人，其中采购人代表 1人，专家2 人；</w:t>
            </w:r>
          </w:p>
          <w:p w14:paraId="337EA246">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评审专家确定方式：磋商大会前24小时内从《陕西省政府采购评审专家库》中随机抽取。</w:t>
            </w:r>
          </w:p>
        </w:tc>
      </w:tr>
      <w:tr w14:paraId="075E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restart"/>
            <w:vAlign w:val="center"/>
          </w:tcPr>
          <w:p w14:paraId="4158B6E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5.1</w:t>
            </w:r>
          </w:p>
        </w:tc>
        <w:tc>
          <w:tcPr>
            <w:tcW w:w="1320" w:type="dxa"/>
            <w:vAlign w:val="center"/>
          </w:tcPr>
          <w:p w14:paraId="6533A80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评审方法</w:t>
            </w:r>
          </w:p>
        </w:tc>
        <w:tc>
          <w:tcPr>
            <w:tcW w:w="7307" w:type="dxa"/>
            <w:vAlign w:val="center"/>
          </w:tcPr>
          <w:p w14:paraId="6AD36989">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综合评分法。</w:t>
            </w:r>
          </w:p>
        </w:tc>
      </w:tr>
      <w:tr w14:paraId="5EBA1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5A431972">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1320" w:type="dxa"/>
            <w:vAlign w:val="center"/>
          </w:tcPr>
          <w:p w14:paraId="1C1639A8">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特殊情况处理</w:t>
            </w:r>
          </w:p>
        </w:tc>
        <w:tc>
          <w:tcPr>
            <w:tcW w:w="7307" w:type="dxa"/>
            <w:vAlign w:val="center"/>
          </w:tcPr>
          <w:p w14:paraId="092B602A">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有效供应商不足三家的，按照《政府采购竞争性磋商采购方式管理暂行办法》等有关规定本次采购活动终止重新组织采购(除第七章第4条外)。</w:t>
            </w:r>
          </w:p>
        </w:tc>
      </w:tr>
      <w:tr w14:paraId="4766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6A84D4BA">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1320" w:type="dxa"/>
            <w:vAlign w:val="center"/>
          </w:tcPr>
          <w:p w14:paraId="07349107">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是否授权磋商小组确定成交人</w:t>
            </w:r>
          </w:p>
        </w:tc>
        <w:tc>
          <w:tcPr>
            <w:tcW w:w="7307" w:type="dxa"/>
            <w:vAlign w:val="center"/>
          </w:tcPr>
          <w:p w14:paraId="2440B0C8">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w:t>
            </w:r>
          </w:p>
          <w:p w14:paraId="30B3DBBE">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color w:val="auto"/>
                <w:sz w:val="24"/>
                <w:szCs w:val="24"/>
              </w:rPr>
              <w:sym w:font="Wingdings 2" w:char="F052"/>
            </w:r>
            <w:r>
              <w:rPr>
                <w:rFonts w:hint="eastAsia" w:asciiTheme="majorEastAsia" w:hAnsiTheme="majorEastAsia" w:eastAsiaTheme="majorEastAsia" w:cstheme="majorEastAsia"/>
                <w:color w:val="auto"/>
                <w:sz w:val="24"/>
                <w:szCs w:val="24"/>
              </w:rPr>
              <w:t>否，推荐的成交候选人数：3个</w:t>
            </w:r>
          </w:p>
        </w:tc>
      </w:tr>
      <w:tr w14:paraId="410C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77" w:type="dxa"/>
            <w:gridSpan w:val="3"/>
            <w:vAlign w:val="center"/>
          </w:tcPr>
          <w:p w14:paraId="1A14D29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bCs/>
                <w:color w:val="auto"/>
                <w:sz w:val="24"/>
                <w:szCs w:val="24"/>
              </w:rPr>
              <w:t>9.需要补充的其他内容</w:t>
            </w:r>
          </w:p>
        </w:tc>
      </w:tr>
      <w:tr w14:paraId="4B41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5C8CE94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9.2</w:t>
            </w:r>
          </w:p>
        </w:tc>
        <w:tc>
          <w:tcPr>
            <w:tcW w:w="1320" w:type="dxa"/>
            <w:vAlign w:val="center"/>
          </w:tcPr>
          <w:p w14:paraId="2F2DED4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质疑提出与答复</w:t>
            </w:r>
          </w:p>
        </w:tc>
        <w:tc>
          <w:tcPr>
            <w:tcW w:w="7307" w:type="dxa"/>
            <w:vAlign w:val="center"/>
          </w:tcPr>
          <w:p w14:paraId="647C8DAF">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供应商认为采购文件、采购过程、成交或者成交结果使自己的权益受到损害的，可以在知道或者应知其权益受到损害之日起7个工作日内，以书面形式向采购人、采购代理机构提出质疑。 </w:t>
            </w:r>
          </w:p>
          <w:p w14:paraId="235834B5">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质疑注意事项：</w:t>
            </w:r>
          </w:p>
          <w:p w14:paraId="3397D73F">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1、供应商必须在法定质疑期内一次性提出针对同一采购程序环节的质疑，否则采购人及采购代理机构有权拒绝。 </w:t>
            </w:r>
          </w:p>
          <w:p w14:paraId="7CABDE9B">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2、潜在供应商已依法获取其可质疑的采购文件的，可以对该文件提出质疑。对采购文件提出质疑的，应当在采购文件公告期限届满之日起7个工作日内提出。 </w:t>
            </w:r>
          </w:p>
          <w:p w14:paraId="1689C5AD">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3、供应商提出质疑应当提交质疑函和必要的证明材料。质疑函应当包括下列内容： </w:t>
            </w:r>
          </w:p>
          <w:p w14:paraId="371B63BB">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（一）供应商的姓名或者名称、地址、邮编、联系人及联系电话； </w:t>
            </w:r>
          </w:p>
          <w:p w14:paraId="566F6319">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（二）质疑项目的名称、编号； </w:t>
            </w:r>
          </w:p>
          <w:p w14:paraId="7D2BCB0A">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（三）具体、明确的质疑事项和与质疑事项相关的请求； </w:t>
            </w:r>
          </w:p>
          <w:p w14:paraId="2946DE3B">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（四）事实依据； </w:t>
            </w:r>
          </w:p>
          <w:p w14:paraId="3F12DD29">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（五）必要的法律依据； </w:t>
            </w:r>
          </w:p>
          <w:p w14:paraId="78A6F93F">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（六）提出质疑的日期。 </w:t>
            </w:r>
          </w:p>
          <w:p w14:paraId="26BDE079">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供应商为自然人的，应当由本人签字；供应商为法人或者其他组织的，应当由法定代表人、主要负责人，或者其授权代表签字或者盖章，并加盖公章。</w:t>
            </w:r>
          </w:p>
          <w:p w14:paraId="204776A5">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4、采购人、采购代理机构在收到质疑函后7个工作日内作出答复，并以书面形式通知质疑供应商和其他有关供应商。 </w:t>
            </w:r>
          </w:p>
        </w:tc>
      </w:tr>
      <w:tr w14:paraId="28CD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A745B8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9.3</w:t>
            </w:r>
          </w:p>
        </w:tc>
        <w:tc>
          <w:tcPr>
            <w:tcW w:w="1320" w:type="dxa"/>
            <w:vAlign w:val="center"/>
          </w:tcPr>
          <w:p w14:paraId="24C1648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是否允许递交备选磋商方案</w:t>
            </w:r>
          </w:p>
        </w:tc>
        <w:tc>
          <w:tcPr>
            <w:tcW w:w="7307" w:type="dxa"/>
            <w:vAlign w:val="center"/>
          </w:tcPr>
          <w:p w14:paraId="4B16680B">
            <w:pPr>
              <w:pStyle w:val="9"/>
              <w:keepNext w:val="0"/>
              <w:keepLines w:val="0"/>
              <w:pageBreakBefore w:val="0"/>
              <w:widowControl w:val="0"/>
              <w:kinsoku/>
              <w:wordWrap/>
              <w:overflowPunct/>
              <w:topLine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color w:val="auto"/>
                <w:sz w:val="24"/>
                <w:szCs w:val="24"/>
              </w:rPr>
              <w:sym w:font="Wingdings 2" w:char="F052"/>
            </w:r>
            <w:r>
              <w:rPr>
                <w:rFonts w:hint="eastAsia" w:asciiTheme="majorEastAsia" w:hAnsiTheme="majorEastAsia" w:eastAsiaTheme="majorEastAsia" w:cstheme="majorEastAsia"/>
                <w:color w:val="auto"/>
                <w:sz w:val="24"/>
                <w:szCs w:val="24"/>
              </w:rPr>
              <w:t>不允许</w:t>
            </w:r>
          </w:p>
          <w:p w14:paraId="75602E08">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□允许</w:t>
            </w:r>
          </w:p>
        </w:tc>
      </w:tr>
      <w:tr w14:paraId="48D76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50" w:type="dxa"/>
            <w:vMerge w:val="restart"/>
            <w:vAlign w:val="center"/>
          </w:tcPr>
          <w:p w14:paraId="7E170BF9">
            <w:pPr>
              <w:pStyle w:val="12"/>
              <w:keepNext w:val="0"/>
              <w:keepLines w:val="0"/>
              <w:pageBreakBefore w:val="0"/>
              <w:widowControl w:val="0"/>
              <w:numPr>
                <w:ilvl w:val="0"/>
                <w:numId w:val="0"/>
              </w:numPr>
              <w:kinsoku/>
              <w:wordWrap/>
              <w:overflowPunct/>
              <w:bidi w:val="0"/>
              <w:spacing w:line="440" w:lineRule="exact"/>
              <w:ind w:leftChars="0"/>
              <w:jc w:val="center"/>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9.4</w:t>
            </w:r>
          </w:p>
        </w:tc>
        <w:tc>
          <w:tcPr>
            <w:tcW w:w="1320" w:type="dxa"/>
            <w:vMerge w:val="restart"/>
            <w:vAlign w:val="center"/>
          </w:tcPr>
          <w:p w14:paraId="1D9F9899">
            <w:pPr>
              <w:pStyle w:val="12"/>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kern w:val="2"/>
                <w:sz w:val="24"/>
                <w:szCs w:val="24"/>
                <w:lang w:val="en-US" w:eastAsia="zh-CN" w:bidi="ar-SA"/>
              </w:rPr>
              <w:t>支持中小企业</w:t>
            </w:r>
          </w:p>
        </w:tc>
        <w:tc>
          <w:tcPr>
            <w:tcW w:w="7307" w:type="dxa"/>
            <w:vAlign w:val="center"/>
          </w:tcPr>
          <w:p w14:paraId="3879D0C8">
            <w:pPr>
              <w:pStyle w:val="21"/>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14:paraId="7901B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60F8761D">
            <w:pPr>
              <w:pStyle w:val="12"/>
              <w:keepNext w:val="0"/>
              <w:keepLines w:val="0"/>
              <w:pageBreakBefore w:val="0"/>
              <w:widowControl w:val="0"/>
              <w:numPr>
                <w:ilvl w:val="0"/>
                <w:numId w:val="2"/>
              </w:numPr>
              <w:kinsoku/>
              <w:wordWrap/>
              <w:overflowPunct/>
              <w:bidi w:val="0"/>
              <w:spacing w:line="440" w:lineRule="exact"/>
              <w:ind w:left="420" w:leftChars="0" w:hanging="420" w:firstLineChars="0"/>
              <w:jc w:val="center"/>
              <w:rPr>
                <w:rFonts w:hint="eastAsia" w:asciiTheme="majorEastAsia" w:hAnsiTheme="majorEastAsia" w:eastAsiaTheme="majorEastAsia" w:cstheme="majorEastAsia"/>
                <w:color w:val="auto"/>
                <w:sz w:val="24"/>
                <w:szCs w:val="24"/>
              </w:rPr>
            </w:pPr>
          </w:p>
        </w:tc>
        <w:tc>
          <w:tcPr>
            <w:tcW w:w="1320" w:type="dxa"/>
            <w:vMerge w:val="continue"/>
            <w:vAlign w:val="center"/>
          </w:tcPr>
          <w:p w14:paraId="4965AEE9">
            <w:pPr>
              <w:pStyle w:val="12"/>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p>
        </w:tc>
        <w:tc>
          <w:tcPr>
            <w:tcW w:w="7307" w:type="dxa"/>
            <w:vAlign w:val="center"/>
          </w:tcPr>
          <w:p w14:paraId="23DEF2C6">
            <w:pPr>
              <w:keepNext w:val="0"/>
              <w:keepLines w:val="0"/>
              <w:pageBreakBefore w:val="0"/>
              <w:widowControl w:val="0"/>
              <w:kinsoku/>
              <w:wordWrap/>
              <w:overflowPunct/>
              <w:bidi w:val="0"/>
              <w:adjustRightInd w:val="0"/>
              <w:snapToGrid w:val="0"/>
              <w:spacing w:line="440" w:lineRule="exact"/>
              <w:textAlignment w:val="baseline"/>
              <w:rPr>
                <w:rFonts w:hint="default" w:asciiTheme="majorEastAsia" w:hAnsiTheme="majorEastAsia" w:eastAsiaTheme="majorEastAsia" w:cstheme="majorEastAsia"/>
                <w:color w:val="auto"/>
                <w:sz w:val="24"/>
                <w:szCs w:val="24"/>
                <w:lang w:val="en-US"/>
              </w:rPr>
            </w:pPr>
            <w:r>
              <w:rPr>
                <w:rFonts w:hint="eastAsia" w:asciiTheme="majorEastAsia" w:hAnsiTheme="majorEastAsia" w:eastAsiaTheme="majorEastAsia" w:cstheme="majorEastAsia"/>
                <w:color w:val="auto"/>
                <w:sz w:val="24"/>
                <w:szCs w:val="24"/>
              </w:rPr>
              <w:t>采购标的对应的中小企业划分标准所属行业：</w:t>
            </w:r>
            <w:r>
              <w:rPr>
                <w:rFonts w:hint="eastAsia" w:asciiTheme="majorEastAsia" w:hAnsiTheme="majorEastAsia" w:eastAsiaTheme="majorEastAsia" w:cstheme="majorEastAsia"/>
                <w:b/>
                <w:bCs/>
                <w:color w:val="auto"/>
                <w:sz w:val="24"/>
                <w:szCs w:val="24"/>
                <w:lang w:val="en-US" w:eastAsia="zh-CN"/>
              </w:rPr>
              <w:t>建筑业</w:t>
            </w:r>
          </w:p>
        </w:tc>
      </w:tr>
      <w:tr w14:paraId="2F99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5C27DBF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sz w:val="24"/>
                <w:szCs w:val="24"/>
              </w:rPr>
              <w:t>9.</w:t>
            </w:r>
            <w:r>
              <w:rPr>
                <w:rFonts w:hint="eastAsia" w:asciiTheme="majorEastAsia" w:hAnsiTheme="majorEastAsia" w:eastAsiaTheme="majorEastAsia" w:cstheme="majorEastAsia"/>
                <w:color w:val="auto"/>
                <w:sz w:val="24"/>
                <w:szCs w:val="24"/>
                <w:lang w:val="en-US" w:eastAsia="zh-CN"/>
              </w:rPr>
              <w:t>5</w:t>
            </w:r>
          </w:p>
        </w:tc>
        <w:tc>
          <w:tcPr>
            <w:tcW w:w="1320" w:type="dxa"/>
            <w:vAlign w:val="center"/>
          </w:tcPr>
          <w:p w14:paraId="77C0C30F">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sz w:val="24"/>
                <w:szCs w:val="24"/>
              </w:rPr>
              <w:t>采购代理服务费</w:t>
            </w:r>
          </w:p>
        </w:tc>
        <w:tc>
          <w:tcPr>
            <w:tcW w:w="7307" w:type="dxa"/>
            <w:vAlign w:val="center"/>
          </w:tcPr>
          <w:p w14:paraId="3E318E09">
            <w:pPr>
              <w:keepNext w:val="0"/>
              <w:keepLines w:val="0"/>
              <w:pageBreakBefore w:val="0"/>
              <w:widowControl w:val="0"/>
              <w:kinsoku/>
              <w:wordWrap/>
              <w:overflowPunct/>
              <w:bidi w:val="0"/>
              <w:adjustRightInd w:val="0"/>
              <w:snapToGrid w:val="0"/>
              <w:spacing w:line="440" w:lineRule="exact"/>
              <w:ind w:firstLine="240" w:firstLineChars="100"/>
              <w:textAlignment w:val="baseline"/>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根据《国家发展改革委关于进一步放开建设项目专业服务价格的通知》（发改价格〔2015〕299号）和（计价格[2002]1980号）规定</w:t>
            </w:r>
          </w:p>
        </w:tc>
      </w:tr>
      <w:tr w14:paraId="1028D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5E83DFDA">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9.6</w:t>
            </w:r>
          </w:p>
        </w:tc>
        <w:tc>
          <w:tcPr>
            <w:tcW w:w="1320" w:type="dxa"/>
            <w:vAlign w:val="center"/>
          </w:tcPr>
          <w:p w14:paraId="0AB2DD49">
            <w:pPr>
              <w:pStyle w:val="12"/>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其他</w:t>
            </w:r>
          </w:p>
        </w:tc>
        <w:tc>
          <w:tcPr>
            <w:tcW w:w="7307" w:type="dxa"/>
            <w:vAlign w:val="center"/>
          </w:tcPr>
          <w:p w14:paraId="7E087507">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lang w:val="en-US" w:eastAsia="zh-CN"/>
              </w:rPr>
              <w:t>该项目采取线下开标的形式，供应商必须到达开标现场，直接参与开标活动。</w:t>
            </w:r>
          </w:p>
          <w:p w14:paraId="3EACDD0F">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相关注意事项如下：</w:t>
            </w:r>
          </w:p>
          <w:p w14:paraId="5B8F5CCF">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1、开标当日，请各供应商在开标截止时间前至少提前十分钟进入开标现场；</w:t>
            </w:r>
          </w:p>
          <w:p w14:paraId="31D0741F">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2、</w:t>
            </w:r>
            <w:r>
              <w:rPr>
                <w:rFonts w:hint="eastAsia" w:asciiTheme="majorEastAsia" w:hAnsiTheme="majorEastAsia" w:eastAsiaTheme="majorEastAsia" w:cstheme="majorEastAsia"/>
                <w:color w:val="auto"/>
                <w:sz w:val="24"/>
                <w:szCs w:val="24"/>
                <w:lang w:eastAsia="zh-CN"/>
              </w:rPr>
              <w:t>投标</w:t>
            </w:r>
            <w:r>
              <w:rPr>
                <w:rFonts w:hint="eastAsia" w:asciiTheme="majorEastAsia" w:hAnsiTheme="majorEastAsia" w:eastAsiaTheme="majorEastAsia" w:cstheme="majorEastAsia"/>
                <w:color w:val="auto"/>
                <w:sz w:val="24"/>
                <w:szCs w:val="24"/>
                <w:lang w:val="en-US" w:eastAsia="zh-CN"/>
              </w:rPr>
              <w:t>供应商</w:t>
            </w:r>
            <w:r>
              <w:rPr>
                <w:rFonts w:hint="eastAsia" w:asciiTheme="majorEastAsia" w:hAnsiTheme="majorEastAsia" w:eastAsiaTheme="majorEastAsia" w:cstheme="majorEastAsia"/>
                <w:color w:val="auto"/>
                <w:sz w:val="24"/>
                <w:szCs w:val="24"/>
                <w:lang w:eastAsia="zh-CN"/>
              </w:rPr>
              <w:t>代表</w:t>
            </w:r>
            <w:r>
              <w:rPr>
                <w:rFonts w:hint="eastAsia" w:asciiTheme="majorEastAsia" w:hAnsiTheme="majorEastAsia" w:eastAsiaTheme="majorEastAsia" w:cstheme="majorEastAsia"/>
                <w:color w:val="auto"/>
                <w:sz w:val="24"/>
                <w:szCs w:val="24"/>
              </w:rPr>
              <w:t>现场资格核验：</w:t>
            </w:r>
          </w:p>
          <w:p w14:paraId="519055B7">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开标时投标</w:t>
            </w:r>
            <w:r>
              <w:rPr>
                <w:rFonts w:hint="eastAsia" w:asciiTheme="majorEastAsia" w:hAnsiTheme="majorEastAsia" w:eastAsiaTheme="majorEastAsia" w:cstheme="majorEastAsia"/>
                <w:color w:val="auto"/>
                <w:sz w:val="24"/>
                <w:szCs w:val="24"/>
                <w:lang w:val="en-US" w:eastAsia="zh-CN"/>
              </w:rPr>
              <w:t>供应商</w:t>
            </w:r>
            <w:r>
              <w:rPr>
                <w:rFonts w:hint="eastAsia" w:asciiTheme="majorEastAsia" w:hAnsiTheme="majorEastAsia" w:eastAsiaTheme="majorEastAsia" w:cstheme="majorEastAsia"/>
                <w:color w:val="auto"/>
                <w:sz w:val="24"/>
                <w:szCs w:val="24"/>
              </w:rPr>
              <w:t>应携带下列</w:t>
            </w:r>
            <w:r>
              <w:rPr>
                <w:rFonts w:hint="eastAsia" w:asciiTheme="majorEastAsia" w:hAnsiTheme="majorEastAsia" w:eastAsiaTheme="majorEastAsia" w:cstheme="majorEastAsia"/>
                <w:color w:val="auto"/>
                <w:sz w:val="24"/>
                <w:szCs w:val="24"/>
                <w:lang w:eastAsia="zh-CN"/>
              </w:rPr>
              <w:t>材料</w:t>
            </w:r>
            <w:r>
              <w:rPr>
                <w:rFonts w:hint="eastAsia" w:asciiTheme="majorEastAsia" w:hAnsiTheme="majorEastAsia" w:eastAsiaTheme="majorEastAsia" w:cstheme="majorEastAsia"/>
                <w:color w:val="auto"/>
                <w:sz w:val="24"/>
                <w:szCs w:val="24"/>
              </w:rPr>
              <w:t>：</w:t>
            </w:r>
            <w:r>
              <w:rPr>
                <w:rFonts w:hint="eastAsia" w:asciiTheme="majorEastAsia" w:hAnsiTheme="majorEastAsia" w:eastAsiaTheme="majorEastAsia" w:cstheme="majorEastAsia"/>
                <w:b/>
                <w:bCs/>
                <w:color w:val="auto"/>
                <w:sz w:val="24"/>
                <w:szCs w:val="24"/>
              </w:rPr>
              <w:t>法定代表人参加投标的</w:t>
            </w:r>
            <w:r>
              <w:rPr>
                <w:rFonts w:hint="eastAsia" w:asciiTheme="majorEastAsia" w:hAnsiTheme="majorEastAsia" w:eastAsiaTheme="majorEastAsia" w:cstheme="majorEastAsia"/>
                <w:color w:val="auto"/>
                <w:sz w:val="24"/>
                <w:szCs w:val="24"/>
              </w:rPr>
              <w:t>，提供法定代表人证明书、本人身份证原件及复印件；</w:t>
            </w:r>
            <w:r>
              <w:rPr>
                <w:rFonts w:hint="eastAsia" w:asciiTheme="majorEastAsia" w:hAnsiTheme="majorEastAsia" w:eastAsiaTheme="majorEastAsia" w:cstheme="majorEastAsia"/>
                <w:b/>
                <w:bCs/>
                <w:color w:val="auto"/>
                <w:sz w:val="24"/>
                <w:szCs w:val="24"/>
              </w:rPr>
              <w:t>法定代表人授权他人参加投标的</w:t>
            </w:r>
            <w:r>
              <w:rPr>
                <w:rFonts w:hint="eastAsia" w:asciiTheme="majorEastAsia" w:hAnsiTheme="majorEastAsia" w:eastAsiaTheme="majorEastAsia" w:cstheme="majorEastAsia"/>
                <w:color w:val="auto"/>
                <w:sz w:val="24"/>
                <w:szCs w:val="24"/>
              </w:rPr>
              <w:t>，提供法定代表人授权委托书、被委托人身份证原件及复印件</w:t>
            </w:r>
            <w:r>
              <w:rPr>
                <w:rFonts w:hint="eastAsia" w:ascii="宋体" w:hAnsi="宋体" w:eastAsia="宋体" w:cs="宋体"/>
                <w:color w:val="auto"/>
                <w:kern w:val="2"/>
                <w:sz w:val="24"/>
                <w:szCs w:val="24"/>
                <w:highlight w:val="none"/>
                <w:lang w:val="en-US" w:eastAsia="zh-CN" w:bidi="ar-SA"/>
              </w:rPr>
              <w:t>加盖公章</w:t>
            </w:r>
            <w:r>
              <w:rPr>
                <w:rFonts w:hint="eastAsia" w:asciiTheme="majorEastAsia" w:hAnsiTheme="majorEastAsia" w:eastAsiaTheme="majorEastAsia" w:cstheme="majorEastAsia"/>
                <w:color w:val="auto"/>
                <w:sz w:val="24"/>
                <w:szCs w:val="24"/>
              </w:rPr>
              <w:t>；由监</w:t>
            </w:r>
            <w:r>
              <w:rPr>
                <w:rFonts w:hint="eastAsia" w:asciiTheme="majorEastAsia" w:hAnsiTheme="majorEastAsia" w:eastAsiaTheme="majorEastAsia" w:cstheme="majorEastAsia"/>
                <w:color w:val="auto"/>
                <w:sz w:val="24"/>
                <w:szCs w:val="24"/>
                <w:lang w:eastAsia="zh-CN"/>
              </w:rPr>
              <w:t>标人</w:t>
            </w:r>
            <w:r>
              <w:rPr>
                <w:rFonts w:hint="eastAsia" w:asciiTheme="majorEastAsia" w:hAnsiTheme="majorEastAsia" w:eastAsiaTheme="majorEastAsia" w:cstheme="majorEastAsia"/>
                <w:color w:val="auto"/>
                <w:sz w:val="24"/>
                <w:szCs w:val="24"/>
              </w:rPr>
              <w:t>查验确认投标</w:t>
            </w:r>
            <w:r>
              <w:rPr>
                <w:rFonts w:hint="eastAsia" w:asciiTheme="majorEastAsia" w:hAnsiTheme="majorEastAsia" w:eastAsiaTheme="majorEastAsia" w:cstheme="majorEastAsia"/>
                <w:color w:val="auto"/>
                <w:sz w:val="24"/>
                <w:szCs w:val="24"/>
                <w:lang w:val="en-US" w:eastAsia="zh-CN"/>
              </w:rPr>
              <w:t>供应商</w:t>
            </w:r>
            <w:r>
              <w:rPr>
                <w:rFonts w:hint="eastAsia" w:asciiTheme="majorEastAsia" w:hAnsiTheme="majorEastAsia" w:eastAsiaTheme="majorEastAsia" w:cstheme="majorEastAsia"/>
                <w:color w:val="auto"/>
                <w:sz w:val="24"/>
                <w:szCs w:val="24"/>
              </w:rPr>
              <w:t>代表是否到场。若投标</w:t>
            </w:r>
            <w:r>
              <w:rPr>
                <w:rFonts w:hint="eastAsia" w:asciiTheme="majorEastAsia" w:hAnsiTheme="majorEastAsia" w:eastAsiaTheme="majorEastAsia" w:cstheme="majorEastAsia"/>
                <w:color w:val="auto"/>
                <w:sz w:val="24"/>
                <w:szCs w:val="24"/>
                <w:lang w:val="en-US" w:eastAsia="zh-CN"/>
              </w:rPr>
              <w:t>供应商</w:t>
            </w:r>
            <w:r>
              <w:rPr>
                <w:rFonts w:hint="eastAsia" w:asciiTheme="majorEastAsia" w:hAnsiTheme="majorEastAsia" w:eastAsiaTheme="majorEastAsia" w:cstheme="majorEastAsia"/>
                <w:color w:val="auto"/>
                <w:sz w:val="24"/>
                <w:szCs w:val="24"/>
              </w:rPr>
              <w:t>未派代表出席开标会议或提供的证件不全或不能确认其代表身份的，则可宣布其已放弃投标或按无效标处理。</w:t>
            </w:r>
          </w:p>
        </w:tc>
      </w:tr>
    </w:tbl>
    <w:p w14:paraId="65FA18E4">
      <w:pPr>
        <w:rPr>
          <w:rFonts w:hint="eastAsia" w:ascii="宋体" w:hAnsi="宋体" w:eastAsia="宋体" w:cs="宋体"/>
          <w:color w:val="auto"/>
          <w:sz w:val="21"/>
          <w:szCs w:val="21"/>
        </w:rPr>
      </w:pPr>
    </w:p>
    <w:p w14:paraId="25E3957F">
      <w:pPr>
        <w:rPr>
          <w:rFonts w:hint="eastAsia" w:ascii="宋体" w:hAnsi="宋体" w:eastAsia="宋体" w:cs="宋体"/>
          <w:color w:val="auto"/>
          <w:sz w:val="21"/>
          <w:szCs w:val="21"/>
        </w:rPr>
      </w:pPr>
      <w:bookmarkStart w:id="15" w:name="_Toc26314"/>
      <w:r>
        <w:rPr>
          <w:rFonts w:hint="eastAsia" w:ascii="宋体" w:hAnsi="宋体" w:eastAsia="宋体" w:cs="宋体"/>
          <w:color w:val="auto"/>
          <w:sz w:val="21"/>
          <w:szCs w:val="21"/>
        </w:rPr>
        <w:br w:type="page"/>
      </w:r>
    </w:p>
    <w:bookmarkEnd w:id="15"/>
    <w:p w14:paraId="4E4EE5FC">
      <w:pPr>
        <w:pStyle w:val="3"/>
        <w:rPr>
          <w:rFonts w:hint="eastAsia" w:ascii="宋体" w:hAnsi="宋体" w:eastAsia="宋体" w:cs="宋体"/>
          <w:color w:val="auto"/>
          <w:sz w:val="36"/>
          <w:szCs w:val="28"/>
        </w:rPr>
      </w:pPr>
      <w:bookmarkStart w:id="16" w:name="_Toc23794"/>
      <w:bookmarkStart w:id="17" w:name="_Toc22342"/>
      <w:r>
        <w:rPr>
          <w:rFonts w:hint="eastAsia" w:ascii="宋体" w:hAnsi="宋体" w:eastAsia="宋体" w:cs="宋体"/>
          <w:color w:val="auto"/>
          <w:sz w:val="36"/>
          <w:szCs w:val="28"/>
        </w:rPr>
        <w:t>否决性条款摘要</w:t>
      </w:r>
      <w:bookmarkEnd w:id="16"/>
      <w:bookmarkEnd w:id="17"/>
    </w:p>
    <w:p w14:paraId="07B08E96">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本章节是竞争性磋商文件(含竞争性磋商文件的澄清、答疑、补充文件等)中涉及的所有否决性条款的摘要，否决性条款包括：竞争性磋商响应文件不予受理（开标会），围标、串标的判定与处理（初步评审）无效响应文件的判定与处理（详细评审）条款。竞争性磋商文件中有关否决性条款的阐述与本附件不一致的，以本附件内容为准。</w:t>
      </w:r>
    </w:p>
    <w:p w14:paraId="7C53B2B6">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1、磋商阶段的不予受理的情形：</w:t>
      </w:r>
    </w:p>
    <w:p w14:paraId="1F0A899A">
      <w:pPr>
        <w:rPr>
          <w:rFonts w:hint="eastAsia" w:ascii="宋体" w:hAnsi="宋体" w:eastAsia="宋体" w:cs="宋体"/>
          <w:color w:val="auto"/>
          <w:sz w:val="22"/>
          <w:szCs w:val="22"/>
        </w:rPr>
      </w:pPr>
      <w:bookmarkStart w:id="18" w:name="_Toc246144208"/>
      <w:bookmarkStart w:id="19" w:name="_Toc246133765"/>
      <w:bookmarkStart w:id="20" w:name="_Toc246221337"/>
      <w:r>
        <w:rPr>
          <w:rFonts w:hint="eastAsia" w:ascii="宋体" w:hAnsi="宋体" w:eastAsia="宋体" w:cs="宋体"/>
          <w:color w:val="auto"/>
          <w:sz w:val="22"/>
          <w:szCs w:val="22"/>
        </w:rPr>
        <w:t>1）在供应商须知前附表规定的截止时间以后逾期送达的或者未送达指定地点的；</w:t>
      </w:r>
    </w:p>
    <w:p w14:paraId="377F8967">
      <w:pPr>
        <w:rPr>
          <w:rFonts w:hint="eastAsia" w:ascii="宋体" w:hAnsi="宋体" w:eastAsia="宋体" w:cs="宋体"/>
          <w:color w:val="auto"/>
          <w:sz w:val="22"/>
          <w:szCs w:val="22"/>
        </w:rPr>
      </w:pPr>
      <w:r>
        <w:rPr>
          <w:rFonts w:hint="eastAsia" w:ascii="宋体" w:hAnsi="宋体" w:eastAsia="宋体" w:cs="宋体"/>
          <w:color w:val="auto"/>
          <w:sz w:val="22"/>
          <w:szCs w:val="22"/>
        </w:rPr>
        <w:t>2）未按本竞争性磋商文件的规定进行密封、标记和加盖供应商公章的；</w:t>
      </w:r>
    </w:p>
    <w:p w14:paraId="3DFAF664">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2、围标、串标与无效响应文件的判定与处理</w:t>
      </w:r>
      <w:bookmarkEnd w:id="18"/>
      <w:bookmarkEnd w:id="19"/>
      <w:bookmarkEnd w:id="20"/>
    </w:p>
    <w:p w14:paraId="2D535D2F">
      <w:pPr>
        <w:rPr>
          <w:rFonts w:hint="eastAsia" w:ascii="宋体" w:hAnsi="宋体" w:eastAsia="宋体" w:cs="宋体"/>
          <w:color w:val="auto"/>
          <w:sz w:val="22"/>
          <w:szCs w:val="22"/>
        </w:rPr>
      </w:pPr>
      <w:r>
        <w:rPr>
          <w:rFonts w:hint="eastAsia" w:ascii="宋体" w:hAnsi="宋体" w:eastAsia="宋体" w:cs="宋体"/>
          <w:color w:val="auto"/>
          <w:sz w:val="22"/>
          <w:szCs w:val="22"/>
        </w:rPr>
        <w:t>1）围标、串标的判定与处理</w:t>
      </w:r>
    </w:p>
    <w:p w14:paraId="09AACC17">
      <w:pPr>
        <w:rPr>
          <w:rFonts w:hint="eastAsia" w:ascii="宋体" w:hAnsi="宋体" w:eastAsia="宋体" w:cs="宋体"/>
          <w:color w:val="auto"/>
          <w:sz w:val="22"/>
          <w:szCs w:val="22"/>
        </w:rPr>
      </w:pPr>
      <w:r>
        <w:rPr>
          <w:rFonts w:hint="eastAsia" w:ascii="宋体" w:hAnsi="宋体" w:eastAsia="宋体" w:cs="宋体"/>
          <w:color w:val="auto"/>
          <w:sz w:val="22"/>
          <w:szCs w:val="22"/>
        </w:rPr>
        <w:t>有下列情形之一的，经磋商小组遵循少数服从多数的原则集体表决认定后，按围标、串标行为对待，除按无效响应文件处理外，采购人将提请有关行政管理部门根据情况依法做出处罚：</w:t>
      </w:r>
    </w:p>
    <w:p w14:paraId="36BE21D3">
      <w:pPr>
        <w:rPr>
          <w:rFonts w:hint="eastAsia" w:ascii="宋体" w:hAnsi="宋体" w:eastAsia="宋体" w:cs="宋体"/>
          <w:color w:val="auto"/>
          <w:sz w:val="22"/>
          <w:szCs w:val="22"/>
        </w:rPr>
      </w:pPr>
      <w:r>
        <w:rPr>
          <w:rFonts w:hint="eastAsia" w:ascii="宋体" w:hAnsi="宋体" w:eastAsia="宋体" w:cs="宋体"/>
          <w:color w:val="auto"/>
          <w:sz w:val="22"/>
          <w:szCs w:val="22"/>
        </w:rPr>
        <w:t>（1）不同供应商的竞争性磋商响应文件内容存在非正常一致；</w:t>
      </w:r>
    </w:p>
    <w:p w14:paraId="117E4EC4">
      <w:pPr>
        <w:rPr>
          <w:rFonts w:hint="eastAsia" w:ascii="宋体" w:hAnsi="宋体" w:eastAsia="宋体" w:cs="宋体"/>
          <w:color w:val="auto"/>
          <w:sz w:val="22"/>
          <w:szCs w:val="22"/>
        </w:rPr>
      </w:pPr>
      <w:r>
        <w:rPr>
          <w:rFonts w:hint="eastAsia" w:ascii="宋体" w:hAnsi="宋体" w:eastAsia="宋体" w:cs="宋体"/>
          <w:color w:val="auto"/>
          <w:sz w:val="22"/>
          <w:szCs w:val="22"/>
        </w:rPr>
        <w:t>（2）不同供应商的竞争性磋商响应文件错漏之处一致的；</w:t>
      </w:r>
    </w:p>
    <w:p w14:paraId="0678D433">
      <w:pPr>
        <w:rPr>
          <w:rFonts w:hint="eastAsia" w:ascii="宋体" w:hAnsi="宋体" w:eastAsia="宋体" w:cs="宋体"/>
          <w:color w:val="auto"/>
          <w:sz w:val="22"/>
          <w:szCs w:val="22"/>
        </w:rPr>
      </w:pPr>
      <w:r>
        <w:rPr>
          <w:rFonts w:hint="eastAsia" w:ascii="宋体" w:hAnsi="宋体" w:eastAsia="宋体" w:cs="宋体"/>
          <w:color w:val="auto"/>
          <w:sz w:val="22"/>
          <w:szCs w:val="22"/>
        </w:rPr>
        <w:t>（3）不同供应商的竞争性磋商响应文件由同一单位或者同一人编制的；</w:t>
      </w:r>
    </w:p>
    <w:p w14:paraId="5C1D7207">
      <w:pPr>
        <w:rPr>
          <w:rFonts w:hint="eastAsia" w:ascii="宋体" w:hAnsi="宋体" w:eastAsia="宋体" w:cs="宋体"/>
          <w:color w:val="auto"/>
          <w:sz w:val="22"/>
          <w:szCs w:val="22"/>
        </w:rPr>
      </w:pPr>
      <w:r>
        <w:rPr>
          <w:rFonts w:hint="eastAsia" w:ascii="宋体" w:hAnsi="宋体" w:eastAsia="宋体" w:cs="宋体"/>
          <w:color w:val="auto"/>
          <w:sz w:val="22"/>
          <w:szCs w:val="22"/>
        </w:rPr>
        <w:t>（4）不同供应商的竞争性磋商响应文件载明的项目组机构成员出现同一人的；</w:t>
      </w:r>
    </w:p>
    <w:p w14:paraId="7FFC64F4">
      <w:pPr>
        <w:rPr>
          <w:rFonts w:hint="eastAsia" w:ascii="宋体" w:hAnsi="宋体" w:eastAsia="宋体" w:cs="宋体"/>
          <w:color w:val="auto"/>
          <w:sz w:val="22"/>
          <w:szCs w:val="22"/>
        </w:rPr>
      </w:pPr>
      <w:r>
        <w:rPr>
          <w:rFonts w:hint="eastAsia" w:ascii="宋体" w:hAnsi="宋体" w:eastAsia="宋体" w:cs="宋体"/>
          <w:color w:val="auto"/>
          <w:sz w:val="22"/>
          <w:szCs w:val="22"/>
        </w:rPr>
        <w:t>（5）不同供应商的竞争性磋商响应文件相互混装的；</w:t>
      </w:r>
    </w:p>
    <w:p w14:paraId="288F619F">
      <w:pPr>
        <w:rPr>
          <w:rFonts w:hint="eastAsia" w:ascii="宋体" w:hAnsi="宋体" w:eastAsia="宋体" w:cs="宋体"/>
          <w:color w:val="auto"/>
          <w:sz w:val="22"/>
          <w:szCs w:val="22"/>
        </w:rPr>
      </w:pPr>
      <w:r>
        <w:rPr>
          <w:rFonts w:hint="eastAsia" w:ascii="宋体" w:hAnsi="宋体" w:eastAsia="宋体" w:cs="宋体"/>
          <w:color w:val="auto"/>
          <w:sz w:val="22"/>
          <w:szCs w:val="22"/>
        </w:rPr>
        <w:t>（6）不同供应商委托同一人提交竞争性磋商响应文件的；</w:t>
      </w:r>
    </w:p>
    <w:p w14:paraId="4A31AC88">
      <w:pPr>
        <w:rPr>
          <w:rFonts w:hint="eastAsia" w:ascii="宋体" w:hAnsi="宋体" w:eastAsia="宋体" w:cs="宋体"/>
          <w:color w:val="auto"/>
          <w:sz w:val="22"/>
          <w:szCs w:val="22"/>
        </w:rPr>
      </w:pPr>
      <w:r>
        <w:rPr>
          <w:rFonts w:hint="eastAsia" w:ascii="宋体" w:hAnsi="宋体" w:eastAsia="宋体" w:cs="宋体"/>
          <w:color w:val="auto"/>
          <w:sz w:val="22"/>
          <w:szCs w:val="22"/>
        </w:rPr>
        <w:t>（7）磋商小组认定的其他围标、串通投标情形。</w:t>
      </w:r>
    </w:p>
    <w:p w14:paraId="52A2524C">
      <w:pPr>
        <w:rPr>
          <w:rFonts w:hint="eastAsia" w:ascii="宋体" w:hAnsi="宋体" w:eastAsia="宋体" w:cs="宋体"/>
          <w:color w:val="auto"/>
          <w:sz w:val="22"/>
          <w:szCs w:val="22"/>
        </w:rPr>
      </w:pPr>
      <w:r>
        <w:rPr>
          <w:rFonts w:hint="eastAsia" w:ascii="宋体" w:hAnsi="宋体" w:eastAsia="宋体" w:cs="宋体"/>
          <w:color w:val="auto"/>
          <w:sz w:val="22"/>
          <w:szCs w:val="22"/>
        </w:rPr>
        <w:t>2）无效磋商响应文件的判定与处理（包括但不限于）</w:t>
      </w:r>
    </w:p>
    <w:p w14:paraId="75492F5C">
      <w:pPr>
        <w:rPr>
          <w:rFonts w:hint="eastAsia" w:ascii="宋体" w:hAnsi="宋体" w:eastAsia="宋体" w:cs="宋体"/>
          <w:color w:val="auto"/>
          <w:sz w:val="22"/>
          <w:szCs w:val="22"/>
        </w:rPr>
      </w:pPr>
      <w:r>
        <w:rPr>
          <w:rFonts w:hint="eastAsia" w:ascii="宋体" w:hAnsi="宋体" w:eastAsia="宋体" w:cs="宋体"/>
          <w:color w:val="auto"/>
          <w:sz w:val="22"/>
          <w:szCs w:val="22"/>
        </w:rPr>
        <w:t>有下列情形之一的，经磋商小组遵循少数服从多数的原则集体表决认定后，按无效响应文件处理而让该磋商响应文件退出评标程序。</w:t>
      </w:r>
    </w:p>
    <w:p w14:paraId="082EFB32">
      <w:pPr>
        <w:rPr>
          <w:rFonts w:hint="eastAsia" w:ascii="宋体" w:hAnsi="宋体" w:eastAsia="宋体" w:cs="宋体"/>
          <w:color w:val="auto"/>
          <w:sz w:val="22"/>
          <w:szCs w:val="22"/>
        </w:rPr>
      </w:pPr>
      <w:r>
        <w:rPr>
          <w:rFonts w:hint="eastAsia" w:ascii="宋体" w:hAnsi="宋体" w:eastAsia="宋体" w:cs="宋体"/>
          <w:color w:val="auto"/>
          <w:sz w:val="22"/>
          <w:szCs w:val="22"/>
        </w:rPr>
        <w:t>（1）竞争性磋商响应文件没有法定代表人授权书（法人直接参与除外）或授权书的合法性或有效性不符合竞争性磋商文件规定；或由供应商授权代表签字的,但未随竞争性磋商响应文件一起提交有效的“授权委托书”原件的；</w:t>
      </w:r>
    </w:p>
    <w:p w14:paraId="0B4AAC2F">
      <w:pPr>
        <w:rPr>
          <w:rFonts w:hint="eastAsia" w:ascii="宋体" w:hAnsi="宋体" w:eastAsia="宋体" w:cs="宋体"/>
          <w:color w:val="auto"/>
          <w:sz w:val="22"/>
          <w:szCs w:val="22"/>
        </w:rPr>
      </w:pPr>
      <w:r>
        <w:rPr>
          <w:rFonts w:hint="eastAsia" w:ascii="宋体" w:hAnsi="宋体" w:eastAsia="宋体" w:cs="宋体"/>
          <w:color w:val="auto"/>
          <w:sz w:val="22"/>
          <w:szCs w:val="22"/>
        </w:rPr>
        <w:t>（2）供应商递交两份或多份内容不同的竞争性磋商响应文件，或在一份竞争性磋商响应文件中，有两个或多个报价且根据竞争性磋商文件评审办法规定的修正原则无法确定哪一个有效的，按竞争性磋商文件规定提供可选择性方案报价的除外；</w:t>
      </w:r>
    </w:p>
    <w:p w14:paraId="622CB250">
      <w:pPr>
        <w:rPr>
          <w:rFonts w:hint="eastAsia" w:ascii="宋体" w:hAnsi="宋体" w:eastAsia="宋体" w:cs="宋体"/>
          <w:color w:val="auto"/>
          <w:sz w:val="22"/>
          <w:szCs w:val="22"/>
        </w:rPr>
      </w:pPr>
      <w:r>
        <w:rPr>
          <w:rFonts w:hint="eastAsia" w:ascii="宋体" w:hAnsi="宋体" w:eastAsia="宋体" w:cs="宋体"/>
          <w:color w:val="auto"/>
          <w:sz w:val="22"/>
          <w:szCs w:val="22"/>
        </w:rPr>
        <w:t>（3）供应商未能按竞争性磋商文件要求提交足额有效的投标担保的；</w:t>
      </w:r>
    </w:p>
    <w:p w14:paraId="02806905">
      <w:pPr>
        <w:rPr>
          <w:rFonts w:hint="eastAsia" w:ascii="宋体" w:hAnsi="宋体" w:eastAsia="宋体" w:cs="宋体"/>
          <w:color w:val="auto"/>
          <w:sz w:val="22"/>
          <w:szCs w:val="22"/>
        </w:rPr>
      </w:pPr>
      <w:r>
        <w:rPr>
          <w:rFonts w:hint="eastAsia" w:ascii="宋体" w:hAnsi="宋体" w:eastAsia="宋体" w:cs="宋体"/>
          <w:color w:val="auto"/>
          <w:sz w:val="22"/>
          <w:szCs w:val="22"/>
        </w:rPr>
        <w:t>（4）供应商资格条件不满足竞争性磋商文件要求的；</w:t>
      </w:r>
    </w:p>
    <w:p w14:paraId="3F979B60">
      <w:pPr>
        <w:rPr>
          <w:rFonts w:hint="eastAsia" w:ascii="宋体" w:hAnsi="宋体" w:eastAsia="宋体" w:cs="宋体"/>
          <w:color w:val="auto"/>
          <w:sz w:val="22"/>
          <w:szCs w:val="22"/>
        </w:rPr>
      </w:pPr>
      <w:r>
        <w:rPr>
          <w:rFonts w:hint="eastAsia" w:ascii="宋体" w:hAnsi="宋体" w:eastAsia="宋体" w:cs="宋体"/>
          <w:color w:val="auto"/>
          <w:sz w:val="22"/>
          <w:szCs w:val="22"/>
        </w:rPr>
        <w:t>（5）供应商以他人名义投标，串通投标，以行贿手段谋取成交或者以其他弄虚作假方式投标的；</w:t>
      </w:r>
    </w:p>
    <w:p w14:paraId="618DB14F">
      <w:pPr>
        <w:rPr>
          <w:rFonts w:hint="eastAsia" w:ascii="宋体" w:hAnsi="宋体" w:eastAsia="宋体" w:cs="宋体"/>
          <w:color w:val="auto"/>
          <w:sz w:val="22"/>
          <w:szCs w:val="22"/>
        </w:rPr>
      </w:pPr>
      <w:r>
        <w:rPr>
          <w:rFonts w:hint="eastAsia" w:ascii="宋体" w:hAnsi="宋体" w:eastAsia="宋体" w:cs="宋体"/>
          <w:color w:val="auto"/>
          <w:sz w:val="22"/>
          <w:szCs w:val="22"/>
        </w:rPr>
        <w:t>（6）对竞争性磋商文件提出的实质性要求和条件未作出响应的或不满足的；</w:t>
      </w:r>
    </w:p>
    <w:p w14:paraId="413B4198">
      <w:pPr>
        <w:rPr>
          <w:rFonts w:hint="eastAsia" w:ascii="宋体" w:hAnsi="宋体" w:eastAsia="宋体" w:cs="宋体"/>
          <w:color w:val="auto"/>
          <w:sz w:val="22"/>
          <w:szCs w:val="22"/>
        </w:rPr>
      </w:pPr>
      <w:r>
        <w:rPr>
          <w:rFonts w:hint="eastAsia" w:ascii="宋体" w:hAnsi="宋体" w:eastAsia="宋体" w:cs="宋体"/>
          <w:color w:val="auto"/>
          <w:sz w:val="22"/>
          <w:szCs w:val="22"/>
        </w:rPr>
        <w:t>（7）供应商未能按照磋商小组要求，对其磋商响应文件进行澄清、说明和补正的，或供应商不接受根据竞争性磋商文件规定对投标报价进行算术修正的；</w:t>
      </w:r>
    </w:p>
    <w:p w14:paraId="70A99BAB">
      <w:pPr>
        <w:rPr>
          <w:rFonts w:hint="eastAsia" w:ascii="宋体" w:hAnsi="宋体" w:eastAsia="宋体" w:cs="宋体"/>
          <w:color w:val="auto"/>
          <w:sz w:val="22"/>
          <w:szCs w:val="22"/>
        </w:rPr>
      </w:pPr>
      <w:r>
        <w:rPr>
          <w:rFonts w:hint="eastAsia" w:ascii="宋体" w:hAnsi="宋体" w:eastAsia="宋体" w:cs="宋体"/>
          <w:color w:val="auto"/>
          <w:sz w:val="22"/>
          <w:szCs w:val="22"/>
        </w:rPr>
        <w:t>（8）磋商响应文件附有采购人不能接受的条件；</w:t>
      </w:r>
    </w:p>
    <w:p w14:paraId="73D57586">
      <w:pPr>
        <w:rPr>
          <w:rFonts w:hint="eastAsia" w:ascii="宋体" w:hAnsi="宋体" w:eastAsia="宋体" w:cs="宋体"/>
          <w:color w:val="auto"/>
          <w:sz w:val="22"/>
          <w:szCs w:val="22"/>
        </w:rPr>
      </w:pPr>
      <w:r>
        <w:rPr>
          <w:rFonts w:hint="eastAsia" w:ascii="宋体" w:hAnsi="宋体" w:eastAsia="宋体" w:cs="宋体"/>
          <w:color w:val="auto"/>
          <w:sz w:val="22"/>
          <w:szCs w:val="22"/>
        </w:rPr>
        <w:t>（9）单位负责人为同一人或者存在控股、管理关系的不同单位，参加同一标包投标或者未划分标包的同一采购项目投标；</w:t>
      </w:r>
    </w:p>
    <w:p w14:paraId="1C81FBFA">
      <w:pPr>
        <w:rPr>
          <w:rFonts w:hint="eastAsia" w:ascii="宋体" w:hAnsi="宋体" w:eastAsia="宋体" w:cs="宋体"/>
          <w:color w:val="auto"/>
          <w:sz w:val="22"/>
          <w:szCs w:val="22"/>
        </w:rPr>
      </w:pPr>
      <w:r>
        <w:rPr>
          <w:rFonts w:hint="eastAsia" w:ascii="宋体" w:hAnsi="宋体" w:eastAsia="宋体" w:cs="宋体"/>
          <w:color w:val="auto"/>
          <w:sz w:val="22"/>
          <w:szCs w:val="22"/>
        </w:rPr>
        <w:t>（10）磋商报价超出采购预算的；</w:t>
      </w:r>
    </w:p>
    <w:p w14:paraId="6501A96C">
      <w:pPr>
        <w:rPr>
          <w:rFonts w:hint="eastAsia" w:ascii="宋体" w:hAnsi="宋体" w:eastAsia="宋体" w:cs="宋体"/>
          <w:color w:val="auto"/>
          <w:sz w:val="22"/>
          <w:szCs w:val="22"/>
        </w:rPr>
      </w:pPr>
      <w:r>
        <w:rPr>
          <w:rFonts w:hint="eastAsia" w:ascii="宋体" w:hAnsi="宋体" w:eastAsia="宋体" w:cs="宋体"/>
          <w:color w:val="auto"/>
          <w:sz w:val="22"/>
          <w:szCs w:val="22"/>
        </w:rPr>
        <w:t>（11）未通过初步评审的投标；</w:t>
      </w:r>
    </w:p>
    <w:p w14:paraId="43909C66">
      <w:pPr>
        <w:rPr>
          <w:rFonts w:hint="eastAsia" w:ascii="宋体" w:hAnsi="宋体" w:eastAsia="宋体" w:cs="宋体"/>
          <w:color w:val="auto"/>
          <w:sz w:val="22"/>
          <w:szCs w:val="22"/>
        </w:rPr>
      </w:pPr>
      <w:r>
        <w:rPr>
          <w:rFonts w:hint="eastAsia" w:ascii="宋体" w:hAnsi="宋体" w:eastAsia="宋体" w:cs="宋体"/>
          <w:color w:val="auto"/>
          <w:sz w:val="22"/>
          <w:szCs w:val="22"/>
        </w:rPr>
        <w:t>（12）若出现磋商报价明显偏高、围标、串标等损害采购人利益的情况，磋商小组可否决部分或全部投标；</w:t>
      </w:r>
    </w:p>
    <w:p w14:paraId="34509748">
      <w:pPr>
        <w:rPr>
          <w:rFonts w:hint="eastAsia" w:ascii="宋体" w:hAnsi="宋体" w:eastAsia="宋体" w:cs="宋体"/>
          <w:color w:val="auto"/>
          <w:sz w:val="22"/>
          <w:szCs w:val="22"/>
        </w:rPr>
      </w:pPr>
      <w:r>
        <w:rPr>
          <w:rFonts w:hint="eastAsia" w:ascii="宋体" w:hAnsi="宋体" w:eastAsia="宋体" w:cs="宋体"/>
          <w:color w:val="auto"/>
          <w:sz w:val="22"/>
          <w:szCs w:val="22"/>
        </w:rPr>
        <w:t>（13）供应商没有经过正常渠道购买标书或供应商的名称与登记领取竞争性磋商文件单位的名称不符；</w:t>
      </w:r>
    </w:p>
    <w:p w14:paraId="2F4691BC">
      <w:pPr>
        <w:rPr>
          <w:rFonts w:hint="eastAsia" w:ascii="宋体" w:hAnsi="宋体" w:eastAsia="宋体" w:cs="宋体"/>
          <w:color w:val="auto"/>
          <w:sz w:val="22"/>
          <w:szCs w:val="22"/>
        </w:rPr>
      </w:pPr>
      <w:r>
        <w:rPr>
          <w:rFonts w:hint="eastAsia" w:ascii="宋体" w:hAnsi="宋体" w:eastAsia="宋体" w:cs="宋体"/>
          <w:color w:val="auto"/>
          <w:sz w:val="22"/>
          <w:szCs w:val="22"/>
        </w:rPr>
        <w:t>（14）磋商响应文件的格式不符合竞争性磋商文件要求、关键内容字迹模糊、无法辨认的；</w:t>
      </w:r>
    </w:p>
    <w:p w14:paraId="2658A35F">
      <w:pPr>
        <w:rPr>
          <w:rFonts w:hint="eastAsia" w:ascii="宋体" w:hAnsi="宋体" w:eastAsia="宋体" w:cs="宋体"/>
          <w:color w:val="auto"/>
          <w:sz w:val="22"/>
          <w:szCs w:val="22"/>
        </w:rPr>
      </w:pPr>
      <w:r>
        <w:rPr>
          <w:rFonts w:hint="eastAsia" w:ascii="宋体" w:hAnsi="宋体" w:eastAsia="宋体" w:cs="宋体"/>
          <w:color w:val="auto"/>
          <w:sz w:val="22"/>
          <w:szCs w:val="22"/>
        </w:rPr>
        <w:t>（15）磋商有效期不足的；</w:t>
      </w:r>
    </w:p>
    <w:p w14:paraId="77A05183">
      <w:pPr>
        <w:rPr>
          <w:rFonts w:hint="eastAsia" w:ascii="宋体" w:hAnsi="宋体" w:eastAsia="宋体" w:cs="宋体"/>
          <w:color w:val="auto"/>
          <w:sz w:val="22"/>
          <w:szCs w:val="22"/>
        </w:rPr>
      </w:pPr>
      <w:r>
        <w:rPr>
          <w:rFonts w:hint="eastAsia" w:ascii="宋体" w:hAnsi="宋体" w:eastAsia="宋体" w:cs="宋体"/>
          <w:color w:val="auto"/>
          <w:sz w:val="22"/>
          <w:szCs w:val="22"/>
        </w:rPr>
        <w:t>（16）采购内容出现漏项或内容与要求不符，出现重大负偏差；</w:t>
      </w:r>
    </w:p>
    <w:p w14:paraId="746BA994">
      <w:pPr>
        <w:rPr>
          <w:rFonts w:hint="eastAsia" w:ascii="宋体" w:hAnsi="宋体" w:eastAsia="宋体" w:cs="宋体"/>
          <w:color w:val="auto"/>
          <w:sz w:val="22"/>
          <w:szCs w:val="22"/>
        </w:rPr>
      </w:pPr>
      <w:r>
        <w:rPr>
          <w:rFonts w:hint="eastAsia" w:ascii="宋体" w:hAnsi="宋体" w:eastAsia="宋体" w:cs="宋体"/>
          <w:color w:val="auto"/>
          <w:sz w:val="22"/>
          <w:szCs w:val="22"/>
        </w:rPr>
        <w:t>（17）无</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或磋商</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不符合要求；</w:t>
      </w:r>
    </w:p>
    <w:p w14:paraId="2F4694B6">
      <w:pPr>
        <w:rPr>
          <w:rFonts w:hint="eastAsia" w:ascii="宋体" w:hAnsi="宋体" w:eastAsia="宋体" w:cs="宋体"/>
          <w:color w:val="auto"/>
          <w:sz w:val="22"/>
          <w:szCs w:val="22"/>
        </w:rPr>
      </w:pPr>
      <w:r>
        <w:rPr>
          <w:rFonts w:hint="eastAsia" w:ascii="宋体" w:hAnsi="宋体" w:eastAsia="宋体" w:cs="宋体"/>
          <w:color w:val="auto"/>
          <w:sz w:val="22"/>
          <w:szCs w:val="22"/>
        </w:rPr>
        <w:t>（18）规定不接受选择方案和选择报价（包括交叉折扣）的，供应商提供了选择方案和/或选择报价（包括交叉折扣）；</w:t>
      </w:r>
    </w:p>
    <w:p w14:paraId="382B18A2">
      <w:pPr>
        <w:rPr>
          <w:rFonts w:hint="eastAsia" w:ascii="宋体" w:hAnsi="宋体" w:eastAsia="宋体" w:cs="宋体"/>
          <w:color w:val="auto"/>
          <w:sz w:val="22"/>
          <w:szCs w:val="22"/>
        </w:rPr>
      </w:pPr>
      <w:r>
        <w:rPr>
          <w:rFonts w:hint="eastAsia" w:ascii="宋体" w:hAnsi="宋体" w:eastAsia="宋体" w:cs="宋体"/>
          <w:color w:val="auto"/>
          <w:sz w:val="22"/>
          <w:szCs w:val="22"/>
        </w:rPr>
        <w:t>（19）磋商报价与市场价偏离较大，经磋商小组审定认为其低于成本，形成不正当竞争；</w:t>
      </w:r>
    </w:p>
    <w:p w14:paraId="22C4504A">
      <w:pPr>
        <w:rPr>
          <w:rFonts w:hint="eastAsia" w:ascii="宋体" w:hAnsi="宋体" w:eastAsia="宋体" w:cs="宋体"/>
          <w:color w:val="auto"/>
          <w:sz w:val="22"/>
          <w:szCs w:val="22"/>
        </w:rPr>
      </w:pPr>
      <w:r>
        <w:rPr>
          <w:rFonts w:hint="eastAsia" w:ascii="宋体" w:hAnsi="宋体" w:eastAsia="宋体" w:cs="宋体"/>
          <w:color w:val="auto"/>
          <w:sz w:val="22"/>
          <w:szCs w:val="22"/>
        </w:rPr>
        <w:t>（20）提供虚假证明，开具虚假资质，出现虚假应答，除按无效标处理外，还进行相应的处罚；</w:t>
      </w:r>
    </w:p>
    <w:p w14:paraId="6013E35D">
      <w:pPr>
        <w:rPr>
          <w:rFonts w:hint="eastAsia" w:ascii="宋体" w:hAnsi="宋体" w:eastAsia="宋体" w:cs="宋体"/>
          <w:color w:val="auto"/>
          <w:sz w:val="22"/>
          <w:szCs w:val="22"/>
        </w:rPr>
      </w:pPr>
      <w:r>
        <w:rPr>
          <w:rFonts w:hint="eastAsia" w:ascii="宋体" w:hAnsi="宋体" w:eastAsia="宋体" w:cs="宋体"/>
          <w:color w:val="auto"/>
          <w:sz w:val="22"/>
          <w:szCs w:val="22"/>
        </w:rPr>
        <w:t>（21）符合法律法规或地方主管部门规范性文件规定的其他无效标情形的。</w:t>
      </w:r>
    </w:p>
    <w:p w14:paraId="55BA27A4">
      <w:pPr>
        <w:rPr>
          <w:rFonts w:hint="eastAsia" w:ascii="宋体" w:hAnsi="宋体" w:eastAsia="宋体" w:cs="宋体"/>
          <w:color w:val="auto"/>
          <w:sz w:val="22"/>
          <w:szCs w:val="22"/>
        </w:rPr>
      </w:pPr>
    </w:p>
    <w:p w14:paraId="0BCC12F6">
      <w:pPr>
        <w:rPr>
          <w:rFonts w:hint="eastAsia" w:ascii="宋体" w:hAnsi="宋体" w:eastAsia="宋体" w:cs="宋体"/>
          <w:color w:val="auto"/>
          <w:sz w:val="22"/>
          <w:szCs w:val="22"/>
        </w:rPr>
      </w:pPr>
    </w:p>
    <w:p w14:paraId="3362DD84">
      <w:pPr>
        <w:rPr>
          <w:rFonts w:hint="eastAsia" w:ascii="宋体" w:hAnsi="宋体" w:eastAsia="宋体" w:cs="宋体"/>
          <w:color w:val="auto"/>
          <w:sz w:val="22"/>
          <w:szCs w:val="22"/>
        </w:rPr>
      </w:pPr>
    </w:p>
    <w:p w14:paraId="4320AD0F">
      <w:pPr>
        <w:rPr>
          <w:rFonts w:hint="eastAsia" w:ascii="宋体" w:hAnsi="宋体" w:eastAsia="宋体" w:cs="宋体"/>
          <w:color w:val="auto"/>
          <w:sz w:val="22"/>
          <w:szCs w:val="22"/>
        </w:rPr>
      </w:pPr>
    </w:p>
    <w:p w14:paraId="23F57F05">
      <w:pPr>
        <w:rPr>
          <w:rFonts w:hint="eastAsia" w:ascii="宋体" w:hAnsi="宋体" w:eastAsia="宋体" w:cs="宋体"/>
          <w:color w:val="auto"/>
          <w:sz w:val="22"/>
          <w:szCs w:val="22"/>
        </w:rPr>
      </w:pPr>
      <w:r>
        <w:rPr>
          <w:rFonts w:hint="eastAsia" w:ascii="宋体" w:hAnsi="宋体" w:eastAsia="宋体" w:cs="宋体"/>
          <w:color w:val="auto"/>
          <w:sz w:val="22"/>
          <w:szCs w:val="22"/>
        </w:rPr>
        <w:br w:type="page"/>
      </w:r>
    </w:p>
    <w:p w14:paraId="54292993">
      <w:pPr>
        <w:pStyle w:val="3"/>
        <w:numPr>
          <w:ilvl w:val="0"/>
          <w:numId w:val="0"/>
        </w:numPr>
        <w:rPr>
          <w:rFonts w:hint="eastAsia" w:ascii="宋体" w:hAnsi="宋体" w:eastAsia="宋体" w:cs="宋体"/>
          <w:color w:val="auto"/>
          <w:sz w:val="28"/>
          <w:szCs w:val="22"/>
        </w:rPr>
      </w:pPr>
      <w:bookmarkStart w:id="21" w:name="_Toc8579"/>
      <w:bookmarkStart w:id="22" w:name="_Toc20624"/>
      <w:r>
        <w:rPr>
          <w:rFonts w:hint="eastAsia" w:ascii="宋体" w:hAnsi="宋体" w:eastAsia="宋体" w:cs="宋体"/>
          <w:b/>
          <w:color w:val="auto"/>
          <w:kern w:val="2"/>
          <w:sz w:val="28"/>
          <w:szCs w:val="22"/>
          <w:lang w:val="en-US" w:eastAsia="zh-CN" w:bidi="ar-SA"/>
        </w:rPr>
        <w:t>1.</w:t>
      </w:r>
      <w:r>
        <w:rPr>
          <w:rFonts w:hint="eastAsia" w:ascii="宋体" w:hAnsi="宋体" w:eastAsia="宋体" w:cs="宋体"/>
          <w:color w:val="auto"/>
          <w:sz w:val="28"/>
          <w:szCs w:val="22"/>
        </w:rPr>
        <w:t>总则</w:t>
      </w:r>
      <w:bookmarkEnd w:id="14"/>
      <w:bookmarkEnd w:id="21"/>
      <w:bookmarkEnd w:id="22"/>
    </w:p>
    <w:p w14:paraId="543BC4A1">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1.1项目概况</w:t>
      </w:r>
    </w:p>
    <w:p w14:paraId="26BCE34F">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1.1.1根据《中华人民共和国政府采购法》等有关法律、法规和规章的规定，本采购项目已具备磋商条件，现对本项目进行磋商。</w:t>
      </w:r>
    </w:p>
    <w:p w14:paraId="6CA30A6C">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1.1.2 本采购项目采购人：见供应商须知前附表。</w:t>
      </w:r>
    </w:p>
    <w:p w14:paraId="5EDD6A7F">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1.1.3 本采购项目采购代理机构：见供应商须知前附表。</w:t>
      </w:r>
    </w:p>
    <w:p w14:paraId="60A28B79">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1.1.4 本采购项目名称：见供应商须知前附表。</w:t>
      </w:r>
    </w:p>
    <w:p w14:paraId="1A997282">
      <w:pPr>
        <w:rPr>
          <w:rFonts w:hint="eastAsia" w:ascii="宋体" w:hAnsi="宋体" w:eastAsia="宋体" w:cs="宋体"/>
          <w:b/>
          <w:bCs/>
          <w:color w:val="auto"/>
          <w:sz w:val="22"/>
          <w:szCs w:val="22"/>
        </w:rPr>
      </w:pPr>
      <w:bookmarkStart w:id="23" w:name="_Toc152042307"/>
      <w:bookmarkStart w:id="24" w:name="_Toc330213948"/>
      <w:bookmarkStart w:id="25" w:name="_Toc332121716"/>
      <w:bookmarkStart w:id="26" w:name="_Toc144974499"/>
      <w:bookmarkStart w:id="27" w:name="_Toc152045531"/>
      <w:bookmarkStart w:id="28" w:name="_Toc25246"/>
      <w:bookmarkStart w:id="29" w:name="_Toc403513496"/>
      <w:r>
        <w:rPr>
          <w:rFonts w:hint="eastAsia" w:ascii="宋体" w:hAnsi="宋体" w:eastAsia="宋体" w:cs="宋体"/>
          <w:b/>
          <w:bCs/>
          <w:color w:val="auto"/>
          <w:sz w:val="22"/>
          <w:szCs w:val="22"/>
        </w:rPr>
        <w:t>1.2 资金来源和落实情况</w:t>
      </w:r>
      <w:bookmarkEnd w:id="23"/>
      <w:bookmarkEnd w:id="24"/>
      <w:bookmarkEnd w:id="25"/>
      <w:bookmarkEnd w:id="26"/>
      <w:bookmarkEnd w:id="27"/>
      <w:bookmarkEnd w:id="28"/>
      <w:bookmarkEnd w:id="29"/>
    </w:p>
    <w:p w14:paraId="2AB9871A">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1.2.1 本采购项目的资金来源：见供应商须知前附表。</w:t>
      </w:r>
    </w:p>
    <w:p w14:paraId="6688CF43">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1.2.2 本采购项目的资金落实情况：见供应商须知前附表。</w:t>
      </w:r>
    </w:p>
    <w:p w14:paraId="73DA1A0D">
      <w:pPr>
        <w:rPr>
          <w:rFonts w:hint="eastAsia" w:ascii="宋体" w:hAnsi="宋体" w:eastAsia="宋体" w:cs="宋体"/>
          <w:b/>
          <w:bCs/>
          <w:color w:val="auto"/>
          <w:sz w:val="22"/>
          <w:szCs w:val="22"/>
        </w:rPr>
      </w:pPr>
      <w:bookmarkStart w:id="30" w:name="_Toc332121717"/>
      <w:bookmarkStart w:id="31" w:name="_Toc152042308"/>
      <w:bookmarkStart w:id="32" w:name="_Toc144974500"/>
      <w:bookmarkStart w:id="33" w:name="_Toc330213949"/>
      <w:bookmarkStart w:id="34" w:name="_Toc12683"/>
      <w:bookmarkStart w:id="35" w:name="_Toc152045532"/>
      <w:bookmarkStart w:id="36" w:name="_Toc403513497"/>
      <w:r>
        <w:rPr>
          <w:rFonts w:hint="eastAsia" w:ascii="宋体" w:hAnsi="宋体" w:eastAsia="宋体" w:cs="宋体"/>
          <w:b/>
          <w:bCs/>
          <w:color w:val="auto"/>
          <w:sz w:val="22"/>
          <w:szCs w:val="22"/>
        </w:rPr>
        <w:t>1.3 采购内容、合同履行期限（</w:t>
      </w:r>
      <w:r>
        <w:rPr>
          <w:rFonts w:hint="eastAsia" w:ascii="宋体" w:hAnsi="宋体" w:eastAsia="宋体" w:cs="宋体"/>
          <w:b/>
          <w:bCs/>
          <w:color w:val="auto"/>
          <w:sz w:val="22"/>
          <w:szCs w:val="22"/>
          <w:lang w:eastAsia="zh-CN"/>
        </w:rPr>
        <w:t>工期</w:t>
      </w:r>
      <w:r>
        <w:rPr>
          <w:rFonts w:hint="eastAsia" w:ascii="宋体" w:hAnsi="宋体" w:eastAsia="宋体" w:cs="宋体"/>
          <w:b/>
          <w:bCs/>
          <w:color w:val="auto"/>
          <w:sz w:val="22"/>
          <w:szCs w:val="22"/>
        </w:rPr>
        <w:t>）及项目要求</w:t>
      </w:r>
      <w:bookmarkEnd w:id="30"/>
      <w:bookmarkEnd w:id="31"/>
      <w:bookmarkEnd w:id="32"/>
      <w:bookmarkEnd w:id="33"/>
      <w:bookmarkEnd w:id="34"/>
      <w:bookmarkEnd w:id="35"/>
      <w:bookmarkEnd w:id="36"/>
    </w:p>
    <w:p w14:paraId="241F72B4">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1.3.1 本次采购内容及质量要求：见供应商须知前附表。</w:t>
      </w:r>
    </w:p>
    <w:p w14:paraId="621EB528">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1.3.2 本采购的合同履行期限（</w:t>
      </w:r>
      <w:r>
        <w:rPr>
          <w:rFonts w:hint="eastAsia" w:ascii="宋体" w:hAnsi="宋体" w:eastAsia="宋体" w:cs="宋体"/>
          <w:color w:val="auto"/>
          <w:sz w:val="22"/>
          <w:szCs w:val="22"/>
          <w:lang w:eastAsia="zh-CN"/>
        </w:rPr>
        <w:t>工期</w:t>
      </w:r>
      <w:r>
        <w:rPr>
          <w:rFonts w:hint="eastAsia" w:ascii="宋体" w:hAnsi="宋体" w:eastAsia="宋体" w:cs="宋体"/>
          <w:color w:val="auto"/>
          <w:sz w:val="22"/>
          <w:szCs w:val="22"/>
        </w:rPr>
        <w:t>）：见供应商须知前附表。</w:t>
      </w:r>
    </w:p>
    <w:p w14:paraId="7D0F0DD1">
      <w:pPr>
        <w:spacing w:before="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1.3.3采购项目要求：成交人必须按合同条款、采购人相关管理标准及考评办法执行，确保服务质量。</w:t>
      </w:r>
    </w:p>
    <w:p w14:paraId="12BDC082">
      <w:pPr>
        <w:rPr>
          <w:rFonts w:hint="eastAsia" w:ascii="宋体" w:hAnsi="宋体" w:eastAsia="宋体" w:cs="宋体"/>
          <w:b/>
          <w:bCs/>
          <w:color w:val="auto"/>
          <w:sz w:val="22"/>
          <w:szCs w:val="22"/>
        </w:rPr>
      </w:pPr>
      <w:bookmarkStart w:id="37" w:name="_Toc152045534"/>
      <w:bookmarkStart w:id="38" w:name="_Toc332121718"/>
      <w:bookmarkStart w:id="39" w:name="_Toc152042310"/>
      <w:bookmarkStart w:id="40" w:name="_Toc330213950"/>
      <w:bookmarkStart w:id="41" w:name="_Toc144974502"/>
      <w:bookmarkStart w:id="42" w:name="_Toc403513498"/>
      <w:bookmarkStart w:id="43" w:name="_Toc30971"/>
      <w:r>
        <w:rPr>
          <w:rFonts w:hint="eastAsia" w:ascii="宋体" w:hAnsi="宋体" w:eastAsia="宋体" w:cs="宋体"/>
          <w:b/>
          <w:bCs/>
          <w:color w:val="auto"/>
          <w:sz w:val="22"/>
          <w:szCs w:val="22"/>
        </w:rPr>
        <w:t>1.4 供应商资格要求</w:t>
      </w:r>
      <w:bookmarkEnd w:id="37"/>
      <w:bookmarkEnd w:id="38"/>
      <w:bookmarkEnd w:id="39"/>
      <w:bookmarkEnd w:id="40"/>
      <w:bookmarkEnd w:id="41"/>
      <w:bookmarkEnd w:id="42"/>
      <w:bookmarkEnd w:id="43"/>
    </w:p>
    <w:p w14:paraId="75AF6967">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1.4.1供应商应具备承担本采购项目的资质条件：见供应商须知前附表。</w:t>
      </w:r>
    </w:p>
    <w:p w14:paraId="131F4539">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1.4.2 供应商不得存在下列情形之一：</w:t>
      </w:r>
    </w:p>
    <w:p w14:paraId="669E43D5">
      <w:pPr>
        <w:snapToGrid w:val="0"/>
        <w:spacing w:before="62" w:beforeLines="20"/>
        <w:rPr>
          <w:rFonts w:hint="eastAsia" w:ascii="宋体" w:hAnsi="宋体" w:eastAsia="宋体" w:cs="宋体"/>
          <w:color w:val="auto"/>
          <w:sz w:val="22"/>
          <w:szCs w:val="22"/>
        </w:rPr>
      </w:pPr>
      <w:r>
        <w:rPr>
          <w:rFonts w:hint="eastAsia" w:ascii="宋体" w:hAnsi="宋体" w:eastAsia="宋体" w:cs="宋体"/>
          <w:color w:val="auto"/>
          <w:sz w:val="22"/>
          <w:szCs w:val="22"/>
        </w:rPr>
        <w:t xml:space="preserve">   （1）为采购人不具有独立法人资格的附属机构（单位）； </w:t>
      </w:r>
    </w:p>
    <w:p w14:paraId="140CCA2B">
      <w:pPr>
        <w:snapToGrid w:val="0"/>
        <w:spacing w:before="62" w:beforeLines="20"/>
        <w:rPr>
          <w:rFonts w:hint="eastAsia" w:ascii="宋体" w:hAnsi="宋体" w:eastAsia="宋体" w:cs="宋体"/>
          <w:color w:val="auto"/>
          <w:sz w:val="22"/>
          <w:szCs w:val="22"/>
        </w:rPr>
      </w:pPr>
      <w:r>
        <w:rPr>
          <w:rFonts w:hint="eastAsia" w:ascii="宋体" w:hAnsi="宋体" w:eastAsia="宋体" w:cs="宋体"/>
          <w:color w:val="auto"/>
          <w:sz w:val="22"/>
          <w:szCs w:val="22"/>
        </w:rPr>
        <w:t xml:space="preserve">   （2）为本采购项目提供采购代理服务的； </w:t>
      </w:r>
    </w:p>
    <w:p w14:paraId="61A5BE85">
      <w:pPr>
        <w:snapToGrid w:val="0"/>
        <w:spacing w:before="62" w:beforeLines="20"/>
        <w:rPr>
          <w:rFonts w:hint="eastAsia" w:ascii="宋体" w:hAnsi="宋体" w:eastAsia="宋体" w:cs="宋体"/>
          <w:color w:val="auto"/>
          <w:sz w:val="22"/>
          <w:szCs w:val="22"/>
        </w:rPr>
      </w:pPr>
      <w:r>
        <w:rPr>
          <w:rFonts w:hint="eastAsia" w:ascii="宋体" w:hAnsi="宋体" w:eastAsia="宋体" w:cs="宋体"/>
          <w:color w:val="auto"/>
          <w:sz w:val="22"/>
          <w:szCs w:val="22"/>
        </w:rPr>
        <w:t xml:space="preserve">   （3）单位负责人为同一人或者存在控股、管理关系的不同单位，不得参加同一标包或者未划分标包的同一磋商项目投标；</w:t>
      </w:r>
    </w:p>
    <w:p w14:paraId="47E86037">
      <w:pPr>
        <w:snapToGrid w:val="0"/>
        <w:spacing w:before="62" w:beforeLines="20"/>
        <w:rPr>
          <w:rFonts w:hint="eastAsia" w:ascii="宋体" w:hAnsi="宋体" w:eastAsia="宋体" w:cs="宋体"/>
          <w:color w:val="auto"/>
          <w:sz w:val="22"/>
          <w:szCs w:val="22"/>
        </w:rPr>
      </w:pPr>
      <w:r>
        <w:rPr>
          <w:rFonts w:hint="eastAsia" w:ascii="宋体" w:hAnsi="宋体" w:eastAsia="宋体" w:cs="宋体"/>
          <w:color w:val="auto"/>
          <w:sz w:val="22"/>
          <w:szCs w:val="22"/>
        </w:rPr>
        <w:t xml:space="preserve">   （4）被责令停业、暂停或取消投标资格的； </w:t>
      </w:r>
    </w:p>
    <w:p w14:paraId="54D25D5A">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（5）财产被接管或冻结的；</w:t>
      </w:r>
    </w:p>
    <w:p w14:paraId="70C4F9C6">
      <w:pPr>
        <w:rPr>
          <w:rFonts w:hint="eastAsia" w:ascii="宋体" w:hAnsi="宋体" w:eastAsia="宋体" w:cs="宋体"/>
          <w:b/>
          <w:bCs/>
          <w:color w:val="auto"/>
          <w:sz w:val="22"/>
          <w:szCs w:val="22"/>
        </w:rPr>
      </w:pPr>
      <w:bookmarkStart w:id="44" w:name="_Toc152042311"/>
      <w:bookmarkStart w:id="45" w:name="_Toc1336"/>
      <w:bookmarkStart w:id="46" w:name="_Toc330213951"/>
      <w:bookmarkStart w:id="47" w:name="_Toc144974503"/>
      <w:bookmarkStart w:id="48" w:name="_Toc152045535"/>
      <w:bookmarkStart w:id="49" w:name="_Toc403513499"/>
      <w:bookmarkStart w:id="50" w:name="_Toc332121719"/>
      <w:r>
        <w:rPr>
          <w:rFonts w:hint="eastAsia" w:ascii="宋体" w:hAnsi="宋体" w:eastAsia="宋体" w:cs="宋体"/>
          <w:b/>
          <w:bCs/>
          <w:color w:val="auto"/>
          <w:sz w:val="22"/>
          <w:szCs w:val="22"/>
        </w:rPr>
        <w:t>1.5 费用承担</w:t>
      </w:r>
      <w:bookmarkEnd w:id="44"/>
      <w:bookmarkEnd w:id="45"/>
      <w:bookmarkEnd w:id="46"/>
      <w:bookmarkEnd w:id="47"/>
      <w:bookmarkEnd w:id="48"/>
      <w:bookmarkEnd w:id="49"/>
      <w:bookmarkEnd w:id="50"/>
    </w:p>
    <w:p w14:paraId="0A66B1C0">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供应商准备和参加磋商活动发生的费用自理。</w:t>
      </w:r>
    </w:p>
    <w:p w14:paraId="51B0B483">
      <w:pPr>
        <w:rPr>
          <w:rFonts w:hint="eastAsia" w:ascii="宋体" w:hAnsi="宋体" w:eastAsia="宋体" w:cs="宋体"/>
          <w:b/>
          <w:bCs/>
          <w:color w:val="auto"/>
          <w:sz w:val="22"/>
          <w:szCs w:val="22"/>
        </w:rPr>
      </w:pPr>
      <w:bookmarkStart w:id="51" w:name="_Toc332121720"/>
      <w:bookmarkStart w:id="52" w:name="_Toc330213952"/>
      <w:bookmarkStart w:id="53" w:name="_Toc152042312"/>
      <w:bookmarkStart w:id="54" w:name="_Toc152045536"/>
      <w:bookmarkStart w:id="55" w:name="_Toc31559"/>
      <w:bookmarkStart w:id="56" w:name="_Toc144974504"/>
      <w:bookmarkStart w:id="57" w:name="_Toc403513500"/>
      <w:r>
        <w:rPr>
          <w:rFonts w:hint="eastAsia" w:ascii="宋体" w:hAnsi="宋体" w:eastAsia="宋体" w:cs="宋体"/>
          <w:b/>
          <w:bCs/>
          <w:color w:val="auto"/>
          <w:sz w:val="22"/>
          <w:szCs w:val="22"/>
        </w:rPr>
        <w:t>1.6 保密</w:t>
      </w:r>
      <w:bookmarkEnd w:id="51"/>
      <w:bookmarkEnd w:id="52"/>
      <w:bookmarkEnd w:id="53"/>
      <w:bookmarkEnd w:id="54"/>
      <w:bookmarkEnd w:id="55"/>
      <w:bookmarkEnd w:id="56"/>
      <w:bookmarkEnd w:id="57"/>
    </w:p>
    <w:p w14:paraId="028B6F2C">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参与磋商活动的各方应对竞争性磋商文件和竞争性磋商响应文件中的商业和技术等秘密保密，违者应对由此造成的后果承担法律责任。 </w:t>
      </w:r>
    </w:p>
    <w:p w14:paraId="53097D61">
      <w:pPr>
        <w:rPr>
          <w:rFonts w:hint="eastAsia" w:ascii="宋体" w:hAnsi="宋体" w:eastAsia="宋体" w:cs="宋体"/>
          <w:b/>
          <w:bCs/>
          <w:color w:val="auto"/>
          <w:sz w:val="22"/>
          <w:szCs w:val="22"/>
        </w:rPr>
      </w:pPr>
      <w:bookmarkStart w:id="58" w:name="_Toc144974505"/>
      <w:bookmarkStart w:id="59" w:name="_Toc403513501"/>
      <w:bookmarkStart w:id="60" w:name="_Toc332121721"/>
      <w:bookmarkStart w:id="61" w:name="_Toc152045537"/>
      <w:bookmarkStart w:id="62" w:name="_Toc152042313"/>
      <w:bookmarkStart w:id="63" w:name="_Toc330213953"/>
      <w:bookmarkStart w:id="64" w:name="_Toc16760"/>
      <w:r>
        <w:rPr>
          <w:rFonts w:hint="eastAsia" w:ascii="宋体" w:hAnsi="宋体" w:eastAsia="宋体" w:cs="宋体"/>
          <w:b/>
          <w:bCs/>
          <w:color w:val="auto"/>
          <w:sz w:val="22"/>
          <w:szCs w:val="22"/>
        </w:rPr>
        <w:t>1.7 语言</w:t>
      </w:r>
      <w:bookmarkEnd w:id="58"/>
      <w:r>
        <w:rPr>
          <w:rFonts w:hint="eastAsia" w:ascii="宋体" w:hAnsi="宋体" w:eastAsia="宋体" w:cs="宋体"/>
          <w:b/>
          <w:bCs/>
          <w:color w:val="auto"/>
          <w:sz w:val="22"/>
          <w:szCs w:val="22"/>
        </w:rPr>
        <w:t>文字</w:t>
      </w:r>
      <w:bookmarkEnd w:id="59"/>
      <w:bookmarkEnd w:id="60"/>
      <w:bookmarkEnd w:id="61"/>
      <w:bookmarkEnd w:id="62"/>
      <w:bookmarkEnd w:id="63"/>
      <w:bookmarkEnd w:id="64"/>
    </w:p>
    <w:p w14:paraId="61C98A99">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除专用术语外，与磋商有关的语言均使用中文。必要时专用术语应附有中文注释。</w:t>
      </w:r>
    </w:p>
    <w:p w14:paraId="6A5436D9">
      <w:pPr>
        <w:rPr>
          <w:rFonts w:hint="eastAsia" w:ascii="宋体" w:hAnsi="宋体" w:eastAsia="宋体" w:cs="宋体"/>
          <w:b/>
          <w:bCs/>
          <w:color w:val="auto"/>
          <w:sz w:val="22"/>
          <w:szCs w:val="22"/>
        </w:rPr>
      </w:pPr>
      <w:bookmarkStart w:id="65" w:name="_Toc332121722"/>
      <w:bookmarkStart w:id="66" w:name="_Toc403513502"/>
      <w:bookmarkStart w:id="67" w:name="_Toc152042314"/>
      <w:bookmarkStart w:id="68" w:name="_Toc19390"/>
      <w:bookmarkStart w:id="69" w:name="_Toc144974506"/>
      <w:bookmarkStart w:id="70" w:name="_Toc330213954"/>
      <w:bookmarkStart w:id="71" w:name="_Toc152045538"/>
      <w:r>
        <w:rPr>
          <w:rFonts w:hint="eastAsia" w:ascii="宋体" w:hAnsi="宋体" w:eastAsia="宋体" w:cs="宋体"/>
          <w:b/>
          <w:bCs/>
          <w:color w:val="auto"/>
          <w:sz w:val="22"/>
          <w:szCs w:val="22"/>
        </w:rPr>
        <w:t>1.8 计量单位</w:t>
      </w:r>
      <w:bookmarkEnd w:id="65"/>
      <w:bookmarkEnd w:id="66"/>
      <w:bookmarkEnd w:id="67"/>
      <w:bookmarkEnd w:id="68"/>
      <w:bookmarkEnd w:id="69"/>
      <w:bookmarkEnd w:id="70"/>
      <w:bookmarkEnd w:id="71"/>
    </w:p>
    <w:p w14:paraId="3B68EBDF">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所有计量均采用中华人民共和国法定计量单位。</w:t>
      </w:r>
    </w:p>
    <w:p w14:paraId="443D676B">
      <w:pPr>
        <w:rPr>
          <w:rFonts w:hint="eastAsia" w:ascii="宋体" w:hAnsi="宋体" w:eastAsia="宋体" w:cs="宋体"/>
          <w:b/>
          <w:bCs/>
          <w:color w:val="auto"/>
          <w:sz w:val="22"/>
          <w:szCs w:val="22"/>
        </w:rPr>
      </w:pPr>
      <w:bookmarkStart w:id="72" w:name="_Toc152042315"/>
      <w:bookmarkStart w:id="73" w:name="_Toc332121723"/>
      <w:bookmarkStart w:id="74" w:name="_Toc152045539"/>
      <w:bookmarkStart w:id="75" w:name="_Toc144974507"/>
      <w:bookmarkStart w:id="76" w:name="_Toc330213955"/>
      <w:bookmarkStart w:id="77" w:name="_Toc403513503"/>
      <w:bookmarkStart w:id="78" w:name="_Toc21644"/>
      <w:r>
        <w:rPr>
          <w:rFonts w:hint="eastAsia" w:ascii="宋体" w:hAnsi="宋体" w:eastAsia="宋体" w:cs="宋体"/>
          <w:b/>
          <w:bCs/>
          <w:color w:val="auto"/>
          <w:sz w:val="22"/>
          <w:szCs w:val="22"/>
        </w:rPr>
        <w:t>1.9 踏勘现场</w:t>
      </w:r>
      <w:bookmarkEnd w:id="72"/>
      <w:bookmarkEnd w:id="73"/>
      <w:bookmarkEnd w:id="74"/>
      <w:bookmarkEnd w:id="75"/>
      <w:bookmarkEnd w:id="76"/>
      <w:bookmarkEnd w:id="77"/>
      <w:bookmarkEnd w:id="78"/>
    </w:p>
    <w:p w14:paraId="698E6BCC">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1.9.1 供应商须知前附表规定组织踏勘现场的，采购人按供应商须知前附表规定的时间、地点组织供应商踏勘项目现场。供应商须知前附表未规定组织踏勘现场的，由供应商根据自身实际情况自行踏勘项目现场。</w:t>
      </w:r>
    </w:p>
    <w:p w14:paraId="1B3388CE">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1.9.2 供应商踏勘现场发生的费用自理。</w:t>
      </w:r>
    </w:p>
    <w:p w14:paraId="23953BD3">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1.9.3 除采购人的原因外，供应商自行负责在踏勘现场中所发生的人员伤亡和财产损失。</w:t>
      </w:r>
    </w:p>
    <w:p w14:paraId="2D7E6D66">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1.9.4供应商应充分了解项目及其它任何足以影响投标和报价的情况，任何因忽视或误解项目情况而导致的费用索赔申请不获批准。</w:t>
      </w:r>
    </w:p>
    <w:p w14:paraId="1FB3184F">
      <w:pPr>
        <w:pStyle w:val="3"/>
        <w:rPr>
          <w:rFonts w:hint="eastAsia" w:ascii="宋体" w:hAnsi="宋体" w:eastAsia="宋体" w:cs="宋体"/>
          <w:color w:val="auto"/>
          <w:sz w:val="28"/>
          <w:szCs w:val="22"/>
        </w:rPr>
      </w:pPr>
      <w:bookmarkStart w:id="79" w:name="_Toc144974510"/>
      <w:bookmarkStart w:id="80" w:name="_Toc152045542"/>
      <w:bookmarkStart w:id="81" w:name="_Toc152042318"/>
      <w:bookmarkStart w:id="82" w:name="_Toc17184"/>
      <w:bookmarkStart w:id="83" w:name="_Toc18603"/>
      <w:bookmarkStart w:id="84" w:name="_Toc4796"/>
      <w:bookmarkStart w:id="85" w:name="_Toc518821211"/>
      <w:r>
        <w:rPr>
          <w:rFonts w:hint="eastAsia" w:ascii="宋体" w:hAnsi="宋体" w:eastAsia="宋体" w:cs="宋体"/>
          <w:color w:val="auto"/>
          <w:sz w:val="28"/>
          <w:szCs w:val="22"/>
        </w:rPr>
        <w:t xml:space="preserve">2. </w:t>
      </w:r>
      <w:bookmarkEnd w:id="79"/>
      <w:bookmarkEnd w:id="80"/>
      <w:bookmarkEnd w:id="81"/>
      <w:r>
        <w:rPr>
          <w:rFonts w:hint="eastAsia" w:ascii="宋体" w:hAnsi="宋体" w:eastAsia="宋体" w:cs="宋体"/>
          <w:color w:val="auto"/>
          <w:sz w:val="28"/>
          <w:szCs w:val="22"/>
        </w:rPr>
        <w:t>竞争性磋商文件</w:t>
      </w:r>
      <w:bookmarkEnd w:id="82"/>
      <w:bookmarkEnd w:id="83"/>
      <w:bookmarkEnd w:id="84"/>
      <w:bookmarkEnd w:id="85"/>
    </w:p>
    <w:p w14:paraId="06BC3B89">
      <w:pPr>
        <w:rPr>
          <w:rFonts w:hint="eastAsia" w:ascii="宋体" w:hAnsi="宋体" w:eastAsia="宋体" w:cs="宋体"/>
          <w:b/>
          <w:bCs/>
          <w:color w:val="auto"/>
          <w:sz w:val="22"/>
          <w:szCs w:val="22"/>
        </w:rPr>
      </w:pPr>
      <w:bookmarkStart w:id="86" w:name="_Toc330213959"/>
      <w:bookmarkStart w:id="87" w:name="_Toc144974511"/>
      <w:bookmarkStart w:id="88" w:name="_Toc152045543"/>
      <w:bookmarkStart w:id="89" w:name="_Toc332121727"/>
      <w:bookmarkStart w:id="90" w:name="_Toc403513506"/>
      <w:bookmarkStart w:id="91" w:name="_Toc152042319"/>
      <w:r>
        <w:rPr>
          <w:rFonts w:hint="eastAsia" w:ascii="宋体" w:hAnsi="宋体" w:eastAsia="宋体" w:cs="宋体"/>
          <w:b/>
          <w:bCs/>
          <w:color w:val="auto"/>
          <w:sz w:val="22"/>
          <w:szCs w:val="22"/>
        </w:rPr>
        <w:t>2.1 竞争性磋商文件的组成</w:t>
      </w:r>
      <w:bookmarkEnd w:id="86"/>
      <w:bookmarkEnd w:id="87"/>
      <w:bookmarkEnd w:id="88"/>
      <w:bookmarkEnd w:id="89"/>
      <w:bookmarkEnd w:id="90"/>
      <w:bookmarkEnd w:id="91"/>
    </w:p>
    <w:p w14:paraId="678F6253">
      <w:pPr>
        <w:rPr>
          <w:rFonts w:hint="eastAsia" w:ascii="宋体" w:hAnsi="宋体" w:eastAsia="宋体" w:cs="宋体"/>
          <w:color w:val="auto"/>
          <w:sz w:val="22"/>
          <w:szCs w:val="22"/>
        </w:rPr>
      </w:pPr>
      <w:r>
        <w:rPr>
          <w:rFonts w:hint="eastAsia" w:ascii="宋体" w:hAnsi="宋体" w:eastAsia="宋体" w:cs="宋体"/>
          <w:color w:val="auto"/>
          <w:sz w:val="22"/>
          <w:szCs w:val="22"/>
        </w:rPr>
        <w:t>　　本竞争性磋商文件包括：</w:t>
      </w:r>
    </w:p>
    <w:p w14:paraId="24DFDB24">
      <w:pPr>
        <w:rPr>
          <w:rFonts w:hint="eastAsia" w:ascii="宋体" w:hAnsi="宋体" w:eastAsia="宋体" w:cs="宋体"/>
          <w:color w:val="auto"/>
          <w:sz w:val="22"/>
          <w:szCs w:val="22"/>
        </w:rPr>
      </w:pPr>
      <w:r>
        <w:rPr>
          <w:rFonts w:hint="eastAsia" w:ascii="宋体" w:hAnsi="宋体" w:eastAsia="宋体" w:cs="宋体"/>
          <w:color w:val="auto"/>
          <w:sz w:val="22"/>
          <w:szCs w:val="22"/>
        </w:rPr>
        <w:t>（1）竞争性磋商公告；</w:t>
      </w:r>
    </w:p>
    <w:p w14:paraId="6485DDD7">
      <w:pPr>
        <w:rPr>
          <w:rFonts w:hint="eastAsia" w:ascii="宋体" w:hAnsi="宋体" w:eastAsia="宋体" w:cs="宋体"/>
          <w:color w:val="auto"/>
          <w:sz w:val="22"/>
          <w:szCs w:val="22"/>
        </w:rPr>
      </w:pPr>
      <w:r>
        <w:rPr>
          <w:rFonts w:hint="eastAsia" w:ascii="宋体" w:hAnsi="宋体" w:eastAsia="宋体" w:cs="宋体"/>
          <w:color w:val="auto"/>
          <w:sz w:val="22"/>
          <w:szCs w:val="22"/>
        </w:rPr>
        <w:t>（2）供应商须知；</w:t>
      </w:r>
    </w:p>
    <w:p w14:paraId="3D06F5FD">
      <w:pPr>
        <w:rPr>
          <w:rFonts w:hint="eastAsia" w:ascii="宋体" w:hAnsi="宋体" w:eastAsia="宋体" w:cs="宋体"/>
          <w:color w:val="auto"/>
          <w:sz w:val="22"/>
          <w:szCs w:val="22"/>
        </w:rPr>
      </w:pPr>
      <w:r>
        <w:rPr>
          <w:rFonts w:hint="eastAsia" w:ascii="宋体" w:hAnsi="宋体" w:eastAsia="宋体" w:cs="宋体"/>
          <w:color w:val="auto"/>
          <w:sz w:val="22"/>
          <w:szCs w:val="22"/>
        </w:rPr>
        <w:t>（3）评审办法；</w:t>
      </w:r>
    </w:p>
    <w:p w14:paraId="4B5807C2">
      <w:pPr>
        <w:rPr>
          <w:rFonts w:hint="eastAsia" w:ascii="宋体" w:hAnsi="宋体" w:eastAsia="宋体" w:cs="宋体"/>
          <w:color w:val="auto"/>
          <w:sz w:val="22"/>
          <w:szCs w:val="22"/>
        </w:rPr>
      </w:pPr>
      <w:r>
        <w:rPr>
          <w:rFonts w:hint="eastAsia" w:ascii="宋体" w:hAnsi="宋体" w:eastAsia="宋体" w:cs="宋体"/>
          <w:color w:val="auto"/>
          <w:sz w:val="22"/>
          <w:szCs w:val="22"/>
        </w:rPr>
        <w:t>（4）合同条款及格式（仅供参考）；</w:t>
      </w:r>
    </w:p>
    <w:p w14:paraId="29BE2F72">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（5）采购需求； </w:t>
      </w:r>
    </w:p>
    <w:p w14:paraId="2D80A530">
      <w:pPr>
        <w:rPr>
          <w:rFonts w:hint="eastAsia" w:ascii="宋体" w:hAnsi="宋体" w:eastAsia="宋体" w:cs="宋体"/>
          <w:color w:val="auto"/>
          <w:sz w:val="22"/>
          <w:szCs w:val="22"/>
        </w:rPr>
      </w:pPr>
      <w:r>
        <w:rPr>
          <w:rFonts w:hint="eastAsia" w:ascii="宋体" w:hAnsi="宋体" w:eastAsia="宋体" w:cs="宋体"/>
          <w:color w:val="auto"/>
          <w:sz w:val="22"/>
          <w:szCs w:val="22"/>
        </w:rPr>
        <w:t>（6）磋商响应文件参考格式。</w:t>
      </w:r>
    </w:p>
    <w:p w14:paraId="4E11668E">
      <w:pPr>
        <w:rPr>
          <w:rFonts w:hint="eastAsia" w:ascii="宋体" w:hAnsi="宋体" w:eastAsia="宋体" w:cs="宋体"/>
          <w:color w:val="auto"/>
          <w:sz w:val="22"/>
          <w:szCs w:val="22"/>
        </w:rPr>
      </w:pPr>
      <w:r>
        <w:rPr>
          <w:rFonts w:hint="eastAsia" w:ascii="宋体" w:hAnsi="宋体" w:eastAsia="宋体" w:cs="宋体"/>
          <w:color w:val="auto"/>
          <w:sz w:val="22"/>
          <w:szCs w:val="22"/>
        </w:rPr>
        <w:t>根据本章第2.2款和第2.3款对竞争性磋商文件所作的澄清、修改，构成竞争性磋商文件的组成部分。</w:t>
      </w:r>
    </w:p>
    <w:p w14:paraId="227921C6">
      <w:pPr>
        <w:rPr>
          <w:rFonts w:hint="eastAsia" w:ascii="宋体" w:hAnsi="宋体" w:eastAsia="宋体" w:cs="宋体"/>
          <w:b/>
          <w:bCs/>
          <w:color w:val="auto"/>
          <w:sz w:val="22"/>
          <w:szCs w:val="22"/>
        </w:rPr>
      </w:pPr>
      <w:bookmarkStart w:id="92" w:name="_Toc330213960"/>
      <w:bookmarkStart w:id="93" w:name="_Toc152045544"/>
      <w:bookmarkStart w:id="94" w:name="_Toc332121728"/>
      <w:bookmarkStart w:id="95" w:name="_Toc403513507"/>
      <w:bookmarkStart w:id="96" w:name="_Toc144974512"/>
      <w:bookmarkStart w:id="97" w:name="_Toc152042320"/>
      <w:r>
        <w:rPr>
          <w:rFonts w:hint="eastAsia" w:ascii="宋体" w:hAnsi="宋体" w:eastAsia="宋体" w:cs="宋体"/>
          <w:b/>
          <w:bCs/>
          <w:color w:val="auto"/>
          <w:sz w:val="22"/>
          <w:szCs w:val="22"/>
        </w:rPr>
        <w:t>2.2 竞争性磋商文件的澄清</w:t>
      </w:r>
      <w:bookmarkEnd w:id="92"/>
      <w:bookmarkEnd w:id="93"/>
      <w:bookmarkEnd w:id="94"/>
      <w:bookmarkEnd w:id="95"/>
      <w:bookmarkEnd w:id="96"/>
      <w:bookmarkEnd w:id="97"/>
    </w:p>
    <w:p w14:paraId="219A466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2.2.1供应商应仔细阅读和检查竞争性磋商文件的全部内容。如发现缺页或附件不全，应及时向采购代理机构提出，以便补齐。如有疑问，应在供应商须知前附表规定的时间前以书面形式（包括信函、传真等可以有形地表现所载内容的形式，下同），要求采购代理机构对竞争性磋商文件予以澄清。</w:t>
      </w:r>
    </w:p>
    <w:p w14:paraId="59978AB4">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2.2.2供应商提出问题的截止时间按供应商须知前附表规定的磋商响应文件递交截止时间5天前以书面形式向采购人或采购代理机构提出；供应商要求澄清竞争性磋商文件的将在供应商须知前附表规定的磋商响应文件递交截止时间3天前以书面形式发给所有购买竞争性磋商文件的供应商，发给所有购买竞争性磋商文件的供应商，但不指明澄清问题的来源。如果澄清发出的时间距磋商响应文件递交截止时间不足3天，相应延长磋商截止时间。</w:t>
      </w:r>
    </w:p>
    <w:p w14:paraId="4DD18DA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2.2.3 供应商在收到澄清后，应在供应商须知前附表规定的时间内以书面形式通知采购人，确认已收到该澄清。</w:t>
      </w:r>
    </w:p>
    <w:p w14:paraId="1CDF7E72">
      <w:pPr>
        <w:rPr>
          <w:rFonts w:hint="eastAsia" w:ascii="宋体" w:hAnsi="宋体" w:eastAsia="宋体" w:cs="宋体"/>
          <w:b/>
          <w:bCs/>
          <w:color w:val="auto"/>
          <w:sz w:val="22"/>
          <w:szCs w:val="22"/>
        </w:rPr>
      </w:pPr>
      <w:bookmarkStart w:id="98" w:name="_Toc144974513"/>
      <w:bookmarkStart w:id="99" w:name="_Toc152042321"/>
      <w:bookmarkStart w:id="100" w:name="_Toc403513508"/>
      <w:bookmarkStart w:id="101" w:name="_Toc152045545"/>
      <w:bookmarkStart w:id="102" w:name="_Toc332121729"/>
      <w:bookmarkStart w:id="103" w:name="_Toc330213961"/>
      <w:r>
        <w:rPr>
          <w:rFonts w:hint="eastAsia" w:ascii="宋体" w:hAnsi="宋体" w:eastAsia="宋体" w:cs="宋体"/>
          <w:b/>
          <w:bCs/>
          <w:color w:val="auto"/>
          <w:sz w:val="22"/>
          <w:szCs w:val="22"/>
        </w:rPr>
        <w:t>2.3 竞争性磋商文件的修改</w:t>
      </w:r>
      <w:bookmarkEnd w:id="98"/>
      <w:bookmarkEnd w:id="99"/>
      <w:bookmarkEnd w:id="100"/>
      <w:bookmarkEnd w:id="101"/>
      <w:bookmarkEnd w:id="102"/>
      <w:bookmarkEnd w:id="103"/>
    </w:p>
    <w:p w14:paraId="1FB291B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2.3.1 在磋商截止时间5天前，采购人可以书面形式修改竞争性磋商文件，并通知所有已购买竞争性磋商文件的供应商。如果修改竞争性磋商文件的时间距磋商截止时间不足5天，相应延长磋商截止时间。 </w:t>
      </w:r>
    </w:p>
    <w:p w14:paraId="33E9412D">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2.3.2 供应商收到修改内容后，应在供应商须知前附表规定的时间内以书面形式通知采购人，确认已收到该修改。</w:t>
      </w:r>
    </w:p>
    <w:p w14:paraId="21DBB140">
      <w:pPr>
        <w:pStyle w:val="3"/>
        <w:rPr>
          <w:rFonts w:hint="eastAsia" w:ascii="宋体" w:hAnsi="宋体" w:eastAsia="宋体" w:cs="宋体"/>
          <w:color w:val="auto"/>
          <w:sz w:val="22"/>
          <w:szCs w:val="22"/>
        </w:rPr>
      </w:pPr>
      <w:bookmarkStart w:id="104" w:name="_Toc518821212"/>
      <w:bookmarkStart w:id="105" w:name="_Toc152045546"/>
      <w:bookmarkStart w:id="106" w:name="_Toc152042322"/>
      <w:bookmarkStart w:id="107" w:name="_Toc144974514"/>
      <w:bookmarkStart w:id="108" w:name="_Toc20240"/>
      <w:bookmarkStart w:id="109" w:name="_Toc15719"/>
      <w:bookmarkStart w:id="110" w:name="_Toc28774"/>
      <w:r>
        <w:rPr>
          <w:rFonts w:hint="eastAsia" w:ascii="宋体" w:hAnsi="宋体" w:eastAsia="宋体" w:cs="宋体"/>
          <w:color w:val="auto"/>
          <w:sz w:val="22"/>
          <w:szCs w:val="22"/>
        </w:rPr>
        <w:t>3. 磋商</w:t>
      </w:r>
      <w:bookmarkEnd w:id="104"/>
      <w:bookmarkEnd w:id="105"/>
      <w:bookmarkEnd w:id="106"/>
      <w:bookmarkEnd w:id="107"/>
      <w:bookmarkEnd w:id="108"/>
      <w:r>
        <w:rPr>
          <w:rFonts w:hint="eastAsia" w:ascii="宋体" w:hAnsi="宋体" w:eastAsia="宋体" w:cs="宋体"/>
          <w:color w:val="auto"/>
          <w:sz w:val="22"/>
          <w:szCs w:val="22"/>
        </w:rPr>
        <w:t>报价</w:t>
      </w:r>
      <w:bookmarkEnd w:id="109"/>
      <w:bookmarkEnd w:id="110"/>
    </w:p>
    <w:p w14:paraId="43228DC7">
      <w:pPr>
        <w:rPr>
          <w:rFonts w:hint="eastAsia" w:ascii="宋体" w:hAnsi="宋体" w:eastAsia="宋体" w:cs="宋体"/>
          <w:color w:val="auto"/>
          <w:sz w:val="22"/>
          <w:szCs w:val="22"/>
        </w:rPr>
      </w:pPr>
      <w:r>
        <w:rPr>
          <w:rFonts w:hint="eastAsia" w:ascii="宋体" w:hAnsi="宋体" w:eastAsia="宋体" w:cs="宋体"/>
          <w:b/>
          <w:bCs/>
          <w:color w:val="auto"/>
          <w:sz w:val="22"/>
          <w:szCs w:val="22"/>
        </w:rPr>
        <w:t>3.1磋商货币</w:t>
      </w:r>
      <w:r>
        <w:rPr>
          <w:rFonts w:hint="eastAsia" w:ascii="宋体" w:hAnsi="宋体" w:eastAsia="宋体" w:cs="宋体"/>
          <w:color w:val="auto"/>
          <w:sz w:val="22"/>
          <w:szCs w:val="22"/>
        </w:rPr>
        <w:t>：人民币；单位：元。</w:t>
      </w:r>
    </w:p>
    <w:p w14:paraId="089A712A">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3.2磋商报价</w:t>
      </w:r>
    </w:p>
    <w:p w14:paraId="27EB1653">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供应商应按“磋商一览表”的内容和格式要求填写磋商报价。磋商报价中不得包含竞争性磋商文件要求以外的内容，否则，在磋商时不予核减。磋商报价应包括完成采购需求中所列的全部工作内容及合同实施过程中的应预见和不可预见的费用等完成合同规定责任和义务、达到合同目的的一切费用。</w:t>
      </w:r>
    </w:p>
    <w:p w14:paraId="3D1C3928">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3.2.3凡本竞争性磋商文件要求（或允许）及供应商认为需要进行磋商的各项费用项目（不论是否要求进入磋商），若磋商时未报或未在竞争性磋商文件中予以说明，采购人将认为这些费用已计取，并包含在总报价中（项目内容、项目量调整除外）。</w:t>
      </w:r>
    </w:p>
    <w:p w14:paraId="386DF6C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3.2.4 凡因供应商对竞争性磋商文件阅读不深、理解不透、误解、疏漏或因市场行情了解不清造成的后果和风险均由供应商自负。</w:t>
      </w:r>
    </w:p>
    <w:p w14:paraId="5AF96EE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3.2.5磋商报价不能超出采购预算，超出采购预算按无效磋商对待，每轮报价不得高于上一轮报价，本次报价高于上次报价，视为无效报价。</w:t>
      </w:r>
    </w:p>
    <w:p w14:paraId="6BE53470">
      <w:pPr>
        <w:rPr>
          <w:rFonts w:hint="eastAsia" w:ascii="宋体" w:hAnsi="宋体" w:eastAsia="宋体" w:cs="宋体"/>
          <w:b/>
          <w:bCs/>
          <w:color w:val="auto"/>
          <w:sz w:val="22"/>
          <w:szCs w:val="22"/>
        </w:rPr>
      </w:pPr>
      <w:bookmarkStart w:id="111" w:name="_Toc403513512"/>
      <w:bookmarkStart w:id="112" w:name="_Toc152042325"/>
      <w:bookmarkStart w:id="113" w:name="_Toc144974517"/>
      <w:bookmarkStart w:id="114" w:name="_Toc152045549"/>
      <w:bookmarkStart w:id="115" w:name="_Toc330213965"/>
      <w:bookmarkStart w:id="116" w:name="_Toc332121733"/>
      <w:r>
        <w:rPr>
          <w:rFonts w:hint="eastAsia" w:ascii="宋体" w:hAnsi="宋体" w:eastAsia="宋体" w:cs="宋体"/>
          <w:b/>
          <w:bCs/>
          <w:color w:val="auto"/>
          <w:sz w:val="22"/>
          <w:szCs w:val="22"/>
        </w:rPr>
        <w:t>3.3 磋商有效期</w:t>
      </w:r>
      <w:bookmarkEnd w:id="111"/>
      <w:bookmarkEnd w:id="112"/>
      <w:bookmarkEnd w:id="113"/>
      <w:bookmarkEnd w:id="114"/>
      <w:bookmarkEnd w:id="115"/>
      <w:bookmarkEnd w:id="116"/>
    </w:p>
    <w:p w14:paraId="019FDD2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3.3.1 在供应商须知前附表规定的磋商有效期内，供应商不得要求撤销或修改其磋商响应文件。</w:t>
      </w:r>
    </w:p>
    <w:p w14:paraId="276F25F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3.3.2出现特殊情况需要延长磋商有效期的，采购人以书面形式通知所有供应商延长磋商有效期。供应商同意延长的，应相应延长其磋商保证金的有效期，但不得要求或被允许修改或撤销其磋商响应文件；供应商拒绝延长的，其磋商失效，但供应商有权收回其磋商保证金。 </w:t>
      </w:r>
    </w:p>
    <w:p w14:paraId="6E24D7E3">
      <w:pPr>
        <w:rPr>
          <w:rFonts w:hint="eastAsia" w:ascii="宋体" w:hAnsi="宋体" w:eastAsia="宋体" w:cs="宋体"/>
          <w:b/>
          <w:bCs/>
          <w:color w:val="auto"/>
          <w:sz w:val="22"/>
          <w:szCs w:val="22"/>
        </w:rPr>
      </w:pPr>
      <w:bookmarkStart w:id="117" w:name="_Toc330213966"/>
      <w:bookmarkStart w:id="118" w:name="_Toc152042326"/>
      <w:bookmarkStart w:id="119" w:name="_Toc144974518"/>
      <w:bookmarkStart w:id="120" w:name="_Toc152045550"/>
      <w:bookmarkStart w:id="121" w:name="_Toc332121734"/>
      <w:bookmarkStart w:id="122" w:name="_Toc403513513"/>
      <w:r>
        <w:rPr>
          <w:rFonts w:hint="eastAsia" w:ascii="宋体" w:hAnsi="宋体" w:eastAsia="宋体" w:cs="宋体"/>
          <w:b/>
          <w:bCs/>
          <w:color w:val="auto"/>
          <w:sz w:val="22"/>
          <w:szCs w:val="22"/>
        </w:rPr>
        <w:t>3.4 磋商保证金</w:t>
      </w:r>
      <w:bookmarkEnd w:id="117"/>
      <w:bookmarkEnd w:id="118"/>
      <w:bookmarkEnd w:id="119"/>
      <w:bookmarkEnd w:id="120"/>
      <w:bookmarkEnd w:id="121"/>
      <w:bookmarkEnd w:id="122"/>
    </w:p>
    <w:p w14:paraId="6CD9D6A9">
      <w:pPr>
        <w:ind w:firstLine="440" w:firstLineChars="200"/>
        <w:rPr>
          <w:rFonts w:hint="eastAsia" w:ascii="宋体" w:hAnsi="宋体" w:eastAsia="宋体" w:cs="宋体"/>
          <w:color w:val="auto"/>
          <w:sz w:val="22"/>
          <w:szCs w:val="22"/>
          <w:lang w:val="en-US" w:eastAsia="zh-CN"/>
        </w:rPr>
      </w:pPr>
      <w:bookmarkStart w:id="123" w:name="_Toc330213967"/>
      <w:bookmarkStart w:id="124" w:name="_Toc152045552"/>
      <w:bookmarkStart w:id="125" w:name="_Toc332121735"/>
      <w:bookmarkStart w:id="126" w:name="_Toc403513514"/>
      <w:bookmarkStart w:id="127" w:name="_Toc144974520"/>
      <w:bookmarkStart w:id="128" w:name="_Toc152042328"/>
      <w:r>
        <w:rPr>
          <w:rFonts w:hint="eastAsia" w:ascii="宋体" w:hAnsi="宋体" w:eastAsia="宋体" w:cs="宋体"/>
          <w:color w:val="auto"/>
          <w:sz w:val="22"/>
          <w:szCs w:val="22"/>
        </w:rPr>
        <w:t xml:space="preserve">3.4.1 </w:t>
      </w:r>
      <w:r>
        <w:rPr>
          <w:rFonts w:hint="eastAsia" w:ascii="宋体" w:hAnsi="宋体" w:eastAsia="宋体" w:cs="宋体"/>
          <w:color w:val="auto"/>
          <w:sz w:val="22"/>
          <w:szCs w:val="22"/>
          <w:lang w:val="en-US" w:eastAsia="zh-CN"/>
        </w:rPr>
        <w:t>本项目实施以“供应商信用承诺书”代替保证金。</w:t>
      </w:r>
    </w:p>
    <w:p w14:paraId="28B7BD6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3.4.2成交供应商有下列情形之一的，采购机构将在项目财政主管部门备案；情节严重的，由财政部门将其列入不良行为纪录名单予以通报，在一至三年内禁止参加政府采购活动：</w:t>
      </w:r>
    </w:p>
    <w:p w14:paraId="34B34F58">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3.4.2.1成交后无正当理由不与采购人签订合同的；</w:t>
      </w:r>
    </w:p>
    <w:p w14:paraId="6C0B035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3.4.2.2成交供应商将成交项目转让给他人，或者在磋商响应文件中未说明，且未经采购人同意，将成交项目分包给他人的；</w:t>
      </w:r>
    </w:p>
    <w:p w14:paraId="27AA89AD">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3.4.2.3成交供应商拒绝履行合同义务的。</w:t>
      </w:r>
    </w:p>
    <w:p w14:paraId="7FA06ECE">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3.5 资格审查资料</w:t>
      </w:r>
      <w:bookmarkEnd w:id="123"/>
      <w:bookmarkEnd w:id="124"/>
      <w:bookmarkEnd w:id="125"/>
      <w:bookmarkEnd w:id="126"/>
      <w:bookmarkEnd w:id="127"/>
      <w:bookmarkEnd w:id="128"/>
    </w:p>
    <w:p w14:paraId="3DAC33E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详见竞争性磋商文件资格标准，并按其要求提供。</w:t>
      </w:r>
    </w:p>
    <w:p w14:paraId="0C18F468">
      <w:pPr>
        <w:rPr>
          <w:rFonts w:hint="eastAsia" w:ascii="宋体" w:hAnsi="宋体" w:eastAsia="宋体" w:cs="宋体"/>
          <w:b/>
          <w:bCs/>
          <w:color w:val="auto"/>
          <w:sz w:val="22"/>
          <w:szCs w:val="22"/>
        </w:rPr>
      </w:pPr>
      <w:bookmarkStart w:id="129" w:name="_Toc152042329"/>
      <w:bookmarkStart w:id="130" w:name="_Toc403513515"/>
      <w:bookmarkStart w:id="131" w:name="_Toc144974521"/>
      <w:bookmarkStart w:id="132" w:name="_Toc152045553"/>
      <w:bookmarkStart w:id="133" w:name="_Toc330213968"/>
      <w:bookmarkStart w:id="134" w:name="_Toc332121736"/>
      <w:r>
        <w:rPr>
          <w:rFonts w:hint="eastAsia" w:ascii="宋体" w:hAnsi="宋体" w:eastAsia="宋体" w:cs="宋体"/>
          <w:b/>
          <w:bCs/>
          <w:color w:val="auto"/>
          <w:sz w:val="22"/>
          <w:szCs w:val="22"/>
        </w:rPr>
        <w:t>3.6 备选磋商方案</w:t>
      </w:r>
      <w:bookmarkEnd w:id="129"/>
      <w:bookmarkEnd w:id="130"/>
      <w:bookmarkEnd w:id="131"/>
      <w:bookmarkEnd w:id="132"/>
      <w:bookmarkEnd w:id="133"/>
      <w:bookmarkEnd w:id="134"/>
    </w:p>
    <w:p w14:paraId="42CF482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除竞争性磋商文件另有规定外，供应商不得递交备选磋商方案。</w:t>
      </w:r>
    </w:p>
    <w:p w14:paraId="4A3E71AB">
      <w:pPr>
        <w:rPr>
          <w:rFonts w:hint="eastAsia" w:ascii="宋体" w:hAnsi="宋体" w:eastAsia="宋体" w:cs="宋体"/>
          <w:b/>
          <w:bCs/>
          <w:color w:val="auto"/>
          <w:sz w:val="22"/>
          <w:szCs w:val="22"/>
        </w:rPr>
      </w:pPr>
      <w:bookmarkStart w:id="135" w:name="_Toc144974522"/>
      <w:bookmarkStart w:id="136" w:name="_Toc332121737"/>
      <w:bookmarkStart w:id="137" w:name="_Toc152042330"/>
      <w:bookmarkStart w:id="138" w:name="_Toc330213969"/>
      <w:bookmarkStart w:id="139" w:name="_Toc403513516"/>
      <w:bookmarkStart w:id="140" w:name="_Toc152045554"/>
      <w:r>
        <w:rPr>
          <w:rFonts w:hint="eastAsia" w:ascii="宋体" w:hAnsi="宋体" w:eastAsia="宋体" w:cs="宋体"/>
          <w:b/>
          <w:bCs/>
          <w:color w:val="auto"/>
          <w:sz w:val="22"/>
          <w:szCs w:val="22"/>
        </w:rPr>
        <w:t>3.7 磋商响应文件的编制</w:t>
      </w:r>
      <w:bookmarkEnd w:id="135"/>
      <w:bookmarkEnd w:id="136"/>
      <w:bookmarkEnd w:id="137"/>
      <w:bookmarkEnd w:id="138"/>
      <w:bookmarkEnd w:id="139"/>
      <w:bookmarkEnd w:id="140"/>
    </w:p>
    <w:p w14:paraId="3101F994">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3.7.1磋商响应文件应按第六章“竞争性磋商响应文件参考格式”进行编写，如有必要，可以增加附页，作为磋商响应文件的组成部分。其中，磋商函在满足竞争性磋商文件实质性要求的基础上，可以提出比竞争性磋商文件要求更有利于采购人的承诺。</w:t>
      </w:r>
    </w:p>
    <w:p w14:paraId="397DC9F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3.7.2 磋商响应文件应当对竞争性磋商文件有关合同履行期限（</w:t>
      </w:r>
      <w:r>
        <w:rPr>
          <w:rFonts w:hint="eastAsia" w:ascii="宋体" w:hAnsi="宋体" w:eastAsia="宋体" w:cs="宋体"/>
          <w:color w:val="auto"/>
          <w:sz w:val="22"/>
          <w:szCs w:val="22"/>
          <w:lang w:eastAsia="zh-CN"/>
        </w:rPr>
        <w:t>工期</w:t>
      </w:r>
      <w:r>
        <w:rPr>
          <w:rFonts w:hint="eastAsia" w:ascii="宋体" w:hAnsi="宋体" w:eastAsia="宋体" w:cs="宋体"/>
          <w:color w:val="auto"/>
          <w:sz w:val="22"/>
          <w:szCs w:val="22"/>
        </w:rPr>
        <w:t>）、磋商有效期、服务要求及标准和采购范围等实质性内容作出响应。</w:t>
      </w:r>
    </w:p>
    <w:p w14:paraId="65A09B0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3.7.3磋商响应文件的正本和副本均需打印或者使用不褪色的墨水笔书写，字迹应清晰易于辩认，</w:t>
      </w:r>
      <w:r>
        <w:rPr>
          <w:rFonts w:hint="eastAsia" w:ascii="宋体" w:hAnsi="宋体" w:eastAsia="宋体" w:cs="宋体"/>
          <w:color w:val="auto"/>
          <w:sz w:val="22"/>
          <w:szCs w:val="22"/>
          <w:lang w:val="en-US" w:eastAsia="zh-CN"/>
        </w:rPr>
        <w:t>按规定</w:t>
      </w:r>
      <w:r>
        <w:rPr>
          <w:rFonts w:hint="eastAsia" w:ascii="宋体" w:hAnsi="宋体" w:eastAsia="宋体" w:cs="宋体"/>
          <w:color w:val="auto"/>
          <w:sz w:val="22"/>
          <w:szCs w:val="22"/>
        </w:rPr>
        <w:t>并经其法定代表人或委托代理人签字或者盖章</w:t>
      </w:r>
      <w:r>
        <w:rPr>
          <w:rFonts w:hint="eastAsia" w:ascii="宋体" w:hAnsi="宋体" w:eastAsia="宋体" w:cs="宋体"/>
          <w:color w:val="auto"/>
          <w:sz w:val="22"/>
          <w:szCs w:val="22"/>
          <w:lang w:eastAsia="zh-CN"/>
        </w:rPr>
        <w:t>，</w:t>
      </w:r>
      <w:r>
        <w:rPr>
          <w:rFonts w:hint="eastAsia" w:ascii="宋体" w:hAnsi="宋体" w:eastAsia="宋体" w:cs="宋体"/>
          <w:b/>
          <w:bCs/>
          <w:color w:val="auto"/>
          <w:sz w:val="22"/>
          <w:szCs w:val="22"/>
          <w:lang w:val="en-US" w:eastAsia="zh-CN"/>
        </w:rPr>
        <w:t>逐页</w:t>
      </w:r>
      <w:r>
        <w:rPr>
          <w:rFonts w:hint="eastAsia" w:ascii="宋体" w:hAnsi="宋体" w:eastAsia="宋体" w:cs="宋体"/>
          <w:color w:val="auto"/>
          <w:sz w:val="22"/>
          <w:szCs w:val="22"/>
        </w:rPr>
        <w:t>加盖供应商</w:t>
      </w:r>
      <w:r>
        <w:rPr>
          <w:rFonts w:hint="eastAsia" w:ascii="宋体" w:hAnsi="宋体" w:eastAsia="宋体" w:cs="宋体"/>
          <w:color w:val="auto"/>
          <w:sz w:val="22"/>
          <w:szCs w:val="22"/>
          <w:lang w:val="en-US" w:eastAsia="zh-CN"/>
        </w:rPr>
        <w:t>鲜章</w:t>
      </w:r>
      <w:r>
        <w:rPr>
          <w:rFonts w:hint="eastAsia" w:ascii="宋体" w:hAnsi="宋体" w:eastAsia="宋体" w:cs="宋体"/>
          <w:color w:val="auto"/>
          <w:sz w:val="22"/>
          <w:szCs w:val="22"/>
        </w:rPr>
        <w:t xml:space="preserve">。委托代理人签字的，磋商响应文件应附法定代表人签署的授权委托书。磋商响应文件应尽量避免涂改、行间插字或删除。如果出现上述情况，改动之处应加盖单位章并由供应商的法定代表人或其授权的代理人签字确认。签字或盖章的具体要求见供应商须知前附表。 </w:t>
      </w:r>
    </w:p>
    <w:p w14:paraId="769084DE">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3.7.4 磋商响应文件要求见供应商须知前附表。正本和副本的封面上应清楚地标记“正本”或“副本”的字样。当副本和正本不一致时，以正本为准。统一胶装、编码，在每一页的正下方清楚标明页码</w:t>
      </w:r>
      <w:r>
        <w:rPr>
          <w:rFonts w:hint="eastAsia" w:ascii="宋体" w:hAnsi="宋体" w:eastAsia="宋体" w:cs="宋体"/>
          <w:color w:val="auto"/>
          <w:sz w:val="22"/>
          <w:szCs w:val="22"/>
          <w:lang w:eastAsia="zh-CN"/>
        </w:rPr>
        <w:t>，并逐页加盖企业原色印章。</w:t>
      </w:r>
    </w:p>
    <w:p w14:paraId="5C451467">
      <w:pPr>
        <w:rPr>
          <w:rFonts w:hint="eastAsia" w:ascii="宋体" w:hAnsi="宋体" w:eastAsia="宋体" w:cs="宋体"/>
          <w:b/>
          <w:bCs/>
          <w:color w:val="auto"/>
          <w:sz w:val="22"/>
          <w:szCs w:val="22"/>
        </w:rPr>
      </w:pPr>
      <w:bookmarkStart w:id="141" w:name="_Toc144974524"/>
      <w:bookmarkStart w:id="142" w:name="_Toc332121739"/>
      <w:bookmarkStart w:id="143" w:name="_Toc152042332"/>
      <w:bookmarkStart w:id="144" w:name="_Toc403513518"/>
      <w:bookmarkStart w:id="145" w:name="_Toc330213971"/>
      <w:bookmarkStart w:id="146" w:name="_Toc152045556"/>
      <w:r>
        <w:rPr>
          <w:rFonts w:hint="eastAsia" w:ascii="宋体" w:hAnsi="宋体" w:eastAsia="宋体" w:cs="宋体"/>
          <w:b/>
          <w:bCs/>
          <w:color w:val="auto"/>
          <w:sz w:val="22"/>
          <w:szCs w:val="22"/>
        </w:rPr>
        <w:t>3.8 磋商响应文件的密封和标记</w:t>
      </w:r>
      <w:bookmarkEnd w:id="141"/>
      <w:bookmarkEnd w:id="142"/>
      <w:bookmarkEnd w:id="143"/>
      <w:bookmarkEnd w:id="144"/>
      <w:bookmarkEnd w:id="145"/>
      <w:bookmarkEnd w:id="146"/>
    </w:p>
    <w:p w14:paraId="7C787C1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3.8.1磋商响应文件“资格证明部分”</w:t>
      </w:r>
      <w:r>
        <w:rPr>
          <w:rFonts w:hint="eastAsia" w:ascii="宋体" w:hAnsi="宋体" w:eastAsia="宋体" w:cs="宋体"/>
          <w:color w:val="auto"/>
          <w:sz w:val="22"/>
          <w:szCs w:val="22"/>
          <w:lang w:eastAsia="zh-CN"/>
        </w:rPr>
        <w:t>和</w:t>
      </w:r>
      <w:r>
        <w:rPr>
          <w:rFonts w:hint="eastAsia" w:ascii="宋体" w:hAnsi="宋体" w:eastAsia="宋体" w:cs="宋体"/>
          <w:color w:val="auto"/>
          <w:sz w:val="22"/>
          <w:szCs w:val="22"/>
        </w:rPr>
        <w:t>“磋商响应文件”分别密封，用单独的封袋封装密封（封袋不得有破损），将磋商响应文件的正副本封装于一个档案袋，资格证明装于一个档案袋内。在封袋上标明“资格证明部分”、“磋商响应文件”，封线处加盖磋商响应单位公章，封袋正面要粘贴标识。磋商响应文件电子版U盘</w:t>
      </w:r>
      <w:r>
        <w:rPr>
          <w:rFonts w:hint="eastAsia" w:ascii="宋体" w:hAnsi="宋体" w:eastAsia="宋体" w:cs="宋体"/>
          <w:color w:val="auto"/>
          <w:sz w:val="22"/>
          <w:szCs w:val="22"/>
          <w:lang w:val="en-US" w:eastAsia="zh-CN"/>
        </w:rPr>
        <w:t>贰</w:t>
      </w:r>
      <w:r>
        <w:rPr>
          <w:rFonts w:hint="eastAsia" w:ascii="宋体" w:hAnsi="宋体" w:eastAsia="宋体" w:cs="宋体"/>
          <w:color w:val="auto"/>
          <w:sz w:val="22"/>
          <w:szCs w:val="22"/>
        </w:rPr>
        <w:t>份应单独密封，并在信封上注明“电子版”字样装入“磋商响应文件”密封袋内。</w:t>
      </w:r>
    </w:p>
    <w:p w14:paraId="03F1AEA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3.8.2 磋商响应文件的封套上应清楚地标记“资格证明部分”</w:t>
      </w:r>
      <w:r>
        <w:rPr>
          <w:rFonts w:hint="eastAsia" w:ascii="宋体" w:hAnsi="宋体" w:eastAsia="宋体" w:cs="宋体"/>
          <w:color w:val="auto"/>
          <w:sz w:val="22"/>
          <w:szCs w:val="22"/>
          <w:lang w:eastAsia="zh-CN"/>
        </w:rPr>
        <w:t>或</w:t>
      </w:r>
      <w:r>
        <w:rPr>
          <w:rFonts w:hint="eastAsia" w:ascii="宋体" w:hAnsi="宋体" w:eastAsia="宋体" w:cs="宋体"/>
          <w:color w:val="auto"/>
          <w:sz w:val="22"/>
          <w:szCs w:val="22"/>
        </w:rPr>
        <w:t>“磋商响应文件”字样，封套上应写明的其他内容见供应商须知前附表。</w:t>
      </w:r>
    </w:p>
    <w:p w14:paraId="6BCBBE0E">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3.8.3 未按本章第3.8.1项或第3.8.2项要求密封和加写标记的磋商文件，采购人不予受理。</w:t>
      </w:r>
    </w:p>
    <w:p w14:paraId="45EFFA8D">
      <w:pPr>
        <w:rPr>
          <w:rFonts w:hint="eastAsia" w:ascii="宋体" w:hAnsi="宋体" w:eastAsia="宋体" w:cs="宋体"/>
          <w:b/>
          <w:bCs/>
          <w:color w:val="auto"/>
          <w:sz w:val="22"/>
          <w:szCs w:val="22"/>
        </w:rPr>
      </w:pPr>
      <w:bookmarkStart w:id="147" w:name="_Toc152045557"/>
      <w:bookmarkStart w:id="148" w:name="_Toc403513519"/>
      <w:bookmarkStart w:id="149" w:name="_Toc144974525"/>
      <w:bookmarkStart w:id="150" w:name="_Toc152042333"/>
      <w:bookmarkStart w:id="151" w:name="_Toc332121740"/>
      <w:bookmarkStart w:id="152" w:name="_Toc330213972"/>
      <w:r>
        <w:rPr>
          <w:rFonts w:hint="eastAsia" w:ascii="宋体" w:hAnsi="宋体" w:eastAsia="宋体" w:cs="宋体"/>
          <w:b/>
          <w:bCs/>
          <w:color w:val="auto"/>
          <w:sz w:val="22"/>
          <w:szCs w:val="22"/>
        </w:rPr>
        <w:t>3.9磋商响应文件的递交</w:t>
      </w:r>
      <w:bookmarkEnd w:id="147"/>
      <w:bookmarkEnd w:id="148"/>
      <w:bookmarkEnd w:id="149"/>
      <w:bookmarkEnd w:id="150"/>
      <w:bookmarkEnd w:id="151"/>
      <w:bookmarkEnd w:id="152"/>
    </w:p>
    <w:p w14:paraId="7CE4CD7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3.9.1 供应商应按供应商须知前附表规定的投标截止时间前递交磋商响应文件文件。</w:t>
      </w:r>
    </w:p>
    <w:p w14:paraId="31EF014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3.9.2 供应商递交磋商响应文件的地点：见供应商须知前附表。</w:t>
      </w:r>
    </w:p>
    <w:p w14:paraId="0D1B6CC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3.9.3 除供应商须知前附表另有规定外，供应商所递交的磋商响应文件不予退还。</w:t>
      </w:r>
    </w:p>
    <w:p w14:paraId="27E7AEF8">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3.9.4 逾期送达的或者未送达指定地点的磋商响应文件，采购人不予受理。</w:t>
      </w:r>
    </w:p>
    <w:p w14:paraId="7E136C97">
      <w:pPr>
        <w:rPr>
          <w:rFonts w:hint="eastAsia" w:ascii="宋体" w:hAnsi="宋体" w:eastAsia="宋体" w:cs="宋体"/>
          <w:b/>
          <w:bCs/>
          <w:color w:val="auto"/>
          <w:sz w:val="22"/>
          <w:szCs w:val="22"/>
        </w:rPr>
      </w:pPr>
      <w:bookmarkStart w:id="153" w:name="_Toc330213973"/>
      <w:bookmarkStart w:id="154" w:name="_Toc332121741"/>
      <w:bookmarkStart w:id="155" w:name="_Toc152045558"/>
      <w:bookmarkStart w:id="156" w:name="_Toc152042334"/>
      <w:bookmarkStart w:id="157" w:name="_Toc144974526"/>
      <w:bookmarkStart w:id="158" w:name="_Toc403513520"/>
      <w:r>
        <w:rPr>
          <w:rFonts w:hint="eastAsia" w:ascii="宋体" w:hAnsi="宋体" w:eastAsia="宋体" w:cs="宋体"/>
          <w:b/>
          <w:bCs/>
          <w:color w:val="auto"/>
          <w:sz w:val="22"/>
          <w:szCs w:val="22"/>
        </w:rPr>
        <w:t>3.10磋商响应文件的修改与撤回</w:t>
      </w:r>
      <w:bookmarkEnd w:id="153"/>
      <w:bookmarkEnd w:id="154"/>
      <w:bookmarkEnd w:id="155"/>
      <w:bookmarkEnd w:id="156"/>
      <w:bookmarkEnd w:id="157"/>
      <w:bookmarkEnd w:id="158"/>
    </w:p>
    <w:p w14:paraId="71BEBB0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3.10.1 在供应商须知前附表规定的磋商响应文件递交截止时间前，供应商可以修改或撤回已递交的磋商响应文件，但应以书面形式通知采购人。</w:t>
      </w:r>
    </w:p>
    <w:p w14:paraId="43ECFDB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3.10.2 修改的内容为磋商响应文件的组成部分。修改的磋商响应文件应按照本章第3条、第4条规定进行编制、密封、标记和递交，并标明“修改”字样。</w:t>
      </w:r>
    </w:p>
    <w:p w14:paraId="3597F8D1">
      <w:pPr>
        <w:pStyle w:val="3"/>
        <w:rPr>
          <w:rFonts w:hint="eastAsia" w:ascii="宋体" w:hAnsi="宋体" w:eastAsia="宋体" w:cs="宋体"/>
          <w:color w:val="auto"/>
          <w:sz w:val="22"/>
          <w:szCs w:val="22"/>
        </w:rPr>
      </w:pPr>
      <w:bookmarkStart w:id="159" w:name="_Toc152045559"/>
      <w:bookmarkStart w:id="160" w:name="_Toc144974527"/>
      <w:bookmarkStart w:id="161" w:name="_Toc152042335"/>
      <w:bookmarkStart w:id="162" w:name="_Toc7646"/>
      <w:bookmarkStart w:id="163" w:name="_Toc19867"/>
      <w:bookmarkStart w:id="164" w:name="_Toc518821213"/>
      <w:bookmarkStart w:id="165" w:name="_Toc27168"/>
      <w:r>
        <w:rPr>
          <w:rFonts w:hint="eastAsia" w:ascii="宋体" w:hAnsi="宋体" w:eastAsia="宋体" w:cs="宋体"/>
          <w:color w:val="auto"/>
          <w:sz w:val="22"/>
          <w:szCs w:val="22"/>
        </w:rPr>
        <w:t xml:space="preserve">4. </w:t>
      </w:r>
      <w:bookmarkEnd w:id="159"/>
      <w:bookmarkEnd w:id="160"/>
      <w:bookmarkEnd w:id="161"/>
      <w:r>
        <w:rPr>
          <w:rFonts w:hint="eastAsia" w:ascii="宋体" w:hAnsi="宋体" w:eastAsia="宋体" w:cs="宋体"/>
          <w:color w:val="auto"/>
          <w:sz w:val="22"/>
          <w:szCs w:val="22"/>
        </w:rPr>
        <w:t>磋商</w:t>
      </w:r>
      <w:bookmarkEnd w:id="162"/>
      <w:bookmarkEnd w:id="163"/>
      <w:bookmarkEnd w:id="164"/>
      <w:bookmarkEnd w:id="165"/>
    </w:p>
    <w:p w14:paraId="4A7E1F65">
      <w:pPr>
        <w:rPr>
          <w:rFonts w:hint="eastAsia" w:ascii="宋体" w:hAnsi="宋体" w:eastAsia="宋体" w:cs="宋体"/>
          <w:b/>
          <w:bCs/>
          <w:color w:val="auto"/>
          <w:sz w:val="22"/>
          <w:szCs w:val="22"/>
        </w:rPr>
      </w:pPr>
      <w:bookmarkStart w:id="166" w:name="_Toc332121743"/>
      <w:bookmarkStart w:id="167" w:name="_Toc144974528"/>
      <w:bookmarkStart w:id="168" w:name="_Toc152045560"/>
      <w:bookmarkStart w:id="169" w:name="_Toc152042336"/>
      <w:bookmarkStart w:id="170" w:name="_Toc330213975"/>
      <w:bookmarkStart w:id="171" w:name="_Toc403513522"/>
      <w:r>
        <w:rPr>
          <w:rFonts w:hint="eastAsia" w:ascii="宋体" w:hAnsi="宋体" w:eastAsia="宋体" w:cs="宋体"/>
          <w:b/>
          <w:bCs/>
          <w:color w:val="auto"/>
          <w:sz w:val="22"/>
          <w:szCs w:val="22"/>
        </w:rPr>
        <w:t>4.1 磋商时间和地点</w:t>
      </w:r>
      <w:bookmarkEnd w:id="166"/>
      <w:bookmarkEnd w:id="167"/>
      <w:bookmarkEnd w:id="168"/>
      <w:bookmarkEnd w:id="169"/>
      <w:bookmarkEnd w:id="170"/>
      <w:bookmarkEnd w:id="171"/>
    </w:p>
    <w:p w14:paraId="5BA2365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采购人在供应商须知前附表规定的磋商响应文件递交截止时间（磋商时间）及地点磋商，并邀请所有供应商的法定代表人或其委托代理人准时参加。</w:t>
      </w:r>
    </w:p>
    <w:p w14:paraId="42136F08">
      <w:pPr>
        <w:rPr>
          <w:rFonts w:hint="eastAsia" w:ascii="宋体" w:hAnsi="宋体" w:eastAsia="宋体" w:cs="宋体"/>
          <w:b/>
          <w:bCs/>
          <w:color w:val="auto"/>
          <w:sz w:val="22"/>
          <w:szCs w:val="22"/>
        </w:rPr>
      </w:pPr>
      <w:bookmarkStart w:id="172" w:name="_Toc152045561"/>
      <w:bookmarkStart w:id="173" w:name="_Toc332121744"/>
      <w:bookmarkStart w:id="174" w:name="_Toc330213976"/>
      <w:bookmarkStart w:id="175" w:name="_Toc144974529"/>
      <w:bookmarkStart w:id="176" w:name="_Toc152042337"/>
      <w:bookmarkStart w:id="177" w:name="_Toc403513523"/>
      <w:r>
        <w:rPr>
          <w:rFonts w:hint="eastAsia" w:ascii="宋体" w:hAnsi="宋体" w:eastAsia="宋体" w:cs="宋体"/>
          <w:b/>
          <w:bCs/>
          <w:color w:val="auto"/>
          <w:sz w:val="22"/>
          <w:szCs w:val="22"/>
        </w:rPr>
        <w:t>4.2 磋商程序</w:t>
      </w:r>
      <w:bookmarkEnd w:id="172"/>
      <w:bookmarkEnd w:id="173"/>
      <w:bookmarkEnd w:id="174"/>
      <w:bookmarkEnd w:id="175"/>
      <w:bookmarkEnd w:id="176"/>
      <w:bookmarkEnd w:id="177"/>
    </w:p>
    <w:p w14:paraId="738085A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主持人按下列程序进行磋商会议：</w:t>
      </w:r>
    </w:p>
    <w:p w14:paraId="20BC9E1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（1）介绍与会各方人员；</w:t>
      </w:r>
    </w:p>
    <w:p w14:paraId="3A965704">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（2）介绍供应商；</w:t>
      </w:r>
    </w:p>
    <w:p w14:paraId="3DB8273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（3）宣读会议纪律；</w:t>
      </w:r>
    </w:p>
    <w:p w14:paraId="228B379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w:t>
      </w:r>
      <w:r>
        <w:rPr>
          <w:rFonts w:hint="eastAsia" w:ascii="宋体" w:hAnsi="宋体" w:eastAsia="宋体" w:cs="宋体"/>
          <w:color w:val="auto"/>
          <w:sz w:val="22"/>
          <w:szCs w:val="22"/>
          <w:lang w:val="en-US" w:eastAsia="zh-CN"/>
        </w:rPr>
        <w:t>由监标人按规定对投标供应商进行身份资格核验,</w:t>
      </w:r>
      <w:r>
        <w:rPr>
          <w:rFonts w:hint="eastAsia" w:ascii="宋体" w:hAnsi="宋体" w:eastAsia="宋体" w:cs="宋体"/>
          <w:color w:val="auto"/>
          <w:sz w:val="22"/>
          <w:szCs w:val="22"/>
        </w:rPr>
        <w:t>由供应商法定代表人或其委托代理人、监督人检查磋商响应文件的密封情况，并对密封情况书面确认</w:t>
      </w:r>
      <w:r>
        <w:rPr>
          <w:rFonts w:hint="eastAsia" w:ascii="宋体" w:hAnsi="宋体" w:eastAsia="宋体" w:cs="宋体"/>
          <w:color w:val="auto"/>
          <w:sz w:val="22"/>
          <w:szCs w:val="22"/>
          <w:lang w:eastAsia="zh-CN"/>
        </w:rPr>
        <w:t>，未通过密封性审查的按无效磋商响应文件处理，并退回供应商资质证明原件</w:t>
      </w:r>
      <w:r>
        <w:rPr>
          <w:rFonts w:hint="eastAsia" w:ascii="宋体" w:hAnsi="宋体" w:eastAsia="宋体" w:cs="宋体"/>
          <w:color w:val="auto"/>
          <w:sz w:val="22"/>
          <w:szCs w:val="22"/>
        </w:rPr>
        <w:t>；</w:t>
      </w:r>
    </w:p>
    <w:p w14:paraId="7DEA8540">
      <w:pPr>
        <w:ind w:firstLine="440" w:firstLineChars="200"/>
        <w:rPr>
          <w:rFonts w:hint="eastAsia" w:ascii="宋体" w:hAnsi="宋体" w:eastAsia="宋体" w:cs="宋体"/>
          <w:color w:val="auto"/>
          <w:sz w:val="22"/>
          <w:szCs w:val="22"/>
        </w:rPr>
      </w:pPr>
      <w:bookmarkStart w:id="178" w:name="_Toc152045562"/>
      <w:bookmarkStart w:id="179" w:name="_Toc152042338"/>
      <w:bookmarkStart w:id="180" w:name="_Toc144974530"/>
      <w:r>
        <w:rPr>
          <w:rFonts w:hint="eastAsia" w:ascii="宋体" w:hAnsi="宋体" w:eastAsia="宋体" w:cs="宋体"/>
          <w:color w:val="auto"/>
          <w:sz w:val="22"/>
          <w:szCs w:val="22"/>
        </w:rPr>
        <w:t>（5）经确认无误后，由采购代理机构工作人员依递交竞争性磋商响应文件的摆放顺序当众拆封，宣读各供应商名称。《政府采购法》第三十八条和关于印发《政府采购竞争性磋商采购方式管理暂行办法》的通知财库【2014】214号及《陕西省财政厅关于政府采购有关问题的通知》陕财办采资[2016]53号文件等规定，不在每轮磋商结束时公开供应商的报价。</w:t>
      </w:r>
    </w:p>
    <w:p w14:paraId="26B98B93">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（6）宣布开标会议结束，所有供应商离场。</w:t>
      </w:r>
    </w:p>
    <w:p w14:paraId="72B5679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（7）采购代理机构对磋商过程进行摄像、文字记录，并存档备查。</w:t>
      </w:r>
    </w:p>
    <w:bookmarkEnd w:id="178"/>
    <w:bookmarkEnd w:id="179"/>
    <w:bookmarkEnd w:id="180"/>
    <w:p w14:paraId="2552F411">
      <w:pPr>
        <w:rPr>
          <w:rFonts w:hint="eastAsia" w:ascii="宋体" w:hAnsi="宋体" w:eastAsia="宋体" w:cs="宋体"/>
          <w:b/>
          <w:bCs/>
          <w:color w:val="auto"/>
          <w:sz w:val="22"/>
          <w:szCs w:val="22"/>
        </w:rPr>
      </w:pPr>
      <w:bookmarkStart w:id="181" w:name="_Toc330213978"/>
      <w:bookmarkStart w:id="182" w:name="_Toc152045563"/>
      <w:bookmarkStart w:id="183" w:name="_Toc332121746"/>
      <w:bookmarkStart w:id="184" w:name="_Toc144974531"/>
      <w:bookmarkStart w:id="185" w:name="_Toc403513525"/>
      <w:bookmarkStart w:id="186" w:name="_Toc152042339"/>
      <w:r>
        <w:rPr>
          <w:rFonts w:hint="eastAsia" w:ascii="宋体" w:hAnsi="宋体" w:eastAsia="宋体" w:cs="宋体"/>
          <w:b/>
          <w:bCs/>
          <w:color w:val="auto"/>
          <w:sz w:val="22"/>
          <w:szCs w:val="22"/>
        </w:rPr>
        <w:t>4.</w:t>
      </w:r>
      <w:bookmarkEnd w:id="181"/>
      <w:bookmarkEnd w:id="182"/>
      <w:bookmarkEnd w:id="183"/>
      <w:bookmarkEnd w:id="184"/>
      <w:bookmarkEnd w:id="185"/>
      <w:bookmarkEnd w:id="186"/>
      <w:r>
        <w:rPr>
          <w:rFonts w:hint="eastAsia" w:ascii="宋体" w:hAnsi="宋体" w:eastAsia="宋体" w:cs="宋体"/>
          <w:b/>
          <w:bCs/>
          <w:color w:val="auto"/>
          <w:sz w:val="22"/>
          <w:szCs w:val="22"/>
        </w:rPr>
        <w:t>3磋商小组</w:t>
      </w:r>
    </w:p>
    <w:p w14:paraId="59355F54">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4.3.1采购代理机构根据《中华人民共和国政府采购法》、《中华人民共和国政府采购法实施条例》和“财政部第87号部长令”的规定 --《政府采购货物和服务招标投标管理办法》和关于印发《政府采购竞争性磋商采购方式管理暂行办法》的通知财库【2014】214号等规定，依法组建磋商小组。磋商小组由采购人代表和评审专家共3人以上单数组成。其中评审专家人数不得少于成员总数的三分之二，采购人代表须持有授权书。磋商小组按照磋商文件规定的评审方法独立进行评审工作。</w:t>
      </w:r>
    </w:p>
    <w:p w14:paraId="1B7D75D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4.3.2 磋商小组成员有下列情形之一的，应当回避：</w:t>
      </w:r>
    </w:p>
    <w:p w14:paraId="7DA98784">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（1）采购人或供应商的主要负责人的近亲属；</w:t>
      </w:r>
    </w:p>
    <w:p w14:paraId="665EA466">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（2）项目主管部门或者行政监督部门的人员；</w:t>
      </w:r>
    </w:p>
    <w:p w14:paraId="5D605592">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（3）与供应商有经济利益关系，可能影响对磋商公正评审的；</w:t>
      </w:r>
    </w:p>
    <w:p w14:paraId="623BF186">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（4）曾因在招标、磋商以及其他与招标投标有关活动中从事违法行为而受过行政处罚或刑事处罚的。</w:t>
      </w:r>
    </w:p>
    <w:p w14:paraId="77D60AD3">
      <w:pPr>
        <w:pStyle w:val="3"/>
        <w:rPr>
          <w:rFonts w:hint="eastAsia" w:ascii="宋体" w:hAnsi="宋体" w:eastAsia="宋体" w:cs="宋体"/>
          <w:color w:val="auto"/>
          <w:sz w:val="22"/>
          <w:szCs w:val="22"/>
        </w:rPr>
      </w:pPr>
      <w:bookmarkStart w:id="187" w:name="_Toc332121747"/>
      <w:bookmarkStart w:id="188" w:name="_Toc403513526"/>
      <w:bookmarkStart w:id="189" w:name="_Toc152045564"/>
      <w:bookmarkStart w:id="190" w:name="_Toc152042340"/>
      <w:bookmarkStart w:id="191" w:name="_Toc6994"/>
      <w:bookmarkStart w:id="192" w:name="_Toc518821214"/>
      <w:bookmarkStart w:id="193" w:name="_Toc330213979"/>
      <w:bookmarkStart w:id="194" w:name="_Toc144974532"/>
      <w:bookmarkStart w:id="195" w:name="_Toc7415"/>
      <w:bookmarkStart w:id="196" w:name="_Toc21673"/>
      <w:r>
        <w:rPr>
          <w:rFonts w:hint="eastAsia" w:ascii="宋体" w:hAnsi="宋体" w:eastAsia="宋体" w:cs="宋体"/>
          <w:color w:val="auto"/>
          <w:sz w:val="22"/>
          <w:szCs w:val="22"/>
        </w:rPr>
        <w:t xml:space="preserve">5. </w:t>
      </w:r>
      <w:bookmarkEnd w:id="187"/>
      <w:bookmarkEnd w:id="188"/>
      <w:bookmarkEnd w:id="189"/>
      <w:bookmarkEnd w:id="190"/>
      <w:bookmarkEnd w:id="191"/>
      <w:bookmarkEnd w:id="192"/>
      <w:bookmarkEnd w:id="193"/>
      <w:bookmarkEnd w:id="194"/>
      <w:r>
        <w:rPr>
          <w:rFonts w:hint="eastAsia" w:ascii="宋体" w:hAnsi="宋体" w:eastAsia="宋体" w:cs="宋体"/>
          <w:color w:val="auto"/>
          <w:sz w:val="22"/>
          <w:szCs w:val="22"/>
        </w:rPr>
        <w:t>评审</w:t>
      </w:r>
      <w:bookmarkEnd w:id="195"/>
      <w:bookmarkEnd w:id="196"/>
    </w:p>
    <w:p w14:paraId="56C6F1B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磋商活动遵循公平、公正、科学和择优的原则。</w:t>
      </w:r>
    </w:p>
    <w:p w14:paraId="0B763A3D">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5.1 竞争性磋商响应文件的审核</w:t>
      </w:r>
    </w:p>
    <w:p w14:paraId="54298B23">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5.1.1竞争性磋商响应文件的资格性审查：</w:t>
      </w:r>
      <w:r>
        <w:rPr>
          <w:rFonts w:hint="eastAsia" w:ascii="宋体" w:hAnsi="宋体" w:eastAsia="宋体" w:cs="宋体"/>
          <w:color w:val="auto"/>
          <w:sz w:val="22"/>
          <w:szCs w:val="22"/>
          <w:lang w:eastAsia="zh-CN"/>
        </w:rPr>
        <w:t>采购人代表</w:t>
      </w:r>
      <w:r>
        <w:rPr>
          <w:rFonts w:hint="eastAsia" w:ascii="宋体" w:hAnsi="宋体" w:eastAsia="宋体" w:cs="宋体"/>
          <w:color w:val="auto"/>
          <w:sz w:val="22"/>
          <w:szCs w:val="22"/>
        </w:rPr>
        <w:t>依据法律法规和竞争性磋商文件的规定，对竞争性磋商的资格证明等进行审查，审查内容为</w:t>
      </w:r>
      <w:r>
        <w:rPr>
          <w:rFonts w:hint="eastAsia" w:ascii="宋体" w:hAnsi="宋体" w:eastAsia="宋体" w:cs="宋体"/>
          <w:color w:val="auto"/>
          <w:sz w:val="22"/>
          <w:szCs w:val="22"/>
          <w:lang w:eastAsia="zh-CN"/>
        </w:rPr>
        <w:t>详见评审办法</w:t>
      </w:r>
      <w:r>
        <w:rPr>
          <w:rFonts w:hint="eastAsia" w:ascii="宋体" w:hAnsi="宋体" w:eastAsia="宋体" w:cs="宋体"/>
          <w:color w:val="auto"/>
          <w:sz w:val="22"/>
          <w:szCs w:val="22"/>
        </w:rPr>
        <w:t>的供应商资格条件。</w:t>
      </w:r>
    </w:p>
    <w:p w14:paraId="18D3103E">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竞争性磋商响应文件符合性审查：依据竞争性磋商文件的规定，从竞争性磋商响应文件的有效性、完整性和对竞争性磋商响应文件的响应程度进行审查，以确定是否对竞争性磋商文件的实质性内容作出响应。其内容包括并不局限以下部分：</w:t>
      </w:r>
    </w:p>
    <w:p w14:paraId="7C385848">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5.1.2.1合同履行期限（</w:t>
      </w:r>
      <w:r>
        <w:rPr>
          <w:rFonts w:hint="eastAsia" w:ascii="宋体" w:hAnsi="宋体" w:eastAsia="宋体" w:cs="宋体"/>
          <w:color w:val="auto"/>
          <w:sz w:val="22"/>
          <w:szCs w:val="22"/>
          <w:lang w:eastAsia="zh-CN"/>
        </w:rPr>
        <w:t>工期</w:t>
      </w:r>
      <w:r>
        <w:rPr>
          <w:rFonts w:hint="eastAsia" w:ascii="宋体" w:hAnsi="宋体" w:eastAsia="宋体" w:cs="宋体"/>
          <w:color w:val="auto"/>
          <w:sz w:val="22"/>
          <w:szCs w:val="22"/>
        </w:rPr>
        <w:t>）是否完全响应；</w:t>
      </w:r>
    </w:p>
    <w:p w14:paraId="155D3999">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5.1.2.2付款方式是否完全响应；</w:t>
      </w:r>
    </w:p>
    <w:p w14:paraId="5019E6F3">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5.1.2.3竞争性磋商响应文件的数量是否合格；</w:t>
      </w:r>
    </w:p>
    <w:p w14:paraId="2C2CAB67">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5.1.2.4竞争性磋商响应文件有效期是否合格；</w:t>
      </w:r>
    </w:p>
    <w:p w14:paraId="54D22877">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5.1.2.5竞争性磋商响应文件的签字盖章是否合格；</w:t>
      </w:r>
    </w:p>
    <w:p w14:paraId="46642AB5">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5.1.2.6竞争性磋商文件规定的其他要求。</w:t>
      </w:r>
    </w:p>
    <w:p w14:paraId="0B65CFA6">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5.1.3竞争性磋商响应文件详细审查：磋商小组按照第三章“评审办法”规定的方法、评审因素、标准和程序对磋商文件进行评审。第三章“评审办法”没有规定的方法、评审因素和标准，不作为评审依据。</w:t>
      </w:r>
    </w:p>
    <w:p w14:paraId="52A9E560">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5.2 磋商方式</w:t>
      </w:r>
    </w:p>
    <w:p w14:paraId="2C0A4C6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5.2.1采取</w:t>
      </w:r>
      <w:r>
        <w:rPr>
          <w:rFonts w:hint="eastAsia" w:ascii="宋体" w:hAnsi="宋体" w:eastAsia="宋体" w:cs="宋体"/>
          <w:color w:val="auto"/>
          <w:sz w:val="22"/>
          <w:szCs w:val="22"/>
          <w:lang w:eastAsia="zh-CN"/>
        </w:rPr>
        <w:t>面</w:t>
      </w:r>
      <w:r>
        <w:rPr>
          <w:rFonts w:hint="eastAsia" w:ascii="宋体" w:hAnsi="宋体" w:eastAsia="宋体" w:cs="宋体"/>
          <w:color w:val="auto"/>
          <w:sz w:val="22"/>
          <w:szCs w:val="22"/>
        </w:rPr>
        <w:t>对</w:t>
      </w:r>
      <w:r>
        <w:rPr>
          <w:rFonts w:hint="eastAsia" w:ascii="宋体" w:hAnsi="宋体" w:eastAsia="宋体" w:cs="宋体"/>
          <w:color w:val="auto"/>
          <w:sz w:val="22"/>
          <w:szCs w:val="22"/>
          <w:lang w:eastAsia="zh-CN"/>
        </w:rPr>
        <w:t>面</w:t>
      </w:r>
      <w:r>
        <w:rPr>
          <w:rFonts w:hint="eastAsia" w:ascii="宋体" w:hAnsi="宋体" w:eastAsia="宋体" w:cs="宋体"/>
          <w:color w:val="auto"/>
          <w:sz w:val="22"/>
          <w:szCs w:val="22"/>
        </w:rPr>
        <w:t>的磋商采购方式。即磋商小组所有成员集中与各供应商分别进行一对一、面对面的磋商。第一次报价（磋商响应文件的报价）---分别磋商---第二次报价---综合评审推荐成交候选人。</w:t>
      </w:r>
    </w:p>
    <w:p w14:paraId="4D734CE8">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5.2.2通过资质审查、磋商、澄清及承诺等程序且实质性响应磋商文件（资质、商务、技术）的各供应商，才有再次报价的机会。磋商小组按其最终承诺和报价内容，进行综合评比并排序。</w:t>
      </w:r>
    </w:p>
    <w:p w14:paraId="6C991CB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5.2.3磋商过程中，磋商小组可以根据磋商情况调整磋商轮次。磋商小组经采购人代表确认后，可以根据磋商情况实质性变动采购需求中的技术、服务要求以及合同草案条款，并将变更的内容及时以书面形式通知所有参加磋商的供应商，变动通知为本次磋商文件的有效组成部分。</w:t>
      </w:r>
    </w:p>
    <w:p w14:paraId="09419E9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5.2.4磋商过程中，供应商可以根据磋商情况变更其响应文件，并将变更内容形成书面材料送磋商小组。变更内容应作为响应文件的一部分。</w:t>
      </w:r>
    </w:p>
    <w:p w14:paraId="3B728B5E">
      <w:pPr>
        <w:rPr>
          <w:rFonts w:hint="eastAsia" w:ascii="宋体" w:hAnsi="宋体" w:eastAsia="宋体" w:cs="宋体"/>
          <w:color w:val="auto"/>
          <w:sz w:val="22"/>
          <w:szCs w:val="22"/>
        </w:rPr>
      </w:pPr>
      <w:r>
        <w:rPr>
          <w:rFonts w:hint="eastAsia" w:ascii="宋体" w:hAnsi="宋体" w:eastAsia="宋体" w:cs="宋体"/>
          <w:color w:val="auto"/>
          <w:sz w:val="22"/>
          <w:szCs w:val="22"/>
        </w:rPr>
        <w:t>供应商书面材料应当签字确认，否则无效。供应商为法人的，应当由其法定代表人或者代理人签字确认。</w:t>
      </w:r>
    </w:p>
    <w:p w14:paraId="01AFBF1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5.2.5磋商达到供应商响应文件符合采购需求、质量和服务相等的前提下，磋商小组应要求供应商进行最后报价。供应商响应文件满足或者高于磋商文件规定的采购项目最低要求时，即视同供应商响应文件符合采购需求、质量和服务相等。</w:t>
      </w:r>
    </w:p>
    <w:p w14:paraId="42D68B6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5.2.6供应商进行最后报价，应当在磋商室外填写报价单，单独递交，由采购人方监督代表收齐后集中递交磋商小组。相关工作人员不能拆封供应商最后报价单。</w:t>
      </w:r>
    </w:p>
    <w:p w14:paraId="76C6909B">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供应商报价单应当由法定代表人或者其代理人签字确认，否则无效。</w:t>
      </w:r>
    </w:p>
    <w:p w14:paraId="4BFE14AE">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本项目不保证最低价成交。</w:t>
      </w:r>
    </w:p>
    <w:p w14:paraId="3F429530">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5.3竞争性磋商响应文件的比较与评价</w:t>
      </w:r>
    </w:p>
    <w:p w14:paraId="52E9E5C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5.3.1磋商小组在评标过程中，发现竞争性磋商响应文件出现下列情况之一者，按以下原则修正：</w:t>
      </w:r>
    </w:p>
    <w:p w14:paraId="3BD207C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（1）磋商一览表内容与竞争性磋商响应文件中内容不一致的，以磋商一览表为准；</w:t>
      </w:r>
    </w:p>
    <w:p w14:paraId="1FD8F836">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（2）大写金额和小写金额不一致的，以大写金额为准；</w:t>
      </w:r>
    </w:p>
    <w:p w14:paraId="3EA3DE0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（3）总价金额与按单价汇总金额不一致的，以单价金额计算结果为准；</w:t>
      </w:r>
    </w:p>
    <w:p w14:paraId="4ED4178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（4）单价金额小数点有明显错位的，应以总价为准，并修改单价；</w:t>
      </w:r>
    </w:p>
    <w:p w14:paraId="09A4840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（5）对不同文字文本竞争性磋商响应文件的解释发生异议的，以中文文本为准；</w:t>
      </w:r>
    </w:p>
    <w:p w14:paraId="4F58160E">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（6）文字与图表不一致的，以文字为准；</w:t>
      </w:r>
    </w:p>
    <w:p w14:paraId="686BE72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（7）正本与副本不一致的，以正本为准。</w:t>
      </w:r>
    </w:p>
    <w:p w14:paraId="2B03903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磋商小组将按上述修正方法调整竞争性磋商响应文件中的相关内容，调整后的内容应对供应商具有约束力。如果供应商不接受修正后的内容，则其磋商将被拒绝，其磋商保证金将被没收。</w:t>
      </w:r>
    </w:p>
    <w:p w14:paraId="41B1B248">
      <w:pPr>
        <w:pStyle w:val="3"/>
        <w:rPr>
          <w:rFonts w:hint="eastAsia" w:ascii="宋体" w:hAnsi="宋体" w:eastAsia="宋体" w:cs="宋体"/>
          <w:color w:val="auto"/>
          <w:sz w:val="22"/>
          <w:szCs w:val="22"/>
        </w:rPr>
      </w:pPr>
      <w:bookmarkStart w:id="197" w:name="_Toc144974534"/>
      <w:bookmarkStart w:id="198" w:name="_Toc152045566"/>
      <w:bookmarkStart w:id="199" w:name="_Toc518821215"/>
      <w:bookmarkStart w:id="200" w:name="_Toc11038"/>
      <w:bookmarkStart w:id="201" w:name="_Toc152042342"/>
      <w:bookmarkStart w:id="202" w:name="_Toc27224"/>
      <w:bookmarkStart w:id="203" w:name="_Toc30298"/>
      <w:r>
        <w:rPr>
          <w:rFonts w:hint="eastAsia" w:ascii="宋体" w:hAnsi="宋体" w:eastAsia="宋体" w:cs="宋体"/>
          <w:color w:val="auto"/>
          <w:sz w:val="22"/>
          <w:szCs w:val="22"/>
        </w:rPr>
        <w:t>6. 合同授予</w:t>
      </w:r>
      <w:bookmarkEnd w:id="197"/>
      <w:bookmarkEnd w:id="198"/>
      <w:bookmarkEnd w:id="199"/>
      <w:bookmarkEnd w:id="200"/>
      <w:bookmarkEnd w:id="201"/>
      <w:bookmarkEnd w:id="202"/>
      <w:bookmarkEnd w:id="203"/>
    </w:p>
    <w:p w14:paraId="5653B724">
      <w:pPr>
        <w:rPr>
          <w:rFonts w:hint="eastAsia" w:ascii="宋体" w:hAnsi="宋体" w:eastAsia="宋体" w:cs="宋体"/>
          <w:b/>
          <w:bCs/>
          <w:color w:val="auto"/>
          <w:sz w:val="22"/>
          <w:szCs w:val="22"/>
        </w:rPr>
      </w:pPr>
      <w:bookmarkStart w:id="204" w:name="_Toc332121750"/>
      <w:bookmarkStart w:id="205" w:name="_Toc403513529"/>
      <w:bookmarkStart w:id="206" w:name="_Toc152045567"/>
      <w:bookmarkStart w:id="207" w:name="_Toc152042343"/>
      <w:bookmarkStart w:id="208" w:name="_Toc144974535"/>
      <w:bookmarkStart w:id="209" w:name="_Toc330213982"/>
      <w:bookmarkStart w:id="210" w:name="_Toc152045568"/>
      <w:bookmarkStart w:id="211" w:name="_Toc152042344"/>
      <w:bookmarkStart w:id="212" w:name="_Toc144974536"/>
      <w:r>
        <w:rPr>
          <w:rFonts w:hint="eastAsia" w:ascii="宋体" w:hAnsi="宋体" w:eastAsia="宋体" w:cs="宋体"/>
          <w:b/>
          <w:bCs/>
          <w:color w:val="auto"/>
          <w:sz w:val="22"/>
          <w:szCs w:val="22"/>
        </w:rPr>
        <w:t>6.1 定标方式</w:t>
      </w:r>
      <w:bookmarkEnd w:id="204"/>
      <w:bookmarkEnd w:id="205"/>
      <w:bookmarkEnd w:id="206"/>
      <w:bookmarkEnd w:id="207"/>
      <w:bookmarkEnd w:id="208"/>
      <w:bookmarkEnd w:id="209"/>
    </w:p>
    <w:p w14:paraId="57553102">
      <w:pPr>
        <w:ind w:firstLine="440" w:firstLineChars="200"/>
        <w:rPr>
          <w:rFonts w:hint="eastAsia" w:ascii="宋体" w:hAnsi="宋体" w:eastAsia="宋体" w:cs="宋体"/>
          <w:color w:val="auto"/>
          <w:sz w:val="22"/>
          <w:szCs w:val="22"/>
        </w:rPr>
      </w:pPr>
      <w:bookmarkStart w:id="213" w:name="_Toc330213984"/>
      <w:bookmarkStart w:id="214" w:name="_Toc403513531"/>
      <w:bookmarkStart w:id="215" w:name="_Toc332121752"/>
      <w:r>
        <w:rPr>
          <w:rFonts w:hint="eastAsia" w:ascii="宋体" w:hAnsi="宋体" w:eastAsia="宋体" w:cs="宋体"/>
          <w:color w:val="auto"/>
          <w:sz w:val="22"/>
          <w:szCs w:val="22"/>
        </w:rPr>
        <w:t>6.1.1磋商小组依据磋商文件的要求，对供应商进行认真评审。经过评审、磋商、澄清、最后报价等程序后，从响应文件满足磋商文件全部实质性要求的的供应商中，按照评审得分由高到低顺序的顺序推荐3名以上成交候选供应商，并编写磋商评审报告。</w:t>
      </w:r>
    </w:p>
    <w:p w14:paraId="6168023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6.1.2采购人在收到磋商评审报告5个工作日内，根据磋商小组提交的磋商评审报告和推荐的成交候选人，按照排序由高到低的原则确定成交供应商；采购人逾期未确定成交供应商且不提出异议的，视为确定磋商评审报告推荐的排名第一的供应商为成交供应商。</w:t>
      </w:r>
    </w:p>
    <w:p w14:paraId="75D431E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6.1.3采购代理机构接到采购人的《成交复函》后，将成交结果在陕西省政府采购网上发布公告，公示期：1个工作日，并同时向成交供应商发出成交通知书。其他供应商若对成交结果质疑的，按《政府采购法》第52条及《政府采购质疑与投诉（94号令）》执行。</w:t>
      </w:r>
    </w:p>
    <w:p w14:paraId="5B9F971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6.1.4成交供应商确定后，采购人和采购代理机构对未成交原因不作任何解释，竞争性磋商响应文件不予退还（含纸质及电子版文件）。</w:t>
      </w:r>
    </w:p>
    <w:bookmarkEnd w:id="210"/>
    <w:bookmarkEnd w:id="211"/>
    <w:bookmarkEnd w:id="212"/>
    <w:bookmarkEnd w:id="213"/>
    <w:bookmarkEnd w:id="214"/>
    <w:bookmarkEnd w:id="215"/>
    <w:p w14:paraId="30B894B6">
      <w:pPr>
        <w:rPr>
          <w:rFonts w:hint="eastAsia" w:ascii="宋体" w:hAnsi="宋体" w:eastAsia="宋体" w:cs="宋体"/>
          <w:b/>
          <w:bCs/>
          <w:color w:val="auto"/>
          <w:sz w:val="22"/>
          <w:szCs w:val="22"/>
        </w:rPr>
      </w:pPr>
      <w:bookmarkStart w:id="216" w:name="_Toc144974538"/>
      <w:bookmarkStart w:id="217" w:name="_Toc152042346"/>
      <w:bookmarkStart w:id="218" w:name="_Toc403513533"/>
      <w:bookmarkStart w:id="219" w:name="_Toc332121754"/>
      <w:bookmarkStart w:id="220" w:name="_Toc152045570"/>
      <w:bookmarkStart w:id="221" w:name="_Toc330213986"/>
      <w:r>
        <w:rPr>
          <w:rFonts w:hint="eastAsia" w:ascii="宋体" w:hAnsi="宋体" w:eastAsia="宋体" w:cs="宋体"/>
          <w:b/>
          <w:bCs/>
          <w:color w:val="auto"/>
          <w:sz w:val="22"/>
          <w:szCs w:val="22"/>
        </w:rPr>
        <w:t>6.2 签订合同</w:t>
      </w:r>
      <w:bookmarkEnd w:id="216"/>
      <w:bookmarkEnd w:id="217"/>
      <w:bookmarkEnd w:id="218"/>
      <w:bookmarkEnd w:id="219"/>
      <w:bookmarkEnd w:id="220"/>
      <w:bookmarkEnd w:id="221"/>
    </w:p>
    <w:p w14:paraId="1037F72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6.2.1采购人和成交供应商应当自成交通知书发出之日起30天内，根据竞争性磋商文件和成交供应商的竞争性磋商响应文件订立书面合同。成交供应商无正当理由拒签合同的，采购人取消其成交资格，其磋商保证金不予退还；给采购人造成的损失超过磋商保证金数额的，成交供应商还应当对超过部分予以赔偿。 </w:t>
      </w:r>
    </w:p>
    <w:p w14:paraId="7DE3267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6.2.2 发出成交通知书后，采购人无正当理由拒签合同的，采购人向成交供应商退还磋商保证金；给成交供应商造成损失的，还应当赔偿损失。 </w:t>
      </w:r>
    </w:p>
    <w:p w14:paraId="031DBB0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6.2.3成交供应商拒绝与采购人签订合同的，采购人可以按照评审报告推荐的成交或者成交供应商入围候选人名单排序，确定下一候选人为成交供应商，也可以重新开展政府采购活动。</w:t>
      </w:r>
    </w:p>
    <w:p w14:paraId="5F05A2DC">
      <w:pPr>
        <w:pStyle w:val="3"/>
        <w:numPr>
          <w:ilvl w:val="0"/>
          <w:numId w:val="3"/>
        </w:numPr>
        <w:rPr>
          <w:rFonts w:hint="eastAsia" w:ascii="宋体" w:hAnsi="宋体" w:eastAsia="宋体" w:cs="宋体"/>
          <w:color w:val="auto"/>
          <w:sz w:val="22"/>
          <w:szCs w:val="22"/>
        </w:rPr>
      </w:pPr>
      <w:bookmarkStart w:id="222" w:name="_Toc152045574"/>
      <w:bookmarkStart w:id="223" w:name="_Toc19950"/>
      <w:bookmarkStart w:id="224" w:name="_Toc518821216"/>
      <w:bookmarkStart w:id="225" w:name="_Toc152042350"/>
      <w:bookmarkStart w:id="226" w:name="_Toc144974542"/>
      <w:bookmarkStart w:id="227" w:name="_Toc32169"/>
      <w:bookmarkStart w:id="228" w:name="_Toc22582"/>
      <w:r>
        <w:rPr>
          <w:rFonts w:hint="eastAsia" w:ascii="宋体" w:hAnsi="宋体" w:eastAsia="宋体" w:cs="宋体"/>
          <w:color w:val="auto"/>
          <w:sz w:val="22"/>
          <w:szCs w:val="22"/>
        </w:rPr>
        <w:t>纪律和监督</w:t>
      </w:r>
      <w:bookmarkEnd w:id="222"/>
      <w:bookmarkEnd w:id="223"/>
      <w:bookmarkEnd w:id="224"/>
      <w:bookmarkEnd w:id="225"/>
      <w:bookmarkEnd w:id="226"/>
      <w:bookmarkEnd w:id="227"/>
      <w:bookmarkEnd w:id="228"/>
    </w:p>
    <w:p w14:paraId="3BB25549">
      <w:pPr>
        <w:rPr>
          <w:rFonts w:hint="eastAsia" w:ascii="宋体" w:hAnsi="宋体" w:eastAsia="宋体" w:cs="宋体"/>
          <w:b/>
          <w:bCs/>
          <w:color w:val="auto"/>
          <w:sz w:val="22"/>
          <w:szCs w:val="22"/>
        </w:rPr>
      </w:pPr>
      <w:bookmarkStart w:id="229" w:name="_Toc330213991"/>
      <w:bookmarkStart w:id="230" w:name="_Toc332121759"/>
      <w:bookmarkStart w:id="231" w:name="_Toc144974543"/>
      <w:bookmarkStart w:id="232" w:name="_Toc152045575"/>
      <w:bookmarkStart w:id="233" w:name="_Toc403513538"/>
      <w:bookmarkStart w:id="234" w:name="_Toc152042351"/>
      <w:r>
        <w:rPr>
          <w:rFonts w:hint="eastAsia" w:ascii="宋体" w:hAnsi="宋体" w:eastAsia="宋体" w:cs="宋体"/>
          <w:b/>
          <w:bCs/>
          <w:color w:val="auto"/>
          <w:sz w:val="22"/>
          <w:szCs w:val="22"/>
        </w:rPr>
        <w:t>7.1 对采购人的纪律要求</w:t>
      </w:r>
      <w:bookmarkEnd w:id="229"/>
      <w:bookmarkEnd w:id="230"/>
      <w:bookmarkEnd w:id="231"/>
      <w:bookmarkEnd w:id="232"/>
      <w:bookmarkEnd w:id="233"/>
      <w:bookmarkEnd w:id="234"/>
    </w:p>
    <w:p w14:paraId="11DC0E5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采购人不得泄漏磋商活动中应当保密的情况和资料，不得与供应商串通损害国家利益、社会公共利益或者他人合法权益。</w:t>
      </w:r>
    </w:p>
    <w:p w14:paraId="3753BCEF">
      <w:pPr>
        <w:rPr>
          <w:rFonts w:hint="eastAsia" w:ascii="宋体" w:hAnsi="宋体" w:eastAsia="宋体" w:cs="宋体"/>
          <w:b/>
          <w:bCs/>
          <w:color w:val="auto"/>
          <w:sz w:val="22"/>
          <w:szCs w:val="22"/>
        </w:rPr>
      </w:pPr>
      <w:bookmarkStart w:id="235" w:name="_Toc330213992"/>
      <w:bookmarkStart w:id="236" w:name="_Toc144974544"/>
      <w:bookmarkStart w:id="237" w:name="_Toc403513539"/>
      <w:bookmarkStart w:id="238" w:name="_Toc152045576"/>
      <w:bookmarkStart w:id="239" w:name="_Toc152042352"/>
      <w:bookmarkStart w:id="240" w:name="_Toc332121760"/>
      <w:r>
        <w:rPr>
          <w:rFonts w:hint="eastAsia" w:ascii="宋体" w:hAnsi="宋体" w:eastAsia="宋体" w:cs="宋体"/>
          <w:b/>
          <w:bCs/>
          <w:color w:val="auto"/>
          <w:sz w:val="22"/>
          <w:szCs w:val="22"/>
        </w:rPr>
        <w:t>7.2 对供应商的纪律要求</w:t>
      </w:r>
      <w:bookmarkEnd w:id="235"/>
      <w:bookmarkEnd w:id="236"/>
      <w:bookmarkEnd w:id="237"/>
      <w:bookmarkEnd w:id="238"/>
      <w:bookmarkEnd w:id="239"/>
      <w:bookmarkEnd w:id="240"/>
    </w:p>
    <w:p w14:paraId="45DBBC8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供应商不得相互串通投标或者与采购人串通投标，不得向采购人或者磋商小组成员行贿谋取成交，不得以他人名义投标或者以其他方式弄虚作假骗取成交；供应商不得以任何方式干扰、影响评标工作。</w:t>
      </w:r>
    </w:p>
    <w:p w14:paraId="329D12F4">
      <w:pPr>
        <w:rPr>
          <w:rFonts w:hint="eastAsia" w:ascii="宋体" w:hAnsi="宋体" w:eastAsia="宋体" w:cs="宋体"/>
          <w:color w:val="auto"/>
          <w:sz w:val="22"/>
          <w:szCs w:val="22"/>
        </w:rPr>
      </w:pPr>
      <w:bookmarkStart w:id="241" w:name="_Toc152045577"/>
      <w:bookmarkStart w:id="242" w:name="_Toc152042353"/>
      <w:bookmarkStart w:id="243" w:name="_Toc144974545"/>
      <w:bookmarkStart w:id="244" w:name="_Toc332121761"/>
      <w:bookmarkStart w:id="245" w:name="_Toc403513540"/>
      <w:bookmarkStart w:id="246" w:name="_Toc330213993"/>
      <w:r>
        <w:rPr>
          <w:rFonts w:hint="eastAsia" w:ascii="宋体" w:hAnsi="宋体" w:eastAsia="宋体" w:cs="宋体"/>
          <w:b/>
          <w:bCs/>
          <w:color w:val="auto"/>
          <w:sz w:val="22"/>
          <w:szCs w:val="22"/>
        </w:rPr>
        <w:t>7.3 对磋商小组成员的纪律要求</w:t>
      </w:r>
      <w:bookmarkEnd w:id="241"/>
      <w:bookmarkEnd w:id="242"/>
      <w:bookmarkEnd w:id="243"/>
      <w:bookmarkEnd w:id="244"/>
      <w:bookmarkEnd w:id="245"/>
      <w:bookmarkEnd w:id="246"/>
    </w:p>
    <w:p w14:paraId="35971E6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磋商小组成员不得收受他人的财物或者其他好处，不得向他人透漏对竞争性磋商响应文件的评审和比较、成交候选人的推荐情况以及磋商有关的其他情况。在磋商活动中，磋商小组成员不得擅离职守，影响磋商程序正常进行，不得使用第三章“评审办法”没有规定的评审因素和标准进行评标。</w:t>
      </w:r>
    </w:p>
    <w:p w14:paraId="573C1BE4">
      <w:pPr>
        <w:rPr>
          <w:rFonts w:hint="eastAsia" w:ascii="宋体" w:hAnsi="宋体" w:eastAsia="宋体" w:cs="宋体"/>
          <w:b/>
          <w:bCs/>
          <w:color w:val="auto"/>
          <w:sz w:val="22"/>
          <w:szCs w:val="22"/>
        </w:rPr>
      </w:pPr>
      <w:bookmarkStart w:id="247" w:name="_Toc330213994"/>
      <w:bookmarkStart w:id="248" w:name="_Toc403513541"/>
      <w:bookmarkStart w:id="249" w:name="_Toc332121762"/>
      <w:bookmarkStart w:id="250" w:name="_Toc152042354"/>
      <w:bookmarkStart w:id="251" w:name="_Toc152045578"/>
      <w:bookmarkStart w:id="252" w:name="_Toc144974546"/>
      <w:r>
        <w:rPr>
          <w:rFonts w:hint="eastAsia" w:ascii="宋体" w:hAnsi="宋体" w:eastAsia="宋体" w:cs="宋体"/>
          <w:b/>
          <w:bCs/>
          <w:color w:val="auto"/>
          <w:sz w:val="22"/>
          <w:szCs w:val="22"/>
        </w:rPr>
        <w:t>7.4 对与磋商活动有关的工作人员的纪律要求</w:t>
      </w:r>
      <w:bookmarkEnd w:id="247"/>
      <w:bookmarkEnd w:id="248"/>
      <w:bookmarkEnd w:id="249"/>
      <w:bookmarkEnd w:id="250"/>
      <w:bookmarkEnd w:id="251"/>
    </w:p>
    <w:p w14:paraId="1EE2FFCE">
      <w:pPr>
        <w:ind w:firstLine="440" w:firstLineChars="200"/>
        <w:rPr>
          <w:rFonts w:hint="eastAsia" w:ascii="宋体" w:hAnsi="宋体" w:eastAsia="宋体" w:cs="宋体"/>
          <w:color w:val="auto"/>
          <w:sz w:val="22"/>
          <w:szCs w:val="22"/>
        </w:rPr>
      </w:pPr>
      <w:bookmarkStart w:id="253" w:name="_Toc13989"/>
      <w:bookmarkStart w:id="254" w:name="_Toc152042355"/>
      <w:r>
        <w:rPr>
          <w:rFonts w:hint="eastAsia" w:ascii="宋体" w:hAnsi="宋体" w:eastAsia="宋体" w:cs="宋体"/>
          <w:color w:val="auto"/>
          <w:sz w:val="22"/>
          <w:szCs w:val="22"/>
        </w:rPr>
        <w:t>与磋商活动有关的工作人员不得收受他人的财物或者其他好处，不得向他人透漏对竞争性磋商响应文件的评审和比较、成交候选人的推荐情况以及磋商有关的其他情况。在磋商活动中，与磋商活动有关的工作人员不得擅离职守，影响磋商程序正常进行。</w:t>
      </w:r>
      <w:bookmarkEnd w:id="252"/>
      <w:bookmarkEnd w:id="253"/>
      <w:bookmarkEnd w:id="254"/>
    </w:p>
    <w:p w14:paraId="52C76DA9">
      <w:pPr>
        <w:pStyle w:val="3"/>
        <w:rPr>
          <w:rFonts w:hint="eastAsia" w:ascii="宋体" w:hAnsi="宋体" w:eastAsia="宋体" w:cs="宋体"/>
          <w:color w:val="auto"/>
          <w:sz w:val="22"/>
          <w:szCs w:val="22"/>
        </w:rPr>
      </w:pPr>
      <w:bookmarkStart w:id="255" w:name="_Toc13177"/>
      <w:bookmarkStart w:id="256" w:name="_Toc28388"/>
      <w:bookmarkStart w:id="257" w:name="_Toc12744"/>
      <w:bookmarkStart w:id="258" w:name="_Toc518821217"/>
      <w:r>
        <w:rPr>
          <w:rFonts w:hint="eastAsia" w:ascii="宋体" w:hAnsi="宋体" w:eastAsia="宋体" w:cs="宋体"/>
          <w:color w:val="auto"/>
          <w:sz w:val="22"/>
          <w:szCs w:val="22"/>
        </w:rPr>
        <w:t>8. 采购代理服务费</w:t>
      </w:r>
      <w:bookmarkEnd w:id="255"/>
      <w:bookmarkEnd w:id="256"/>
      <w:bookmarkEnd w:id="257"/>
      <w:bookmarkEnd w:id="258"/>
    </w:p>
    <w:p w14:paraId="3585585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8.1采购代理服务费的交纳方式：在领取成交通知书时以供应商须知前附表9.4款的规定，向采购代理机构交纳采购代理服务费。</w:t>
      </w:r>
    </w:p>
    <w:p w14:paraId="7BAC2E74">
      <w:pPr>
        <w:pStyle w:val="3"/>
        <w:rPr>
          <w:rFonts w:hint="eastAsia" w:ascii="宋体" w:hAnsi="宋体" w:eastAsia="宋体" w:cs="宋体"/>
          <w:color w:val="auto"/>
          <w:sz w:val="22"/>
          <w:szCs w:val="22"/>
        </w:rPr>
      </w:pPr>
      <w:bookmarkStart w:id="259" w:name="_Toc152045580"/>
      <w:bookmarkStart w:id="260" w:name="_Toc144974547"/>
      <w:bookmarkStart w:id="261" w:name="_Toc152042357"/>
      <w:bookmarkStart w:id="262" w:name="_Toc518821218"/>
      <w:bookmarkStart w:id="263" w:name="_Toc15361"/>
      <w:bookmarkStart w:id="264" w:name="_Toc21006"/>
      <w:bookmarkStart w:id="265" w:name="_Toc27125"/>
      <w:r>
        <w:rPr>
          <w:rFonts w:hint="eastAsia" w:ascii="宋体" w:hAnsi="宋体" w:eastAsia="宋体" w:cs="宋体"/>
          <w:color w:val="auto"/>
          <w:sz w:val="22"/>
          <w:szCs w:val="22"/>
        </w:rPr>
        <w:t>9.</w:t>
      </w:r>
      <w:bookmarkEnd w:id="259"/>
      <w:bookmarkEnd w:id="260"/>
      <w:bookmarkEnd w:id="261"/>
      <w:r>
        <w:rPr>
          <w:rFonts w:hint="eastAsia" w:ascii="宋体" w:hAnsi="宋体" w:eastAsia="宋体" w:cs="宋体"/>
          <w:color w:val="auto"/>
          <w:sz w:val="22"/>
          <w:szCs w:val="22"/>
        </w:rPr>
        <w:t xml:space="preserve"> 需要补充的其他内容</w:t>
      </w:r>
      <w:bookmarkEnd w:id="262"/>
      <w:bookmarkEnd w:id="263"/>
      <w:bookmarkEnd w:id="264"/>
      <w:bookmarkEnd w:id="265"/>
    </w:p>
    <w:p w14:paraId="391DFE90">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9.1采购项目需要落实的政府采购政策</w:t>
      </w:r>
    </w:p>
    <w:p w14:paraId="3A7C24CE">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9.1.1</w:t>
      </w:r>
    </w:p>
    <w:p w14:paraId="08DEFDC1">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小型和微型企业报价给予扣除，用扣除后的价格参与评审排序，除此之外的其他情形均不适用本款规定。</w:t>
      </w:r>
    </w:p>
    <w:p w14:paraId="1534CFA2">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②中小企业参加政府采购活动，应当出具管理办法规定的《中小企业声明函》，否则不得享受相关中小企业扶持政策。</w:t>
      </w:r>
    </w:p>
    <w:p w14:paraId="0B911B1D">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③根据《关于进一步加大政府采购支持中小企业力度的通知》（财库〔2022〕19号）规定中、小、微企业参加投标时对小型和微型企业产品的价格给予 10%-20%的扣除，用扣除后的价格参与评审。</w:t>
      </w:r>
    </w:p>
    <w:p w14:paraId="613C81DA">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14:paraId="22EF14DD">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⑤中小企业（含中型、小型、微型企业），监狱企业、残疾人福利单位视同小型微型企业，享受预留份额、评审中价格扣除等促进中小企业发展的政府采购政策。向监狱企业、残疾人福利性单位采购的金额，计入面向中小企业采购的统计数据。残疾人福利性单位属于小型、微型企业的，不重复享受政策。</w:t>
      </w:r>
    </w:p>
    <w:p w14:paraId="43CDA472">
      <w:pPr>
        <w:ind w:firstLine="442" w:firstLineChars="200"/>
        <w:rPr>
          <w:rFonts w:hint="eastAsia" w:ascii="宋体" w:hAnsi="宋体" w:eastAsia="宋体" w:cs="宋体"/>
          <w:b/>
          <w:bCs/>
          <w:color w:val="auto"/>
          <w:sz w:val="22"/>
          <w:szCs w:val="22"/>
          <w:lang w:val="en-US" w:eastAsia="zh-CN"/>
        </w:rPr>
      </w:pPr>
      <w:r>
        <w:rPr>
          <w:rFonts w:hint="eastAsia" w:ascii="宋体" w:hAnsi="宋体" w:eastAsia="宋体" w:cs="宋体"/>
          <w:b/>
          <w:bCs/>
          <w:color w:val="auto"/>
          <w:sz w:val="22"/>
          <w:szCs w:val="22"/>
          <w:lang w:val="en-US" w:eastAsia="zh-CN"/>
        </w:rPr>
        <w:t>本次采购为专门面向中小企业采购项目，故不再执行价格评审优惠的扶持政策。</w:t>
      </w:r>
    </w:p>
    <w:p w14:paraId="59EA485B">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9.1.2</w:t>
      </w:r>
      <w:r>
        <w:rPr>
          <w:rFonts w:hint="eastAsia" w:ascii="宋体" w:hAnsi="宋体" w:eastAsia="宋体" w:cs="宋体"/>
          <w:color w:val="auto"/>
          <w:sz w:val="22"/>
          <w:szCs w:val="22"/>
        </w:rPr>
        <w:t>监狱企业应符合《财政部 司法部关于政府采购支持监狱企业发展有关问题的通知》--财库[2014]68号文件规定，并提供由省级以上监狱管理局、戒毒管理局(含新疆生产建设兵团)出具的属于监狱企业的证明文件复印件，监狱和戒毒企业视同小型、微型企业。</w:t>
      </w:r>
    </w:p>
    <w:p w14:paraId="1A32DE2B">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9.1.3</w:t>
      </w:r>
      <w:r>
        <w:rPr>
          <w:rFonts w:hint="eastAsia" w:ascii="宋体" w:hAnsi="宋体" w:eastAsia="宋体" w:cs="宋体"/>
          <w:color w:val="auto"/>
          <w:sz w:val="22"/>
          <w:szCs w:val="22"/>
        </w:rPr>
        <w:t>根据财政部、民政部、中国残疾人联合会下发的《关于促进残疾人就业政府采购政策的通知》（财库〔2017〕141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6FDB79A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参加政府采购活动的残疾人单位应提供《残疾人福利性单位声明函》原件。未提供上述材料的，不能享受谈判文件规定的价格扣除，但不影响响应文件的有效性。</w:t>
      </w:r>
    </w:p>
    <w:p w14:paraId="475FDB8D">
      <w:pPr>
        <w:rPr>
          <w:rFonts w:hint="eastAsia" w:ascii="宋体" w:hAnsi="宋体" w:eastAsia="宋体" w:cs="宋体"/>
          <w:color w:val="auto"/>
          <w:sz w:val="22"/>
          <w:szCs w:val="22"/>
        </w:rPr>
      </w:pPr>
      <w:r>
        <w:rPr>
          <w:rFonts w:hint="eastAsia" w:ascii="宋体" w:hAnsi="宋体" w:eastAsia="宋体" w:cs="宋体"/>
          <w:color w:val="auto"/>
          <w:sz w:val="22"/>
          <w:szCs w:val="22"/>
        </w:rPr>
        <w:br w:type="page"/>
      </w:r>
    </w:p>
    <w:p w14:paraId="2AD3E61D">
      <w:pPr>
        <w:pStyle w:val="2"/>
        <w:rPr>
          <w:rFonts w:hint="eastAsia" w:ascii="宋体" w:hAnsi="宋体" w:eastAsia="宋体" w:cs="宋体"/>
          <w:color w:val="auto"/>
          <w:sz w:val="40"/>
          <w:szCs w:val="28"/>
          <w:highlight w:val="none"/>
        </w:rPr>
      </w:pPr>
      <w:bookmarkStart w:id="266" w:name="_Toc4918"/>
      <w:bookmarkStart w:id="267" w:name="_Toc27586"/>
      <w:bookmarkStart w:id="268" w:name="_Toc8218"/>
      <w:bookmarkStart w:id="269" w:name="_Toc27897"/>
      <w:bookmarkStart w:id="270" w:name="_Toc16176"/>
      <w:bookmarkStart w:id="271" w:name="_Toc12174"/>
      <w:bookmarkStart w:id="272" w:name="_Toc6438"/>
      <w:r>
        <w:rPr>
          <w:rFonts w:hint="eastAsia" w:ascii="宋体" w:hAnsi="宋体" w:eastAsia="宋体" w:cs="宋体"/>
          <w:color w:val="auto"/>
          <w:sz w:val="40"/>
          <w:szCs w:val="28"/>
          <w:highlight w:val="none"/>
        </w:rPr>
        <w:t>第三章  评审办法</w:t>
      </w:r>
      <w:bookmarkEnd w:id="266"/>
      <w:bookmarkEnd w:id="267"/>
      <w:bookmarkEnd w:id="268"/>
      <w:bookmarkEnd w:id="269"/>
    </w:p>
    <w:p w14:paraId="0CE751E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1、本项目采用综合评分法进行评审，总分为100分，具体评分方法如下：</w:t>
      </w:r>
    </w:p>
    <w:p w14:paraId="055C215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综合评分法：即在最大限度地满足竞争性磋商文件实质性要求前提下，按照竞争性磋商文件中规定的各项因素和相应的权重分值进行综合评审后，以总得分最高的供应商作为成交候选供应商并依次排序（最低报价不是成交的唯一标准）。</w:t>
      </w:r>
    </w:p>
    <w:p w14:paraId="75A85FA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3、评审办法</w:t>
      </w:r>
    </w:p>
    <w:p w14:paraId="40AECF49">
      <w:pPr>
        <w:ind w:firstLine="643" w:firstLineChars="200"/>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资格评审表</w:t>
      </w:r>
    </w:p>
    <w:tbl>
      <w:tblPr>
        <w:tblStyle w:val="22"/>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3"/>
        <w:gridCol w:w="6959"/>
      </w:tblGrid>
      <w:tr w14:paraId="65F7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blHeader/>
          <w:jc w:val="center"/>
        </w:trPr>
        <w:tc>
          <w:tcPr>
            <w:tcW w:w="1271" w:type="pct"/>
            <w:vAlign w:val="center"/>
          </w:tcPr>
          <w:p w14:paraId="61DF193C">
            <w:pPr>
              <w:widowControl/>
              <w:adjustRightInd w:val="0"/>
              <w:snapToGrid w:val="0"/>
              <w:spacing w:after="156" w:afterLines="50" w:line="360" w:lineRule="auto"/>
              <w:jc w:val="center"/>
              <w:rPr>
                <w:rFonts w:hint="eastAsia" w:ascii="宋体" w:hAnsi="宋体" w:eastAsia="宋体" w:cs="宋体"/>
                <w:b/>
                <w:bCs/>
                <w:color w:val="auto"/>
                <w:kern w:val="0"/>
                <w:sz w:val="20"/>
                <w:szCs w:val="20"/>
              </w:rPr>
            </w:pPr>
            <w:r>
              <w:rPr>
                <w:rFonts w:hint="eastAsia" w:ascii="宋体" w:hAnsi="宋体" w:eastAsia="宋体" w:cs="宋体"/>
                <w:b/>
                <w:bCs/>
                <w:color w:val="auto"/>
                <w:sz w:val="20"/>
                <w:szCs w:val="20"/>
              </w:rPr>
              <w:t>评审内容</w:t>
            </w:r>
          </w:p>
        </w:tc>
        <w:tc>
          <w:tcPr>
            <w:tcW w:w="3728" w:type="pct"/>
            <w:vAlign w:val="center"/>
          </w:tcPr>
          <w:p w14:paraId="7E526BD8">
            <w:pPr>
              <w:widowControl/>
              <w:adjustRightInd w:val="0"/>
              <w:snapToGrid w:val="0"/>
              <w:spacing w:after="156" w:afterLines="50" w:line="360" w:lineRule="auto"/>
              <w:jc w:val="center"/>
              <w:rPr>
                <w:rFonts w:hint="eastAsia" w:ascii="宋体" w:hAnsi="宋体" w:eastAsia="宋体" w:cs="宋体"/>
                <w:b/>
                <w:bCs/>
                <w:color w:val="auto"/>
                <w:kern w:val="0"/>
                <w:sz w:val="20"/>
                <w:szCs w:val="20"/>
              </w:rPr>
            </w:pPr>
            <w:r>
              <w:rPr>
                <w:rFonts w:hint="eastAsia" w:ascii="宋体" w:hAnsi="宋体" w:eastAsia="宋体" w:cs="宋体"/>
                <w:b/>
                <w:bCs/>
                <w:color w:val="auto"/>
                <w:sz w:val="20"/>
                <w:szCs w:val="20"/>
              </w:rPr>
              <w:t>评审原则与标准</w:t>
            </w:r>
          </w:p>
        </w:tc>
      </w:tr>
      <w:tr w14:paraId="7493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271" w:type="pct"/>
            <w:vAlign w:val="center"/>
          </w:tcPr>
          <w:p w14:paraId="6642F9CE">
            <w:pPr>
              <w:widowControl/>
              <w:adjustRightInd w:val="0"/>
              <w:snapToGrid w:val="0"/>
              <w:spacing w:after="156" w:afterLines="50" w:line="24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lang w:eastAsia="zh-CN"/>
              </w:rPr>
              <w:t>承诺书</w:t>
            </w:r>
          </w:p>
        </w:tc>
        <w:tc>
          <w:tcPr>
            <w:tcW w:w="3728" w:type="pct"/>
            <w:vAlign w:val="center"/>
          </w:tcPr>
          <w:p w14:paraId="3AB5E8EE">
            <w:pPr>
              <w:widowControl/>
              <w:adjustRightInd w:val="0"/>
              <w:snapToGrid w:val="0"/>
              <w:spacing w:after="156" w:afterLines="50" w:line="240" w:lineRule="auto"/>
              <w:jc w:val="both"/>
              <w:rPr>
                <w:rFonts w:hint="eastAsia" w:ascii="宋体" w:hAnsi="宋体" w:eastAsia="宋体" w:cs="宋体"/>
                <w:color w:val="auto"/>
                <w:sz w:val="22"/>
                <w:szCs w:val="22"/>
              </w:rPr>
            </w:pPr>
            <w:r>
              <w:rPr>
                <w:rFonts w:hint="eastAsia" w:ascii="宋体" w:hAnsi="宋体" w:eastAsia="宋体" w:cs="宋体"/>
                <w:color w:val="auto"/>
                <w:sz w:val="22"/>
                <w:szCs w:val="22"/>
                <w:lang w:eastAsia="zh-CN"/>
              </w:rPr>
              <w:t>供应商提供</w:t>
            </w:r>
            <w:r>
              <w:rPr>
                <w:rFonts w:hint="eastAsia" w:ascii="宋体" w:hAnsi="宋体" w:eastAsia="宋体" w:cs="宋体"/>
                <w:color w:val="auto"/>
                <w:sz w:val="22"/>
                <w:szCs w:val="22"/>
              </w:rPr>
              <w:t>《中</w:t>
            </w:r>
            <w:r>
              <w:rPr>
                <w:rFonts w:hint="eastAsia" w:ascii="宋体" w:hAnsi="宋体" w:eastAsia="宋体" w:cs="宋体"/>
                <w:color w:val="auto"/>
                <w:sz w:val="22"/>
                <w:szCs w:val="22"/>
                <w:lang w:eastAsia="zh-CN"/>
              </w:rPr>
              <w:t>华人民共和国政府采购法》第二十二条承诺书</w:t>
            </w:r>
          </w:p>
        </w:tc>
      </w:tr>
      <w:tr w14:paraId="23DE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1271" w:type="pct"/>
            <w:shd w:val="clear" w:color="auto" w:fill="auto"/>
            <w:vAlign w:val="center"/>
          </w:tcPr>
          <w:p w14:paraId="493D658A">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营业执照（或事业法人证）/自然人身份证</w:t>
            </w:r>
          </w:p>
        </w:tc>
        <w:tc>
          <w:tcPr>
            <w:tcW w:w="3728" w:type="pct"/>
            <w:shd w:val="clear" w:color="auto" w:fill="auto"/>
            <w:vAlign w:val="center"/>
          </w:tcPr>
          <w:p w14:paraId="4FB0DBC4">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供应商具有独立承担民事责任能力的法人、其他组织或自然人，并出具合法有效的营业执照副本（附营业执照的2024年企业年度报告书）或事业单位法人证书等国家规定的相关证明，自然人参与的提供其身份证明；</w:t>
            </w:r>
          </w:p>
        </w:tc>
      </w:tr>
      <w:tr w14:paraId="2846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271" w:type="pct"/>
            <w:vAlign w:val="center"/>
          </w:tcPr>
          <w:p w14:paraId="6AE2F7C8">
            <w:pPr>
              <w:widowControl/>
              <w:adjustRightInd w:val="0"/>
              <w:snapToGrid w:val="0"/>
              <w:spacing w:after="156" w:afterLines="50" w:line="240" w:lineRule="auto"/>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资质</w:t>
            </w:r>
          </w:p>
        </w:tc>
        <w:tc>
          <w:tcPr>
            <w:tcW w:w="3728" w:type="pct"/>
            <w:vAlign w:val="center"/>
          </w:tcPr>
          <w:p w14:paraId="6602DEAE">
            <w:pPr>
              <w:keepNext w:val="0"/>
              <w:keepLines w:val="0"/>
              <w:pageBreakBefore w:val="0"/>
              <w:kinsoku/>
              <w:wordWrap/>
              <w:overflowPunct/>
              <w:topLinePunct w:val="0"/>
              <w:autoSpaceDE/>
              <w:autoSpaceDN/>
              <w:bidi w:val="0"/>
              <w:adjustRightInd/>
              <w:snapToGrid/>
              <w:spacing w:line="400" w:lineRule="exact"/>
              <w:textAlignment w:val="auto"/>
              <w:outlineLvl w:val="9"/>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本项目要求投标人需具备建设行政主管部门颁发的水利水电工程施工总承包三级及其以上资质的独立企业法人，并具备有效的安全生产许可证，并在人员、设备、资金等方面有相应的施工能力；</w:t>
            </w:r>
          </w:p>
        </w:tc>
      </w:tr>
      <w:tr w14:paraId="3F364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271" w:type="pct"/>
            <w:shd w:val="clear" w:color="auto" w:fill="auto"/>
            <w:vAlign w:val="center"/>
          </w:tcPr>
          <w:p w14:paraId="7F5111C1">
            <w:pPr>
              <w:widowControl/>
              <w:adjustRightInd w:val="0"/>
              <w:snapToGrid w:val="0"/>
              <w:spacing w:after="156" w:afterLines="50" w:line="240" w:lineRule="auto"/>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项目负责人</w:t>
            </w:r>
          </w:p>
        </w:tc>
        <w:tc>
          <w:tcPr>
            <w:tcW w:w="3728" w:type="pct"/>
            <w:shd w:val="clear" w:color="auto" w:fill="auto"/>
            <w:vAlign w:val="center"/>
          </w:tcPr>
          <w:p w14:paraId="647628E8">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拟派项目负责人需具备水利水电工程专业二级及以上注册建造师证书和有效的安全生产考核合格证书（水安B证），以及2025年8月、9月或10月份至少一个月的社保经办机构出具的本企业社保缴纳证明材料（五险一金其中一项即可，应可查询），且未担任其他在建工程的项目负责人；</w:t>
            </w:r>
          </w:p>
        </w:tc>
      </w:tr>
      <w:tr w14:paraId="5028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271" w:type="pct"/>
            <w:shd w:val="clear" w:color="auto" w:fill="auto"/>
            <w:vAlign w:val="center"/>
          </w:tcPr>
          <w:p w14:paraId="4034159B">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财务状况报告</w:t>
            </w:r>
          </w:p>
        </w:tc>
        <w:tc>
          <w:tcPr>
            <w:tcW w:w="3728" w:type="pct"/>
            <w:shd w:val="clear" w:color="auto" w:fill="auto"/>
            <w:vAlign w:val="center"/>
          </w:tcPr>
          <w:p w14:paraId="5F16E510">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财务状况良好，提供2024年度财务审计报告（公司成立不足一年的需提供基本存款账户开户银行出具的资信证明）；</w:t>
            </w:r>
          </w:p>
        </w:tc>
      </w:tr>
      <w:tr w14:paraId="1F8A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71" w:type="pct"/>
            <w:vAlign w:val="center"/>
          </w:tcPr>
          <w:p w14:paraId="110ADBB0">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税收缴纳证明</w:t>
            </w:r>
          </w:p>
        </w:tc>
        <w:tc>
          <w:tcPr>
            <w:tcW w:w="3728" w:type="pct"/>
            <w:vAlign w:val="center"/>
          </w:tcPr>
          <w:p w14:paraId="3695B330">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提供2025年1月至投标截止时间已缴纳的至少一个月的纳税证明或完税证明，依法免税的单位应提供相关证明材料；</w:t>
            </w:r>
          </w:p>
        </w:tc>
      </w:tr>
      <w:tr w14:paraId="4C0CD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1271" w:type="pct"/>
            <w:vAlign w:val="center"/>
          </w:tcPr>
          <w:p w14:paraId="5A7E983F">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社会保障资金缴纳证明</w:t>
            </w:r>
          </w:p>
        </w:tc>
        <w:tc>
          <w:tcPr>
            <w:tcW w:w="3728" w:type="pct"/>
            <w:vAlign w:val="center"/>
          </w:tcPr>
          <w:p w14:paraId="6F1AD5A7">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提供2025年1月至投标截止时间已缴纳的至少一个月的社会保障资金缴存单据或社保机构开具的社会保险参保缴费情况证明。依法不需要缴纳社会保障资金的供应商应提供相关文件证明；</w:t>
            </w:r>
          </w:p>
        </w:tc>
      </w:tr>
      <w:tr w14:paraId="4677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71" w:type="pct"/>
            <w:vAlign w:val="center"/>
          </w:tcPr>
          <w:p w14:paraId="3867A829">
            <w:pPr>
              <w:widowControl/>
              <w:adjustRightInd w:val="0"/>
              <w:snapToGrid w:val="0"/>
              <w:spacing w:after="156" w:afterLines="50"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企业信誉</w:t>
            </w:r>
          </w:p>
        </w:tc>
        <w:tc>
          <w:tcPr>
            <w:tcW w:w="3728" w:type="pct"/>
            <w:vAlign w:val="center"/>
          </w:tcPr>
          <w:p w14:paraId="4F893659">
            <w:pPr>
              <w:widowControl/>
              <w:adjustRightInd w:val="0"/>
              <w:snapToGrid w:val="0"/>
              <w:spacing w:after="156" w:afterLines="50"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投标供应商在中国政府采购网（www.ccgp.gov.cn）中未被列入政府采购严重违法失信行为记录名单；投标供应商、法定代表人及拟派本项目的项目负责人在“信用中国”网站（https://www.creditchina.gov.cn/）中未被列入失信被执行人名单，投标供应商提供企业完整信用报告，投标供应商、法定代表人及拟派本项目的项目负责人提供网页查询截图加盖企业原色印章（截图及报告生成时间段为磋商公告发出至递交响应文件截止时间内,未被列入失信被执行人名单截图可在其“中国执行信息公开网”网站（http://zxgk.court.gov.cn）中全国范围内查询）。</w:t>
            </w:r>
          </w:p>
        </w:tc>
      </w:tr>
      <w:tr w14:paraId="785B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271" w:type="pct"/>
            <w:vAlign w:val="center"/>
          </w:tcPr>
          <w:p w14:paraId="4CB955E5">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书面声明</w:t>
            </w:r>
          </w:p>
        </w:tc>
        <w:tc>
          <w:tcPr>
            <w:tcW w:w="3728" w:type="pct"/>
            <w:vAlign w:val="center"/>
          </w:tcPr>
          <w:p w14:paraId="3EC5229D">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参加本次政府采购活动前三年内在经营活动中没有重大违法记录的声明函；</w:t>
            </w:r>
          </w:p>
        </w:tc>
      </w:tr>
      <w:tr w14:paraId="02179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pct"/>
            <w:vAlign w:val="center"/>
          </w:tcPr>
          <w:p w14:paraId="70554C59">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控股管理关系</w:t>
            </w:r>
          </w:p>
        </w:tc>
        <w:tc>
          <w:tcPr>
            <w:tcW w:w="3728" w:type="pct"/>
            <w:vAlign w:val="center"/>
          </w:tcPr>
          <w:p w14:paraId="43EDEB3A">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项目不接受联合体磋商。各供应商单位负责人为同一人或者存在直接控股、管理关系的不同供应商，不得参加同一合同项下的政府采购活动。违反规定的，其投标均无效；</w:t>
            </w:r>
          </w:p>
        </w:tc>
      </w:tr>
      <w:tr w14:paraId="6F00F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271" w:type="pct"/>
            <w:vAlign w:val="center"/>
          </w:tcPr>
          <w:p w14:paraId="1104B775">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政府采购信用承诺</w:t>
            </w:r>
          </w:p>
        </w:tc>
        <w:tc>
          <w:tcPr>
            <w:tcW w:w="3728" w:type="pct"/>
            <w:vAlign w:val="center"/>
          </w:tcPr>
          <w:p w14:paraId="399A89D3">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提供榆林市政府采购工程类项目供应商信用承诺书及信用中国（陕西榆林）主动承诺网页截图；</w:t>
            </w:r>
          </w:p>
        </w:tc>
      </w:tr>
      <w:tr w14:paraId="23D2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271" w:type="pct"/>
            <w:vAlign w:val="center"/>
          </w:tcPr>
          <w:p w14:paraId="7ADD8E52">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磋商保证金</w:t>
            </w:r>
          </w:p>
        </w:tc>
        <w:tc>
          <w:tcPr>
            <w:tcW w:w="3728" w:type="pct"/>
            <w:vAlign w:val="center"/>
          </w:tcPr>
          <w:p w14:paraId="3037107A">
            <w:pPr>
              <w:widowControl/>
              <w:adjustRightInd w:val="0"/>
              <w:snapToGrid w:val="0"/>
              <w:spacing w:after="156" w:afterLines="50" w:line="240" w:lineRule="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用投标信用承诺书代替（提供投标信用承诺书及信用中国（陕西榆林）主动承诺网页截图）；</w:t>
            </w:r>
          </w:p>
        </w:tc>
      </w:tr>
      <w:tr w14:paraId="1F12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271" w:type="pct"/>
            <w:vAlign w:val="center"/>
          </w:tcPr>
          <w:p w14:paraId="52670558">
            <w:pPr>
              <w:widowControl/>
              <w:adjustRightInd w:val="0"/>
              <w:snapToGrid w:val="0"/>
              <w:spacing w:after="156" w:afterLines="50" w:line="240" w:lineRule="auto"/>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中小企业声明</w:t>
            </w:r>
          </w:p>
        </w:tc>
        <w:tc>
          <w:tcPr>
            <w:tcW w:w="3728" w:type="pct"/>
            <w:vAlign w:val="center"/>
          </w:tcPr>
          <w:p w14:paraId="54437738">
            <w:pPr>
              <w:widowControl/>
              <w:adjustRightInd w:val="0"/>
              <w:snapToGrid w:val="0"/>
              <w:spacing w:after="156" w:afterLines="50" w:line="240" w:lineRule="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本项目专门面向中小企业采购。不满足中小企业政策规定的，将被拒绝参与本项目政府采购投标活动。满足要求的中小企业须提供管理办法规定的《中小企业声明函》；</w:t>
            </w:r>
          </w:p>
        </w:tc>
      </w:tr>
      <w:tr w14:paraId="08AEB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271" w:type="pct"/>
            <w:shd w:val="clear" w:color="auto" w:fill="auto"/>
            <w:vAlign w:val="center"/>
          </w:tcPr>
          <w:p w14:paraId="20DA0317">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Theme="majorEastAsia" w:hAnsiTheme="majorEastAsia" w:eastAsiaTheme="majorEastAsia" w:cstheme="majorEastAsia"/>
                <w:color w:val="auto"/>
                <w:sz w:val="24"/>
                <w:szCs w:val="24"/>
                <w:lang w:val="en-US" w:eastAsia="zh-CN"/>
              </w:rPr>
              <w:t>拟投入项目管理人员</w:t>
            </w:r>
          </w:p>
        </w:tc>
        <w:tc>
          <w:tcPr>
            <w:tcW w:w="3728" w:type="pct"/>
            <w:shd w:val="clear" w:color="auto" w:fill="auto"/>
            <w:vAlign w:val="center"/>
          </w:tcPr>
          <w:p w14:paraId="4F47ED47">
            <w:pPr>
              <w:widowControl/>
              <w:adjustRightInd w:val="0"/>
              <w:snapToGrid w:val="0"/>
              <w:spacing w:after="156" w:afterLines="50" w:line="240" w:lineRule="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拟投入项目管理人员情况应配备合理，配备包括但不限于：技术负责人、安全员、质量员、材料员、施工员；</w:t>
            </w:r>
          </w:p>
          <w:p w14:paraId="0260087D">
            <w:pPr>
              <w:widowControl/>
              <w:adjustRightInd w:val="0"/>
              <w:snapToGrid w:val="0"/>
              <w:spacing w:after="156" w:afterLines="50" w:line="240" w:lineRule="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 xml:space="preserve">1）质量员、材料员、施工员应持有岗位证书及身份证复印件； </w:t>
            </w:r>
          </w:p>
          <w:p w14:paraId="060D5987">
            <w:pPr>
              <w:widowControl/>
              <w:adjustRightInd w:val="0"/>
              <w:snapToGrid w:val="0"/>
              <w:spacing w:after="156" w:afterLines="50" w:line="240" w:lineRule="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2）技术负责人提供水利水电工程相关专业中级及以上职称证书；</w:t>
            </w:r>
          </w:p>
          <w:p w14:paraId="30E7A8E7">
            <w:pPr>
              <w:widowControl/>
              <w:adjustRightInd w:val="0"/>
              <w:snapToGrid w:val="0"/>
              <w:spacing w:after="156" w:afterLines="50" w:line="240" w:lineRule="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3）安全员应持有有效的安全生产考核合格证书（水安C证）及身份证复印件；</w:t>
            </w:r>
          </w:p>
        </w:tc>
      </w:tr>
    </w:tbl>
    <w:p w14:paraId="59BE80D8">
      <w:pPr>
        <w:rPr>
          <w:rFonts w:hint="eastAsia" w:ascii="宋体" w:hAnsi="宋体" w:eastAsia="宋体" w:cs="宋体"/>
          <w:b/>
          <w:bCs/>
          <w:color w:val="auto"/>
          <w:sz w:val="32"/>
          <w:szCs w:val="32"/>
        </w:rPr>
      </w:pPr>
      <w:r>
        <w:rPr>
          <w:rFonts w:hint="eastAsia" w:ascii="宋体" w:hAnsi="宋体" w:eastAsia="宋体" w:cs="宋体"/>
          <w:b/>
          <w:bCs/>
          <w:color w:val="auto"/>
          <w:sz w:val="32"/>
          <w:szCs w:val="32"/>
        </w:rPr>
        <w:t>初步评审表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7"/>
        <w:gridCol w:w="6668"/>
      </w:tblGrid>
      <w:tr w14:paraId="73EC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64F89C35">
            <w:pPr>
              <w:widowControl/>
              <w:adjustRightInd w:val="0"/>
              <w:snapToGrid w:val="0"/>
              <w:spacing w:after="156" w:afterLines="50" w:line="240" w:lineRule="auto"/>
              <w:jc w:val="center"/>
              <w:rPr>
                <w:rFonts w:hint="eastAsia" w:ascii="宋体" w:hAnsi="宋体" w:eastAsia="宋体" w:cs="宋体"/>
                <w:b/>
                <w:bCs/>
                <w:color w:val="auto"/>
                <w:kern w:val="0"/>
                <w:sz w:val="22"/>
                <w:szCs w:val="22"/>
              </w:rPr>
            </w:pPr>
            <w:r>
              <w:rPr>
                <w:rFonts w:hint="eastAsia" w:ascii="宋体" w:hAnsi="宋体" w:eastAsia="宋体" w:cs="宋体"/>
                <w:b/>
                <w:bCs/>
                <w:color w:val="auto"/>
                <w:sz w:val="22"/>
                <w:szCs w:val="22"/>
              </w:rPr>
              <w:t>评审内容</w:t>
            </w:r>
          </w:p>
        </w:tc>
        <w:tc>
          <w:tcPr>
            <w:tcW w:w="3503" w:type="pct"/>
            <w:vAlign w:val="center"/>
          </w:tcPr>
          <w:p w14:paraId="06477A34">
            <w:pPr>
              <w:widowControl/>
              <w:adjustRightInd w:val="0"/>
              <w:snapToGrid w:val="0"/>
              <w:spacing w:after="156" w:afterLines="50" w:line="240" w:lineRule="auto"/>
              <w:jc w:val="center"/>
              <w:rPr>
                <w:rFonts w:hint="eastAsia" w:ascii="宋体" w:hAnsi="宋体" w:eastAsia="宋体" w:cs="宋体"/>
                <w:b/>
                <w:bCs/>
                <w:color w:val="auto"/>
                <w:kern w:val="0"/>
                <w:sz w:val="22"/>
                <w:szCs w:val="22"/>
              </w:rPr>
            </w:pPr>
            <w:r>
              <w:rPr>
                <w:rFonts w:hint="eastAsia" w:ascii="宋体" w:hAnsi="宋体" w:eastAsia="宋体" w:cs="宋体"/>
                <w:b/>
                <w:bCs/>
                <w:color w:val="auto"/>
                <w:sz w:val="22"/>
                <w:szCs w:val="22"/>
              </w:rPr>
              <w:t>评审原则与标准</w:t>
            </w:r>
          </w:p>
        </w:tc>
      </w:tr>
      <w:tr w14:paraId="263C6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19FEC4A8">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供应商名称</w:t>
            </w:r>
          </w:p>
        </w:tc>
        <w:tc>
          <w:tcPr>
            <w:tcW w:w="3503" w:type="pct"/>
            <w:vAlign w:val="center"/>
          </w:tcPr>
          <w:p w14:paraId="49869A4A">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与营业执照一致</w:t>
            </w:r>
          </w:p>
        </w:tc>
      </w:tr>
      <w:tr w14:paraId="60DF4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791CA3F4">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sz w:val="22"/>
                <w:szCs w:val="22"/>
              </w:rPr>
              <w:t>签字盖章</w:t>
            </w:r>
          </w:p>
        </w:tc>
        <w:tc>
          <w:tcPr>
            <w:tcW w:w="3503" w:type="pct"/>
            <w:vAlign w:val="center"/>
          </w:tcPr>
          <w:p w14:paraId="5926F2B0">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有法定代表人或其委托代理人签字或加盖单位章</w:t>
            </w:r>
          </w:p>
        </w:tc>
      </w:tr>
      <w:tr w14:paraId="7B3E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3D210DED">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磋商响应文件格式</w:t>
            </w:r>
          </w:p>
        </w:tc>
        <w:tc>
          <w:tcPr>
            <w:tcW w:w="3503" w:type="pct"/>
            <w:vAlign w:val="center"/>
          </w:tcPr>
          <w:p w14:paraId="490B8B81">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符合“磋商响应文件格式”的要求</w:t>
            </w:r>
          </w:p>
        </w:tc>
      </w:tr>
      <w:tr w14:paraId="03545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4ECF39B9">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投标报价</w:t>
            </w:r>
          </w:p>
        </w:tc>
        <w:tc>
          <w:tcPr>
            <w:tcW w:w="3503" w:type="pct"/>
            <w:vAlign w:val="center"/>
          </w:tcPr>
          <w:p w14:paraId="3844817D">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lang w:eastAsia="zh-CN"/>
              </w:rPr>
              <w:t>磋商报价</w:t>
            </w:r>
            <w:r>
              <w:rPr>
                <w:rFonts w:hint="eastAsia" w:ascii="宋体" w:hAnsi="宋体" w:eastAsia="宋体" w:cs="宋体"/>
                <w:color w:val="auto"/>
                <w:sz w:val="22"/>
                <w:szCs w:val="22"/>
                <w:lang w:val="en-US" w:eastAsia="zh-CN"/>
              </w:rPr>
              <w:t>未超出</w:t>
            </w:r>
            <w:r>
              <w:rPr>
                <w:rFonts w:hint="eastAsia" w:ascii="宋体" w:hAnsi="宋体" w:eastAsia="宋体" w:cs="宋体"/>
                <w:color w:val="auto"/>
                <w:sz w:val="22"/>
                <w:szCs w:val="22"/>
                <w:lang w:eastAsia="zh-CN"/>
              </w:rPr>
              <w:t>采购预算</w:t>
            </w:r>
          </w:p>
        </w:tc>
      </w:tr>
      <w:tr w14:paraId="1182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496" w:type="pct"/>
            <w:vAlign w:val="center"/>
          </w:tcPr>
          <w:p w14:paraId="479A37EF">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合同履行期限（</w:t>
            </w:r>
            <w:r>
              <w:rPr>
                <w:rFonts w:hint="eastAsia" w:ascii="宋体" w:hAnsi="宋体" w:eastAsia="宋体" w:cs="宋体"/>
                <w:color w:val="auto"/>
                <w:kern w:val="0"/>
                <w:sz w:val="22"/>
                <w:szCs w:val="22"/>
                <w:lang w:eastAsia="zh-CN"/>
              </w:rPr>
              <w:t>工期</w:t>
            </w:r>
            <w:r>
              <w:rPr>
                <w:rFonts w:hint="eastAsia" w:ascii="宋体" w:hAnsi="宋体" w:eastAsia="宋体" w:cs="宋体"/>
                <w:color w:val="auto"/>
                <w:kern w:val="0"/>
                <w:sz w:val="22"/>
                <w:szCs w:val="22"/>
              </w:rPr>
              <w:t>）</w:t>
            </w:r>
          </w:p>
        </w:tc>
        <w:tc>
          <w:tcPr>
            <w:tcW w:w="3503" w:type="pct"/>
            <w:vAlign w:val="center"/>
          </w:tcPr>
          <w:p w14:paraId="12131E94">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符合采购文件要求</w:t>
            </w:r>
          </w:p>
        </w:tc>
      </w:tr>
      <w:tr w14:paraId="10D0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1864E8B5">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质量</w:t>
            </w:r>
          </w:p>
        </w:tc>
        <w:tc>
          <w:tcPr>
            <w:tcW w:w="3503" w:type="pct"/>
            <w:vAlign w:val="center"/>
          </w:tcPr>
          <w:p w14:paraId="4B591DA1">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符合国家及</w:t>
            </w:r>
            <w:r>
              <w:rPr>
                <w:rFonts w:hint="eastAsia" w:ascii="宋体" w:hAnsi="宋体" w:eastAsia="宋体" w:cs="宋体"/>
                <w:color w:val="auto"/>
                <w:sz w:val="22"/>
                <w:szCs w:val="22"/>
                <w:lang w:val="en-US" w:eastAsia="zh-CN"/>
              </w:rPr>
              <w:t>行业</w:t>
            </w:r>
            <w:r>
              <w:rPr>
                <w:rFonts w:hint="eastAsia" w:ascii="宋体" w:hAnsi="宋体" w:eastAsia="宋体" w:cs="宋体"/>
                <w:color w:val="auto"/>
                <w:sz w:val="22"/>
                <w:szCs w:val="22"/>
              </w:rPr>
              <w:t>相关部门规定的验收合格标准</w:t>
            </w:r>
          </w:p>
        </w:tc>
      </w:tr>
      <w:tr w14:paraId="141A9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6" w:type="pct"/>
            <w:vAlign w:val="center"/>
          </w:tcPr>
          <w:p w14:paraId="0750B7B3">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sz w:val="22"/>
                <w:szCs w:val="22"/>
              </w:rPr>
              <w:t>磋商有效期</w:t>
            </w:r>
          </w:p>
        </w:tc>
        <w:tc>
          <w:tcPr>
            <w:tcW w:w="3503" w:type="pct"/>
            <w:vAlign w:val="center"/>
          </w:tcPr>
          <w:p w14:paraId="12925FE8">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符合采购文件要求</w:t>
            </w:r>
          </w:p>
        </w:tc>
      </w:tr>
      <w:tr w14:paraId="45866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176B6C87">
            <w:pPr>
              <w:spacing w:line="240" w:lineRule="auto"/>
              <w:jc w:val="center"/>
              <w:rPr>
                <w:rFonts w:hint="eastAsia" w:ascii="宋体" w:hAnsi="宋体" w:eastAsia="宋体" w:cs="宋体"/>
                <w:b/>
                <w:bCs/>
                <w:color w:val="auto"/>
                <w:kern w:val="0"/>
                <w:sz w:val="22"/>
                <w:szCs w:val="22"/>
              </w:rPr>
            </w:pPr>
            <w:r>
              <w:rPr>
                <w:rFonts w:hint="eastAsia" w:ascii="宋体" w:hAnsi="宋体" w:eastAsia="宋体" w:cs="宋体"/>
                <w:color w:val="auto"/>
                <w:sz w:val="22"/>
                <w:szCs w:val="22"/>
              </w:rPr>
              <w:t>采购内容及要求</w:t>
            </w:r>
          </w:p>
        </w:tc>
        <w:tc>
          <w:tcPr>
            <w:tcW w:w="3503" w:type="pct"/>
            <w:vAlign w:val="center"/>
          </w:tcPr>
          <w:p w14:paraId="3A6231FC">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未出现漏项或内容与要求不符，无重大负偏差；</w:t>
            </w:r>
          </w:p>
        </w:tc>
      </w:tr>
      <w:tr w14:paraId="6BED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64D0A69C">
            <w:pPr>
              <w:widowControl/>
              <w:adjustRightInd w:val="0"/>
              <w:snapToGrid w:val="0"/>
              <w:spacing w:after="156" w:afterLines="50" w:line="24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磋商响应文件的数量</w:t>
            </w:r>
          </w:p>
        </w:tc>
        <w:tc>
          <w:tcPr>
            <w:tcW w:w="3503" w:type="pct"/>
            <w:vAlign w:val="center"/>
          </w:tcPr>
          <w:p w14:paraId="641297C5">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符合采购文件要求</w:t>
            </w:r>
          </w:p>
        </w:tc>
      </w:tr>
      <w:tr w14:paraId="4D170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4832DBFC">
            <w:pPr>
              <w:spacing w:line="440" w:lineRule="exact"/>
              <w:jc w:val="center"/>
              <w:rPr>
                <w:rFonts w:hint="eastAsia" w:ascii="宋体" w:hAnsi="宋体" w:eastAsia="宋体" w:cs="宋体"/>
                <w:color w:val="auto"/>
                <w:sz w:val="22"/>
                <w:szCs w:val="22"/>
              </w:rPr>
            </w:pPr>
            <w:r>
              <w:rPr>
                <w:rFonts w:hint="eastAsia" w:ascii="宋体" w:hAnsi="宋体" w:eastAsia="宋体" w:cs="宋体"/>
                <w:color w:val="auto"/>
                <w:sz w:val="22"/>
                <w:szCs w:val="22"/>
              </w:rPr>
              <w:t>权利义务</w:t>
            </w:r>
          </w:p>
        </w:tc>
        <w:tc>
          <w:tcPr>
            <w:tcW w:w="3503" w:type="pct"/>
            <w:vAlign w:val="center"/>
          </w:tcPr>
          <w:p w14:paraId="607D8F5C">
            <w:pPr>
              <w:spacing w:line="440" w:lineRule="exact"/>
              <w:rPr>
                <w:rFonts w:hint="eastAsia" w:ascii="宋体" w:hAnsi="宋体" w:eastAsia="宋体" w:cs="宋体"/>
                <w:color w:val="auto"/>
                <w:sz w:val="22"/>
                <w:szCs w:val="22"/>
              </w:rPr>
            </w:pPr>
            <w:r>
              <w:rPr>
                <w:rFonts w:hint="eastAsia" w:ascii="宋体" w:hAnsi="宋体" w:eastAsia="宋体" w:cs="宋体"/>
                <w:color w:val="auto"/>
                <w:sz w:val="22"/>
                <w:szCs w:val="22"/>
              </w:rPr>
              <w:t>符合第四章“合同条款及格式”规定</w:t>
            </w:r>
          </w:p>
        </w:tc>
      </w:tr>
    </w:tbl>
    <w:p w14:paraId="1D70196C">
      <w:pP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63BFA9FE">
      <w:pPr>
        <w:ind w:firstLine="643" w:firstLineChars="20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评标细则</w:t>
      </w:r>
    </w:p>
    <w:tbl>
      <w:tblPr>
        <w:tblStyle w:val="22"/>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796"/>
        <w:gridCol w:w="1066"/>
        <w:gridCol w:w="7258"/>
      </w:tblGrid>
      <w:tr w14:paraId="262C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Align w:val="center"/>
          </w:tcPr>
          <w:p w14:paraId="10ED7FE5">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1862" w:type="dxa"/>
            <w:gridSpan w:val="2"/>
            <w:vAlign w:val="center"/>
          </w:tcPr>
          <w:p w14:paraId="58C14132">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评分因素</w:t>
            </w:r>
          </w:p>
        </w:tc>
        <w:tc>
          <w:tcPr>
            <w:tcW w:w="7258" w:type="dxa"/>
            <w:vAlign w:val="center"/>
          </w:tcPr>
          <w:p w14:paraId="14F77D41">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评审标准</w:t>
            </w:r>
          </w:p>
        </w:tc>
      </w:tr>
      <w:tr w14:paraId="45B3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2380" w:type="dxa"/>
            <w:gridSpan w:val="3"/>
            <w:vAlign w:val="center"/>
          </w:tcPr>
          <w:p w14:paraId="398AA755">
            <w:pPr>
              <w:spacing w:line="360" w:lineRule="auto"/>
              <w:ind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分值构成</w:t>
            </w:r>
          </w:p>
          <w:p w14:paraId="75FFC905">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val="0"/>
                <w:bCs w:val="0"/>
                <w:color w:val="auto"/>
                <w:sz w:val="21"/>
                <w:szCs w:val="21"/>
                <w:lang w:val="en-US" w:eastAsia="zh-CN"/>
              </w:rPr>
              <w:t>（总分100分）</w:t>
            </w:r>
          </w:p>
        </w:tc>
        <w:tc>
          <w:tcPr>
            <w:tcW w:w="7258" w:type="dxa"/>
            <w:vAlign w:val="center"/>
          </w:tcPr>
          <w:p w14:paraId="3592E04E">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val="0"/>
                <w:bCs/>
                <w:color w:val="auto"/>
                <w:kern w:val="2"/>
                <w:sz w:val="21"/>
                <w:szCs w:val="21"/>
                <w:lang w:val="en-US" w:eastAsia="zh-CN" w:bidi="ar-SA"/>
              </w:rPr>
              <w:t>报价得分20分，技术标分值60分，商务部分20分。</w:t>
            </w:r>
          </w:p>
        </w:tc>
      </w:tr>
      <w:tr w14:paraId="68139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18" w:type="dxa"/>
            <w:vAlign w:val="center"/>
          </w:tcPr>
          <w:p w14:paraId="2A833F66">
            <w:pPr>
              <w:pStyle w:val="28"/>
              <w:shd w:val="clear" w:color="auto" w:fill="FCFCFC"/>
              <w:spacing w:before="0" w:beforeAutospacing="0" w:after="0" w:afterAutospacing="0" w:line="360" w:lineRule="auto"/>
              <w:ind w:firstLine="0" w:firstLineChars="0"/>
              <w:jc w:val="center"/>
              <w:rPr>
                <w:rFonts w:hint="eastAsia" w:eastAsia="宋体" w:cs="宋体"/>
                <w:b/>
                <w:bCs/>
                <w:color w:val="auto"/>
                <w:kern w:val="2"/>
                <w:sz w:val="21"/>
                <w:szCs w:val="21"/>
                <w:lang w:val="en-US" w:eastAsia="zh-CN"/>
              </w:rPr>
            </w:pPr>
          </w:p>
        </w:tc>
        <w:tc>
          <w:tcPr>
            <w:tcW w:w="9120" w:type="dxa"/>
            <w:gridSpan w:val="3"/>
            <w:vAlign w:val="center"/>
          </w:tcPr>
          <w:p w14:paraId="0C5DFF70">
            <w:pPr>
              <w:spacing w:line="360" w:lineRule="auto"/>
              <w:ind w:firstLine="0" w:firstLineChars="0"/>
              <w:jc w:val="center"/>
              <w:rPr>
                <w:rFonts w:hint="eastAsia" w:ascii="宋体" w:hAnsi="宋体" w:eastAsia="宋体" w:cs="宋体"/>
                <w:color w:val="auto"/>
                <w:sz w:val="21"/>
                <w:szCs w:val="21"/>
              </w:rPr>
            </w:pPr>
            <w:r>
              <w:rPr>
                <w:rFonts w:hint="eastAsia" w:eastAsia="宋体" w:cs="宋体"/>
                <w:b/>
                <w:bCs/>
                <w:color w:val="auto"/>
                <w:kern w:val="2"/>
                <w:sz w:val="21"/>
                <w:szCs w:val="21"/>
                <w:lang w:val="en-US" w:eastAsia="zh-CN"/>
              </w:rPr>
              <w:t>磋商报价</w:t>
            </w:r>
          </w:p>
        </w:tc>
      </w:tr>
      <w:tr w14:paraId="04A8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Align w:val="center"/>
          </w:tcPr>
          <w:p w14:paraId="165A5AC5">
            <w:pPr>
              <w:spacing w:line="36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862" w:type="dxa"/>
            <w:gridSpan w:val="2"/>
            <w:vAlign w:val="center"/>
          </w:tcPr>
          <w:p w14:paraId="45F44EDD">
            <w:pPr>
              <w:spacing w:line="36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磋商报价</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lang w:eastAsia="zh-CN"/>
              </w:rPr>
              <w:t>分）</w:t>
            </w:r>
          </w:p>
        </w:tc>
        <w:tc>
          <w:tcPr>
            <w:tcW w:w="7258" w:type="dxa"/>
            <w:vAlign w:val="center"/>
          </w:tcPr>
          <w:p w14:paraId="4BF2D38D">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1.本次磋商设最高投标限价（采购预算）。供应商的磋商报价超过最高投标限价的视为废标，不再参与下一步评审。</w:t>
            </w:r>
          </w:p>
          <w:p w14:paraId="47411B96">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采用低价优先法计算，未超出财政预算，实质性满足磋商文件要求且最后报价最低的报价为磋商基准价，其价格分为满分20分。其它供应商的价格分统一按照下列公式计算：磋商报价得分=（磋商基准价/最后磋商报价）×价格分值×100%</w:t>
            </w:r>
            <w:r>
              <w:rPr>
                <w:rFonts w:hint="eastAsia" w:ascii="宋体" w:hAnsi="宋体" w:eastAsia="宋体" w:cs="宋体"/>
                <w:color w:val="auto"/>
                <w:sz w:val="21"/>
                <w:szCs w:val="21"/>
                <w:lang w:eastAsia="zh-CN"/>
              </w:rPr>
              <w:t>。</w:t>
            </w:r>
          </w:p>
          <w:p w14:paraId="3CFD3046">
            <w:pPr>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、磋商报价不完整的，不进入评标基准价的计算，本项得0分。</w:t>
            </w:r>
          </w:p>
        </w:tc>
      </w:tr>
      <w:tr w14:paraId="7A05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jc w:val="center"/>
        </w:trPr>
        <w:tc>
          <w:tcPr>
            <w:tcW w:w="518" w:type="dxa"/>
            <w:vMerge w:val="restart"/>
            <w:vAlign w:val="center"/>
          </w:tcPr>
          <w:p w14:paraId="6EE2345C">
            <w:pPr>
              <w:spacing w:line="36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862" w:type="dxa"/>
            <w:gridSpan w:val="2"/>
            <w:vMerge w:val="restart"/>
            <w:shd w:val="clear" w:color="auto" w:fill="auto"/>
            <w:vAlign w:val="center"/>
          </w:tcPr>
          <w:p w14:paraId="60CF369D">
            <w:pPr>
              <w:spacing w:line="360" w:lineRule="auto"/>
              <w:ind w:firstLine="0" w:firstLine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技术部分（60分）</w:t>
            </w:r>
          </w:p>
        </w:tc>
        <w:tc>
          <w:tcPr>
            <w:tcW w:w="7258" w:type="dxa"/>
            <w:shd w:val="clear" w:color="auto" w:fill="auto"/>
            <w:vAlign w:val="center"/>
          </w:tcPr>
          <w:p w14:paraId="06BB03A9">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1.工程概况及施工方案[0-10]分；</w:t>
            </w:r>
          </w:p>
          <w:p w14:paraId="42EF540A">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提供详细、可行、专业的施工方案，包括但不限于工程概况、施工组织、施工计划、施工工艺、技术措施等内容。</w:t>
            </w:r>
          </w:p>
          <w:p w14:paraId="0190D70E">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方案可靠性、专业性强，可行性高，内容详尽明确、细节到位，有利于项目实施计</w:t>
            </w:r>
            <w:r>
              <w:rPr>
                <w:rFonts w:hint="eastAsia" w:ascii="宋体" w:hAnsi="宋体" w:eastAsia="宋体" w:cs="宋体"/>
                <w:color w:val="auto"/>
                <w:sz w:val="21"/>
                <w:szCs w:val="21"/>
                <w:lang w:val="en-US" w:eastAsia="zh-CN"/>
              </w:rPr>
              <w:t>[10-5)</w:t>
            </w:r>
            <w:r>
              <w:rPr>
                <w:rFonts w:hint="eastAsia" w:ascii="宋体" w:hAnsi="宋体" w:eastAsia="宋体" w:cs="宋体"/>
                <w:color w:val="auto"/>
                <w:sz w:val="21"/>
                <w:szCs w:val="21"/>
              </w:rPr>
              <w:t>分；</w:t>
            </w:r>
          </w:p>
          <w:p w14:paraId="624413B0">
            <w:pPr>
              <w:shd w:val="clear"/>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b.方案差，内容不全、细节不明确，技术措施简单计[5-0]</w:t>
            </w:r>
            <w:r>
              <w:rPr>
                <w:rFonts w:hint="eastAsia" w:ascii="宋体" w:hAnsi="宋体" w:eastAsia="宋体" w:cs="宋体"/>
                <w:color w:val="auto"/>
                <w:sz w:val="21"/>
                <w:szCs w:val="21"/>
              </w:rPr>
              <w:t>分。</w:t>
            </w:r>
          </w:p>
        </w:tc>
      </w:tr>
      <w:tr w14:paraId="4556E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2F6483A8">
            <w:pPr>
              <w:spacing w:line="360" w:lineRule="auto"/>
              <w:ind w:firstLine="0" w:firstLineChars="0"/>
              <w:jc w:val="center"/>
              <w:rPr>
                <w:rFonts w:hint="eastAsia"/>
                <w:color w:val="auto"/>
                <w:sz w:val="21"/>
                <w:szCs w:val="21"/>
                <w:lang w:eastAsia="zh-CN"/>
              </w:rPr>
            </w:pPr>
          </w:p>
        </w:tc>
        <w:tc>
          <w:tcPr>
            <w:tcW w:w="1862" w:type="dxa"/>
            <w:gridSpan w:val="2"/>
            <w:vMerge w:val="continue"/>
            <w:shd w:val="clear" w:color="auto" w:fill="auto"/>
            <w:vAlign w:val="center"/>
          </w:tcPr>
          <w:p w14:paraId="1E6DABC1">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540EF908">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2.施工机械设备配备计划[0-10]分；</w:t>
            </w:r>
          </w:p>
          <w:p w14:paraId="003B6C62">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a.施工机械配备合理、科学，能保证项目顺利实施计[10-5)分；</w:t>
            </w:r>
          </w:p>
          <w:p w14:paraId="526B9F76">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b.施工机械配备不够合理、合理，基本或很难保证项目顺利实施计[5-0]分。</w:t>
            </w:r>
          </w:p>
        </w:tc>
      </w:tr>
      <w:tr w14:paraId="0F50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1A5C91C4">
            <w:pPr>
              <w:spacing w:line="360" w:lineRule="auto"/>
              <w:ind w:firstLine="0" w:firstLineChars="0"/>
              <w:jc w:val="center"/>
              <w:rPr>
                <w:rFonts w:hint="eastAsia" w:ascii="宋体" w:hAnsi="宋体" w:eastAsia="宋体" w:cs="宋体"/>
                <w:color w:val="auto"/>
                <w:sz w:val="21"/>
                <w:szCs w:val="21"/>
                <w:lang w:eastAsia="zh-CN"/>
              </w:rPr>
            </w:pPr>
          </w:p>
        </w:tc>
        <w:tc>
          <w:tcPr>
            <w:tcW w:w="1862" w:type="dxa"/>
            <w:gridSpan w:val="2"/>
            <w:vMerge w:val="continue"/>
            <w:shd w:val="clear" w:color="auto" w:fill="auto"/>
            <w:vAlign w:val="center"/>
          </w:tcPr>
          <w:p w14:paraId="76E8D441">
            <w:pPr>
              <w:spacing w:line="360" w:lineRule="auto"/>
              <w:ind w:firstLine="0" w:firstLineChars="0"/>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74F7392F">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3.劳动力安排计划[0-10]分；</w:t>
            </w:r>
          </w:p>
          <w:p w14:paraId="52EA9DA3">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a.劳动力安排合理，材料供应贴紧项目进度且数量充足，操作性强，能确保项目如期保质完成计[10-5)分； </w:t>
            </w:r>
          </w:p>
          <w:p w14:paraId="7AC83B93">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b.劳动力安排基本合理，材料供应基本满足项目需求计[5-0]分。</w:t>
            </w:r>
          </w:p>
        </w:tc>
      </w:tr>
      <w:tr w14:paraId="63DF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8" w:type="dxa"/>
            <w:vMerge w:val="continue"/>
            <w:vAlign w:val="center"/>
          </w:tcPr>
          <w:p w14:paraId="33259307">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1862" w:type="dxa"/>
            <w:gridSpan w:val="2"/>
            <w:vMerge w:val="continue"/>
            <w:shd w:val="clear" w:color="auto" w:fill="auto"/>
            <w:vAlign w:val="center"/>
          </w:tcPr>
          <w:p w14:paraId="2BA357FC">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2FC44577">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4.工期及保证措施[0-10]分；</w:t>
            </w:r>
          </w:p>
          <w:p w14:paraId="76DB4DF7">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提供科学合理、切实可行的工期保障措施，包括但不限于工期目标、工期保障体系、控制方法、进度控制要点、误期的补救措施等内容。</w:t>
            </w:r>
          </w:p>
          <w:p w14:paraId="3C22008A">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a.措施详尽、合理度高计[10-5)分； </w:t>
            </w:r>
          </w:p>
          <w:p w14:paraId="0BAB1593">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b.措施基本完善、基本合理、可行性一般计[5-0]分。</w:t>
            </w:r>
          </w:p>
        </w:tc>
      </w:tr>
      <w:tr w14:paraId="0033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8" w:type="dxa"/>
            <w:vMerge w:val="continue"/>
            <w:vAlign w:val="center"/>
          </w:tcPr>
          <w:p w14:paraId="46E38E65">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1862" w:type="dxa"/>
            <w:gridSpan w:val="2"/>
            <w:vMerge w:val="continue"/>
            <w:shd w:val="clear" w:color="auto" w:fill="auto"/>
            <w:vAlign w:val="center"/>
          </w:tcPr>
          <w:p w14:paraId="58710582">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502EE838">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5.工程质量保证措施[0-5]分；</w:t>
            </w:r>
          </w:p>
          <w:p w14:paraId="67056190">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a.提供科学合理、切实可行的工程质量保证体系及措施，包括但不限于质量目标、质量体系、质量控制流程、质量控制要点、质量预防及控制措施等内容。</w:t>
            </w:r>
          </w:p>
          <w:p w14:paraId="2718D6A0">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措施及体系详尽、科学有效、措施及体系完善、合理计[5-3)分； </w:t>
            </w:r>
          </w:p>
          <w:p w14:paraId="40772529">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b.措施及体系简单笼统，不合理计[3-0]分</w:t>
            </w:r>
          </w:p>
        </w:tc>
      </w:tr>
      <w:tr w14:paraId="3652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8" w:type="dxa"/>
            <w:vMerge w:val="continue"/>
            <w:vAlign w:val="center"/>
          </w:tcPr>
          <w:p w14:paraId="1000333E">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1862" w:type="dxa"/>
            <w:gridSpan w:val="2"/>
            <w:vMerge w:val="continue"/>
            <w:shd w:val="clear" w:color="auto" w:fill="auto"/>
            <w:vAlign w:val="center"/>
          </w:tcPr>
          <w:p w14:paraId="09586252">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107FDAA9">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6.环境保护、水土保持管理体系与措施[0-5]分；</w:t>
            </w:r>
          </w:p>
          <w:p w14:paraId="4B43BD9E">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a.结合本标段施工特点，投标人对环境保护、水土保持目标明确，预防和动态控制措施及制度完整、合理、可行[5-3)分。</w:t>
            </w:r>
          </w:p>
          <w:p w14:paraId="79C72547">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spacing w:val="9"/>
                <w:sz w:val="20"/>
                <w:szCs w:val="20"/>
                <w:lang w:val="en-US" w:eastAsia="zh-CN"/>
              </w:rPr>
            </w:pPr>
            <w:r>
              <w:rPr>
                <w:rFonts w:hint="eastAsia" w:ascii="宋体" w:hAnsi="宋体" w:eastAsia="宋体" w:cs="宋体"/>
                <w:color w:val="auto"/>
                <w:sz w:val="21"/>
                <w:szCs w:val="21"/>
                <w:lang w:val="en-US" w:eastAsia="zh-CN"/>
              </w:rPr>
              <w:t>b.目标不明确，不合理的动态控制措施[3-0]分。</w:t>
            </w:r>
          </w:p>
        </w:tc>
      </w:tr>
      <w:tr w14:paraId="259C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7929A991">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1862" w:type="dxa"/>
            <w:gridSpan w:val="2"/>
            <w:vMerge w:val="continue"/>
            <w:shd w:val="clear" w:color="auto" w:fill="auto"/>
            <w:vAlign w:val="center"/>
          </w:tcPr>
          <w:p w14:paraId="3D86D628">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1CD6C5D5">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7.防洪度汛预案及有关施工其他措施和建议[0-5]分；</w:t>
            </w:r>
          </w:p>
          <w:p w14:paraId="780E10DD">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a.结合本标段施工特点，投标人防洪度汛预案及有关施工其他措施和建议完善、合理、可行[5-3)分。</w:t>
            </w:r>
          </w:p>
          <w:p w14:paraId="1A1D8ED0">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pacing w:val="7"/>
                <w:sz w:val="20"/>
                <w:szCs w:val="20"/>
                <w:lang w:val="en-US" w:eastAsia="zh-CN"/>
              </w:rPr>
            </w:pPr>
            <w:r>
              <w:rPr>
                <w:rFonts w:hint="eastAsia" w:ascii="宋体" w:hAnsi="宋体" w:eastAsia="宋体" w:cs="宋体"/>
                <w:color w:val="auto"/>
                <w:sz w:val="21"/>
                <w:szCs w:val="21"/>
                <w:lang w:val="en-US" w:eastAsia="zh-CN"/>
              </w:rPr>
              <w:t>b.投标人防洪度汛预案及有关施工其他措施和建议简单笼统，不合理计[3-0]分。</w:t>
            </w:r>
          </w:p>
        </w:tc>
      </w:tr>
      <w:tr w14:paraId="53323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36702062">
            <w:pPr>
              <w:spacing w:line="360" w:lineRule="auto"/>
              <w:ind w:firstLine="0" w:firstLineChars="0"/>
              <w:jc w:val="center"/>
              <w:rPr>
                <w:rFonts w:hint="eastAsia" w:ascii="宋体" w:hAnsi="宋体" w:eastAsia="宋体" w:cs="宋体"/>
                <w:color w:val="auto"/>
                <w:sz w:val="21"/>
                <w:szCs w:val="21"/>
                <w:lang w:val="en-US" w:eastAsia="zh-CN"/>
              </w:rPr>
            </w:pPr>
          </w:p>
        </w:tc>
        <w:tc>
          <w:tcPr>
            <w:tcW w:w="1862" w:type="dxa"/>
            <w:gridSpan w:val="2"/>
            <w:vMerge w:val="continue"/>
            <w:shd w:val="clear" w:color="auto" w:fill="auto"/>
            <w:vAlign w:val="center"/>
          </w:tcPr>
          <w:p w14:paraId="06B37D5C">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124CAF47">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8.安全保证措施[0-5]分；</w:t>
            </w:r>
          </w:p>
          <w:p w14:paraId="681B0AE6">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a.提供详细的安全管理方案，安全管理体系科学、完善，安全保证措施得力，能有效地保障项目实施过程的衔接、保证项目安全计[5-3)分；</w:t>
            </w:r>
          </w:p>
          <w:p w14:paraId="54C5A0B3">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b.安全管理方案、体系不完善计、安全保证措施简单，内容欠缺计[3-0]分。</w:t>
            </w:r>
          </w:p>
        </w:tc>
      </w:tr>
      <w:tr w14:paraId="0DD6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7D20E51A">
            <w:pPr>
              <w:spacing w:line="360" w:lineRule="auto"/>
              <w:ind w:firstLine="0" w:firstLineChars="0"/>
              <w:jc w:val="center"/>
              <w:rPr>
                <w:rFonts w:hint="eastAsia" w:ascii="宋体" w:hAnsi="宋体" w:eastAsia="宋体" w:cs="宋体"/>
                <w:color w:val="auto"/>
                <w:sz w:val="21"/>
                <w:szCs w:val="21"/>
                <w:lang w:val="en-US" w:eastAsia="zh-CN"/>
              </w:rPr>
            </w:pPr>
          </w:p>
        </w:tc>
        <w:tc>
          <w:tcPr>
            <w:tcW w:w="1862" w:type="dxa"/>
            <w:gridSpan w:val="2"/>
            <w:vMerge w:val="continue"/>
            <w:vAlign w:val="center"/>
          </w:tcPr>
          <w:p w14:paraId="7EE395A2">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vAlign w:val="center"/>
          </w:tcPr>
          <w:p w14:paraId="416CDDB7">
            <w:pPr>
              <w:bidi w:val="0"/>
              <w:rPr>
                <w:rFonts w:hint="eastAsia" w:ascii="宋体" w:hAnsi="宋体" w:eastAsia="宋体" w:cs="宋体"/>
                <w:b w:val="0"/>
                <w:bCs/>
                <w:color w:val="auto"/>
                <w:kern w:val="2"/>
                <w:sz w:val="21"/>
                <w:szCs w:val="21"/>
                <w:lang w:val="zh-CN" w:eastAsia="zh-CN" w:bidi="ar-SA"/>
              </w:rPr>
            </w:pPr>
            <w:r>
              <w:rPr>
                <w:rFonts w:hint="eastAsia" w:ascii="宋体" w:hAnsi="宋体" w:eastAsia="宋体" w:cs="宋体"/>
                <w:b w:val="0"/>
                <w:bCs/>
                <w:color w:val="auto"/>
                <w:kern w:val="2"/>
                <w:sz w:val="21"/>
                <w:szCs w:val="21"/>
                <w:lang w:val="zh-CN" w:eastAsia="zh-CN" w:bidi="ar-SA"/>
              </w:rPr>
              <w:t>备注：</w:t>
            </w:r>
          </w:p>
          <w:p w14:paraId="1170A199">
            <w:pPr>
              <w:bidi w:val="0"/>
              <w:rPr>
                <w:rFonts w:hint="eastAsia" w:ascii="宋体" w:hAnsi="宋体" w:eastAsia="宋体" w:cs="宋体"/>
                <w:b w:val="0"/>
                <w:bCs/>
                <w:color w:val="auto"/>
                <w:kern w:val="2"/>
                <w:sz w:val="21"/>
                <w:szCs w:val="21"/>
                <w:lang w:val="zh-CN" w:eastAsia="zh-CN" w:bidi="ar-SA"/>
              </w:rPr>
            </w:pPr>
            <w:r>
              <w:rPr>
                <w:rFonts w:hint="eastAsia" w:ascii="宋体" w:hAnsi="宋体" w:eastAsia="宋体" w:cs="宋体"/>
                <w:b w:val="0"/>
                <w:bCs/>
                <w:color w:val="auto"/>
                <w:kern w:val="2"/>
                <w:sz w:val="21"/>
                <w:szCs w:val="21"/>
                <w:lang w:val="en-US" w:eastAsia="zh-CN" w:bidi="ar-SA"/>
              </w:rPr>
              <w:t>①</w:t>
            </w:r>
            <w:r>
              <w:rPr>
                <w:rFonts w:hint="eastAsia" w:ascii="宋体" w:hAnsi="宋体" w:eastAsia="宋体" w:cs="宋体"/>
                <w:b w:val="0"/>
                <w:bCs/>
                <w:color w:val="auto"/>
                <w:kern w:val="2"/>
                <w:sz w:val="21"/>
                <w:szCs w:val="21"/>
                <w:lang w:val="zh-CN" w:eastAsia="zh-CN" w:bidi="ar-SA"/>
              </w:rPr>
              <w:t>以上评审要素依据响应文件的具体情况，评委自主赋分。</w:t>
            </w:r>
          </w:p>
          <w:p w14:paraId="71A19420">
            <w:pPr>
              <w:bidi w:val="0"/>
              <w:rPr>
                <w:rFonts w:hint="eastAsia" w:ascii="宋体" w:hAnsi="宋体" w:eastAsia="宋体" w:cs="宋体"/>
                <w:color w:val="auto"/>
                <w:sz w:val="21"/>
                <w:szCs w:val="21"/>
                <w:lang w:val="en-US" w:eastAsia="zh-CN"/>
              </w:rPr>
            </w:pPr>
            <w:r>
              <w:rPr>
                <w:rFonts w:hint="eastAsia" w:ascii="宋体" w:hAnsi="宋体" w:eastAsia="宋体" w:cs="宋体"/>
                <w:b w:val="0"/>
                <w:bCs/>
                <w:color w:val="auto"/>
                <w:kern w:val="2"/>
                <w:sz w:val="21"/>
                <w:szCs w:val="21"/>
                <w:lang w:val="zh-CN" w:eastAsia="zh-CN" w:bidi="ar-SA"/>
              </w:rPr>
              <w:t>②缺项或严重错误者该分项得0分，需2/3以上评委认定。</w:t>
            </w:r>
          </w:p>
        </w:tc>
      </w:tr>
      <w:tr w14:paraId="2B5C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restart"/>
            <w:shd w:val="clear" w:color="auto" w:fill="auto"/>
            <w:vAlign w:val="center"/>
          </w:tcPr>
          <w:p w14:paraId="5A90A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p w14:paraId="4BB25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p>
        </w:tc>
        <w:tc>
          <w:tcPr>
            <w:tcW w:w="796" w:type="dxa"/>
            <w:vMerge w:val="restart"/>
            <w:shd w:val="clear" w:color="auto" w:fill="auto"/>
            <w:vAlign w:val="center"/>
          </w:tcPr>
          <w:p w14:paraId="0405C769">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商务部分（20分）</w:t>
            </w:r>
          </w:p>
        </w:tc>
        <w:tc>
          <w:tcPr>
            <w:tcW w:w="1066" w:type="dxa"/>
            <w:shd w:val="clear" w:color="auto" w:fill="auto"/>
            <w:vAlign w:val="center"/>
          </w:tcPr>
          <w:p w14:paraId="0E679FD5">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类似项目业绩情况</w:t>
            </w:r>
          </w:p>
          <w:p w14:paraId="4E075DF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（10分）</w:t>
            </w:r>
          </w:p>
        </w:tc>
        <w:tc>
          <w:tcPr>
            <w:tcW w:w="7258" w:type="dxa"/>
            <w:shd w:val="clear" w:color="auto" w:fill="auto"/>
            <w:vAlign w:val="center"/>
          </w:tcPr>
          <w:p w14:paraId="41C39FCB">
            <w:pPr>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val="zh-CN" w:eastAsia="zh-CN"/>
              </w:rPr>
              <w:t>投标人</w:t>
            </w:r>
            <w:r>
              <w:rPr>
                <w:rFonts w:hint="eastAsia" w:ascii="宋体" w:hAnsi="宋体" w:eastAsia="宋体" w:cs="宋体"/>
                <w:color w:val="auto"/>
                <w:sz w:val="21"/>
                <w:szCs w:val="21"/>
                <w:lang w:val="en-US" w:eastAsia="zh-CN"/>
              </w:rPr>
              <w:t>每提供1份2020年10月1日至今的水利水电工程相关业绩</w:t>
            </w:r>
            <w:r>
              <w:rPr>
                <w:rFonts w:hint="eastAsia" w:ascii="宋体" w:hAnsi="宋体" w:eastAsia="宋体" w:cs="宋体"/>
                <w:color w:val="auto"/>
                <w:sz w:val="21"/>
                <w:szCs w:val="21"/>
                <w:lang w:val="zh-CN" w:eastAsia="zh-CN"/>
              </w:rPr>
              <w:t>得</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val="zh-CN" w:eastAsia="zh-CN"/>
              </w:rPr>
              <w:t>分，最高</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lang w:val="zh-CN" w:eastAsia="zh-CN"/>
              </w:rPr>
              <w:t>分。</w:t>
            </w:r>
            <w:r>
              <w:rPr>
                <w:rFonts w:hint="eastAsia" w:ascii="宋体" w:hAnsi="宋体" w:eastAsia="宋体" w:cs="宋体"/>
                <w:color w:val="auto"/>
                <w:sz w:val="21"/>
                <w:szCs w:val="21"/>
                <w:lang w:val="en-US" w:eastAsia="zh-CN"/>
              </w:rPr>
              <w:t>以投标文件中</w:t>
            </w:r>
            <w:r>
              <w:rPr>
                <w:rFonts w:hint="eastAsia" w:ascii="宋体" w:hAnsi="宋体" w:eastAsia="宋体" w:cs="宋体"/>
                <w:color w:val="auto"/>
                <w:sz w:val="21"/>
                <w:szCs w:val="21"/>
                <w:lang w:val="zh-CN" w:eastAsia="zh-CN"/>
              </w:rPr>
              <w:t>提供合同扫描件</w:t>
            </w:r>
            <w:r>
              <w:rPr>
                <w:rFonts w:hint="eastAsia" w:ascii="宋体" w:hAnsi="宋体" w:eastAsia="宋体" w:cs="宋体"/>
                <w:color w:val="auto"/>
                <w:sz w:val="21"/>
                <w:szCs w:val="21"/>
                <w:lang w:val="en-US" w:eastAsia="zh-CN"/>
              </w:rPr>
              <w:t>为准</w:t>
            </w:r>
            <w:r>
              <w:rPr>
                <w:rFonts w:hint="eastAsia" w:ascii="宋体" w:hAnsi="宋体" w:eastAsia="宋体" w:cs="宋体"/>
                <w:color w:val="auto"/>
                <w:sz w:val="21"/>
                <w:szCs w:val="21"/>
                <w:lang w:val="zh-CN" w:eastAsia="zh-CN"/>
              </w:rPr>
              <w:t>。</w:t>
            </w:r>
          </w:p>
        </w:tc>
      </w:tr>
      <w:tr w14:paraId="71097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518" w:type="dxa"/>
            <w:vMerge w:val="continue"/>
            <w:shd w:val="clear" w:color="auto" w:fill="auto"/>
            <w:vAlign w:val="center"/>
          </w:tcPr>
          <w:p w14:paraId="4653AEE0">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p>
        </w:tc>
        <w:tc>
          <w:tcPr>
            <w:tcW w:w="796" w:type="dxa"/>
            <w:vMerge w:val="continue"/>
            <w:shd w:val="clear" w:color="auto" w:fill="auto"/>
            <w:vAlign w:val="center"/>
          </w:tcPr>
          <w:p w14:paraId="498B2DE0">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p>
        </w:tc>
        <w:tc>
          <w:tcPr>
            <w:tcW w:w="1066" w:type="dxa"/>
            <w:shd w:val="clear" w:color="auto" w:fill="auto"/>
            <w:vAlign w:val="center"/>
          </w:tcPr>
          <w:p w14:paraId="4D1F6A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信用得分（10 分）</w:t>
            </w:r>
          </w:p>
        </w:tc>
        <w:tc>
          <w:tcPr>
            <w:tcW w:w="7258" w:type="dxa"/>
            <w:shd w:val="clear" w:color="auto" w:fill="auto"/>
            <w:vAlign w:val="center"/>
          </w:tcPr>
          <w:p w14:paraId="0658CC50">
            <w:pPr>
              <w:spacing w:line="360" w:lineRule="auto"/>
              <w:ind w:firstLine="0" w:firstLineChars="0"/>
              <w:jc w:val="lef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无不良记录的得满分 10 分。被行政部门实施行政处罚但未限制其投标资格的，每条扣 2 分，扣完为止。（评审以投标文件中所附的信用截图及信用信息报告为依据）</w:t>
            </w:r>
          </w:p>
        </w:tc>
      </w:tr>
    </w:tbl>
    <w:p w14:paraId="347C3334">
      <w:pPr>
        <w:spacing w:before="62" w:beforeLines="20"/>
        <w:ind w:firstLine="442" w:firstLineChars="200"/>
        <w:rPr>
          <w:rFonts w:hint="eastAsia" w:ascii="宋体" w:hAnsi="宋体" w:eastAsia="宋体" w:cs="宋体"/>
          <w:b/>
          <w:color w:val="auto"/>
          <w:sz w:val="22"/>
          <w:szCs w:val="22"/>
        </w:rPr>
      </w:pPr>
      <w:r>
        <w:rPr>
          <w:rFonts w:hint="eastAsia" w:ascii="宋体" w:hAnsi="宋体" w:eastAsia="宋体" w:cs="宋体"/>
          <w:b/>
          <w:color w:val="auto"/>
          <w:sz w:val="22"/>
          <w:szCs w:val="22"/>
        </w:rPr>
        <w:t>4、供应商存在下列情况之一的，投标无效：</w:t>
      </w:r>
    </w:p>
    <w:p w14:paraId="2006457B">
      <w:pPr>
        <w:ind w:firstLine="880" w:firstLineChars="4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（一）磋商响应文件未按采购文件要求签署、盖章的；</w:t>
      </w:r>
    </w:p>
    <w:p w14:paraId="7C7888F6">
      <w:pPr>
        <w:ind w:firstLine="880" w:firstLineChars="4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（二）不具备采购文件中规定的资格要求的；</w:t>
      </w:r>
    </w:p>
    <w:p w14:paraId="3B6EAF6B">
      <w:pPr>
        <w:ind w:firstLine="440" w:firstLineChars="2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　　（三）报价超过采购文件中规定的预算金额或者最高限价的；</w:t>
      </w:r>
    </w:p>
    <w:p w14:paraId="58F7B67A">
      <w:pPr>
        <w:ind w:firstLine="440" w:firstLineChars="2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　　（四）磋商响应文件含有采购人不能接受的附加条件的；</w:t>
      </w:r>
    </w:p>
    <w:p w14:paraId="7CC2B4A1">
      <w:pPr>
        <w:ind w:firstLine="440" w:firstLineChars="2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　　（五）法律、法规和采购文件规定的其他无效情形。</w:t>
      </w:r>
    </w:p>
    <w:p w14:paraId="469A63E6">
      <w:pPr>
        <w:spacing w:before="62" w:beforeLines="20"/>
        <w:ind w:firstLine="442" w:firstLineChars="200"/>
        <w:rPr>
          <w:rFonts w:hint="eastAsia" w:ascii="宋体" w:hAnsi="宋体" w:eastAsia="宋体" w:cs="宋体"/>
          <w:b/>
          <w:color w:val="auto"/>
          <w:sz w:val="22"/>
          <w:szCs w:val="22"/>
        </w:rPr>
      </w:pPr>
      <w:r>
        <w:rPr>
          <w:rFonts w:hint="eastAsia" w:ascii="宋体" w:hAnsi="宋体" w:eastAsia="宋体" w:cs="宋体"/>
          <w:b/>
          <w:color w:val="auto"/>
          <w:sz w:val="22"/>
          <w:szCs w:val="22"/>
        </w:rPr>
        <w:t>5、汇总得分</w:t>
      </w:r>
    </w:p>
    <w:p w14:paraId="715B1BA1">
      <w:pPr>
        <w:ind w:firstLine="440" w:firstLineChars="2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资格审查和初步审查均合格的供应商，</w:t>
      </w:r>
      <w:r>
        <w:rPr>
          <w:rFonts w:hint="eastAsia" w:ascii="宋体" w:hAnsi="宋体" w:eastAsia="宋体" w:cs="宋体"/>
          <w:color w:val="auto"/>
          <w:kern w:val="0"/>
          <w:sz w:val="22"/>
          <w:szCs w:val="22"/>
          <w:lang w:val="en-US" w:eastAsia="zh-CN"/>
        </w:rPr>
        <w:t>磋商小组各评委独立评分，按评审后综合得分由高到低顺序排列，推荐 3 名成交候选人。得分相同的，按磋商报价由低到高顺序排列，得分且磋商报价相同的，比较技术得分，此技术得分高者排在前</w:t>
      </w:r>
      <w:r>
        <w:rPr>
          <w:rFonts w:hint="eastAsia" w:ascii="宋体" w:hAnsi="宋体" w:eastAsia="宋体" w:cs="宋体"/>
          <w:color w:val="auto"/>
          <w:kern w:val="0"/>
          <w:sz w:val="22"/>
          <w:szCs w:val="22"/>
        </w:rPr>
        <w:t>。</w:t>
      </w:r>
    </w:p>
    <w:p w14:paraId="0B7B7E60">
      <w:pPr>
        <w:spacing w:before="62" w:beforeLines="20"/>
        <w:ind w:firstLine="442" w:firstLineChars="200"/>
        <w:rPr>
          <w:rFonts w:hint="eastAsia" w:ascii="宋体" w:hAnsi="宋体" w:eastAsia="宋体" w:cs="宋体"/>
          <w:b/>
          <w:color w:val="auto"/>
          <w:sz w:val="22"/>
          <w:szCs w:val="22"/>
        </w:rPr>
      </w:pPr>
      <w:r>
        <w:rPr>
          <w:rFonts w:hint="eastAsia" w:ascii="宋体" w:hAnsi="宋体" w:eastAsia="宋体" w:cs="宋体"/>
          <w:b/>
          <w:color w:val="auto"/>
          <w:sz w:val="22"/>
          <w:szCs w:val="22"/>
        </w:rPr>
        <w:t>6、特殊情况</w:t>
      </w:r>
    </w:p>
    <w:p w14:paraId="22AE7D83">
      <w:pPr>
        <w:pStyle w:val="29"/>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6.1对于磋商小组意见有分歧的问题，磋商小组实行少数服从多数的原则进行表决，表决结果经磋商小组全体成员过半数通过有效。</w:t>
      </w:r>
    </w:p>
    <w:p w14:paraId="3D8338E1">
      <w:pPr>
        <w:pStyle w:val="29"/>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6.2评委打分超过得分界限或未按本方法赋分时，该评委的打分按无效计分处理。</w:t>
      </w:r>
    </w:p>
    <w:p w14:paraId="289CBCE5">
      <w:pPr>
        <w:pStyle w:val="29"/>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6.3各种计算采用插入法，数字均保留两位小数，第三位“四舍五入”。</w:t>
      </w:r>
    </w:p>
    <w:p w14:paraId="02C5DECF">
      <w:pPr>
        <w:pStyle w:val="30"/>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32"/>
        </w:rPr>
        <w:t>6.4</w:t>
      </w:r>
      <w:r>
        <w:rPr>
          <w:rFonts w:hint="eastAsia" w:ascii="宋体" w:hAnsi="宋体" w:eastAsia="宋体" w:cs="宋体"/>
          <w:color w:val="auto"/>
          <w:sz w:val="22"/>
          <w:szCs w:val="22"/>
        </w:rPr>
        <w:t>评审过程中，若出现本办法以外的特殊情况时，将暂停评标，有关情况待磋商小组确定后，再行评定。</w:t>
      </w:r>
    </w:p>
    <w:p w14:paraId="5898F0C6">
      <w:pPr>
        <w:pStyle w:val="29"/>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6.5优先采购评审标准：若出现综合得分并列时，比较价格得分，此分项得分高者优先采购；若价格得分仍相同，比较</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得分，</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得分高者优先采购；</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得分仍相同的，比较商务部分得分，商务部分得分高者优先采购。</w:t>
      </w:r>
    </w:p>
    <w:p w14:paraId="451D48C6">
      <w:pPr>
        <w:pStyle w:val="30"/>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6.6评标结果汇总完成后，除下列情形外，任何人不得修改评标结果：</w:t>
      </w:r>
    </w:p>
    <w:p w14:paraId="05572E1A">
      <w:pPr>
        <w:pStyle w:val="30"/>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（一）分值汇总计算错误的；</w:t>
      </w:r>
    </w:p>
    <w:p w14:paraId="169E7D7A">
      <w:pPr>
        <w:pStyle w:val="30"/>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（二）分项评分超出评分标准范围的；</w:t>
      </w:r>
    </w:p>
    <w:p w14:paraId="7109C15B">
      <w:pPr>
        <w:pStyle w:val="30"/>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（三）评标委员会成员对客观评审因素评分不一致的；</w:t>
      </w:r>
    </w:p>
    <w:p w14:paraId="78E84D3A">
      <w:pPr>
        <w:pStyle w:val="30"/>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（四）经评标委员会认定评分畸高、畸低的。</w:t>
      </w:r>
    </w:p>
    <w:p w14:paraId="6F698792">
      <w:pPr>
        <w:spacing w:before="62" w:beforeLines="20"/>
        <w:ind w:firstLine="442" w:firstLineChars="200"/>
        <w:rPr>
          <w:rFonts w:hint="eastAsia" w:ascii="宋体" w:hAnsi="宋体" w:eastAsia="宋体" w:cs="宋体"/>
          <w:b/>
          <w:color w:val="auto"/>
          <w:sz w:val="22"/>
          <w:szCs w:val="22"/>
        </w:rPr>
      </w:pPr>
      <w:r>
        <w:rPr>
          <w:rFonts w:hint="eastAsia" w:ascii="宋体" w:hAnsi="宋体" w:eastAsia="宋体" w:cs="宋体"/>
          <w:b/>
          <w:color w:val="auto"/>
          <w:sz w:val="22"/>
          <w:szCs w:val="22"/>
        </w:rPr>
        <w:t>7、评标过程的监控</w:t>
      </w:r>
    </w:p>
    <w:p w14:paraId="66A692B3">
      <w:pPr>
        <w:pStyle w:val="1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本项目评标过程实行全程录音、录像监控，供应商在评标过程中所进行的试图影响评标结果的不公正活动，可能导致其投标被拒绝。</w:t>
      </w:r>
    </w:p>
    <w:p w14:paraId="0663FF64">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7ABC1292">
      <w:pPr>
        <w:pStyle w:val="2"/>
        <w:rPr>
          <w:rFonts w:hint="eastAsia" w:ascii="宋体" w:hAnsi="宋体" w:eastAsia="宋体" w:cs="宋体"/>
          <w:color w:val="auto"/>
        </w:rPr>
      </w:pPr>
      <w:bookmarkStart w:id="273" w:name="_Toc27781"/>
      <w:r>
        <w:rPr>
          <w:rFonts w:hint="eastAsia" w:ascii="宋体" w:hAnsi="宋体" w:eastAsia="宋体" w:cs="宋体"/>
          <w:color w:val="auto"/>
        </w:rPr>
        <w:t>第四章</w:t>
      </w:r>
      <w:bookmarkEnd w:id="270"/>
      <w:r>
        <w:rPr>
          <w:rFonts w:hint="eastAsia" w:ascii="宋体" w:hAnsi="宋体" w:eastAsia="宋体" w:cs="宋体"/>
          <w:color w:val="auto"/>
        </w:rPr>
        <w:t xml:space="preserve">  合同条款及格式</w:t>
      </w:r>
      <w:bookmarkEnd w:id="271"/>
      <w:bookmarkEnd w:id="272"/>
      <w:bookmarkEnd w:id="273"/>
    </w:p>
    <w:p w14:paraId="20ABE00F">
      <w:pPr>
        <w:widowControl/>
        <w:spacing w:line="360" w:lineRule="auto"/>
        <w:ind w:firstLine="3534" w:firstLineChars="1100"/>
        <w:jc w:val="left"/>
        <w:rPr>
          <w:rFonts w:hint="eastAsia" w:ascii="宋体" w:hAnsi="宋体" w:eastAsia="宋体" w:cs="宋体"/>
          <w:b/>
          <w:color w:val="auto"/>
          <w:kern w:val="0"/>
          <w:sz w:val="32"/>
          <w:szCs w:val="32"/>
          <w:lang w:val="en-US" w:eastAsia="zh-CN" w:bidi="ar"/>
        </w:rPr>
      </w:pPr>
      <w:bookmarkStart w:id="274" w:name="_Toc243"/>
      <w:bookmarkStart w:id="275" w:name="_Toc29433"/>
      <w:bookmarkStart w:id="276" w:name="_Toc28673"/>
      <w:bookmarkStart w:id="277" w:name="_Toc295114403"/>
      <w:r>
        <w:rPr>
          <w:rFonts w:hint="eastAsia" w:ascii="宋体" w:hAnsi="宋体" w:eastAsia="宋体" w:cs="宋体"/>
          <w:b/>
          <w:color w:val="auto"/>
          <w:kern w:val="0"/>
          <w:sz w:val="32"/>
          <w:szCs w:val="32"/>
          <w:lang w:eastAsia="zh-CN" w:bidi="ar"/>
        </w:rPr>
        <w:t>合同格式及条款前附表</w:t>
      </w:r>
      <w:bookmarkEnd w:id="274"/>
    </w:p>
    <w:p w14:paraId="057EBA8F">
      <w:pPr>
        <w:spacing w:line="215" w:lineRule="exact"/>
        <w:outlineLvl w:val="9"/>
        <w:rPr>
          <w:rFonts w:hint="eastAsia" w:ascii="宋体" w:hAnsi="宋体" w:eastAsia="宋体" w:cs="宋体"/>
          <w:color w:val="auto"/>
          <w:sz w:val="24"/>
          <w:szCs w:val="24"/>
        </w:rPr>
      </w:pPr>
    </w:p>
    <w:p w14:paraId="692F5BA8">
      <w:pPr>
        <w:spacing w:line="0" w:lineRule="atLeast"/>
        <w:outlineLvl w:val="9"/>
        <w:rPr>
          <w:rFonts w:hint="eastAsia" w:ascii="宋体" w:hAnsi="宋体" w:eastAsia="宋体" w:cs="宋体"/>
          <w:color w:val="auto"/>
          <w:sz w:val="22"/>
          <w:szCs w:val="22"/>
        </w:rPr>
      </w:pPr>
      <w:r>
        <w:rPr>
          <w:rFonts w:hint="eastAsia" w:ascii="宋体" w:hAnsi="宋体" w:eastAsia="宋体" w:cs="宋体"/>
          <w:color w:val="auto"/>
          <w:sz w:val="22"/>
          <w:szCs w:val="22"/>
        </w:rPr>
        <w:t>本表是对合同条款的具体补充和修改，如有矛盾，应以本资料表为准。</w:t>
      </w:r>
    </w:p>
    <w:tbl>
      <w:tblPr>
        <w:tblStyle w:val="22"/>
        <w:tblW w:w="9650" w:type="dxa"/>
        <w:tblInd w:w="-23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63"/>
        <w:gridCol w:w="8787"/>
      </w:tblGrid>
      <w:tr w14:paraId="1BDE7C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7" w:hRule="atLeast"/>
        </w:trPr>
        <w:tc>
          <w:tcPr>
            <w:tcW w:w="863" w:type="dxa"/>
            <w:noWrap w:val="0"/>
            <w:vAlign w:val="center"/>
          </w:tcPr>
          <w:p w14:paraId="08FB2792">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条款号</w:t>
            </w:r>
          </w:p>
        </w:tc>
        <w:tc>
          <w:tcPr>
            <w:tcW w:w="8787" w:type="dxa"/>
            <w:noWrap w:val="0"/>
            <w:vAlign w:val="center"/>
          </w:tcPr>
          <w:p w14:paraId="3B219F2D">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b/>
                <w:color w:val="auto"/>
                <w:sz w:val="22"/>
                <w:szCs w:val="22"/>
              </w:rPr>
            </w:pPr>
            <w:r>
              <w:rPr>
                <w:rFonts w:hint="eastAsia" w:ascii="宋体" w:hAnsi="宋体" w:eastAsia="宋体" w:cs="宋体"/>
                <w:b/>
                <w:color w:val="auto"/>
                <w:sz w:val="22"/>
                <w:szCs w:val="22"/>
              </w:rPr>
              <w:t>内容</w:t>
            </w:r>
          </w:p>
        </w:tc>
      </w:tr>
      <w:tr w14:paraId="60A91D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863" w:type="dxa"/>
            <w:noWrap w:val="0"/>
            <w:vAlign w:val="center"/>
          </w:tcPr>
          <w:p w14:paraId="00225D13">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1</w:t>
            </w:r>
          </w:p>
        </w:tc>
        <w:tc>
          <w:tcPr>
            <w:tcW w:w="8787" w:type="dxa"/>
            <w:noWrap w:val="0"/>
            <w:vAlign w:val="center"/>
          </w:tcPr>
          <w:p w14:paraId="270438FA">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kern w:val="0"/>
                <w:sz w:val="22"/>
                <w:szCs w:val="22"/>
                <w:lang w:eastAsia="zh-CN" w:bidi="ar"/>
              </w:rPr>
            </w:pPr>
            <w:r>
              <w:rPr>
                <w:rFonts w:hint="eastAsia" w:ascii="宋体" w:hAnsi="宋体" w:eastAsia="宋体" w:cs="宋体"/>
                <w:color w:val="auto"/>
                <w:sz w:val="22"/>
                <w:szCs w:val="22"/>
              </w:rPr>
              <w:t>采购人名称：</w:t>
            </w:r>
            <w:r>
              <w:rPr>
                <w:rFonts w:hint="eastAsia" w:ascii="宋体" w:hAnsi="宋体" w:eastAsia="宋体" w:cs="宋体"/>
                <w:bCs/>
                <w:color w:val="auto"/>
                <w:kern w:val="0"/>
                <w:sz w:val="22"/>
                <w:szCs w:val="22"/>
                <w:lang w:eastAsia="zh-CN" w:bidi="ar"/>
              </w:rPr>
              <w:t>府谷县田家寨镇人民政府</w:t>
            </w:r>
          </w:p>
          <w:p w14:paraId="71757421">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lang w:eastAsia="zh-CN"/>
              </w:rPr>
            </w:pPr>
            <w:r>
              <w:rPr>
                <w:rFonts w:hint="eastAsia" w:ascii="宋体" w:hAnsi="宋体" w:eastAsia="宋体" w:cs="宋体"/>
                <w:color w:val="auto"/>
                <w:sz w:val="22"/>
                <w:szCs w:val="22"/>
              </w:rPr>
              <w:t xml:space="preserve">地  </w:t>
            </w:r>
            <w:r>
              <w:rPr>
                <w:rFonts w:hint="eastAsia" w:ascii="宋体" w:hAnsi="宋体" w:eastAsia="宋体" w:cs="宋体"/>
                <w:color w:val="auto"/>
                <w:sz w:val="22"/>
                <w:szCs w:val="22"/>
                <w:lang w:val="en-US" w:eastAsia="zh-CN"/>
              </w:rPr>
              <w:t xml:space="preserve">  </w:t>
            </w:r>
            <w:r>
              <w:rPr>
                <w:rFonts w:hint="eastAsia" w:ascii="宋体" w:hAnsi="宋体" w:eastAsia="宋体" w:cs="宋体"/>
                <w:color w:val="auto"/>
                <w:sz w:val="22"/>
                <w:szCs w:val="22"/>
              </w:rPr>
              <w:t xml:space="preserve">  址：</w:t>
            </w:r>
            <w:r>
              <w:rPr>
                <w:rFonts w:hint="eastAsia" w:ascii="宋体" w:hAnsi="宋体" w:eastAsia="宋体" w:cs="宋体"/>
                <w:color w:val="auto"/>
                <w:sz w:val="22"/>
                <w:szCs w:val="22"/>
                <w:lang w:val="en-US" w:eastAsia="zh-CN"/>
              </w:rPr>
              <w:t>府谷县</w:t>
            </w:r>
            <w:r>
              <w:rPr>
                <w:rFonts w:hint="eastAsia" w:ascii="宋体" w:hAnsi="宋体" w:eastAsia="宋体" w:cs="宋体"/>
                <w:color w:val="auto"/>
                <w:sz w:val="22"/>
                <w:szCs w:val="22"/>
                <w:lang w:eastAsia="zh-CN"/>
              </w:rPr>
              <w:t>田家寨镇</w:t>
            </w:r>
          </w:p>
          <w:p w14:paraId="08DF92CB">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lang w:eastAsia="zh-CN"/>
              </w:rPr>
            </w:pPr>
            <w:r>
              <w:rPr>
                <w:rFonts w:hint="eastAsia" w:ascii="宋体" w:hAnsi="宋体" w:eastAsia="宋体" w:cs="宋体"/>
                <w:color w:val="auto"/>
                <w:sz w:val="22"/>
                <w:szCs w:val="22"/>
                <w:lang w:eastAsia="zh-CN"/>
              </w:rPr>
              <w:t>采购</w:t>
            </w:r>
            <w:r>
              <w:rPr>
                <w:rFonts w:hint="eastAsia" w:ascii="宋体" w:hAnsi="宋体" w:eastAsia="宋体" w:cs="宋体"/>
                <w:color w:val="auto"/>
                <w:sz w:val="22"/>
                <w:szCs w:val="22"/>
              </w:rPr>
              <w:t>项目名称</w:t>
            </w:r>
            <w:r>
              <w:rPr>
                <w:rFonts w:hint="eastAsia" w:ascii="宋体" w:hAnsi="宋体" w:eastAsia="宋体" w:cs="宋体"/>
                <w:color w:val="auto"/>
                <w:sz w:val="22"/>
                <w:szCs w:val="22"/>
                <w:lang w:eastAsia="zh-CN"/>
              </w:rPr>
              <w:t>：田家寨镇张圪崂村张圪崂大型淤地坝提升改造工程</w:t>
            </w:r>
          </w:p>
          <w:p w14:paraId="718825EE">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资金来源：</w:t>
            </w:r>
            <w:r>
              <w:rPr>
                <w:rFonts w:hint="eastAsia" w:ascii="宋体" w:hAnsi="宋体" w:eastAsia="宋体" w:cs="宋体"/>
                <w:color w:val="auto"/>
                <w:sz w:val="22"/>
                <w:szCs w:val="22"/>
                <w:lang w:eastAsia="zh-CN"/>
              </w:rPr>
              <w:t>财政拨款</w:t>
            </w:r>
          </w:p>
        </w:tc>
      </w:tr>
      <w:tr w14:paraId="19A4FA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70" w:hRule="atLeast"/>
        </w:trPr>
        <w:tc>
          <w:tcPr>
            <w:tcW w:w="863" w:type="dxa"/>
            <w:noWrap w:val="0"/>
            <w:vAlign w:val="center"/>
          </w:tcPr>
          <w:p w14:paraId="18FA96E0">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2</w:t>
            </w:r>
          </w:p>
        </w:tc>
        <w:tc>
          <w:tcPr>
            <w:tcW w:w="8787" w:type="dxa"/>
            <w:noWrap w:val="0"/>
            <w:vAlign w:val="center"/>
          </w:tcPr>
          <w:p w14:paraId="70FC0E11">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rPr>
              <w:t>项目实施地点：</w:t>
            </w:r>
            <w:r>
              <w:rPr>
                <w:rFonts w:hint="eastAsia" w:ascii="宋体" w:hAnsi="宋体" w:eastAsia="宋体" w:cs="宋体"/>
                <w:bCs/>
                <w:color w:val="auto"/>
                <w:kern w:val="0"/>
                <w:sz w:val="22"/>
                <w:szCs w:val="22"/>
                <w:lang w:eastAsia="zh-CN" w:bidi="ar"/>
              </w:rPr>
              <w:t>田家寨镇张圪崂村</w:t>
            </w:r>
          </w:p>
        </w:tc>
      </w:tr>
      <w:tr w14:paraId="05DD9C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9" w:hRule="atLeast"/>
        </w:trPr>
        <w:tc>
          <w:tcPr>
            <w:tcW w:w="863" w:type="dxa"/>
            <w:shd w:val="clear" w:color="auto" w:fill="auto"/>
            <w:noWrap w:val="0"/>
            <w:vAlign w:val="center"/>
          </w:tcPr>
          <w:p w14:paraId="3C697445">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3</w:t>
            </w:r>
          </w:p>
        </w:tc>
        <w:tc>
          <w:tcPr>
            <w:tcW w:w="8787" w:type="dxa"/>
            <w:shd w:val="clear" w:color="auto" w:fill="auto"/>
            <w:noWrap w:val="0"/>
            <w:vAlign w:val="center"/>
          </w:tcPr>
          <w:p w14:paraId="45AB8DE2">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default"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lang w:val="en-US" w:eastAsia="zh-CN"/>
              </w:rPr>
              <w:t>工</w:t>
            </w:r>
            <w:r>
              <w:rPr>
                <w:rFonts w:hint="eastAsia" w:ascii="宋体" w:hAnsi="宋体" w:eastAsia="宋体" w:cs="宋体"/>
                <w:color w:val="auto"/>
                <w:sz w:val="22"/>
                <w:szCs w:val="22"/>
                <w:highlight w:val="none"/>
                <w:lang w:eastAsia="zh-CN"/>
              </w:rPr>
              <w:t>期</w:t>
            </w:r>
            <w:r>
              <w:rPr>
                <w:rFonts w:hint="eastAsia" w:ascii="宋体" w:hAnsi="宋体" w:eastAsia="宋体" w:cs="宋体"/>
                <w:color w:val="auto"/>
                <w:sz w:val="22"/>
                <w:szCs w:val="22"/>
                <w:highlight w:val="none"/>
                <w:lang w:val="en-US" w:eastAsia="zh-CN"/>
              </w:rPr>
              <w:t xml:space="preserve">：45日历天 </w:t>
            </w:r>
          </w:p>
        </w:tc>
      </w:tr>
      <w:tr w14:paraId="239864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5" w:hRule="atLeast"/>
        </w:trPr>
        <w:tc>
          <w:tcPr>
            <w:tcW w:w="863" w:type="dxa"/>
            <w:noWrap w:val="0"/>
            <w:vAlign w:val="center"/>
          </w:tcPr>
          <w:p w14:paraId="4E42703C">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4</w:t>
            </w:r>
          </w:p>
        </w:tc>
        <w:tc>
          <w:tcPr>
            <w:tcW w:w="8787" w:type="dxa"/>
            <w:noWrap w:val="0"/>
            <w:vAlign w:val="center"/>
          </w:tcPr>
          <w:p w14:paraId="74C3467B">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rPr>
              <w:t>质量要求：符合国家及</w:t>
            </w:r>
            <w:r>
              <w:rPr>
                <w:rFonts w:hint="eastAsia" w:ascii="宋体" w:hAnsi="宋体" w:eastAsia="宋体" w:cs="宋体"/>
                <w:color w:val="auto"/>
                <w:sz w:val="22"/>
                <w:szCs w:val="22"/>
                <w:lang w:val="en-US" w:eastAsia="zh-CN"/>
              </w:rPr>
              <w:t>行业</w:t>
            </w:r>
            <w:r>
              <w:rPr>
                <w:rFonts w:hint="eastAsia" w:ascii="宋体" w:hAnsi="宋体" w:eastAsia="宋体" w:cs="宋体"/>
                <w:color w:val="auto"/>
                <w:sz w:val="22"/>
                <w:szCs w:val="22"/>
              </w:rPr>
              <w:t>相关部门规定的验收合格标准</w:t>
            </w:r>
          </w:p>
        </w:tc>
      </w:tr>
      <w:tr w14:paraId="41991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32" w:hRule="atLeast"/>
        </w:trPr>
        <w:tc>
          <w:tcPr>
            <w:tcW w:w="863" w:type="dxa"/>
            <w:noWrap w:val="0"/>
            <w:vAlign w:val="center"/>
          </w:tcPr>
          <w:p w14:paraId="462A76DA">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5</w:t>
            </w:r>
          </w:p>
        </w:tc>
        <w:tc>
          <w:tcPr>
            <w:tcW w:w="8787" w:type="dxa"/>
            <w:noWrap w:val="0"/>
            <w:vAlign w:val="center"/>
          </w:tcPr>
          <w:p w14:paraId="0C50239F">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1.合同总价即</w:t>
            </w:r>
            <w:r>
              <w:rPr>
                <w:rFonts w:hint="eastAsia" w:ascii="宋体" w:hAnsi="宋体" w:eastAsia="宋体" w:cs="宋体"/>
                <w:color w:val="auto"/>
                <w:sz w:val="22"/>
                <w:szCs w:val="22"/>
                <w:highlight w:val="none"/>
                <w:lang w:eastAsia="zh-CN"/>
              </w:rPr>
              <w:t>成交</w:t>
            </w:r>
            <w:r>
              <w:rPr>
                <w:rFonts w:hint="eastAsia" w:ascii="宋体" w:hAnsi="宋体" w:eastAsia="宋体" w:cs="宋体"/>
                <w:color w:val="auto"/>
                <w:sz w:val="22"/>
                <w:szCs w:val="22"/>
                <w:highlight w:val="none"/>
              </w:rPr>
              <w:t>价，磋商报价是完成招标内容所需的全部费用，包括调研交通费用、食宿费、劳务费、资料费、装订费、修订费、评审费等一切费用。投标报价表中任何有选择的报价将不予接受，按无效投标处理。</w:t>
            </w:r>
          </w:p>
          <w:p w14:paraId="3920DDBE">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2.合同总价一次包死，不受市场价变化或实际工作量变化的影响。</w:t>
            </w:r>
          </w:p>
          <w:p w14:paraId="16E216C3">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3.付款方式和程序：</w:t>
            </w:r>
          </w:p>
          <w:p w14:paraId="583696BA">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（1）由采购人负责结算，在付款前，供应商必须开具全额发票给采购人。</w:t>
            </w:r>
          </w:p>
          <w:p w14:paraId="4FC9404A">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shd w:val="clear"/>
              </w:rPr>
              <w:t>（2）付款方式：</w:t>
            </w:r>
            <w:r>
              <w:rPr>
                <w:rFonts w:hint="eastAsia" w:ascii="宋体" w:hAnsi="宋体" w:eastAsia="宋体" w:cs="宋体"/>
                <w:color w:val="auto"/>
                <w:sz w:val="22"/>
                <w:szCs w:val="22"/>
                <w:highlight w:val="none"/>
                <w:shd w:val="clear"/>
                <w:lang w:val="en-US" w:eastAsia="zh-CN"/>
              </w:rPr>
              <w:t>甲方按照乙方完成的实际工程量进行决算，根据项目进度给予拨付项目款，待项目竣工验收合格决算后拨付至项目总价款的80%，审计完成后支付剩余工程款。</w:t>
            </w:r>
          </w:p>
        </w:tc>
      </w:tr>
      <w:tr w14:paraId="5ED853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13" w:hRule="atLeast"/>
        </w:trPr>
        <w:tc>
          <w:tcPr>
            <w:tcW w:w="863" w:type="dxa"/>
            <w:noWrap w:val="0"/>
            <w:vAlign w:val="center"/>
          </w:tcPr>
          <w:p w14:paraId="6204AF1F">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lang w:eastAsia="zh-CN"/>
              </w:rPr>
            </w:pPr>
            <w:r>
              <w:rPr>
                <w:rFonts w:hint="eastAsia" w:ascii="宋体" w:hAnsi="宋体" w:eastAsia="宋体" w:cs="宋体"/>
                <w:color w:val="auto"/>
                <w:sz w:val="22"/>
                <w:szCs w:val="22"/>
                <w:lang w:val="en-US" w:eastAsia="zh-CN"/>
              </w:rPr>
              <w:t>6</w:t>
            </w:r>
          </w:p>
        </w:tc>
        <w:tc>
          <w:tcPr>
            <w:tcW w:w="8787" w:type="dxa"/>
            <w:noWrap w:val="0"/>
            <w:vAlign w:val="center"/>
          </w:tcPr>
          <w:p w14:paraId="2F8712E1">
            <w:pPr>
              <w:keepNext w:val="0"/>
              <w:keepLines w:val="0"/>
              <w:pageBreakBefore w:val="0"/>
              <w:widowControl w:val="0"/>
              <w:wordWrap/>
              <w:overflowPunct/>
              <w:topLinePunct w:val="0"/>
              <w:autoSpaceDE/>
              <w:autoSpaceDN/>
              <w:bidi w:val="0"/>
              <w:spacing w:line="312" w:lineRule="auto"/>
              <w:textAlignment w:val="auto"/>
              <w:outlineLvl w:val="9"/>
              <w:rPr>
                <w:rFonts w:hint="eastAsia" w:ascii="宋体" w:hAnsi="宋体" w:eastAsia="宋体" w:cs="宋体"/>
                <w:b/>
                <w:color w:val="auto"/>
                <w:sz w:val="22"/>
                <w:szCs w:val="22"/>
              </w:rPr>
            </w:pPr>
            <w:r>
              <w:rPr>
                <w:rFonts w:hint="eastAsia" w:ascii="宋体" w:hAnsi="宋体" w:eastAsia="宋体" w:cs="宋体"/>
                <w:b/>
                <w:color w:val="auto"/>
                <w:sz w:val="22"/>
                <w:szCs w:val="22"/>
              </w:rPr>
              <w:t>知识产权</w:t>
            </w:r>
          </w:p>
          <w:p w14:paraId="721E2DF1">
            <w:pPr>
              <w:keepNext w:val="0"/>
              <w:keepLines w:val="0"/>
              <w:pageBreakBefore w:val="0"/>
              <w:widowControl w:val="0"/>
              <w:wordWrap/>
              <w:overflowPunct/>
              <w:topLinePunct w:val="0"/>
              <w:autoSpaceDE/>
              <w:autoSpaceDN/>
              <w:bidi w:val="0"/>
              <w:spacing w:line="312" w:lineRule="auto"/>
              <w:textAlignment w:val="auto"/>
              <w:outlineLvl w:val="9"/>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（1）乙方为履行本合同义务所形成的服务成果的知识产权归甲方所有。</w:t>
            </w:r>
          </w:p>
          <w:p w14:paraId="19EECBD8">
            <w:pPr>
              <w:keepNext w:val="0"/>
              <w:keepLines w:val="0"/>
              <w:pageBreakBefore w:val="0"/>
              <w:widowControl w:val="0"/>
              <w:wordWrap/>
              <w:overflowPunct/>
              <w:topLinePunct w:val="0"/>
              <w:autoSpaceDE/>
              <w:autoSpaceDN/>
              <w:bidi w:val="0"/>
              <w:spacing w:line="312" w:lineRule="auto"/>
              <w:textAlignment w:val="auto"/>
              <w:outlineLvl w:val="9"/>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乙方保证向甲方提供的服务成果是其独立实施完成，不存在任何侵犯第三方专利权、商标权、著作权等合法权益。如因乙方提供的服务成果侵犯任何第三方的合法权益，导致该第三方追究甲方责任的，乙方应负责解决并赔偿因此给甲方造成的全部损失。</w:t>
            </w:r>
          </w:p>
        </w:tc>
      </w:tr>
    </w:tbl>
    <w:p w14:paraId="2B94E0D4">
      <w:pPr>
        <w:spacing w:line="360" w:lineRule="auto"/>
        <w:jc w:val="both"/>
        <w:rPr>
          <w:rFonts w:hint="eastAsia" w:ascii="宋体" w:hAnsi="宋体" w:eastAsia="宋体" w:cs="宋体"/>
          <w:b/>
          <w:bCs/>
          <w:color w:val="auto"/>
          <w:sz w:val="44"/>
          <w:szCs w:val="44"/>
          <w:lang w:eastAsia="zh-CN"/>
        </w:rPr>
      </w:pPr>
    </w:p>
    <w:p w14:paraId="27838152">
      <w:pP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br w:type="page"/>
      </w:r>
    </w:p>
    <w:p w14:paraId="10B1BCC2">
      <w:pPr>
        <w:spacing w:line="360" w:lineRule="auto"/>
        <w:jc w:val="center"/>
        <w:rPr>
          <w:rFonts w:hint="eastAsia" w:ascii="宋体" w:hAnsi="宋体" w:eastAsia="宋体" w:cs="宋体"/>
          <w:b/>
          <w:bCs/>
          <w:color w:val="auto"/>
          <w:sz w:val="44"/>
          <w:szCs w:val="44"/>
          <w:lang w:eastAsia="zh-CN"/>
        </w:rPr>
      </w:pPr>
    </w:p>
    <w:p w14:paraId="67DEBC8A">
      <w:pPr>
        <w:spacing w:line="36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田家寨镇张圪崂村张圪崂大型淤地坝提升改造工程采购合同</w:t>
      </w:r>
    </w:p>
    <w:p w14:paraId="2EF949DC">
      <w:pPr>
        <w:pStyle w:val="27"/>
        <w:rPr>
          <w:rFonts w:hint="eastAsia" w:ascii="宋体" w:hAnsi="宋体" w:eastAsia="宋体" w:cs="宋体"/>
          <w:color w:val="auto"/>
          <w:lang w:eastAsia="zh-CN"/>
        </w:rPr>
      </w:pPr>
    </w:p>
    <w:p w14:paraId="01B10816">
      <w:pPr>
        <w:spacing w:line="720" w:lineRule="auto"/>
        <w:jc w:val="center"/>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lang w:eastAsia="zh-CN"/>
        </w:rPr>
        <w:t>（仅供参考，最终以甲乙双方签订为准）</w:t>
      </w:r>
    </w:p>
    <w:p w14:paraId="5B7732C9">
      <w:pPr>
        <w:rPr>
          <w:rFonts w:hint="eastAsia" w:ascii="宋体" w:hAnsi="宋体" w:eastAsia="宋体" w:cs="宋体"/>
          <w:color w:val="auto"/>
        </w:rPr>
      </w:pPr>
    </w:p>
    <w:p w14:paraId="6E58344E">
      <w:pPr>
        <w:rPr>
          <w:rFonts w:hint="eastAsia" w:ascii="宋体" w:hAnsi="宋体" w:eastAsia="宋体" w:cs="宋体"/>
          <w:color w:val="auto"/>
        </w:rPr>
      </w:pPr>
    </w:p>
    <w:p w14:paraId="469028BD">
      <w:pPr>
        <w:pStyle w:val="27"/>
        <w:rPr>
          <w:rFonts w:hint="eastAsia" w:ascii="宋体" w:hAnsi="宋体" w:eastAsia="宋体" w:cs="宋体"/>
          <w:color w:val="auto"/>
        </w:rPr>
      </w:pPr>
    </w:p>
    <w:p w14:paraId="26A16C4B">
      <w:pPr>
        <w:jc w:val="both"/>
        <w:rPr>
          <w:rFonts w:hint="eastAsia" w:ascii="宋体" w:hAnsi="宋体" w:eastAsia="宋体" w:cs="宋体"/>
          <w:b/>
          <w:color w:val="auto"/>
          <w:sz w:val="36"/>
          <w:szCs w:val="36"/>
        </w:rPr>
      </w:pPr>
    </w:p>
    <w:p w14:paraId="12D74563">
      <w:pPr>
        <w:jc w:val="center"/>
        <w:rPr>
          <w:rFonts w:hint="eastAsia" w:ascii="宋体" w:hAnsi="宋体" w:eastAsia="宋体" w:cs="宋体"/>
          <w:b/>
          <w:color w:val="auto"/>
          <w:sz w:val="36"/>
          <w:szCs w:val="36"/>
        </w:rPr>
      </w:pPr>
      <w:r>
        <w:rPr>
          <w:rFonts w:hint="eastAsia" w:ascii="宋体" w:hAnsi="宋体" w:eastAsia="宋体" w:cs="宋体"/>
          <w:b/>
          <w:color w:val="auto"/>
          <w:sz w:val="36"/>
          <w:szCs w:val="36"/>
        </w:rPr>
        <w:t>（示范文本）</w:t>
      </w:r>
    </w:p>
    <w:p w14:paraId="0D96A338">
      <w:pPr>
        <w:spacing w:before="120" w:line="360" w:lineRule="auto"/>
        <w:rPr>
          <w:rFonts w:hint="eastAsia" w:ascii="宋体" w:hAnsi="宋体" w:eastAsia="宋体" w:cs="宋体"/>
          <w:b/>
          <w:bCs/>
          <w:color w:val="auto"/>
          <w:sz w:val="28"/>
          <w:szCs w:val="28"/>
        </w:rPr>
      </w:pPr>
    </w:p>
    <w:p w14:paraId="3347198C">
      <w:pPr>
        <w:pStyle w:val="27"/>
        <w:rPr>
          <w:rFonts w:hint="eastAsia" w:ascii="宋体" w:hAnsi="宋体" w:eastAsia="宋体" w:cs="宋体"/>
          <w:b/>
          <w:bCs/>
          <w:color w:val="auto"/>
          <w:sz w:val="28"/>
          <w:szCs w:val="28"/>
        </w:rPr>
      </w:pPr>
    </w:p>
    <w:p w14:paraId="3182F410">
      <w:pPr>
        <w:pStyle w:val="27"/>
        <w:rPr>
          <w:rFonts w:hint="eastAsia" w:ascii="宋体" w:hAnsi="宋体" w:eastAsia="宋体" w:cs="宋体"/>
          <w:b/>
          <w:bCs/>
          <w:color w:val="auto"/>
          <w:sz w:val="28"/>
          <w:szCs w:val="28"/>
        </w:rPr>
      </w:pPr>
    </w:p>
    <w:p w14:paraId="0FE22479">
      <w:pPr>
        <w:adjustRightInd w:val="0"/>
        <w:snapToGrid w:val="0"/>
        <w:spacing w:line="580" w:lineRule="exact"/>
        <w:ind w:firstLine="557" w:firstLineChars="198"/>
        <w:rPr>
          <w:rFonts w:hint="eastAsia" w:ascii="宋体" w:hAnsi="宋体" w:eastAsia="宋体" w:cs="宋体"/>
          <w:color w:val="auto"/>
          <w:sz w:val="24"/>
          <w:u w:val="thick"/>
        </w:rPr>
      </w:pPr>
      <w:r>
        <w:rPr>
          <w:rFonts w:hint="eastAsia" w:ascii="宋体" w:hAnsi="宋体" w:eastAsia="宋体" w:cs="宋体"/>
          <w:b/>
          <w:bCs/>
          <w:color w:val="auto"/>
          <w:sz w:val="28"/>
          <w:szCs w:val="28"/>
          <w:lang w:eastAsia="zh-CN"/>
        </w:rPr>
        <w:t>采购</w:t>
      </w:r>
      <w:r>
        <w:rPr>
          <w:rFonts w:hint="eastAsia" w:ascii="宋体" w:hAnsi="宋体" w:eastAsia="宋体" w:cs="宋体"/>
          <w:b/>
          <w:bCs/>
          <w:color w:val="auto"/>
          <w:sz w:val="28"/>
          <w:szCs w:val="28"/>
        </w:rPr>
        <w:t xml:space="preserve">编号： </w:t>
      </w:r>
      <w:r>
        <w:rPr>
          <w:rFonts w:hint="eastAsia" w:ascii="宋体" w:hAnsi="宋体" w:eastAsia="宋体" w:cs="宋体"/>
          <w:color w:val="auto"/>
          <w:sz w:val="24"/>
          <w:u w:val="single"/>
        </w:rPr>
        <w:t xml:space="preserve">                                      </w:t>
      </w:r>
    </w:p>
    <w:p w14:paraId="784101C9">
      <w:pPr>
        <w:adjustRightInd w:val="0"/>
        <w:snapToGrid w:val="0"/>
        <w:spacing w:line="700" w:lineRule="exact"/>
        <w:ind w:firstLine="562" w:firstLineChars="200"/>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采购人：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0DA50BEA">
      <w:pPr>
        <w:adjustRightInd w:val="0"/>
        <w:snapToGrid w:val="0"/>
        <w:spacing w:line="700" w:lineRule="exact"/>
        <w:ind w:firstLine="557" w:firstLineChars="198"/>
        <w:jc w:val="left"/>
        <w:rPr>
          <w:rFonts w:hint="eastAsia" w:ascii="宋体" w:hAnsi="宋体" w:eastAsia="宋体" w:cs="宋体"/>
          <w:color w:val="auto"/>
          <w:sz w:val="24"/>
          <w:lang w:val="en-US" w:eastAsia="zh-CN"/>
        </w:rPr>
      </w:pPr>
      <w:r>
        <w:rPr>
          <w:rFonts w:hint="eastAsia" w:ascii="宋体" w:hAnsi="宋体" w:eastAsia="宋体" w:cs="宋体"/>
          <w:b/>
          <w:bCs/>
          <w:color w:val="auto"/>
          <w:sz w:val="28"/>
          <w:szCs w:val="28"/>
        </w:rPr>
        <w:t>供应商</w:t>
      </w:r>
      <w:r>
        <w:rPr>
          <w:rFonts w:hint="eastAsia" w:ascii="宋体" w:hAnsi="宋体" w:eastAsia="宋体" w:cs="宋体"/>
          <w:b/>
          <w:bCs/>
          <w:color w:val="auto"/>
          <w:sz w:val="28"/>
          <w:szCs w:val="28"/>
          <w:lang w:eastAsia="zh-CN"/>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p>
    <w:p w14:paraId="3D2F9269">
      <w:pPr>
        <w:adjustRightInd w:val="0"/>
        <w:snapToGrid w:val="0"/>
        <w:spacing w:line="700" w:lineRule="exact"/>
        <w:ind w:firstLine="557" w:firstLineChars="198"/>
        <w:jc w:val="left"/>
        <w:rPr>
          <w:rFonts w:hint="eastAsia" w:ascii="宋体" w:hAnsi="宋体" w:eastAsia="宋体" w:cs="宋体"/>
          <w:color w:val="auto"/>
          <w:sz w:val="24"/>
        </w:rPr>
      </w:pPr>
      <w:r>
        <w:rPr>
          <w:rFonts w:hint="eastAsia" w:ascii="宋体" w:hAnsi="宋体" w:eastAsia="宋体" w:cs="宋体"/>
          <w:b/>
          <w:bCs/>
          <w:color w:val="auto"/>
          <w:sz w:val="28"/>
          <w:szCs w:val="28"/>
        </w:rPr>
        <w:t>签署日期：</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1B0DA1CE">
      <w:pPr>
        <w:spacing w:line="360" w:lineRule="auto"/>
        <w:ind w:firstLine="843" w:firstLineChars="350"/>
        <w:rPr>
          <w:rFonts w:hint="eastAsia" w:ascii="宋体" w:hAnsi="宋体" w:eastAsia="宋体" w:cs="宋体"/>
          <w:b/>
          <w:bCs/>
          <w:color w:val="auto"/>
          <w:sz w:val="24"/>
        </w:rPr>
      </w:pPr>
      <w:r>
        <w:rPr>
          <w:rFonts w:hint="eastAsia" w:ascii="宋体" w:hAnsi="宋体" w:eastAsia="宋体" w:cs="宋体"/>
          <w:b/>
          <w:bCs/>
          <w:color w:val="auto"/>
          <w:sz w:val="24"/>
        </w:rPr>
        <w:t>　　　　　　　　　             　　</w:t>
      </w:r>
    </w:p>
    <w:p w14:paraId="29C5CB08">
      <w:pPr>
        <w:keepLines w:val="0"/>
        <w:pageBreakBefore w:val="0"/>
        <w:overflowPunct/>
        <w:topLinePunct/>
        <w:bidi w:val="0"/>
        <w:spacing w:before="249" w:line="224" w:lineRule="auto"/>
        <w:jc w:val="center"/>
        <w:outlineLvl w:val="0"/>
        <w:rPr>
          <w:rFonts w:hint="eastAsia" w:asciiTheme="minorEastAsia" w:hAnsiTheme="minorEastAsia" w:eastAsiaTheme="minorEastAsia" w:cstheme="minorEastAsia"/>
          <w:color w:val="auto"/>
          <w:sz w:val="31"/>
          <w:szCs w:val="31"/>
        </w:rPr>
      </w:pPr>
      <w:r>
        <w:rPr>
          <w:rFonts w:hint="eastAsia" w:ascii="宋体" w:hAnsi="宋体" w:eastAsia="宋体" w:cs="宋体"/>
          <w:b/>
          <w:bCs/>
          <w:color w:val="auto"/>
          <w:sz w:val="36"/>
          <w:szCs w:val="36"/>
        </w:rPr>
        <w:br w:type="page"/>
      </w:r>
      <w:bookmarkStart w:id="278" w:name="_Toc17060"/>
      <w:r>
        <w:rPr>
          <w:rFonts w:hint="eastAsia" w:asciiTheme="minorEastAsia" w:hAnsiTheme="minorEastAsia" w:eastAsiaTheme="minorEastAsia" w:cstheme="minorEastAsia"/>
          <w:color w:val="auto"/>
          <w:spacing w:val="-4"/>
          <w:sz w:val="31"/>
          <w:szCs w:val="31"/>
          <w14:textOutline w14:w="5793" w14:cap="sq" w14:cmpd="sng">
            <w14:solidFill>
              <w14:srgbClr w14:val="000000"/>
            </w14:solidFill>
            <w14:prstDash w14:val="solid"/>
            <w14:bevel/>
          </w14:textOutline>
        </w:rPr>
        <w:t>合同条款及格</w:t>
      </w:r>
      <w:r>
        <w:rPr>
          <w:rFonts w:hint="eastAsia" w:asciiTheme="minorEastAsia" w:hAnsiTheme="minorEastAsia" w:eastAsiaTheme="minorEastAsia" w:cstheme="minorEastAsia"/>
          <w:color w:val="auto"/>
          <w:spacing w:val="-3"/>
          <w:sz w:val="31"/>
          <w:szCs w:val="31"/>
          <w14:textOutline w14:w="5793" w14:cap="sq" w14:cmpd="sng">
            <w14:solidFill>
              <w14:srgbClr w14:val="000000"/>
            </w14:solidFill>
            <w14:prstDash w14:val="solid"/>
            <w14:bevel/>
          </w14:textOutline>
        </w:rPr>
        <w:t>式</w:t>
      </w:r>
    </w:p>
    <w:p w14:paraId="64AB921E">
      <w:pPr>
        <w:keepLines w:val="0"/>
        <w:pageBreakBefore w:val="0"/>
        <w:overflowPunct/>
        <w:topLinePunct/>
        <w:bidi w:val="0"/>
        <w:spacing w:line="262" w:lineRule="auto"/>
        <w:jc w:val="center"/>
        <w:rPr>
          <w:rFonts w:hint="eastAsia" w:asciiTheme="minorEastAsia" w:hAnsiTheme="minorEastAsia" w:eastAsiaTheme="minorEastAsia" w:cstheme="minorEastAsia"/>
          <w:b/>
          <w:bCs/>
          <w:color w:val="auto"/>
          <w:sz w:val="28"/>
          <w:szCs w:val="36"/>
        </w:rPr>
      </w:pPr>
      <w:r>
        <w:rPr>
          <w:rFonts w:hint="eastAsia" w:asciiTheme="minorEastAsia" w:hAnsiTheme="minorEastAsia" w:cstheme="minorEastAsia"/>
          <w:b/>
          <w:bCs/>
          <w:color w:val="auto"/>
          <w:sz w:val="28"/>
          <w:szCs w:val="36"/>
          <w:lang w:eastAsia="zh-CN"/>
        </w:rPr>
        <w:t>田家寨镇张圪崂村张圪崂大型淤地坝提升改造工程</w:t>
      </w:r>
    </w:p>
    <w:p w14:paraId="523389B6">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bookmarkStart w:id="279" w:name="第04章合同条款及格式01"/>
      <w:bookmarkEnd w:id="279"/>
      <w:r>
        <w:rPr>
          <w:rFonts w:hint="eastAsia" w:asciiTheme="minorEastAsia" w:hAnsiTheme="minorEastAsia" w:eastAsiaTheme="minorEastAsia" w:cstheme="minorEastAsia"/>
          <w:b/>
          <w:color w:val="auto"/>
          <w:sz w:val="24"/>
          <w:szCs w:val="24"/>
        </w:rPr>
        <w:t>第1节　通用合同条款</w:t>
      </w:r>
    </w:p>
    <w:p w14:paraId="1CCBE7C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80" w:name="第04章合同条款及格式0101"/>
      <w:bookmarkEnd w:id="280"/>
      <w:r>
        <w:rPr>
          <w:rFonts w:hint="eastAsia" w:asciiTheme="minorEastAsia" w:hAnsiTheme="minorEastAsia" w:eastAsiaTheme="minorEastAsia" w:cstheme="minorEastAsia"/>
          <w:b/>
          <w:color w:val="auto"/>
          <w:sz w:val="24"/>
          <w:szCs w:val="24"/>
        </w:rPr>
        <w:t>1　一般约定</w:t>
      </w:r>
    </w:p>
    <w:p w14:paraId="164F969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6A8C463A">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　词语定义</w:t>
      </w:r>
    </w:p>
    <w:p w14:paraId="6CA6F55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1.1.1　合同</w:t>
      </w:r>
    </w:p>
    <w:p w14:paraId="13FFC78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1.1.1.6　技术标准和要求：指构成合同文件组成部分的名为技术标准和要求(合同技术条款)的文件，包括合同双方当事人约定对其所作的修改或补充。</w:t>
      </w:r>
    </w:p>
    <w:p w14:paraId="2BE8FB0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1.1.1.7　图纸：指列入合同的招标图纸、投标图纸和发包人按合同约定向承包人提供的施工图纸和其它图纸(包括配套说明和有关资料)。列入合同的招标图纸已成为合同文件的一部分，具有合同效力，主要用于在履行合同中作为衡量变更的依据，但不能直接用于施工。经发包人确认进入合同的投标图纸亦成为合同文件的一部分，用于在履行合同中检验承包人是否按其投标时承诺的条件进行施工的依据，亦不能直接用于施工。</w:t>
      </w:r>
    </w:p>
    <w:p w14:paraId="4C732B1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1.1.2　合同当事人和人员</w:t>
      </w:r>
    </w:p>
    <w:p w14:paraId="2B92083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1.1.2.3　承包人：指专用合同条款中指明并与发包人在合同协议书中签字的当事人。</w:t>
      </w:r>
    </w:p>
    <w:p w14:paraId="6D226F0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1.1.2.5　分包人：指专用合同条款中指明的，从承包人处分包合同中某一部分工程，并与其签订分包合同的分包人。</w:t>
      </w:r>
    </w:p>
    <w:p w14:paraId="3CF14A4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1.1.3　工程和设备</w:t>
      </w:r>
    </w:p>
    <w:p w14:paraId="0B70293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1.1.3.10　永久占地：指发包人为建设本合同工程永久征用的场地。</w:t>
      </w:r>
    </w:p>
    <w:p w14:paraId="7591B07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1.1.3.11　临时占地：指发包人为建设本合同工程临时征用，承包人在完工后须按合同要求退还的场地。</w:t>
      </w:r>
    </w:p>
    <w:p w14:paraId="33CB7C1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1.1.4　日期</w:t>
      </w:r>
    </w:p>
    <w:p w14:paraId="1FC5250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1.1.4.4　竣工日期：即合同工程完工日期，指第1.1.4.3目约定工期届满时的日期。实际完工日期以合同工程完工证书中写明的日期为准。</w:t>
      </w:r>
    </w:p>
    <w:p w14:paraId="7B469AE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1.1.4.5　缺陷责任期：即工程质量保修期，指履行第19.2款约定的缺陷责任的期限，包括根据第19.3款约定所作的延长，具体期限由专用合同条款约定。</w:t>
      </w:r>
    </w:p>
    <w:p w14:paraId="704F9610">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81" w:name="_Toc15991"/>
      <w:r>
        <w:rPr>
          <w:rFonts w:hint="eastAsia" w:asciiTheme="minorEastAsia" w:hAnsiTheme="minorEastAsia" w:eastAsiaTheme="minorEastAsia" w:cstheme="minorEastAsia"/>
          <w:color w:val="auto"/>
          <w:sz w:val="24"/>
          <w:szCs w:val="24"/>
        </w:rPr>
        <w:t>1.6　图纸和承包人文件</w:t>
      </w:r>
      <w:bookmarkEnd w:id="281"/>
    </w:p>
    <w:p w14:paraId="5A946CA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1.6.1　图纸的提供</w:t>
      </w:r>
    </w:p>
    <w:p w14:paraId="407F368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发包人应按技术标准和要求(合同技术条款)约定的期限和数量将施工图纸以及其它图纸(包括配套说明和有关资料)提供给承包人。由于发包人未按时提供图纸造成工期延误的，按第11.3款的约定办理。</w:t>
      </w:r>
    </w:p>
    <w:p w14:paraId="0807987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1.6.2　承包人提供的文件</w:t>
      </w:r>
    </w:p>
    <w:p w14:paraId="3EE941D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承包人提供的文件应按技术标准和要求(合同技术条款)约定的期限和数量提供给监理人。监理人应按技术标准和要求(合同技术条款)约定的期限批复承包人。</w:t>
      </w:r>
    </w:p>
    <w:p w14:paraId="3A20451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1.6.3　图纸的修改</w:t>
      </w:r>
    </w:p>
    <w:p w14:paraId="4A0BBCC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设计人需要对已发给承包人的施工图纸进行修改时，监理人应在技术标准和要求(合同技术条款)约定的期限内签发施工图纸的修改图给承包人。承包人应按技术标准和要求(合同技术条款)的约定编制一份承包人实施计划提交监理人批准后执行。</w:t>
      </w:r>
    </w:p>
    <w:p w14:paraId="3281E331">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82" w:name="_Toc1362"/>
      <w:r>
        <w:rPr>
          <w:rFonts w:hint="eastAsia" w:asciiTheme="minorEastAsia" w:hAnsiTheme="minorEastAsia" w:eastAsiaTheme="minorEastAsia" w:cstheme="minorEastAsia"/>
          <w:color w:val="auto"/>
          <w:sz w:val="24"/>
          <w:szCs w:val="24"/>
        </w:rPr>
        <w:t>1.7　联络</w:t>
      </w:r>
      <w:bookmarkEnd w:id="282"/>
    </w:p>
    <w:p w14:paraId="286F2FD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1.7.2　第1.7.1项中的通知、批准、证明、证书、指示、要求、请求、同意、意见、确定和决定等来往函件，均应在合同约定的期限内送达指定地点和接收人，并办理签收手续。来往函件的送达期限在技术标准和要求(合同技术条款)中约定，送达地点在专用合同条款中约定。</w:t>
      </w:r>
    </w:p>
    <w:p w14:paraId="17384C4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1.7.3　来往函件均应按合同约定的期限及时发出和答复，不得无故扣压和拖延，亦不得拒收。否则，由此造成的后果由责任方负责。</w:t>
      </w:r>
    </w:p>
    <w:p w14:paraId="382B36A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1.11　专利技术</w:t>
      </w:r>
    </w:p>
    <w:p w14:paraId="331AEA7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1.11.4　合同实施过程中，发包人要求承包人采用专利技术的，发包人应办理相应的使用手续，承包人应按发包人约定的条件使用，并承担使用专利技术的相关试验工作，所需费用由发包人承担。</w:t>
      </w:r>
    </w:p>
    <w:p w14:paraId="2A1ABF3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83" w:name="第04章合同条款及格式0102"/>
      <w:bookmarkEnd w:id="283"/>
      <w:r>
        <w:rPr>
          <w:rFonts w:hint="eastAsia" w:asciiTheme="minorEastAsia" w:hAnsiTheme="minorEastAsia" w:eastAsiaTheme="minorEastAsia" w:cstheme="minorEastAsia"/>
          <w:b/>
          <w:color w:val="auto"/>
          <w:sz w:val="24"/>
          <w:szCs w:val="24"/>
        </w:rPr>
        <w:t>2　发包人义务</w:t>
      </w:r>
    </w:p>
    <w:p w14:paraId="1D74FF6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096771F7">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84" w:name="_Toc1341"/>
      <w:r>
        <w:rPr>
          <w:rFonts w:hint="eastAsia" w:asciiTheme="minorEastAsia" w:hAnsiTheme="minorEastAsia" w:eastAsiaTheme="minorEastAsia" w:cstheme="minorEastAsia"/>
          <w:color w:val="auto"/>
          <w:sz w:val="24"/>
          <w:szCs w:val="24"/>
        </w:rPr>
        <w:t>2.3　提供施工场地</w:t>
      </w:r>
      <w:bookmarkEnd w:id="284"/>
    </w:p>
    <w:p w14:paraId="7CF0E57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2.3.1　发包人应在合同双方签订合同协议书后的14天内，将本合同工程的施工场地范围图提交给承包人。发包人提供的施工场地范围图应标明场地范围内永久占地与临时占地的范围和界限，以及指明提供给承包人用于施工场地布置的范围和界限及其有关资料。</w:t>
      </w:r>
    </w:p>
    <w:p w14:paraId="1E58F75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2.3.2　发包人提供的施工用地范围在专用合同条款中约定。</w:t>
      </w:r>
    </w:p>
    <w:p w14:paraId="052C4F1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2.3.3　除专用合同条款另有约定外，发包人应按技术标准和要求(合同技术条款)的约定，向承包人提供施工场地内的工程地质图纸和报告，以及地下障碍物图纸等施工场地有关资料，并保证资料的真实、准确、完整。</w:t>
      </w:r>
    </w:p>
    <w:p w14:paraId="712705B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2.7　组织竣工验收(组织法人验收)</w:t>
      </w:r>
    </w:p>
    <w:p w14:paraId="738FE15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发包人应按合同约定及时组织法人验收。</w:t>
      </w:r>
    </w:p>
    <w:p w14:paraId="4C80FFCC">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85" w:name="_Toc20725"/>
      <w:r>
        <w:rPr>
          <w:rFonts w:hint="eastAsia" w:asciiTheme="minorEastAsia" w:hAnsiTheme="minorEastAsia" w:eastAsiaTheme="minorEastAsia" w:cstheme="minorEastAsia"/>
          <w:color w:val="auto"/>
          <w:sz w:val="24"/>
          <w:szCs w:val="24"/>
        </w:rPr>
        <w:t>2.8　其它义务</w:t>
      </w:r>
      <w:bookmarkEnd w:id="285"/>
    </w:p>
    <w:p w14:paraId="62EEE30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其它义务在专用合同条款中补充约定。</w:t>
      </w:r>
    </w:p>
    <w:p w14:paraId="56FC024B">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286" w:name="第04章合同条款及格式0103"/>
      <w:bookmarkEnd w:id="286"/>
      <w:bookmarkStart w:id="287" w:name="_Toc28822"/>
      <w:r>
        <w:rPr>
          <w:rFonts w:hint="eastAsia" w:asciiTheme="minorEastAsia" w:hAnsiTheme="minorEastAsia" w:eastAsiaTheme="minorEastAsia" w:cstheme="minorEastAsia"/>
          <w:b/>
          <w:color w:val="auto"/>
          <w:sz w:val="24"/>
          <w:szCs w:val="24"/>
        </w:rPr>
        <w:t>3　监理人</w:t>
      </w:r>
      <w:bookmarkEnd w:id="287"/>
    </w:p>
    <w:p w14:paraId="2F4F787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6B259AA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88" w:name="_Toc6598"/>
      <w:r>
        <w:rPr>
          <w:rFonts w:hint="eastAsia" w:asciiTheme="minorEastAsia" w:hAnsiTheme="minorEastAsia" w:eastAsiaTheme="minorEastAsia" w:cstheme="minorEastAsia"/>
          <w:color w:val="auto"/>
          <w:sz w:val="24"/>
          <w:szCs w:val="24"/>
        </w:rPr>
        <w:t>3.1　监理人的职责和权力</w:t>
      </w:r>
      <w:bookmarkEnd w:id="288"/>
    </w:p>
    <w:p w14:paraId="5024C02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3.1.1　监理人受发包人的委托，享有合同约定的权力。监理人的权力范围在专用合同条款中明确。当监理人认为出现了危及生命、工程或毗邻财产等安全的紧急事件时，在不免除合同约定的承包人责任的情况下，监理人可以指示承包人实施为消除或减少这种危险所必须进行的工作，即使没有发包人的事先批准，承包人也应立即遵照执行。监理人应按第15条的约定增加相应的费用，并通知承包人。</w:t>
      </w:r>
    </w:p>
    <w:p w14:paraId="67F3958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89" w:name="第04章合同条款及格式0104"/>
      <w:bookmarkEnd w:id="289"/>
      <w:r>
        <w:rPr>
          <w:rFonts w:hint="eastAsia" w:asciiTheme="minorEastAsia" w:hAnsiTheme="minorEastAsia" w:eastAsiaTheme="minorEastAsia" w:cstheme="minorEastAsia"/>
          <w:b/>
          <w:color w:val="auto"/>
          <w:sz w:val="24"/>
          <w:szCs w:val="24"/>
        </w:rPr>
        <w:t>4　承包人</w:t>
      </w:r>
    </w:p>
    <w:p w14:paraId="65A0FBD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2B0084F2">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90" w:name="_Toc5290"/>
      <w:r>
        <w:rPr>
          <w:rFonts w:hint="eastAsia" w:asciiTheme="minorEastAsia" w:hAnsiTheme="minorEastAsia" w:eastAsiaTheme="minorEastAsia" w:cstheme="minorEastAsia"/>
          <w:color w:val="auto"/>
          <w:sz w:val="24"/>
          <w:szCs w:val="24"/>
        </w:rPr>
        <w:t>4.1　承包人的一般义务</w:t>
      </w:r>
      <w:bookmarkEnd w:id="290"/>
    </w:p>
    <w:p w14:paraId="6EFE73C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4.1.3　完成各项承包工作</w:t>
      </w:r>
    </w:p>
    <w:p w14:paraId="393637B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承包人应按合同约定以及监理人根据第3.4款作出的指示，实施、完成全部工程，并修补工程中的任何缺陷。除第5.2款、第6.2款另有约定外，承包人应提供为完成合同工作所需的劳务、材料、施工设备、工程设备和其它物品，并按合同约定负责临时设施的设计、建造、运行、维护、管理和拆除。</w:t>
      </w:r>
    </w:p>
    <w:p w14:paraId="5B83AD7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4.1.9　工程的维护和照管</w:t>
      </w:r>
    </w:p>
    <w:p w14:paraId="2CF8C23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除合同另有约定外，合同工程完工证书颁发前，承包人应负责照管和维护工程。合同工程完工证书颁发时尚有部分未完工程的，承包人还应负责该未完工程的照管和维护工作，直至完工后移交给发包人为止。</w:t>
      </w:r>
    </w:p>
    <w:p w14:paraId="57C0922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4.1.10　其它义务</w:t>
      </w:r>
    </w:p>
    <w:p w14:paraId="6393D87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其它义务在专用合同条款中补充约定。</w:t>
      </w:r>
    </w:p>
    <w:p w14:paraId="7F139FF7">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91" w:name="_Toc21650"/>
      <w:r>
        <w:rPr>
          <w:rFonts w:hint="eastAsia" w:asciiTheme="minorEastAsia" w:hAnsiTheme="minorEastAsia" w:eastAsiaTheme="minorEastAsia" w:cstheme="minorEastAsia"/>
          <w:color w:val="auto"/>
          <w:sz w:val="24"/>
          <w:szCs w:val="24"/>
        </w:rPr>
        <w:t>4.2　履约担保</w:t>
      </w:r>
      <w:bookmarkEnd w:id="291"/>
    </w:p>
    <w:p w14:paraId="4F7A206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承包人应保证其履约担保在发包人颁发合同工程完工证书前一直有效。发包人应在合同工程完工证书颁发后28天内将履约担保退还给承包人。</w:t>
      </w:r>
    </w:p>
    <w:p w14:paraId="6398C89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92" w:name="_Toc1871"/>
      <w:r>
        <w:rPr>
          <w:rFonts w:hint="eastAsia" w:asciiTheme="minorEastAsia" w:hAnsiTheme="minorEastAsia" w:eastAsiaTheme="minorEastAsia" w:cstheme="minorEastAsia"/>
          <w:color w:val="auto"/>
          <w:sz w:val="24"/>
          <w:szCs w:val="24"/>
        </w:rPr>
        <w:t>4.3　分包</w:t>
      </w:r>
      <w:bookmarkEnd w:id="292"/>
    </w:p>
    <w:p w14:paraId="7416FFB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4.3.6　分包分为工程分包和劳务作业分包。工程分包应遵循合同约定或者经发包人书面认可。禁止承包人将本合同工程进行违法分包。分包人应具备与分包工程规模和标准相适应的资质和业绩，在人力、设备、资金等方面具有承担分包工程施工的能力。分包人应自行完成所承包的任务。</w:t>
      </w:r>
    </w:p>
    <w:p w14:paraId="5A29AAA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4.3.7　在合同实施过程中，如承包人无力在合同规定的期限内完成合同中的应急防汛、抢险等危及公共安全和工程安全的项目，发包人可对该应急防汛、抢险等项目的部分工程指定分包人。因非承包人原因形成指定分包条件的，发包人的指定分包不应增加承包人的额外费用；因承包人原因形成指定分包条件的，承包人应承担指定分包所增加的费用。</w:t>
      </w:r>
    </w:p>
    <w:p w14:paraId="10C39DE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由指定分包人造成的与其分包工作有关的一切索赔、诉讼和损失赔偿由指定分包人直接对发包人负责，承包人不对此承担责任。</w:t>
      </w:r>
    </w:p>
    <w:p w14:paraId="55FC86C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4.3.8　承包人和分包人应当签订分包合同，并履行合同约定的义务。分包合同必须遵循承包合同的各项原则，满足承包合同中相应条款的要求。发包人可以对分包合同实施情况进行监督检查。承包人应将分包合同副本提交发包人和监理人。</w:t>
      </w:r>
    </w:p>
    <w:p w14:paraId="1BB0DA7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4.3.9　除第4.3.7项规定的指定分包外，承包人对其分包项目的实施以及分包人的行为向发包人负全部责任。承包人应对分包项目的工程进度、质量、安全、计量和验收等实施监督和管理。</w:t>
      </w:r>
    </w:p>
    <w:p w14:paraId="002F3A6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4.3.10　分包人应按专用合同条款的约定设立项目管理机构组织管理分包工程的施工活动。</w:t>
      </w:r>
    </w:p>
    <w:p w14:paraId="62DE73E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4.11　不利物质条件</w:t>
      </w:r>
    </w:p>
    <w:p w14:paraId="3531802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4.11.1　除专用合同条款另有约定外，不利物质条件是指在施工中遭遇不可预见的外界障碍或自然条件造成施工受阻。</w:t>
      </w:r>
    </w:p>
    <w:p w14:paraId="23E86AD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4.11.2　承包人遇到不利物质条件时，应采取适应不利物质条件的合理措施继续施工，并及时通知监理人。承包人有权根据第23.1款的约定，要求延长工期及增加费用。监理人收到此类要求后，应在分析上述外界障碍或自然条件是否不可预见及不可预见程度的基础上，按照通用合同条款第15条的约定办理。</w:t>
      </w:r>
    </w:p>
    <w:p w14:paraId="02B6F80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93" w:name="第04章合同条款及格式0105"/>
      <w:bookmarkEnd w:id="293"/>
      <w:r>
        <w:rPr>
          <w:rFonts w:hint="eastAsia" w:asciiTheme="minorEastAsia" w:hAnsiTheme="minorEastAsia" w:eastAsiaTheme="minorEastAsia" w:cstheme="minorEastAsia"/>
          <w:b/>
          <w:color w:val="auto"/>
          <w:sz w:val="24"/>
          <w:szCs w:val="24"/>
        </w:rPr>
        <w:t>5　材料和工程设备</w:t>
      </w:r>
    </w:p>
    <w:p w14:paraId="48163F9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709880E0">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94" w:name="_Toc19239"/>
      <w:r>
        <w:rPr>
          <w:rFonts w:hint="eastAsia" w:asciiTheme="minorEastAsia" w:hAnsiTheme="minorEastAsia" w:eastAsiaTheme="minorEastAsia" w:cstheme="minorEastAsia"/>
          <w:color w:val="auto"/>
          <w:sz w:val="24"/>
          <w:szCs w:val="24"/>
        </w:rPr>
        <w:t>5.1　承包人提供的材料和工程设备</w:t>
      </w:r>
      <w:bookmarkEnd w:id="294"/>
    </w:p>
    <w:p w14:paraId="53D42E1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5.1.1　除第5.2款约定由发包人提供的材料和工程设备外，承包人负责采购、运输和保管完成本合同工作所需的材料和工程设备。承包人应对其采购的材料和工程设备负责。</w:t>
      </w:r>
    </w:p>
    <w:p w14:paraId="4F37039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95" w:name="_Toc4389"/>
      <w:r>
        <w:rPr>
          <w:rFonts w:hint="eastAsia" w:asciiTheme="minorEastAsia" w:hAnsiTheme="minorEastAsia" w:eastAsiaTheme="minorEastAsia" w:cstheme="minorEastAsia"/>
          <w:color w:val="auto"/>
          <w:sz w:val="24"/>
          <w:szCs w:val="24"/>
        </w:rPr>
        <w:t>5.2　发包人提供的材料和工程设备</w:t>
      </w:r>
      <w:bookmarkEnd w:id="295"/>
    </w:p>
    <w:p w14:paraId="45C6A1B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5.2.3　发包人应在材料和工程设备到货7天前通知承包人，承包人应会同监理人在约定的时间内，赴交货地点共同进行验收。发包人提供的材料和工程设备运至交货地点验收后，由承包人负责接收、卸货、运输和保管。</w:t>
      </w:r>
    </w:p>
    <w:p w14:paraId="25344F5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96" w:name="第04章合同条款及格式0106"/>
      <w:bookmarkEnd w:id="296"/>
      <w:r>
        <w:rPr>
          <w:rFonts w:hint="eastAsia" w:asciiTheme="minorEastAsia" w:hAnsiTheme="minorEastAsia" w:eastAsiaTheme="minorEastAsia" w:cstheme="minorEastAsia"/>
          <w:b/>
          <w:color w:val="auto"/>
          <w:sz w:val="24"/>
          <w:szCs w:val="24"/>
        </w:rPr>
        <w:t>6　施工设备和临时设施</w:t>
      </w:r>
    </w:p>
    <w:p w14:paraId="40254E7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w:t>
      </w:r>
    </w:p>
    <w:p w14:paraId="3EC5B13B">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297" w:name="第04章合同条款及格式0107"/>
      <w:bookmarkEnd w:id="297"/>
      <w:bookmarkStart w:id="298" w:name="_Toc22919"/>
      <w:r>
        <w:rPr>
          <w:rFonts w:hint="eastAsia" w:asciiTheme="minorEastAsia" w:hAnsiTheme="minorEastAsia" w:eastAsiaTheme="minorEastAsia" w:cstheme="minorEastAsia"/>
          <w:b/>
          <w:color w:val="auto"/>
          <w:sz w:val="24"/>
          <w:szCs w:val="24"/>
        </w:rPr>
        <w:t>7　交通运输</w:t>
      </w:r>
      <w:bookmarkEnd w:id="298"/>
    </w:p>
    <w:p w14:paraId="5A93727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7E1922EE">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99" w:name="_Toc1153"/>
      <w:r>
        <w:rPr>
          <w:rFonts w:hint="eastAsia" w:asciiTheme="minorEastAsia" w:hAnsiTheme="minorEastAsia" w:eastAsiaTheme="minorEastAsia" w:cstheme="minorEastAsia"/>
          <w:color w:val="auto"/>
          <w:sz w:val="24"/>
          <w:szCs w:val="24"/>
        </w:rPr>
        <w:t>7.1　道路通行权和场外设施</w:t>
      </w:r>
      <w:bookmarkEnd w:id="299"/>
    </w:p>
    <w:p w14:paraId="1E41765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除专用合同条款另有约定外，承包人应根据合同工程的施工需要，负责办理取得出入施工场地的专用和临时道路的通行权，以及取得为工程建设所需修建场外设施的权利，并承担相关费用。发包人应协助承包人办理上述手续。</w:t>
      </w:r>
    </w:p>
    <w:p w14:paraId="6291152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00" w:name="_Toc15781"/>
      <w:r>
        <w:rPr>
          <w:rFonts w:hint="eastAsia" w:asciiTheme="minorEastAsia" w:hAnsiTheme="minorEastAsia" w:eastAsiaTheme="minorEastAsia" w:cstheme="minorEastAsia"/>
          <w:color w:val="auto"/>
          <w:sz w:val="24"/>
          <w:szCs w:val="24"/>
        </w:rPr>
        <w:t>7.2　场内施工道路</w:t>
      </w:r>
      <w:bookmarkEnd w:id="300"/>
    </w:p>
    <w:p w14:paraId="1752E08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7.2.1　除本合同约定由发包人提供的部分道路和交通设施外，承包人应负责修建、维修、养护和管理其施工所需的全部临时道路和交通设施(包括合同约定由发包人提供的部分道路和交通设施的维修、养护和管理)，并承担相应费用。</w:t>
      </w:r>
    </w:p>
    <w:p w14:paraId="19072FC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7.2.2　承包人修建的临时道路和交通设施，应免费提供发包人、监理人以及与本合同有关的其他承包人使用。</w:t>
      </w:r>
    </w:p>
    <w:p w14:paraId="0EF330F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01" w:name="第04章合同条款及格式0108"/>
      <w:bookmarkEnd w:id="301"/>
      <w:r>
        <w:rPr>
          <w:rFonts w:hint="eastAsia" w:asciiTheme="minorEastAsia" w:hAnsiTheme="minorEastAsia" w:eastAsiaTheme="minorEastAsia" w:cstheme="minorEastAsia"/>
          <w:b/>
          <w:color w:val="auto"/>
          <w:sz w:val="24"/>
          <w:szCs w:val="24"/>
        </w:rPr>
        <w:t>8　测量放线</w:t>
      </w:r>
    </w:p>
    <w:p w14:paraId="2709F64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16D9B6D8">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02" w:name="_Toc20656"/>
      <w:r>
        <w:rPr>
          <w:rFonts w:hint="eastAsia" w:asciiTheme="minorEastAsia" w:hAnsiTheme="minorEastAsia" w:eastAsiaTheme="minorEastAsia" w:cstheme="minorEastAsia"/>
          <w:color w:val="auto"/>
          <w:sz w:val="24"/>
          <w:szCs w:val="24"/>
        </w:rPr>
        <w:t>8.1　施工控制网</w:t>
      </w:r>
      <w:bookmarkEnd w:id="302"/>
    </w:p>
    <w:p w14:paraId="2D05862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8.1.1　除专用合同条款另有约定外，施工控制网由承包人负责测设，发包人应在本合同协议书签订后的14天内，向承包人提供测量基准点、基准线和水准点及其相关资料。承包人应在收到上述资料后的28天内，将施测的施工控制网资料提交监理人审批。监理人应在收到报批件后的14天内批复承包人。</w:t>
      </w:r>
    </w:p>
    <w:p w14:paraId="21E87E96">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03" w:name="_Toc22044"/>
      <w:r>
        <w:rPr>
          <w:rFonts w:hint="eastAsia" w:asciiTheme="minorEastAsia" w:hAnsiTheme="minorEastAsia" w:eastAsiaTheme="minorEastAsia" w:cstheme="minorEastAsia"/>
          <w:color w:val="auto"/>
          <w:sz w:val="24"/>
          <w:szCs w:val="24"/>
        </w:rPr>
        <w:t>8.5　补充地质勘探</w:t>
      </w:r>
      <w:bookmarkEnd w:id="303"/>
    </w:p>
    <w:p w14:paraId="03F93D3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在合同实施期间，监理人可以指示承包人进行必要的补充地质勘探并提供有关资料。承包人为本合同永久工程施工的需要进行补充地质勘探时，须经监理人批准，并应向监理人提交有关资料，上述补充勘探的费用由发包人承担。承包人为其临时工程设计及施工的需要进行的补充地质勘探，其费用由承包人承担。</w:t>
      </w:r>
    </w:p>
    <w:p w14:paraId="36A48C2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04" w:name="第04章合同条款及格式0109"/>
      <w:bookmarkEnd w:id="304"/>
      <w:bookmarkStart w:id="305" w:name="_Toc23646"/>
      <w:r>
        <w:rPr>
          <w:rFonts w:hint="eastAsia" w:asciiTheme="minorEastAsia" w:hAnsiTheme="minorEastAsia" w:eastAsiaTheme="minorEastAsia" w:cstheme="minorEastAsia"/>
          <w:b/>
          <w:color w:val="auto"/>
          <w:sz w:val="24"/>
          <w:szCs w:val="24"/>
        </w:rPr>
        <w:t>9　施工安全、治安保卫和环境保护</w:t>
      </w:r>
      <w:bookmarkEnd w:id="305"/>
    </w:p>
    <w:p w14:paraId="7521228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1908A2FE">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06" w:name="_Toc20349"/>
      <w:r>
        <w:rPr>
          <w:rFonts w:hint="eastAsia" w:asciiTheme="minorEastAsia" w:hAnsiTheme="minorEastAsia" w:eastAsiaTheme="minorEastAsia" w:cstheme="minorEastAsia"/>
          <w:color w:val="auto"/>
          <w:sz w:val="24"/>
          <w:szCs w:val="24"/>
        </w:rPr>
        <w:t>9.1　发包人的施工安全责任</w:t>
      </w:r>
      <w:bookmarkEnd w:id="306"/>
    </w:p>
    <w:p w14:paraId="78EC4D7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9.1.1　发包人应按合同约定履行安全职责。发包人委托监理人根据国家有关安全的法律、法规、强制性标准以及部门规章，对承包人的安全责任履行情况进行监督和检查。监理人的监督检查不减轻承包人应负的安全责任。</w:t>
      </w:r>
    </w:p>
    <w:p w14:paraId="2E9183B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9.1.4　除专用合同条款另有约定外，发包人负责向承包人提供施工现场及施工可能影响的毗邻区域内供水、排水、供电、供气、供热、通信、广播电视等地下管线资料，气象和水文观测资料，拟建工程可能影响的相邻建筑物地下工程的有关资料，并保证有关资料的真实、准确、完整，满足有关技术规程的要求。</w:t>
      </w:r>
    </w:p>
    <w:p w14:paraId="6AF4AA8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9.1.5　发包人按照已标价工程量清单所列金额和合同约定的计量支付规定，支付安全作业环境及安全施工措施所需费用。</w:t>
      </w:r>
    </w:p>
    <w:p w14:paraId="1A643CF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9.1.6　发包人负责组织工程参建单位编制保证安全生产的措施方案。工程开工前，就落实保证安全生产的措施进行全面系统的布置，进一步明确承包人的安全生产责任。</w:t>
      </w:r>
    </w:p>
    <w:p w14:paraId="3035816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9.1.7　发包人负责在拆除工程和爆破工程施工14天前向有关部门或机构报送相关备案资料。</w:t>
      </w:r>
    </w:p>
    <w:p w14:paraId="5C5393B1">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07" w:name="_Toc18464"/>
      <w:r>
        <w:rPr>
          <w:rFonts w:hint="eastAsia" w:asciiTheme="minorEastAsia" w:hAnsiTheme="minorEastAsia" w:eastAsiaTheme="minorEastAsia" w:cstheme="minorEastAsia"/>
          <w:color w:val="auto"/>
          <w:sz w:val="24"/>
          <w:szCs w:val="24"/>
        </w:rPr>
        <w:t>9.2　承包人的施工安全责任</w:t>
      </w:r>
      <w:bookmarkEnd w:id="307"/>
    </w:p>
    <w:p w14:paraId="6779886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9.2.1　承包人应按合同约定履行安全职责，执行监理人有关安全工作的指示。承包人应按技术标准和要求(合同技术条款)约定的内容和期限，以及监理人的指示，编制施工安全技术措施提交监理人审批。监理人应在技术标准和要求(合同技术条款)约定的期限内批复承包人。</w:t>
      </w:r>
    </w:p>
    <w:p w14:paraId="086D5D7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9.2.8　承包人已标价工程量清单应包含工程安全作业环境及安全施工措施所需费用。</w:t>
      </w:r>
    </w:p>
    <w:p w14:paraId="7E69960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9.2.9　承包人应建立健全安全生产责任制度和安全生产教育培训制度，制定安全生产规章制度和操作规程，保证本单位建立和完善安全生产条件所需资金的投入，对本工程进行定期和专项安全检查，并做好安全检查记录。</w:t>
      </w:r>
    </w:p>
    <w:p w14:paraId="7BB36BA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9.2.10　承包人应设立安全生产管理机构，施工现场应有专职安全生产管理人员。</w:t>
      </w:r>
    </w:p>
    <w:p w14:paraId="59DD5BF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9.2.11　承包人应负责对特种作业人员进行专门的安全作业培训，并保证特种作业人员持证上岗。</w:t>
      </w:r>
    </w:p>
    <w:p w14:paraId="3804659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9.2.12　承包人应在施工组织设计中编制安全技术措施和施工现场临时用电方案。对专用合同条款约定的工程，应编制专项施工方案报监理人批准。对专用合同条款约定的专项施工方案，还应组织专家进行论证、审查，其中专家1/2人员应经发包人同意。</w:t>
      </w:r>
    </w:p>
    <w:p w14:paraId="59A5BB7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9.2.13　承包人在使用施工起重机械和整体提升脚手架、模板等自升式架设设施前，应组织有关单位进行验收。</w:t>
      </w:r>
    </w:p>
    <w:p w14:paraId="1D990465">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08" w:name="_Toc32037"/>
      <w:r>
        <w:rPr>
          <w:rFonts w:hint="eastAsia" w:asciiTheme="minorEastAsia" w:hAnsiTheme="minorEastAsia" w:eastAsiaTheme="minorEastAsia" w:cstheme="minorEastAsia"/>
          <w:color w:val="auto"/>
          <w:sz w:val="24"/>
          <w:szCs w:val="24"/>
        </w:rPr>
        <w:t>9.5　事故处理</w:t>
      </w:r>
      <w:bookmarkEnd w:id="308"/>
    </w:p>
    <w:p w14:paraId="4594460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9.5.1　发包人负责组织参建单位制定本工程的质量与安全事故应急预案，建立质量与安全事故应急处置指挥部。</w:t>
      </w:r>
    </w:p>
    <w:p w14:paraId="1210189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9.5.2　承包人应对施工现场易发生重大事故的部位、环节进行监控，配备救援器材、设备，并定期组织演练。</w:t>
      </w:r>
    </w:p>
    <w:p w14:paraId="185A8E5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9.5.3　工程开工前，承包人应根据本工程的特点制定施工现场施工质量与安全事故应急预案，并报发包人备案。</w:t>
      </w:r>
    </w:p>
    <w:p w14:paraId="5777646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9.5.4　施工过程中发生事故时，发包人、承包人应立即启动应急预案。</w:t>
      </w:r>
    </w:p>
    <w:p w14:paraId="59DF76B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9.5.5　事故调查处理由发包人按相关规定履行手续，承包人应配合。</w:t>
      </w:r>
    </w:p>
    <w:p w14:paraId="3A3AA96A">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09" w:name="_Toc633"/>
      <w:r>
        <w:rPr>
          <w:rFonts w:hint="eastAsia" w:asciiTheme="minorEastAsia" w:hAnsiTheme="minorEastAsia" w:eastAsiaTheme="minorEastAsia" w:cstheme="minorEastAsia"/>
          <w:color w:val="auto"/>
          <w:sz w:val="24"/>
          <w:szCs w:val="24"/>
        </w:rPr>
        <w:t>9.6　水土保持</w:t>
      </w:r>
      <w:bookmarkEnd w:id="309"/>
    </w:p>
    <w:p w14:paraId="6149E3E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9.6.1　发包人应及时向承包人提供水土保持方案。</w:t>
      </w:r>
    </w:p>
    <w:p w14:paraId="38E52D4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9.6.2　承包人在施工过程中，应遵守有关水土保持的法律法规和规章，履行合同约定的水土保持义务，并对其违反法律和合同约定义务所造成的水土流失灾害、人身伤害和财产损失负责。</w:t>
      </w:r>
    </w:p>
    <w:p w14:paraId="071C51C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9.6.3　承包人的水土保持措施计划，应满足技术标准和要求(合同技术条款)约定的要求。</w:t>
      </w:r>
    </w:p>
    <w:p w14:paraId="4462EBC0">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10" w:name="_Toc16834"/>
      <w:r>
        <w:rPr>
          <w:rFonts w:hint="eastAsia" w:asciiTheme="minorEastAsia" w:hAnsiTheme="minorEastAsia" w:eastAsiaTheme="minorEastAsia" w:cstheme="minorEastAsia"/>
          <w:color w:val="auto"/>
          <w:sz w:val="24"/>
          <w:szCs w:val="24"/>
        </w:rPr>
        <w:t>9.7　文明工地</w:t>
      </w:r>
      <w:bookmarkEnd w:id="310"/>
    </w:p>
    <w:p w14:paraId="609AE6D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9.7.1　发包人应按专用合同条款的约定，负责建立创建文明建设工地的组织机构，制定创建文明建设工地的规划和办法。</w:t>
      </w:r>
    </w:p>
    <w:p w14:paraId="027AC4D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9.7.2　承包人应按创建文明建设工地的规划和办法，履行职责，承担相应责任。所需费用应含在已标价工程量清单中。</w:t>
      </w:r>
    </w:p>
    <w:p w14:paraId="65486925">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11" w:name="_Toc8397"/>
      <w:r>
        <w:rPr>
          <w:rFonts w:hint="eastAsia" w:asciiTheme="minorEastAsia" w:hAnsiTheme="minorEastAsia" w:eastAsiaTheme="minorEastAsia" w:cstheme="minorEastAsia"/>
          <w:color w:val="auto"/>
          <w:sz w:val="24"/>
          <w:szCs w:val="24"/>
        </w:rPr>
        <w:t>9.8　防汛度汛</w:t>
      </w:r>
      <w:bookmarkEnd w:id="311"/>
    </w:p>
    <w:p w14:paraId="3A68906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9.8.1　发包人负责组织工程参建单位编制本工程的度汛方案和措施。</w:t>
      </w:r>
    </w:p>
    <w:p w14:paraId="2D9CA4D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9.8.2　承包人应根据发包人编制的本工程度汛方案和措施，制定相应的度汛方案，报发包人批准后实施。</w:t>
      </w:r>
    </w:p>
    <w:p w14:paraId="51D1227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12" w:name="第04章合同条款及格式0110"/>
      <w:bookmarkEnd w:id="312"/>
      <w:r>
        <w:rPr>
          <w:rFonts w:hint="eastAsia" w:asciiTheme="minorEastAsia" w:hAnsiTheme="minorEastAsia" w:eastAsiaTheme="minorEastAsia" w:cstheme="minorEastAsia"/>
          <w:b/>
          <w:color w:val="auto"/>
          <w:sz w:val="24"/>
          <w:szCs w:val="24"/>
        </w:rPr>
        <w:t>10　进度计划</w:t>
      </w:r>
    </w:p>
    <w:p w14:paraId="6D5B28A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301208BE">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13" w:name="_Toc19685"/>
      <w:r>
        <w:rPr>
          <w:rFonts w:hint="eastAsia" w:asciiTheme="minorEastAsia" w:hAnsiTheme="minorEastAsia" w:eastAsiaTheme="minorEastAsia" w:cstheme="minorEastAsia"/>
          <w:color w:val="auto"/>
          <w:sz w:val="24"/>
          <w:szCs w:val="24"/>
        </w:rPr>
        <w:t>10.1　合同进度计划</w:t>
      </w:r>
      <w:bookmarkEnd w:id="313"/>
    </w:p>
    <w:p w14:paraId="5A0E442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承包人应按技术标准和要求(合同技术条款)约定的内容和期限以及监理人的指示，编制详细的施工总进度计划及其说明提交监理人审批。监理人应在技术标准和要求(合同技术条款)约定的期限内批复承包人，否则该进度计划视为已得到批准。经监理人批准的施工进度计划称为合同进度计划，是控制合同工程进度的依据。承包人还应根据合同进度计划，编制更为详细的分阶段或单位工程或分部工程进度计划，报监理人审批。</w:t>
      </w:r>
    </w:p>
    <w:p w14:paraId="2984052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14" w:name="_Toc19743"/>
      <w:r>
        <w:rPr>
          <w:rFonts w:hint="eastAsia" w:asciiTheme="minorEastAsia" w:hAnsiTheme="minorEastAsia" w:eastAsiaTheme="minorEastAsia" w:cstheme="minorEastAsia"/>
          <w:color w:val="auto"/>
          <w:sz w:val="24"/>
          <w:szCs w:val="24"/>
        </w:rPr>
        <w:t>10.2　合同进度计划的修订</w:t>
      </w:r>
      <w:bookmarkEnd w:id="314"/>
    </w:p>
    <w:p w14:paraId="7167190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不论何种原因造成工程的实际进度与第10.1款的合同进度计划不符时，承包人均应在14天内向监理人提交修订合同进度计划的申请报告，并附有关措施和相关资料，报监理人审批，监理人应在收到申请报告后的14天内批复。当监理人认为需要修订合同进度计划时，承包人应按监理人的指示，在14天内向监理人提交修订的合同进度计划，并附调整计划的相关资料，提交监理人审批。监理人应在收到进度计划后的14天内批复。</w:t>
      </w:r>
    </w:p>
    <w:p w14:paraId="7A2C7C8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不论何种原因造成施工进度延迟，承包人均应按监理人的指示，采取有效措施赶上进度。承包人应在向监理人提交修订合同进度计划的同时，编制一份赶工措施报告提交监理人审批。由于发包人原因造成施工进度延迟，应按第11.3款的约定办理；由于承包人原因造成施工进度延迟，应按第11.5款的约定办理。</w:t>
      </w:r>
    </w:p>
    <w:p w14:paraId="596F855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10.3　单位工程进度计划</w:t>
      </w:r>
    </w:p>
    <w:p w14:paraId="244A0B0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监理人认为有必要时，承包人应按监理人指示的内容和期限，并根据合同进度计划的进度控制要求，编制单位工程进度计划，提交监理人审批。</w:t>
      </w:r>
    </w:p>
    <w:p w14:paraId="429C1A2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15" w:name="_Toc24157"/>
      <w:r>
        <w:rPr>
          <w:rFonts w:hint="eastAsia" w:asciiTheme="minorEastAsia" w:hAnsiTheme="minorEastAsia" w:eastAsiaTheme="minorEastAsia" w:cstheme="minorEastAsia"/>
          <w:color w:val="auto"/>
          <w:sz w:val="24"/>
          <w:szCs w:val="24"/>
        </w:rPr>
        <w:t>10.4　提交资金流估算表</w:t>
      </w:r>
      <w:bookmarkEnd w:id="315"/>
    </w:p>
    <w:p w14:paraId="46B7C18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承包人应在按第10.1款约定向监理人提交施工总进度计划的同时，按下表约定的格式，向监理人提交按月的资金流估算表。估算表应包括承包人计划可从发包人处得到的全部款额，以供发包人参考。此后，当监理人提出要求时，承包人应在监理人指定的期限内提交修订的资金流估算表。</w:t>
      </w:r>
    </w:p>
    <w:p w14:paraId="1D9F6B8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3207940A">
      <w:pP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br w:type="page"/>
      </w:r>
    </w:p>
    <w:p w14:paraId="5CCE067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资金流估算表(参考格式)</w:t>
      </w:r>
    </w:p>
    <w:p w14:paraId="0E014E40">
      <w:pPr>
        <w:keepNext w:val="0"/>
        <w:keepLines w:val="0"/>
        <w:pageBreakBefore w:val="0"/>
        <w:widowControl w:val="0"/>
        <w:kinsoku/>
        <w:wordWrap/>
        <w:overflowPunct/>
        <w:topLinePunct/>
        <w:autoSpaceDE/>
        <w:autoSpaceDN/>
        <w:bidi w:val="0"/>
        <w:adjustRightInd/>
        <w:snapToGrid/>
        <w:spacing w:line="360" w:lineRule="auto"/>
        <w:jc w:val="righ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金额单位</w:t>
      </w:r>
    </w:p>
    <w:tbl>
      <w:tblPr>
        <w:tblStyle w:val="2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6"/>
        <w:gridCol w:w="456"/>
        <w:gridCol w:w="991"/>
        <w:gridCol w:w="1276"/>
        <w:gridCol w:w="1443"/>
        <w:gridCol w:w="934"/>
        <w:gridCol w:w="934"/>
        <w:gridCol w:w="800"/>
        <w:gridCol w:w="850"/>
        <w:gridCol w:w="992"/>
      </w:tblGrid>
      <w:tr w14:paraId="376D7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noWrap w:val="0"/>
            <w:vAlign w:val="center"/>
          </w:tcPr>
          <w:p w14:paraId="5C940B4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年</w:t>
            </w:r>
          </w:p>
        </w:tc>
        <w:tc>
          <w:tcPr>
            <w:tcW w:w="426" w:type="dxa"/>
            <w:noWrap w:val="0"/>
            <w:vAlign w:val="center"/>
          </w:tcPr>
          <w:p w14:paraId="5A54A6A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月</w:t>
            </w:r>
          </w:p>
        </w:tc>
        <w:tc>
          <w:tcPr>
            <w:tcW w:w="991" w:type="dxa"/>
            <w:noWrap w:val="0"/>
            <w:vAlign w:val="center"/>
          </w:tcPr>
          <w:p w14:paraId="06CBFF6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工程</w:t>
            </w:r>
          </w:p>
          <w:p w14:paraId="18CA9FE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预付款</w:t>
            </w:r>
          </w:p>
        </w:tc>
        <w:tc>
          <w:tcPr>
            <w:tcW w:w="1276" w:type="dxa"/>
            <w:noWrap w:val="0"/>
            <w:vAlign w:val="center"/>
          </w:tcPr>
          <w:p w14:paraId="008FB60B">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完成工作量付款</w:t>
            </w:r>
          </w:p>
        </w:tc>
        <w:tc>
          <w:tcPr>
            <w:tcW w:w="1443" w:type="dxa"/>
            <w:noWrap w:val="0"/>
            <w:vAlign w:val="center"/>
          </w:tcPr>
          <w:p w14:paraId="7319C59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质量保证金扣留</w:t>
            </w:r>
          </w:p>
        </w:tc>
        <w:tc>
          <w:tcPr>
            <w:tcW w:w="934" w:type="dxa"/>
            <w:noWrap w:val="0"/>
            <w:vAlign w:val="center"/>
          </w:tcPr>
          <w:p w14:paraId="71E6988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材料款扣除</w:t>
            </w:r>
          </w:p>
        </w:tc>
        <w:tc>
          <w:tcPr>
            <w:tcW w:w="934" w:type="dxa"/>
            <w:noWrap w:val="0"/>
            <w:vAlign w:val="center"/>
          </w:tcPr>
          <w:p w14:paraId="18BE507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预付款扣还</w:t>
            </w:r>
          </w:p>
        </w:tc>
        <w:tc>
          <w:tcPr>
            <w:tcW w:w="800" w:type="dxa"/>
            <w:noWrap w:val="0"/>
            <w:vAlign w:val="center"/>
          </w:tcPr>
          <w:p w14:paraId="18233C2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其它</w:t>
            </w:r>
          </w:p>
        </w:tc>
        <w:tc>
          <w:tcPr>
            <w:tcW w:w="850" w:type="dxa"/>
            <w:noWrap w:val="0"/>
            <w:vAlign w:val="center"/>
          </w:tcPr>
          <w:p w14:paraId="64F3478B">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应收款</w:t>
            </w:r>
          </w:p>
        </w:tc>
        <w:tc>
          <w:tcPr>
            <w:tcW w:w="992" w:type="dxa"/>
            <w:noWrap w:val="0"/>
            <w:vAlign w:val="center"/>
          </w:tcPr>
          <w:p w14:paraId="088BC30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累计</w:t>
            </w:r>
          </w:p>
          <w:p w14:paraId="30F6B64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应收款</w:t>
            </w:r>
          </w:p>
        </w:tc>
      </w:tr>
      <w:tr w14:paraId="58F13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noWrap w:val="0"/>
            <w:vAlign w:val="center"/>
          </w:tcPr>
          <w:p w14:paraId="10F018A6">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426" w:type="dxa"/>
            <w:noWrap w:val="0"/>
            <w:vAlign w:val="center"/>
          </w:tcPr>
          <w:p w14:paraId="0DA998D6">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91" w:type="dxa"/>
            <w:noWrap w:val="0"/>
            <w:vAlign w:val="center"/>
          </w:tcPr>
          <w:p w14:paraId="5C5A054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1276" w:type="dxa"/>
            <w:noWrap w:val="0"/>
            <w:vAlign w:val="center"/>
          </w:tcPr>
          <w:p w14:paraId="6D63356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1443" w:type="dxa"/>
            <w:noWrap w:val="0"/>
            <w:vAlign w:val="center"/>
          </w:tcPr>
          <w:p w14:paraId="24EF1E8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34" w:type="dxa"/>
            <w:noWrap w:val="0"/>
            <w:vAlign w:val="center"/>
          </w:tcPr>
          <w:p w14:paraId="25798C63">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34" w:type="dxa"/>
            <w:noWrap w:val="0"/>
            <w:vAlign w:val="center"/>
          </w:tcPr>
          <w:p w14:paraId="136E452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800" w:type="dxa"/>
            <w:noWrap w:val="0"/>
            <w:vAlign w:val="center"/>
          </w:tcPr>
          <w:p w14:paraId="5748574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850" w:type="dxa"/>
            <w:noWrap w:val="0"/>
            <w:vAlign w:val="center"/>
          </w:tcPr>
          <w:p w14:paraId="12A3AE7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92" w:type="dxa"/>
            <w:noWrap w:val="0"/>
            <w:vAlign w:val="center"/>
          </w:tcPr>
          <w:p w14:paraId="6B68FCDC">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r>
      <w:tr w14:paraId="5733C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noWrap w:val="0"/>
            <w:vAlign w:val="center"/>
          </w:tcPr>
          <w:p w14:paraId="09FD36A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426" w:type="dxa"/>
            <w:noWrap w:val="0"/>
            <w:vAlign w:val="center"/>
          </w:tcPr>
          <w:p w14:paraId="52F45A97">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91" w:type="dxa"/>
            <w:noWrap w:val="0"/>
            <w:vAlign w:val="center"/>
          </w:tcPr>
          <w:p w14:paraId="02E5E9A2">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1276" w:type="dxa"/>
            <w:noWrap w:val="0"/>
            <w:vAlign w:val="center"/>
          </w:tcPr>
          <w:p w14:paraId="239F62E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1443" w:type="dxa"/>
            <w:noWrap w:val="0"/>
            <w:vAlign w:val="center"/>
          </w:tcPr>
          <w:p w14:paraId="04E005E2">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34" w:type="dxa"/>
            <w:noWrap w:val="0"/>
            <w:vAlign w:val="center"/>
          </w:tcPr>
          <w:p w14:paraId="6FCD680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34" w:type="dxa"/>
            <w:noWrap w:val="0"/>
            <w:vAlign w:val="center"/>
          </w:tcPr>
          <w:p w14:paraId="31C2D8A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800" w:type="dxa"/>
            <w:noWrap w:val="0"/>
            <w:vAlign w:val="center"/>
          </w:tcPr>
          <w:p w14:paraId="7A417A8B">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850" w:type="dxa"/>
            <w:noWrap w:val="0"/>
            <w:vAlign w:val="center"/>
          </w:tcPr>
          <w:p w14:paraId="6BE41E6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92" w:type="dxa"/>
            <w:noWrap w:val="0"/>
            <w:vAlign w:val="center"/>
          </w:tcPr>
          <w:p w14:paraId="75218CD3">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r>
      <w:tr w14:paraId="5AAEF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noWrap w:val="0"/>
            <w:vAlign w:val="center"/>
          </w:tcPr>
          <w:p w14:paraId="5B3CF94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426" w:type="dxa"/>
            <w:noWrap w:val="0"/>
            <w:vAlign w:val="center"/>
          </w:tcPr>
          <w:p w14:paraId="1397E71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91" w:type="dxa"/>
            <w:noWrap w:val="0"/>
            <w:vAlign w:val="center"/>
          </w:tcPr>
          <w:p w14:paraId="47C3ED1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1276" w:type="dxa"/>
            <w:noWrap w:val="0"/>
            <w:vAlign w:val="center"/>
          </w:tcPr>
          <w:p w14:paraId="2CB0B5E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1443" w:type="dxa"/>
            <w:noWrap w:val="0"/>
            <w:vAlign w:val="center"/>
          </w:tcPr>
          <w:p w14:paraId="3DD1FC55">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34" w:type="dxa"/>
            <w:noWrap w:val="0"/>
            <w:vAlign w:val="center"/>
          </w:tcPr>
          <w:p w14:paraId="7C1DBB1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34" w:type="dxa"/>
            <w:noWrap w:val="0"/>
            <w:vAlign w:val="center"/>
          </w:tcPr>
          <w:p w14:paraId="58523F25">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800" w:type="dxa"/>
            <w:noWrap w:val="0"/>
            <w:vAlign w:val="center"/>
          </w:tcPr>
          <w:p w14:paraId="6B9BA39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850" w:type="dxa"/>
            <w:noWrap w:val="0"/>
            <w:vAlign w:val="center"/>
          </w:tcPr>
          <w:p w14:paraId="77BBFBE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92" w:type="dxa"/>
            <w:noWrap w:val="0"/>
            <w:vAlign w:val="center"/>
          </w:tcPr>
          <w:p w14:paraId="18F6A2C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r>
    </w:tbl>
    <w:p w14:paraId="184F3A5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16" w:name="第04章合同条款及格式0111"/>
      <w:bookmarkEnd w:id="316"/>
      <w:r>
        <w:rPr>
          <w:rFonts w:hint="eastAsia" w:asciiTheme="minorEastAsia" w:hAnsiTheme="minorEastAsia" w:eastAsiaTheme="minorEastAsia" w:cstheme="minorEastAsia"/>
          <w:b/>
          <w:color w:val="auto"/>
          <w:sz w:val="24"/>
          <w:szCs w:val="24"/>
        </w:rPr>
        <w:t>11　开工和竣工(完工)</w:t>
      </w:r>
    </w:p>
    <w:p w14:paraId="30D4921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529F935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17" w:name="_Toc22158"/>
      <w:r>
        <w:rPr>
          <w:rFonts w:hint="eastAsia" w:asciiTheme="minorEastAsia" w:hAnsiTheme="minorEastAsia" w:eastAsiaTheme="minorEastAsia" w:cstheme="minorEastAsia"/>
          <w:color w:val="auto"/>
          <w:sz w:val="24"/>
          <w:szCs w:val="24"/>
        </w:rPr>
        <w:t>11.1　开工</w:t>
      </w:r>
      <w:bookmarkEnd w:id="317"/>
    </w:p>
    <w:p w14:paraId="64CD213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11.1.3　若发包人未能按合同约定向承包人提供开工的必要条件，承包人有权要求延长工期。监理人应在收到承包人的书面要求后，按第3.5款的约定，与合同双方商定或确定增加的费用和延长的工期。</w:t>
      </w:r>
    </w:p>
    <w:p w14:paraId="4CB8DEC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11.1.4　承包人在接到开工通知后14天内未按进度计划要求及时进场组织施工，监理人可通知承包人在接到通知后7天内提交一份说明其进场延误的书面报告，报送监理人。书面报告应说明不能及时进场的原因和补救措施，由此增加的费用和工期延误责任由承包人承担。</w:t>
      </w:r>
    </w:p>
    <w:p w14:paraId="307C1CC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18" w:name="_Toc1325"/>
      <w:r>
        <w:rPr>
          <w:rFonts w:hint="eastAsia" w:asciiTheme="minorEastAsia" w:hAnsiTheme="minorEastAsia" w:eastAsiaTheme="minorEastAsia" w:cstheme="minorEastAsia"/>
          <w:color w:val="auto"/>
          <w:sz w:val="24"/>
          <w:szCs w:val="24"/>
        </w:rPr>
        <w:t>11.2　竣工(完工)</w:t>
      </w:r>
      <w:bookmarkEnd w:id="318"/>
    </w:p>
    <w:p w14:paraId="7ECBD91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承包人应在第1.1.4.3目约定的期限内完成合同工程。合同工程实际完工日期在合同工程完工证书中明确。</w:t>
      </w:r>
    </w:p>
    <w:p w14:paraId="3D151E85">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19" w:name="_Toc8939"/>
      <w:r>
        <w:rPr>
          <w:rFonts w:hint="eastAsia" w:asciiTheme="minorEastAsia" w:hAnsiTheme="minorEastAsia" w:eastAsiaTheme="minorEastAsia" w:cstheme="minorEastAsia"/>
          <w:color w:val="auto"/>
          <w:sz w:val="24"/>
          <w:szCs w:val="24"/>
        </w:rPr>
        <w:t>11.4　异常恶劣的气候条件</w:t>
      </w:r>
      <w:bookmarkEnd w:id="319"/>
    </w:p>
    <w:p w14:paraId="73F74CC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11.4.1　当工程所在地发生危及施工安全的异常恶劣气候时，发包人和承包人应按本合同通用合同条款第12条的约定，及时采取暂停施工或部分暂停施工措施。异常恶劣气候条件解除后，承包人应及时安排复工。</w:t>
      </w:r>
    </w:p>
    <w:p w14:paraId="309B7C0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11.4.2　异常恶劣气候条件造成的工期延误和工程损坏，应由发包人与承包人参照本合同通用合同条款第21.3款的约定协商处理。</w:t>
      </w:r>
    </w:p>
    <w:p w14:paraId="03FA619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11.4.3　本合同工程界定异常恶劣气候条件的范围在专用合同条款中约定。</w:t>
      </w:r>
    </w:p>
    <w:p w14:paraId="62E7A506">
      <w:pPr>
        <w:keepNext w:val="0"/>
        <w:keepLines w:val="0"/>
        <w:pageBreakBefore w:val="0"/>
        <w:widowControl w:val="0"/>
        <w:kinsoku/>
        <w:wordWrap/>
        <w:overflowPunct/>
        <w:topLinePunct/>
        <w:autoSpaceDE/>
        <w:autoSpaceDN/>
        <w:bidi w:val="0"/>
        <w:adjustRightInd/>
        <w:snapToGrid/>
        <w:spacing w:line="360" w:lineRule="auto"/>
        <w:ind w:firstLine="240" w:firstLineChars="100"/>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20" w:name="_Toc16211"/>
      <w:r>
        <w:rPr>
          <w:rFonts w:hint="eastAsia" w:asciiTheme="minorEastAsia" w:hAnsiTheme="minorEastAsia" w:eastAsiaTheme="minorEastAsia" w:cstheme="minorEastAsia"/>
          <w:color w:val="auto"/>
          <w:sz w:val="24"/>
          <w:szCs w:val="24"/>
        </w:rPr>
        <w:t>11.6　工期提前</w:t>
      </w:r>
      <w:bookmarkEnd w:id="320"/>
    </w:p>
    <w:p w14:paraId="6F54725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发包人要求承包人提前完工，或承包人提出提前完工的建议能够给发包人带来效益的，应由监理人与承包人共同协商采取加快工程进度的措施和修订合同进度计划。发包人应承担承包人由此增加的费用，并向承包人支付专用合同条款约定的相应奖金。</w:t>
      </w:r>
    </w:p>
    <w:p w14:paraId="43DB9C3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发包人要求提前完工的，双方协商一致后应签订提前完工协议，协议内容包括：</w:t>
      </w:r>
    </w:p>
    <w:p w14:paraId="61F2C3E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(1)提前的时间和修订后的进度计划；</w:t>
      </w:r>
    </w:p>
    <w:p w14:paraId="652BCD8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(2)承包人的赶工措施；</w:t>
      </w:r>
    </w:p>
    <w:p w14:paraId="537AB53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(3)发包人为赶工提供的条件；</w:t>
      </w:r>
    </w:p>
    <w:p w14:paraId="0F4D783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(4)赶工费用(包括利润和奖金)。</w:t>
      </w:r>
    </w:p>
    <w:p w14:paraId="12AABD3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21" w:name="第04章合同条款及格式0112"/>
      <w:bookmarkEnd w:id="321"/>
      <w:r>
        <w:rPr>
          <w:rFonts w:hint="eastAsia" w:asciiTheme="minorEastAsia" w:hAnsiTheme="minorEastAsia" w:eastAsiaTheme="minorEastAsia" w:cstheme="minorEastAsia"/>
          <w:b/>
          <w:color w:val="auto"/>
          <w:sz w:val="24"/>
          <w:szCs w:val="24"/>
        </w:rPr>
        <w:t>12　暂停施工</w:t>
      </w:r>
    </w:p>
    <w:p w14:paraId="692C912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5F9F32D6">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22" w:name="_Toc29157"/>
      <w:r>
        <w:rPr>
          <w:rFonts w:hint="eastAsia" w:asciiTheme="minorEastAsia" w:hAnsiTheme="minorEastAsia" w:eastAsiaTheme="minorEastAsia" w:cstheme="minorEastAsia"/>
          <w:color w:val="auto"/>
          <w:sz w:val="24"/>
          <w:szCs w:val="24"/>
        </w:rPr>
        <w:t>12.2　发包人暂停施工的责任</w:t>
      </w:r>
      <w:bookmarkEnd w:id="322"/>
    </w:p>
    <w:p w14:paraId="20A2FC3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由于发包人原因引起的暂停施工造成工期延误的，承包人有权要求发包人延长工期和(或)增加费用，并支付合理利润。</w:t>
      </w:r>
    </w:p>
    <w:p w14:paraId="73B77CA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属于下列任何一种情况引起的暂停施工，均为发包人的责任：</w:t>
      </w:r>
    </w:p>
    <w:p w14:paraId="13A2768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(1)由于发包人违约引起的暂停施工；</w:t>
      </w:r>
    </w:p>
    <w:p w14:paraId="7B2BEF5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(2)由于不可抗力的自然或社会因素引起的暂停施工；</w:t>
      </w:r>
    </w:p>
    <w:p w14:paraId="000851F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(3)专用合同条款中约定的其它由于发包人原因引起的暂停施工。</w:t>
      </w:r>
    </w:p>
    <w:p w14:paraId="44546E4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23" w:name="第04章合同条款及格式0113"/>
      <w:bookmarkEnd w:id="323"/>
      <w:bookmarkStart w:id="324" w:name="_Toc18628"/>
      <w:r>
        <w:rPr>
          <w:rFonts w:hint="eastAsia" w:asciiTheme="minorEastAsia" w:hAnsiTheme="minorEastAsia" w:eastAsiaTheme="minorEastAsia" w:cstheme="minorEastAsia"/>
          <w:b/>
          <w:color w:val="auto"/>
          <w:sz w:val="24"/>
          <w:szCs w:val="24"/>
        </w:rPr>
        <w:t>13　工程质量</w:t>
      </w:r>
      <w:bookmarkEnd w:id="324"/>
    </w:p>
    <w:p w14:paraId="5579079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1447BCB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25" w:name="_Toc9877"/>
      <w:r>
        <w:rPr>
          <w:rFonts w:hint="eastAsia" w:asciiTheme="minorEastAsia" w:hAnsiTheme="minorEastAsia" w:eastAsiaTheme="minorEastAsia" w:cstheme="minorEastAsia"/>
          <w:color w:val="auto"/>
          <w:sz w:val="24"/>
          <w:szCs w:val="24"/>
        </w:rPr>
        <w:t>13.2　承包人的质量管理</w:t>
      </w:r>
      <w:bookmarkEnd w:id="325"/>
    </w:p>
    <w:p w14:paraId="19DD1CF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13.2.1　承包人应在施工场地设置专门的质量检查机构，配备专职质量检查人员，建立完善的质量检查制度。承包人应按技术标准和要求(合同技术条款)约定的内容和期限，编制工程质量保证措施文件，包括质量检查机构的组织和岗位责任、质量检查人员的组成、质量检查程序和实施细则等，提交监理人审批。监理人应在技术标准和要求(合同技术条款)约定的期限内批复承包人。</w:t>
      </w:r>
    </w:p>
    <w:p w14:paraId="52F4FAA1">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26" w:name="_Toc6982"/>
      <w:r>
        <w:rPr>
          <w:rFonts w:hint="eastAsia" w:asciiTheme="minorEastAsia" w:hAnsiTheme="minorEastAsia" w:eastAsiaTheme="minorEastAsia" w:cstheme="minorEastAsia"/>
          <w:color w:val="auto"/>
          <w:sz w:val="24"/>
          <w:szCs w:val="24"/>
        </w:rPr>
        <w:t>13.7　质量评定</w:t>
      </w:r>
      <w:bookmarkEnd w:id="326"/>
    </w:p>
    <w:p w14:paraId="7D723FF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13.7.1　发包人应组织承包人进行工程项目划分，并确定单位工程、主要分部工程、重要隐蔽单元工程和关键部位单元工程。</w:t>
      </w:r>
    </w:p>
    <w:p w14:paraId="7340C41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13.7.2　工程实施过程中，单位工程、主要分部工程、重要隐蔽单元工程和关键部位单元工程的项目划分需要调整时，承包人应报发包人确认。</w:t>
      </w:r>
    </w:p>
    <w:p w14:paraId="10CA8DA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13.7.3　承包人应在单元(工序)工程质量自评合格后，报监理人核定质量等级并签证认可。</w:t>
      </w:r>
    </w:p>
    <w:p w14:paraId="64291BB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13.7.4　除专用合同条款另有约定外，承包人应在重要隐蔽单元工程和关键部位单元工程质量自评合格以及监理人抽检后，由监理人组织承包人等单位组成的联合小组，共同检查核定其质量等级并填写签证表。发包人按有关规定完成质量结论报工程质量监督机构核备手续。</w:t>
      </w:r>
    </w:p>
    <w:p w14:paraId="24D0A24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13.7.5　承包人应在分部工程质量自评合格后，报监理人复核和发包人认定。发包人负责按有关规定完成分部工程质量结论报工程质量监督机构核备(核定)手续。</w:t>
      </w:r>
    </w:p>
    <w:p w14:paraId="3ECA4AD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13.7.6　承包人应在单位工程质量自评合格后，报监理人复核和发包人认定。发包人负责按有关规定完成单位工程质量结论报工程质量监督机构核定手续。</w:t>
      </w:r>
    </w:p>
    <w:p w14:paraId="049BFA8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13.7.7　除专用合同条款另有约定外，工程质量等级分为合格和优良，应分别达到约定的标准。</w:t>
      </w:r>
    </w:p>
    <w:p w14:paraId="5157DA46">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27" w:name="_Toc12918"/>
      <w:r>
        <w:rPr>
          <w:rFonts w:hint="eastAsia" w:asciiTheme="minorEastAsia" w:hAnsiTheme="minorEastAsia" w:eastAsiaTheme="minorEastAsia" w:cstheme="minorEastAsia"/>
          <w:color w:val="auto"/>
          <w:sz w:val="24"/>
          <w:szCs w:val="24"/>
        </w:rPr>
        <w:t>13.8　质量事故处理</w:t>
      </w:r>
      <w:bookmarkEnd w:id="327"/>
    </w:p>
    <w:p w14:paraId="3745CF6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13.8.1　发生质量事故时，承包人应及时向发包人和监理人报告。</w:t>
      </w:r>
    </w:p>
    <w:p w14:paraId="376592D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13.8.2　质量事故调查处理由发包人按相关规定履行手续，承包人应配合。</w:t>
      </w:r>
    </w:p>
    <w:p w14:paraId="410BBD0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28" w:name="_Toc28171"/>
      <w:r>
        <w:rPr>
          <w:rFonts w:hint="eastAsia" w:asciiTheme="minorEastAsia" w:hAnsiTheme="minorEastAsia" w:eastAsiaTheme="minorEastAsia" w:cstheme="minorEastAsia"/>
          <w:color w:val="auto"/>
          <w:sz w:val="24"/>
          <w:szCs w:val="24"/>
        </w:rPr>
        <w:t>13.8.3　承包人应对质量缺陷进行备案。发包人委托监理人对质量缺陷备案情况进行监督检查并履行相关手续。</w:t>
      </w:r>
      <w:bookmarkEnd w:id="328"/>
    </w:p>
    <w:p w14:paraId="6DE8808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13.8.4　除专用合同条款另有约定外，工程竣工验收时，发包人负责向竣工验收委员会汇报并提交历次质量缺陷处理的备案资料。</w:t>
      </w:r>
    </w:p>
    <w:p w14:paraId="4F32D82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29" w:name="第04章合同条款及格式0114"/>
      <w:bookmarkEnd w:id="329"/>
      <w:r>
        <w:rPr>
          <w:rFonts w:hint="eastAsia" w:asciiTheme="minorEastAsia" w:hAnsiTheme="minorEastAsia" w:eastAsiaTheme="minorEastAsia" w:cstheme="minorEastAsia"/>
          <w:b/>
          <w:color w:val="auto"/>
          <w:sz w:val="24"/>
          <w:szCs w:val="24"/>
        </w:rPr>
        <w:t>14　试验和检验</w:t>
      </w:r>
    </w:p>
    <w:p w14:paraId="4002C7B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118F6D6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14.1　材料、工程设备和工程的试验和检验</w:t>
      </w:r>
    </w:p>
    <w:p w14:paraId="634419C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30" w:name="_Toc21771"/>
      <w:r>
        <w:rPr>
          <w:rFonts w:hint="eastAsia" w:asciiTheme="minorEastAsia" w:hAnsiTheme="minorEastAsia" w:eastAsiaTheme="minorEastAsia" w:cstheme="minorEastAsia"/>
          <w:color w:val="auto"/>
          <w:sz w:val="24"/>
          <w:szCs w:val="24"/>
        </w:rPr>
        <w:t>14.1.4　承包人应按相关规定和标准对水泥、钢材等原材料与中间产品质量进行检验，并报监理人复核。</w:t>
      </w:r>
      <w:bookmarkEnd w:id="330"/>
    </w:p>
    <w:p w14:paraId="6F2F994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14.1.5　除专用合同条款另有约定外，水工金属结构、启闭机及机电产品进场后，监理人组织发包人按合同进行交货检查和验收。安装前，承包人应检查产品是否有出厂合格证、设备安装说明书及有关技术文件，对在运输和存放过程中发生的变形、受潮、损坏等问题应作好记录，并进行妥善处理。</w:t>
      </w:r>
    </w:p>
    <w:p w14:paraId="5B6362D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31" w:name="_Toc15167"/>
      <w:r>
        <w:rPr>
          <w:rFonts w:hint="eastAsia" w:asciiTheme="minorEastAsia" w:hAnsiTheme="minorEastAsia" w:eastAsiaTheme="minorEastAsia" w:cstheme="minorEastAsia"/>
          <w:color w:val="auto"/>
          <w:sz w:val="24"/>
          <w:szCs w:val="24"/>
        </w:rPr>
        <w:t>14.1.6　对专用合同条款约定的试块、试件及有关材料，监理人实行见证取样。见证取样资料由承包人制备，记录应真实齐全，监理人、承包人等参与见证取样人员均应在相关文件上签字。</w:t>
      </w:r>
      <w:bookmarkEnd w:id="331"/>
    </w:p>
    <w:p w14:paraId="240BBFE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32" w:name="第04章合同条款及格式0115"/>
      <w:bookmarkEnd w:id="332"/>
      <w:r>
        <w:rPr>
          <w:rFonts w:hint="eastAsia" w:asciiTheme="minorEastAsia" w:hAnsiTheme="minorEastAsia" w:eastAsiaTheme="minorEastAsia" w:cstheme="minorEastAsia"/>
          <w:b/>
          <w:color w:val="auto"/>
          <w:sz w:val="24"/>
          <w:szCs w:val="24"/>
        </w:rPr>
        <w:t>15　变更</w:t>
      </w:r>
    </w:p>
    <w:p w14:paraId="2E0F367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29C38F6E">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33" w:name="_Toc15806"/>
      <w:r>
        <w:rPr>
          <w:rFonts w:hint="eastAsia" w:asciiTheme="minorEastAsia" w:hAnsiTheme="minorEastAsia" w:eastAsiaTheme="minorEastAsia" w:cstheme="minorEastAsia"/>
          <w:color w:val="auto"/>
          <w:sz w:val="24"/>
          <w:szCs w:val="24"/>
        </w:rPr>
        <w:t>15.1　变更的范围和内容</w:t>
      </w:r>
      <w:bookmarkEnd w:id="333"/>
    </w:p>
    <w:p w14:paraId="6C04DD4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在履行合同中发生以下情形之一，应按照本款规定进行变更。</w:t>
      </w:r>
    </w:p>
    <w:p w14:paraId="026378A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(1)取消合同中任何一项工作，但被取消的工作不能转由发包人或其它人实施；</w:t>
      </w:r>
    </w:p>
    <w:p w14:paraId="765E8DC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(2)改变合同中任何一项工作的质量或其它特性；</w:t>
      </w:r>
    </w:p>
    <w:p w14:paraId="1DF8023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(3)改变合同工程的基线、标高、位置或尺寸；</w:t>
      </w:r>
    </w:p>
    <w:p w14:paraId="02CFA3D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(4)改变合同中任何一项工作的施工时间或改变已批准的施工工艺或顺序；</w:t>
      </w:r>
    </w:p>
    <w:p w14:paraId="6D5D01A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(5)为完成工程需要追加的额外工作；</w:t>
      </w:r>
    </w:p>
    <w:p w14:paraId="75A3F61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(6)增加或减少专用合同条款中约定的关键项目工程量超过其工程总量的一定数量百分比。</w:t>
      </w:r>
    </w:p>
    <w:p w14:paraId="42E0BC8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上述第(1)～(6)目的变更内容引起工程施工组织和进度计划发生实质性变动和影响其原定的价格时，才予调整该项目的单价。第(6)目情形下单价调整方式在专用合同条款中约定。</w:t>
      </w:r>
    </w:p>
    <w:p w14:paraId="0C62A35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34" w:name="_Toc17121"/>
      <w:r>
        <w:rPr>
          <w:rFonts w:hint="eastAsia" w:asciiTheme="minorEastAsia" w:hAnsiTheme="minorEastAsia" w:eastAsiaTheme="minorEastAsia" w:cstheme="minorEastAsia"/>
          <w:color w:val="auto"/>
          <w:sz w:val="24"/>
          <w:szCs w:val="24"/>
        </w:rPr>
        <w:t>15.8　暂估价</w:t>
      </w:r>
      <w:bookmarkEnd w:id="334"/>
    </w:p>
    <w:p w14:paraId="26D0CCD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15.8.1　发包人在工程量清单中给定暂估价的材料、工程设备和专业工程属于依法必须招标的范围并达到规定的规模标准的，若承包人不具备承担暂估价项目的能力或具备承担暂估价项目的能力但明确不参与投标的，由发包人和承包人组织招标；若承包人具备承担暂估价项目的能力且明确参与投标的，由发包人组织招标。暂估价项目中标金额与工程量清单中所列金额差以及相应的税金等其它费用列入合同价格。必须招标的暂估价项目招标组织形式、发包人和承包人组织招标时双方的权利义务关系在专用合同条款中约定。</w:t>
      </w:r>
    </w:p>
    <w:p w14:paraId="66497A5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35" w:name="第04章合同条款及格式0116"/>
      <w:bookmarkEnd w:id="335"/>
      <w:r>
        <w:rPr>
          <w:rFonts w:hint="eastAsia" w:asciiTheme="minorEastAsia" w:hAnsiTheme="minorEastAsia" w:eastAsiaTheme="minorEastAsia" w:cstheme="minorEastAsia"/>
          <w:b/>
          <w:color w:val="auto"/>
          <w:sz w:val="24"/>
          <w:szCs w:val="24"/>
        </w:rPr>
        <w:t>16　价格调整</w:t>
      </w:r>
    </w:p>
    <w:p w14:paraId="1D0CCC5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7D90439B">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36" w:name="_Toc18883"/>
      <w:r>
        <w:rPr>
          <w:rFonts w:hint="eastAsia" w:asciiTheme="minorEastAsia" w:hAnsiTheme="minorEastAsia" w:eastAsiaTheme="minorEastAsia" w:cstheme="minorEastAsia"/>
          <w:color w:val="auto"/>
          <w:sz w:val="24"/>
          <w:szCs w:val="24"/>
        </w:rPr>
        <w:t>16.1　物价波动引起的价格调整</w:t>
      </w:r>
      <w:bookmarkEnd w:id="336"/>
    </w:p>
    <w:p w14:paraId="522629B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由于物价波动原因引起合同价格需要调整的，其价格调整方式在专用合同条款中约定。</w:t>
      </w:r>
    </w:p>
    <w:p w14:paraId="5624C08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16.1.2　采用造价信息调整价格差额</w:t>
      </w:r>
    </w:p>
    <w:p w14:paraId="401EA54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14:paraId="31DC892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工程造价信息的来源以及价格调整的项目和系数在专用合同条款中约定。</w:t>
      </w:r>
    </w:p>
    <w:p w14:paraId="342400E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37" w:name="第04章合同条款及格式0117"/>
      <w:bookmarkEnd w:id="337"/>
      <w:bookmarkStart w:id="338" w:name="_Toc32170"/>
      <w:r>
        <w:rPr>
          <w:rFonts w:hint="eastAsia" w:asciiTheme="minorEastAsia" w:hAnsiTheme="minorEastAsia" w:eastAsiaTheme="minorEastAsia" w:cstheme="minorEastAsia"/>
          <w:b/>
          <w:color w:val="auto"/>
          <w:sz w:val="24"/>
          <w:szCs w:val="24"/>
        </w:rPr>
        <w:t>17　计量与支付</w:t>
      </w:r>
      <w:bookmarkEnd w:id="338"/>
    </w:p>
    <w:p w14:paraId="2F4B413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33BCDD6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39" w:name="_Toc9729"/>
      <w:r>
        <w:rPr>
          <w:rFonts w:hint="eastAsia" w:asciiTheme="minorEastAsia" w:hAnsiTheme="minorEastAsia" w:eastAsiaTheme="minorEastAsia" w:cstheme="minorEastAsia"/>
          <w:color w:val="auto"/>
          <w:sz w:val="24"/>
          <w:szCs w:val="24"/>
        </w:rPr>
        <w:t>17.1　计量</w:t>
      </w:r>
      <w:bookmarkEnd w:id="339"/>
    </w:p>
    <w:p w14:paraId="188D0E5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17.1.2　计量方法</w:t>
      </w:r>
    </w:p>
    <w:p w14:paraId="1EC3A8A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结算工程量应按工程量清单中约定的方法计量。</w:t>
      </w:r>
    </w:p>
    <w:p w14:paraId="5F83202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17.1.5　总价子目的计量</w:t>
      </w:r>
    </w:p>
    <w:p w14:paraId="7926B52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总价子目的分解和计量按照下述约定进行。</w:t>
      </w:r>
    </w:p>
    <w:p w14:paraId="42221D1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(1)总价子目的计量和支付应以总价为基础，不因第16.1款中的因素而进行调整。承包人实际完成的工程量，是进行工程目标管理和控制进度支付的依据。</w:t>
      </w:r>
    </w:p>
    <w:p w14:paraId="1BE856D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承包人应按工程量清单的要求对总价子目进行分解，并在签订协议书后的28天内将各子目的总价支付分解表提交监理人审批。分解表应标明其所属子目和分阶段需支付的金额。承包人应按批准的各总价子目支付周期，对已完成的总价子目进行计量，确定分项的应付金额列入进度付款申请单中。</w:t>
      </w:r>
    </w:p>
    <w:p w14:paraId="6D564E2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(3)监理人对承包人提交的上述资料进行复核，以确定分阶段实际完成的工程量和工程形象目标。对其有异议的，可要求承包人按第8.2款约定进行共同复核和抽样复测。</w:t>
      </w:r>
    </w:p>
    <w:p w14:paraId="1068E72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(4)除按照第15条约定的变更外，总价子目的工程量是承包人用于结算的最终工程量。</w:t>
      </w:r>
    </w:p>
    <w:p w14:paraId="75DCC9A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17.2　预付款</w:t>
      </w:r>
    </w:p>
    <w:p w14:paraId="48D74DF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17.2.1　预付款</w:t>
      </w:r>
    </w:p>
    <w:p w14:paraId="41FA322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预付款用于承包人为合同工程施工购置材料、工程设备、施工设备、修建临时设施以及组织施工队伍进场等，分为工程预付款和工程材料预付款。预付款必须专用于合同工程。预付款的额度和预付办法在专用合同条款中约定。</w:t>
      </w:r>
    </w:p>
    <w:p w14:paraId="3FE3E54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17.2.2　预付款保函(担保)</w:t>
      </w:r>
    </w:p>
    <w:p w14:paraId="42A890E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(1)承包人应在收到第一次工程预付款的同时向发包人提交工程预付款担保，担保金额应与第一次工程预付款金额相同，工程预付款担保在第一次工程预付款被发包人扣回前一直有效。</w:t>
      </w:r>
    </w:p>
    <w:p w14:paraId="43926D3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(2)工程材料预付款的担保在专用合同条款中约定。</w:t>
      </w:r>
    </w:p>
    <w:p w14:paraId="737688A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(3)预付款担保的担保金额可根据预付款扣回的金额相应递减。</w:t>
      </w:r>
    </w:p>
    <w:p w14:paraId="1F5C3C1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17.2.3　预付款的扣回与还清</w:t>
      </w:r>
    </w:p>
    <w:p w14:paraId="3883B42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预付款在进度付款中扣回，扣回与还清办法在专用合同条款中约定。在颁发合同工程完工证书前，由于不可抗力或其它原因解除合同时，预付款尚未扣清的，尚未扣清的预付款余额应作为承包人的到期应付款。</w:t>
      </w:r>
    </w:p>
    <w:p w14:paraId="45FF955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17.4　质量保证金</w:t>
      </w:r>
    </w:p>
    <w:p w14:paraId="74AD462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17.4.1　监理人应从第一个工程进度付款周期开始，在发包人的进度付款中，按专用合同条款的约定扣留质量保证金，直至扣留的质量保证金总额达到专用合同条款约定的金额或比例为止。质量保证金的计算额度不包括预付款的支付与扣回金额。</w:t>
      </w:r>
    </w:p>
    <w:p w14:paraId="57A6E36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17.4.2　合同工程完工证书颁发后14天内，发包人将质量保证金总额的一半支付给承包人。在第1.1.4.5目约定的缺陷责任期(工程质量保修期)满时，发包人将在30个工作日内会同承包人按照合同约定的内容核实承包人是否完成保修责任。如无异议，发包人应当在核实后将剩余的质量保证金支付给承包人。</w:t>
      </w:r>
    </w:p>
    <w:p w14:paraId="2EE9BD18">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40" w:name="_Toc18373"/>
      <w:r>
        <w:rPr>
          <w:rFonts w:hint="eastAsia" w:asciiTheme="minorEastAsia" w:hAnsiTheme="minorEastAsia" w:eastAsiaTheme="minorEastAsia" w:cstheme="minorEastAsia"/>
          <w:color w:val="auto"/>
          <w:sz w:val="24"/>
          <w:szCs w:val="24"/>
        </w:rPr>
        <w:t>17.5　竣工结算(完工结算)</w:t>
      </w:r>
      <w:bookmarkEnd w:id="340"/>
    </w:p>
    <w:p w14:paraId="7A8DBC3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17.5.1　竣工(完工)付款申请单</w:t>
      </w:r>
    </w:p>
    <w:p w14:paraId="28162EC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承包人应在合同工程完工证书颁发后28天内，按专用合同条款约定的份数向监理人提交完工付款申请单，并提供相关证明材料。完工付款申请单应包括下列内容：完工结算合同总价、发包人已支付承包人的工程价款、应扣留的质量保证金、应支付的完工付款金额。</w:t>
      </w:r>
    </w:p>
    <w:p w14:paraId="2A8C299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(2)监理人对完工付款申请单有异议的，有权要求承包人进行修正和提供补充资料。经监理人和承包人协商后，由承包人向监理人提交修正后的完工付款申请单。</w:t>
      </w:r>
    </w:p>
    <w:p w14:paraId="41C7E22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17.5.2　竣工(完工)付款证书及支付时间</w:t>
      </w:r>
    </w:p>
    <w:p w14:paraId="595AF5D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监理人在收到承包人提交的完工付款申请单后的14天内完成核查，提出发包人到期应支付给承包人的价款送发包人审核并抄送承包人。发包人应在收到后14天内审核完毕，由监理人向承包人出具经发包人签认的完工付款证书。监理人未在约定时间内核查，又未提出具体意见的，视为承包人提交的完工付款申请单已经监理人核查同意。发包人未在约定时间内审核又未提出具体意见的，监理人提出发包人到期应支付给承包人的价款视为已经发包人同意。</w:t>
      </w:r>
    </w:p>
    <w:p w14:paraId="3DE6126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(2)发包人应在监理人出具完工付款证书后的14天内，将应支付款支付给承包人。发包人不按期支付的，按第17.3.3(2)目的约定，将逾期付款违约金支付给承包人。</w:t>
      </w:r>
    </w:p>
    <w:p w14:paraId="1A1BBAF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(3)承包人对发包人签认的完工付款证书有异议的，发包人可出具完工付款申请单中承包人已同意部分的临时付款证书。存在争议的部分，按第24条的约定办理。</w:t>
      </w:r>
    </w:p>
    <w:p w14:paraId="785C593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(4)完工付款涉及政府投资资金的，按第17.3.3(4)目的约定办理。</w:t>
      </w:r>
    </w:p>
    <w:p w14:paraId="18569C3B">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41" w:name="_Toc7503"/>
      <w:r>
        <w:rPr>
          <w:rFonts w:hint="eastAsia" w:asciiTheme="minorEastAsia" w:hAnsiTheme="minorEastAsia" w:eastAsiaTheme="minorEastAsia" w:cstheme="minorEastAsia"/>
          <w:color w:val="auto"/>
          <w:sz w:val="24"/>
          <w:szCs w:val="24"/>
        </w:rPr>
        <w:t>17.6　最终结清</w:t>
      </w:r>
      <w:bookmarkEnd w:id="341"/>
    </w:p>
    <w:p w14:paraId="2CCC3C1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17.6.1　最终结清申请单</w:t>
      </w:r>
    </w:p>
    <w:p w14:paraId="12B5C8D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(1)工程质量保修责任终止证书签发后，承包人应按监理人批准的格式提交最终结清申请单。提交最终结清申请单的份数在专用合同条款中约定。</w:t>
      </w:r>
    </w:p>
    <w:p w14:paraId="0FE9B0A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(2)发包人对最终结清申请单内容有异议的，有权要求承包人进行修正和提供补充资料，由承包人向监理人提交修正后的最终结清申请单。</w:t>
      </w:r>
    </w:p>
    <w:p w14:paraId="6AC9C47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42" w:name="_Toc2722"/>
      <w:r>
        <w:rPr>
          <w:rFonts w:hint="eastAsia" w:asciiTheme="minorEastAsia" w:hAnsiTheme="minorEastAsia" w:eastAsiaTheme="minorEastAsia" w:cstheme="minorEastAsia"/>
          <w:color w:val="auto"/>
          <w:sz w:val="24"/>
          <w:szCs w:val="24"/>
        </w:rPr>
        <w:t>17.7　竣工财务决算</w:t>
      </w:r>
      <w:bookmarkEnd w:id="342"/>
    </w:p>
    <w:p w14:paraId="366CCDA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发包人负责编制本工程项目竣工财务决算，承包人应按专用合同条款的约定提供竣工财务决算编制所需的相关材料。</w:t>
      </w:r>
    </w:p>
    <w:p w14:paraId="0998A5E7">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43" w:name="_Toc23940"/>
      <w:r>
        <w:rPr>
          <w:rFonts w:hint="eastAsia" w:asciiTheme="minorEastAsia" w:hAnsiTheme="minorEastAsia" w:eastAsiaTheme="minorEastAsia" w:cstheme="minorEastAsia"/>
          <w:color w:val="auto"/>
          <w:sz w:val="24"/>
          <w:szCs w:val="24"/>
        </w:rPr>
        <w:t>17.8　竣工审计</w:t>
      </w:r>
      <w:bookmarkEnd w:id="343"/>
    </w:p>
    <w:p w14:paraId="02EF952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发包人负责完成本工程竣工审计手续，承包人应完成相关配合工作。</w:t>
      </w:r>
    </w:p>
    <w:p w14:paraId="3A801EB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44" w:name="第04章合同条款及格式0118"/>
      <w:bookmarkEnd w:id="344"/>
      <w:r>
        <w:rPr>
          <w:rFonts w:hint="eastAsia" w:asciiTheme="minorEastAsia" w:hAnsiTheme="minorEastAsia" w:eastAsiaTheme="minorEastAsia" w:cstheme="minorEastAsia"/>
          <w:b/>
          <w:color w:val="auto"/>
          <w:sz w:val="24"/>
          <w:szCs w:val="24"/>
        </w:rPr>
        <w:t>18　竣工验收(验收)</w:t>
      </w:r>
    </w:p>
    <w:p w14:paraId="7D9E85E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5D05F782">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45" w:name="_Toc9786"/>
      <w:r>
        <w:rPr>
          <w:rFonts w:hint="eastAsia" w:asciiTheme="minorEastAsia" w:hAnsiTheme="minorEastAsia" w:eastAsiaTheme="minorEastAsia" w:cstheme="minorEastAsia"/>
          <w:color w:val="auto"/>
          <w:sz w:val="24"/>
          <w:szCs w:val="24"/>
        </w:rPr>
        <w:t>18.1　验收工作分类</w:t>
      </w:r>
      <w:bookmarkEnd w:id="345"/>
    </w:p>
    <w:p w14:paraId="57DFD96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工程验收工作按主持单位分为法人验收和政府验收。法人验收和政府验收的类别在专用合同条款中约定。除专用合同条款另有约定外，法人验收由发包人主持。承包人应完成法人验收和政府验收的配合工作，所需费用应含在已标价工程量清单中。</w:t>
      </w:r>
    </w:p>
    <w:p w14:paraId="70F1E076">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46" w:name="_Toc4658"/>
      <w:r>
        <w:rPr>
          <w:rFonts w:hint="eastAsia" w:asciiTheme="minorEastAsia" w:hAnsiTheme="minorEastAsia" w:eastAsiaTheme="minorEastAsia" w:cstheme="minorEastAsia"/>
          <w:color w:val="auto"/>
          <w:sz w:val="24"/>
          <w:szCs w:val="24"/>
        </w:rPr>
        <w:t>18.2　分部工程验收</w:t>
      </w:r>
      <w:bookmarkEnd w:id="346"/>
    </w:p>
    <w:p w14:paraId="5014FCB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18.2.1　分部工程具备验收条件时，承包人应向发包人提交验收申请报告，发包人应在收到验收申请报告之日起10个工作日内决定是否同意进行验收。</w:t>
      </w:r>
    </w:p>
    <w:p w14:paraId="7B495B5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18.2.2　除专用合同条款另有约定外，监理人主持分部工程验收，承包人应派符合条件的代表参加验收工作组。</w:t>
      </w:r>
    </w:p>
    <w:p w14:paraId="03251CE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18.2.3　分部工程验收通过后，发包人向承包人发送分部工程验收鉴定书。承包人应及时完成分部工程验收鉴定书载明应由承包人处理的遗留问题。</w:t>
      </w:r>
    </w:p>
    <w:p w14:paraId="281F4CF8">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47" w:name="_Toc7535"/>
      <w:r>
        <w:rPr>
          <w:rFonts w:hint="eastAsia" w:asciiTheme="minorEastAsia" w:hAnsiTheme="minorEastAsia" w:eastAsiaTheme="minorEastAsia" w:cstheme="minorEastAsia"/>
          <w:color w:val="auto"/>
          <w:sz w:val="24"/>
          <w:szCs w:val="24"/>
        </w:rPr>
        <w:t>18.3　单位工程验收</w:t>
      </w:r>
      <w:bookmarkEnd w:id="347"/>
    </w:p>
    <w:p w14:paraId="0C55E38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18.3.1　单位工程具备验收条件时，承包人应向发包人提交验收申请报告，发包人应在收到验收申请报告之日起10个工作日内决定是否同意进行验收。</w:t>
      </w:r>
    </w:p>
    <w:p w14:paraId="62DA9D7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18.3.2　发包人主持单位工程验收，承包人应派符合条件的代表参加验收工作组。</w:t>
      </w:r>
    </w:p>
    <w:p w14:paraId="0E18C11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18.3.3　单位工程验收通过后，发包人向承包人发送单位工程验收鉴定书。承包人应及时完成单位工程验收鉴定书载明应由承包人处理的遗留问题。</w:t>
      </w:r>
    </w:p>
    <w:p w14:paraId="0C601DC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18.3.4　需提前投入使用的单位工程在专用合同条款中明确。</w:t>
      </w:r>
    </w:p>
    <w:p w14:paraId="08199478">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48" w:name="_Toc27133"/>
      <w:r>
        <w:rPr>
          <w:rFonts w:hint="eastAsia" w:asciiTheme="minorEastAsia" w:hAnsiTheme="minorEastAsia" w:eastAsiaTheme="minorEastAsia" w:cstheme="minorEastAsia"/>
          <w:color w:val="auto"/>
          <w:sz w:val="24"/>
          <w:szCs w:val="24"/>
        </w:rPr>
        <w:t>18.4　合同工程完工验收</w:t>
      </w:r>
      <w:bookmarkEnd w:id="348"/>
    </w:p>
    <w:p w14:paraId="7AF7598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18.4.1　合同工程具备验收条件时，承包人应向发包人提交验收申请报告，发包人应在收到验收申请报告之日起20个工作日内决定是否同意进行验收。</w:t>
      </w:r>
    </w:p>
    <w:p w14:paraId="32A178A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18.4.2　发包人主持合同工程完工验收，承包人应派代表参加验收工作组。</w:t>
      </w:r>
    </w:p>
    <w:p w14:paraId="40E8F04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18.4.3　合同工程完工验收通过后，发包人向承包人发送合同工程完工验收鉴定书。承包人应及时完成合同工程完工验收鉴定书载明应由承包人处理的遗留问题。</w:t>
      </w:r>
    </w:p>
    <w:p w14:paraId="6CD01D0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18.4.4　合同工程完工验收通过后，发包人与承包人应在30个工作日内组织专人负责工程交接，双方交接负责人应在交接记录上签字。承包人应按验收鉴定书约定的时间及时移交工程及其档案资料。工程移交时，承包人应向发包人递交工程质量保修书。在承包人递交了工程质量保修书、完成施工场地清理以及提交有关资料后，发包人应在30个工作日内向承包人颁发合同工程完工证书。</w:t>
      </w:r>
    </w:p>
    <w:p w14:paraId="4CF13F66">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49" w:name="_Toc26224"/>
      <w:r>
        <w:rPr>
          <w:rFonts w:hint="eastAsia" w:asciiTheme="minorEastAsia" w:hAnsiTheme="minorEastAsia" w:eastAsiaTheme="minorEastAsia" w:cstheme="minorEastAsia"/>
          <w:color w:val="auto"/>
          <w:sz w:val="24"/>
          <w:szCs w:val="24"/>
        </w:rPr>
        <w:t>18.5　阶段验收</w:t>
      </w:r>
      <w:bookmarkEnd w:id="349"/>
    </w:p>
    <w:p w14:paraId="1C853AC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18.5.1　工程建设具备阶段验收条件时，发包人负责提出阶段验收申请报告。承包人应派代表参加阶段验收，并作为被验收单位在验收鉴定书上签字。阶段验收的具体类别在专用合同条款中约定。</w:t>
      </w:r>
    </w:p>
    <w:p w14:paraId="10863DB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18.5.2　承包人应及时完成阶段验收鉴定书载明应由承包人处理的遗留问题。</w:t>
      </w:r>
    </w:p>
    <w:p w14:paraId="6A99EF1C">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50" w:name="_Toc1010"/>
      <w:r>
        <w:rPr>
          <w:rFonts w:hint="eastAsia" w:asciiTheme="minorEastAsia" w:hAnsiTheme="minorEastAsia" w:eastAsiaTheme="minorEastAsia" w:cstheme="minorEastAsia"/>
          <w:color w:val="auto"/>
          <w:sz w:val="24"/>
          <w:szCs w:val="24"/>
        </w:rPr>
        <w:t>18.6　专项验收</w:t>
      </w:r>
      <w:bookmarkEnd w:id="350"/>
    </w:p>
    <w:p w14:paraId="13F74AB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18.6.1　发包人负责提出专项验收申请报告。承包人应按专项验收的相关规定参加专项验收。专项验收的具体类别在专用合同条款中约定。</w:t>
      </w:r>
    </w:p>
    <w:p w14:paraId="3E83347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18.6.2　承包人应及时完成专项验收成果性文件载明应由承包人处理的遗留问题。</w:t>
      </w:r>
    </w:p>
    <w:p w14:paraId="7BFF9A95">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51" w:name="_Toc1869"/>
      <w:r>
        <w:rPr>
          <w:rFonts w:hint="eastAsia" w:asciiTheme="minorEastAsia" w:hAnsiTheme="minorEastAsia" w:eastAsiaTheme="minorEastAsia" w:cstheme="minorEastAsia"/>
          <w:color w:val="auto"/>
          <w:sz w:val="24"/>
          <w:szCs w:val="24"/>
        </w:rPr>
        <w:t>18.7　竣工验收</w:t>
      </w:r>
      <w:bookmarkEnd w:id="351"/>
    </w:p>
    <w:p w14:paraId="35D74FD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18.7.1　申请竣工验收前，发包人组织竣工验收自查，承包人应派代表参加。</w:t>
      </w:r>
    </w:p>
    <w:p w14:paraId="7787012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18.7.2　竣工验收分为竣工技术预验收和竣工验收两个阶段。发包人应通知承包人派代表参加技术预验收和竣工验收。</w:t>
      </w:r>
    </w:p>
    <w:p w14:paraId="756D121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18.7.3　专用合同条款约定工程需要进行技术鉴定的，承包人应提交有关资料并完成配合工作。</w:t>
      </w:r>
    </w:p>
    <w:p w14:paraId="026FA4F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18.7.4　竣工验收需要进行质量检测的，所需费用由发包人承担，但因承包人原因造成质量不合格的除外。</w:t>
      </w:r>
    </w:p>
    <w:p w14:paraId="17CAB95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18.7.5　工程质量保修期满以及竣工验收遗留问题和尾工处理完成并通过验收后，发包人负责将处理情况和验收成果报送竣工验收主持单位，申请领取工程竣工证书，并发送承包人。</w:t>
      </w:r>
    </w:p>
    <w:p w14:paraId="7A9D7F9D">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52" w:name="_Toc27720"/>
      <w:r>
        <w:rPr>
          <w:rFonts w:hint="eastAsia" w:asciiTheme="minorEastAsia" w:hAnsiTheme="minorEastAsia" w:eastAsiaTheme="minorEastAsia" w:cstheme="minorEastAsia"/>
          <w:color w:val="auto"/>
          <w:sz w:val="24"/>
          <w:szCs w:val="24"/>
        </w:rPr>
        <w:t>18.8　施工期运行</w:t>
      </w:r>
      <w:bookmarkEnd w:id="352"/>
    </w:p>
    <w:p w14:paraId="5B3EEAB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18.8.1　施工期运行是指合同工程尚未全部完工，其中某单位工程或部分工程已完工，需要投入施工期运行的，经发包人按第18.2款或第18.3款的约定验收合格，证明能确保安全后，才能在施工期投入运行。需要在施工期运行的单位工程或部分工程在专用合同条款中约定。</w:t>
      </w:r>
    </w:p>
    <w:p w14:paraId="2B7F52B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18.8.2　在施工期运行中发现工程或工程设备损坏或存在缺陷的，由承包人按第19.2款约定进行修复。</w:t>
      </w:r>
    </w:p>
    <w:p w14:paraId="517E1C1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53" w:name="_Toc10272"/>
      <w:r>
        <w:rPr>
          <w:rFonts w:hint="eastAsia" w:asciiTheme="minorEastAsia" w:hAnsiTheme="minorEastAsia" w:eastAsiaTheme="minorEastAsia" w:cstheme="minorEastAsia"/>
          <w:color w:val="auto"/>
          <w:sz w:val="24"/>
          <w:szCs w:val="24"/>
        </w:rPr>
        <w:t>18.9　试运行</w:t>
      </w:r>
      <w:bookmarkEnd w:id="353"/>
    </w:p>
    <w:p w14:paraId="1F8E2C7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18.9.1　除专用合同条款另有约定外，承包人应按规定进行工程及工程设备试运行，负责提供试运行所需的人员、器材和必要的条件，并承担全部试运行费用。</w:t>
      </w:r>
    </w:p>
    <w:p w14:paraId="0E3789A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18.9.2　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14:paraId="501A59C3">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54" w:name="_Toc19566"/>
      <w:r>
        <w:rPr>
          <w:rFonts w:hint="eastAsia" w:asciiTheme="minorEastAsia" w:hAnsiTheme="minorEastAsia" w:eastAsiaTheme="minorEastAsia" w:cstheme="minorEastAsia"/>
          <w:color w:val="auto"/>
          <w:sz w:val="24"/>
          <w:szCs w:val="24"/>
        </w:rPr>
        <w:t>18.10　竣工(完工)清场</w:t>
      </w:r>
      <w:bookmarkEnd w:id="354"/>
    </w:p>
    <w:p w14:paraId="7C18491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18.10.1　工程项目竣工(完工)清场的工作范围和内容在技术标准和要求(合同技术条款)中约定。</w:t>
      </w:r>
    </w:p>
    <w:p w14:paraId="4C44B66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18.10.2　承包人未按监理人的要求恢复临时占地，或者场地清理未达到合同约定的，发包人有权委托其它人恢复或清理，所发生的金额从拟支付给承包人的款项中扣除。</w:t>
      </w:r>
    </w:p>
    <w:p w14:paraId="539CB932">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55" w:name="_Toc20335"/>
      <w:r>
        <w:rPr>
          <w:rFonts w:hint="eastAsia" w:asciiTheme="minorEastAsia" w:hAnsiTheme="minorEastAsia" w:eastAsiaTheme="minorEastAsia" w:cstheme="minorEastAsia"/>
          <w:color w:val="auto"/>
          <w:sz w:val="24"/>
          <w:szCs w:val="24"/>
        </w:rPr>
        <w:t>18.11　施工队伍的撤离</w:t>
      </w:r>
      <w:bookmarkEnd w:id="355"/>
    </w:p>
    <w:p w14:paraId="10C2A59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合同工程完工证书颁发后的56天内，除了经监理人同意需在缺陷责任期(工程质量保修期)内继续工作和使用的人员、施工设备和临时工程外，其余的人员、施工设备和临时工程均应撤离施工场地或拆除。除合同另有约定外，缺陷责任期(工程质量保修期)满时，承包人的人员和施工设备应全部撤离施工场地。</w:t>
      </w:r>
    </w:p>
    <w:p w14:paraId="2C17D03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56" w:name="第04章合同条款及格式0119"/>
      <w:bookmarkEnd w:id="356"/>
      <w:bookmarkStart w:id="357" w:name="_Toc20571"/>
      <w:r>
        <w:rPr>
          <w:rFonts w:hint="eastAsia" w:asciiTheme="minorEastAsia" w:hAnsiTheme="minorEastAsia" w:eastAsiaTheme="minorEastAsia" w:cstheme="minorEastAsia"/>
          <w:b/>
          <w:color w:val="auto"/>
          <w:sz w:val="24"/>
          <w:szCs w:val="24"/>
        </w:rPr>
        <w:t>19　缺陷责任与保修责任</w:t>
      </w:r>
      <w:bookmarkEnd w:id="357"/>
    </w:p>
    <w:p w14:paraId="5B689F9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6E939F68">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58" w:name="_Toc25272"/>
      <w:r>
        <w:rPr>
          <w:rFonts w:hint="eastAsia" w:asciiTheme="minorEastAsia" w:hAnsiTheme="minorEastAsia" w:eastAsiaTheme="minorEastAsia" w:cstheme="minorEastAsia"/>
          <w:color w:val="auto"/>
          <w:sz w:val="24"/>
          <w:szCs w:val="24"/>
        </w:rPr>
        <w:t>19.1　缺陷责任期(工程质量保修期)的起算时间</w:t>
      </w:r>
      <w:bookmarkEnd w:id="358"/>
    </w:p>
    <w:p w14:paraId="2809FD4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除专用合同条款另有约定外，缺陷责任期(工程质量保修期)从工程通过合同工程完工验收后开始计算。在合同工程完工验收前，已经发包人提前验收的单位工程或部分工程，若未投入使用，其缺陷责任期(工程质量保修期)亦从工程通过合同工程完工验收后开始计算；若已投入使用，其缺陷责任期(工程质量保修期)从通过单位工程或部分工程投入使用验收后开始计算。缺陷责任期(工程质量保修期)的期限在专用合同条款中约定。</w:t>
      </w:r>
    </w:p>
    <w:p w14:paraId="7C56813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19.6　缺陷责任期终止证书(工程质量保修责任终止证书)</w:t>
      </w:r>
    </w:p>
    <w:p w14:paraId="37673C9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合同工程完工验收或投入使用验收后，发包人与承包人应办理工程交接手续，承包人应向发包人递交工程质量保修书。</w:t>
      </w:r>
    </w:p>
    <w:p w14:paraId="1224D1D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缺陷责任期(工程质量保修期)满后30个工作日内，发包人应向承包人颁发工程质量保修责任终止证书，并退还剩余的质量保证金，但保修责任范围内的质量缺陷未处理完成的应除外。</w:t>
      </w:r>
    </w:p>
    <w:p w14:paraId="673A645A">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59" w:name="第04章合同条款及格式0120"/>
      <w:bookmarkEnd w:id="359"/>
      <w:bookmarkStart w:id="360" w:name="_Toc4978"/>
      <w:r>
        <w:rPr>
          <w:rFonts w:hint="eastAsia" w:asciiTheme="minorEastAsia" w:hAnsiTheme="minorEastAsia" w:eastAsiaTheme="minorEastAsia" w:cstheme="minorEastAsia"/>
          <w:b/>
          <w:color w:val="auto"/>
          <w:sz w:val="24"/>
          <w:szCs w:val="24"/>
        </w:rPr>
        <w:t>20　保险</w:t>
      </w:r>
      <w:bookmarkEnd w:id="360"/>
    </w:p>
    <w:p w14:paraId="2F0A82B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482102B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20.6　对各项保险的一般要求</w:t>
      </w:r>
    </w:p>
    <w:p w14:paraId="58C84D0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20.6.4　保险金不足以补偿损失时，应由承包人和发包人各自负责补偿的范围和金额在专用合同条款中约定。</w:t>
      </w:r>
    </w:p>
    <w:p w14:paraId="5B809E9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20.7　风险责任的转移</w:t>
      </w:r>
    </w:p>
    <w:p w14:paraId="09C6BD3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工程通过合同工程完工验收并移交给发包人后，原由承包人应承担的风险责任，以及保险的责任、权利和义务同时转移给发包人，但承包人在缺陷责任期(工程质量保修期)前造成损失和损坏情形除外。</w:t>
      </w:r>
    </w:p>
    <w:p w14:paraId="15CA23AB">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61" w:name="第04章合同条款及格式0121"/>
      <w:bookmarkEnd w:id="361"/>
      <w:bookmarkStart w:id="362" w:name="_Toc5188"/>
      <w:r>
        <w:rPr>
          <w:rFonts w:hint="eastAsia" w:asciiTheme="minorEastAsia" w:hAnsiTheme="minorEastAsia" w:eastAsiaTheme="minorEastAsia" w:cstheme="minorEastAsia"/>
          <w:b/>
          <w:color w:val="auto"/>
          <w:sz w:val="24"/>
          <w:szCs w:val="24"/>
        </w:rPr>
        <w:t>21　不可抗力</w:t>
      </w:r>
      <w:bookmarkEnd w:id="362"/>
    </w:p>
    <w:p w14:paraId="04F8EA5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w:t>
      </w:r>
    </w:p>
    <w:p w14:paraId="721CA9C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63" w:name="第04章合同条款及格式0122"/>
      <w:bookmarkEnd w:id="363"/>
      <w:bookmarkStart w:id="364" w:name="_Toc14716"/>
      <w:r>
        <w:rPr>
          <w:rFonts w:hint="eastAsia" w:asciiTheme="minorEastAsia" w:hAnsiTheme="minorEastAsia" w:eastAsiaTheme="minorEastAsia" w:cstheme="minorEastAsia"/>
          <w:b/>
          <w:color w:val="auto"/>
          <w:sz w:val="24"/>
          <w:szCs w:val="24"/>
        </w:rPr>
        <w:t>22　违约</w:t>
      </w:r>
      <w:bookmarkEnd w:id="364"/>
    </w:p>
    <w:p w14:paraId="528F4F6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0E620BE1">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65" w:name="_Toc28856"/>
      <w:r>
        <w:rPr>
          <w:rFonts w:hint="eastAsia" w:asciiTheme="minorEastAsia" w:hAnsiTheme="minorEastAsia" w:eastAsiaTheme="minorEastAsia" w:cstheme="minorEastAsia"/>
          <w:color w:val="auto"/>
          <w:sz w:val="24"/>
          <w:szCs w:val="24"/>
        </w:rPr>
        <w:t>22.1　承包人违约</w:t>
      </w:r>
      <w:bookmarkEnd w:id="365"/>
    </w:p>
    <w:p w14:paraId="0820FCC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22.1.1　承包人违约的情形</w:t>
      </w:r>
    </w:p>
    <w:p w14:paraId="001F728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在履行合同过程中发生的下列情况属承包人违约：</w:t>
      </w:r>
    </w:p>
    <w:p w14:paraId="0C346C5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(1)承包人违反第1.8款或第4.3款的约定，私自将合同的全部或部分权利转让给其他人，或私自将合同的全部或部分义务转移给其他人；</w:t>
      </w:r>
    </w:p>
    <w:p w14:paraId="0C5A4BD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(2)承包人违反第5.3款或第6.4款的约定，未经监理人批准，私自将已按合同约定进入施工场地的施工设备、临时设施或材料撤离施工场地；</w:t>
      </w:r>
    </w:p>
    <w:p w14:paraId="6E0B727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(3)承包人违反第5.4款的约定使用了不合格材料或工程设备，工程质量达不到标准要求，又拒绝清除不合格工程；</w:t>
      </w:r>
    </w:p>
    <w:p w14:paraId="6DAEC40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(4)承包人未能按合同进度计划及时完成合同约定的工作，已造成或预期造成工期延误；</w:t>
      </w:r>
    </w:p>
    <w:p w14:paraId="4725FFA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(5)承包人在缺陷责任期(工程质量保修期)内，未能对合同工程完工验收鉴定书所列的缺陷清单的内容或缺陷责任期(工程质量保修期)内发生的缺陷进行修复，而又拒绝按监理人指示再进行修补；</w:t>
      </w:r>
    </w:p>
    <w:p w14:paraId="30B5AA7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(6)承包人无法继续履行或明确表示不履行或实质上已停止履行合同；</w:t>
      </w:r>
    </w:p>
    <w:p w14:paraId="6473C26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(7)承包人不按合同约定履行义务的其它情况。</w:t>
      </w:r>
    </w:p>
    <w:p w14:paraId="5CD59E1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66" w:name="第04章合同条款及格式0123"/>
      <w:bookmarkEnd w:id="366"/>
      <w:bookmarkStart w:id="367" w:name="_Toc15497"/>
      <w:r>
        <w:rPr>
          <w:rFonts w:hint="eastAsia" w:asciiTheme="minorEastAsia" w:hAnsiTheme="minorEastAsia" w:eastAsiaTheme="minorEastAsia" w:cstheme="minorEastAsia"/>
          <w:b/>
          <w:color w:val="auto"/>
          <w:sz w:val="24"/>
          <w:szCs w:val="24"/>
        </w:rPr>
        <w:t>23　索赔</w:t>
      </w:r>
      <w:bookmarkEnd w:id="367"/>
    </w:p>
    <w:p w14:paraId="65A228C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413A7F4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23.3　承包人提出索赔的期限</w:t>
      </w:r>
    </w:p>
    <w:p w14:paraId="79E095D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23.3.1　承包人按第17.5款的约定接受了完工付款证书后，应被认为已无权再提出在合同工程完工证书颁发前所发生的任何索赔。</w:t>
      </w:r>
    </w:p>
    <w:p w14:paraId="7797A07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23.3.2　承包人按第17.6款的约定提交的最终结清申请单中，只限于提出合同工程完工证书颁发后发生的索赔。提出索赔的期限自接受最终结清证书时终止。</w:t>
      </w:r>
    </w:p>
    <w:p w14:paraId="2A156952">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68" w:name="_Toc4601"/>
      <w:r>
        <w:rPr>
          <w:rFonts w:hint="eastAsia" w:asciiTheme="minorEastAsia" w:hAnsiTheme="minorEastAsia" w:eastAsiaTheme="minorEastAsia" w:cstheme="minorEastAsia"/>
          <w:color w:val="auto"/>
          <w:sz w:val="24"/>
          <w:szCs w:val="24"/>
        </w:rPr>
        <w:t>23.4　发包人的索赔</w:t>
      </w:r>
      <w:bookmarkEnd w:id="368"/>
    </w:p>
    <w:p w14:paraId="6145C58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23.4.3　承包人对监理人按第23.4.1项发出的索赔书面通知内容持异议时，应在收到书面通知后的14天内，将持有异议的书面报告及其证明材料提交监理人。监理人应在收到承包人书面报告后的14天内，将异议的处理意见通知承包人，并按第23.4.2项的约定执行赔付。若承包人不接受监理人的索赔处理意见，可按本合同第24条的规定办理。</w:t>
      </w:r>
    </w:p>
    <w:p w14:paraId="756477C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69" w:name="第04章合同条款及格式0124"/>
      <w:bookmarkEnd w:id="369"/>
      <w:r>
        <w:rPr>
          <w:rFonts w:hint="eastAsia" w:asciiTheme="minorEastAsia" w:hAnsiTheme="minorEastAsia" w:eastAsiaTheme="minorEastAsia" w:cstheme="minorEastAsia"/>
          <w:b/>
          <w:color w:val="auto"/>
          <w:sz w:val="24"/>
          <w:szCs w:val="24"/>
        </w:rPr>
        <w:t>24　争议的解决</w:t>
      </w:r>
    </w:p>
    <w:p w14:paraId="543C276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5E6C01C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24.4　仲裁</w:t>
      </w:r>
    </w:p>
    <w:p w14:paraId="2B0E162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24.4.1　若合同双方商定直接向仲裁机构申请仲裁，应签订仲裁协议并约定仲裁机构。</w:t>
      </w:r>
    </w:p>
    <w:p w14:paraId="5F7378A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24.4.2　若合同双方未能达成仲裁协议，则本合同的仲裁条款无效，任一方均有权向人民法院提起诉讼。</w:t>
      </w:r>
    </w:p>
    <w:p w14:paraId="248B30E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259F48A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bookmarkStart w:id="370" w:name="第04章合同条款及格式02"/>
      <w:bookmarkEnd w:id="370"/>
    </w:p>
    <w:p w14:paraId="0FEEC70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p>
    <w:p w14:paraId="4028FE2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第2节　专用合同条款</w:t>
      </w:r>
    </w:p>
    <w:p w14:paraId="10315137">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71" w:name="第04章合同条款及格式0201"/>
      <w:bookmarkEnd w:id="371"/>
      <w:bookmarkStart w:id="372" w:name="_Toc32434"/>
      <w:r>
        <w:rPr>
          <w:rFonts w:hint="eastAsia" w:asciiTheme="minorEastAsia" w:hAnsiTheme="minorEastAsia" w:eastAsiaTheme="minorEastAsia" w:cstheme="minorEastAsia"/>
          <w:b/>
          <w:color w:val="auto"/>
          <w:sz w:val="24"/>
          <w:szCs w:val="24"/>
        </w:rPr>
        <w:t>1　一般约定</w:t>
      </w:r>
      <w:bookmarkEnd w:id="372"/>
    </w:p>
    <w:p w14:paraId="7A2A66E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　词语定义</w:t>
      </w:r>
    </w:p>
    <w:p w14:paraId="2F13017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1.1.2　合同当事人和人员</w:t>
      </w:r>
    </w:p>
    <w:p w14:paraId="0D32606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1.1.2.2　发包人：</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(填入发包人的名称)。</w:t>
      </w:r>
    </w:p>
    <w:p w14:paraId="1C45E20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1.1.2.3　承包人：</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(签约后填入承包人的名称)。</w:t>
      </w:r>
    </w:p>
    <w:p w14:paraId="1D5A8CA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1.1.2.5　分包人：</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(签约后填入分包人的名称)。</w:t>
      </w:r>
    </w:p>
    <w:p w14:paraId="2B3D509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1.1.2.6　监理人：</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(填入监理人名称)。</w:t>
      </w:r>
    </w:p>
    <w:p w14:paraId="3D03040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1.1.4　日期</w:t>
      </w:r>
    </w:p>
    <w:p w14:paraId="6044336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1.1.4.5　缺陷责任期(工程质量保修期)：</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1396882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73" w:name="_Toc27228"/>
      <w:r>
        <w:rPr>
          <w:rFonts w:hint="eastAsia" w:asciiTheme="minorEastAsia" w:hAnsiTheme="minorEastAsia" w:eastAsiaTheme="minorEastAsia" w:cstheme="minorEastAsia"/>
          <w:color w:val="auto"/>
          <w:sz w:val="24"/>
          <w:szCs w:val="24"/>
        </w:rPr>
        <w:t>1.4　合同文件的优先顺序</w:t>
      </w:r>
      <w:bookmarkEnd w:id="373"/>
    </w:p>
    <w:p w14:paraId="68A6E7E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进入合同文件的各项文件及其优先顺序是</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32ADF11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　联络</w:t>
      </w:r>
    </w:p>
    <w:p w14:paraId="0E8755D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1.7.2　来往函件均应按技术标准和要求(合同技术条款)约定的期限送达</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(填写文件送达地点)。</w:t>
      </w:r>
    </w:p>
    <w:p w14:paraId="0F48DF4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74" w:name="第04章合同条款及格式0202"/>
      <w:bookmarkEnd w:id="374"/>
      <w:r>
        <w:rPr>
          <w:rFonts w:hint="eastAsia" w:asciiTheme="minorEastAsia" w:hAnsiTheme="minorEastAsia" w:eastAsiaTheme="minorEastAsia" w:cstheme="minorEastAsia"/>
          <w:b/>
          <w:color w:val="auto"/>
          <w:sz w:val="24"/>
          <w:szCs w:val="24"/>
        </w:rPr>
        <w:t>2　发包人义务</w:t>
      </w:r>
    </w:p>
    <w:p w14:paraId="1C321D41">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75" w:name="_Toc26386"/>
      <w:r>
        <w:rPr>
          <w:rFonts w:hint="eastAsia" w:asciiTheme="minorEastAsia" w:hAnsiTheme="minorEastAsia" w:eastAsiaTheme="minorEastAsia" w:cstheme="minorEastAsia"/>
          <w:color w:val="auto"/>
          <w:sz w:val="24"/>
          <w:szCs w:val="24"/>
        </w:rPr>
        <w:t>2.3　提供施工场地</w:t>
      </w:r>
      <w:bookmarkEnd w:id="375"/>
    </w:p>
    <w:p w14:paraId="6BAC9D7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2.3.2　发包人提供的施工场地范围为：</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6EC2D40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2.3.3　承包人自行勘察的施工场地范围为：</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77638B3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2.8　其它义务</w:t>
      </w:r>
    </w:p>
    <w:p w14:paraId="484D520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(根据发包人的合同管理要求补充)</w:t>
      </w:r>
    </w:p>
    <w:p w14:paraId="4136A34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w:t>
      </w:r>
    </w:p>
    <w:p w14:paraId="72FE17A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w:t>
      </w:r>
    </w:p>
    <w:p w14:paraId="4BCD664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76" w:name="第04章合同条款及格式0203"/>
      <w:bookmarkEnd w:id="376"/>
      <w:r>
        <w:rPr>
          <w:rFonts w:hint="eastAsia" w:asciiTheme="minorEastAsia" w:hAnsiTheme="minorEastAsia" w:eastAsiaTheme="minorEastAsia" w:cstheme="minorEastAsia"/>
          <w:b/>
          <w:color w:val="auto"/>
          <w:sz w:val="24"/>
          <w:szCs w:val="24"/>
        </w:rPr>
        <w:t>3　监理人</w:t>
      </w:r>
    </w:p>
    <w:p w14:paraId="32B93AF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3.1　监理人的职责和权力</w:t>
      </w:r>
    </w:p>
    <w:p w14:paraId="15D48AB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3.1.1　监理人须根据发包人事先批准的权力范围行使权力，发包人批准的权力范围：(填写监理人须经发包人批准才能行使的权力，以下示例供参考)</w:t>
      </w:r>
    </w:p>
    <w:p w14:paraId="2A37B9F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(1)按第4.3款约定，批准工程的分包；</w:t>
      </w:r>
    </w:p>
    <w:p w14:paraId="6DAD20E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(2)按第11.3款约定，确定延长完工期限；</w:t>
      </w:r>
    </w:p>
    <w:p w14:paraId="0C9FE74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(3)按第15.6款约定，批准暂列金额的使用；</w:t>
      </w:r>
    </w:p>
    <w:p w14:paraId="7B0BC41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w:t>
      </w:r>
    </w:p>
    <w:p w14:paraId="7360314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77" w:name="第04章合同条款及格式0204"/>
      <w:bookmarkEnd w:id="377"/>
      <w:r>
        <w:rPr>
          <w:rFonts w:hint="eastAsia" w:asciiTheme="minorEastAsia" w:hAnsiTheme="minorEastAsia" w:eastAsiaTheme="minorEastAsia" w:cstheme="minorEastAsia"/>
          <w:b/>
          <w:color w:val="auto"/>
          <w:sz w:val="24"/>
          <w:szCs w:val="24"/>
        </w:rPr>
        <w:t>4　承包人</w:t>
      </w:r>
    </w:p>
    <w:p w14:paraId="0BD80E2B">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78" w:name="_Toc29247"/>
      <w:r>
        <w:rPr>
          <w:rFonts w:hint="eastAsia" w:asciiTheme="minorEastAsia" w:hAnsiTheme="minorEastAsia" w:eastAsiaTheme="minorEastAsia" w:cstheme="minorEastAsia"/>
          <w:color w:val="auto"/>
          <w:sz w:val="24"/>
          <w:szCs w:val="24"/>
        </w:rPr>
        <w:t>4.1　承包人的一般义务</w:t>
      </w:r>
      <w:bookmarkEnd w:id="378"/>
    </w:p>
    <w:p w14:paraId="5068E82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4.1.10　其它义务</w:t>
      </w:r>
    </w:p>
    <w:p w14:paraId="5A73BF6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w:t>
      </w:r>
    </w:p>
    <w:p w14:paraId="4BC73E0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w:t>
      </w:r>
    </w:p>
    <w:p w14:paraId="41F7C9BE">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79" w:name="_Toc19321"/>
      <w:r>
        <w:rPr>
          <w:rFonts w:hint="eastAsia" w:asciiTheme="minorEastAsia" w:hAnsiTheme="minorEastAsia" w:eastAsiaTheme="minorEastAsia" w:cstheme="minorEastAsia"/>
          <w:color w:val="auto"/>
          <w:sz w:val="24"/>
          <w:szCs w:val="24"/>
        </w:rPr>
        <w:t>4.3　分包</w:t>
      </w:r>
      <w:bookmarkEnd w:id="379"/>
    </w:p>
    <w:p w14:paraId="4CBF971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4.3.2　允许承包人分包的工程项目、工作内容与分包金额限额为：</w:t>
      </w:r>
    </w:p>
    <w:p w14:paraId="71DEE76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(1)工程项目：</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2808967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(2)工作内容：</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4AC24D3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(3)分包金额限额：</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683A3F1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4.3.10　分包人项目管理机构的设立：</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313177F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4.11　不利物质条件</w:t>
      </w:r>
    </w:p>
    <w:p w14:paraId="61A973F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4.11.1　不利物质条件的范围：</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60CD2F7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80" w:name="第04章合同条款及格式0205"/>
      <w:bookmarkEnd w:id="380"/>
      <w:bookmarkStart w:id="381" w:name="_Toc4987"/>
      <w:r>
        <w:rPr>
          <w:rFonts w:hint="eastAsia" w:asciiTheme="minorEastAsia" w:hAnsiTheme="minorEastAsia" w:eastAsiaTheme="minorEastAsia" w:cstheme="minorEastAsia"/>
          <w:b/>
          <w:color w:val="auto"/>
          <w:sz w:val="24"/>
          <w:szCs w:val="24"/>
        </w:rPr>
        <w:t>5　材料和工程设备</w:t>
      </w:r>
      <w:bookmarkEnd w:id="381"/>
    </w:p>
    <w:p w14:paraId="63CE1787">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82" w:name="_Toc13462"/>
      <w:r>
        <w:rPr>
          <w:rFonts w:hint="eastAsia" w:asciiTheme="minorEastAsia" w:hAnsiTheme="minorEastAsia" w:eastAsiaTheme="minorEastAsia" w:cstheme="minorEastAsia"/>
          <w:color w:val="auto"/>
          <w:sz w:val="24"/>
          <w:szCs w:val="24"/>
        </w:rPr>
        <w:t>5.2　发包人提供的材料和工程设备</w:t>
      </w:r>
      <w:bookmarkEnd w:id="382"/>
    </w:p>
    <w:p w14:paraId="4AAFA00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5.2.1　发包人提供的材料和工程设备见下表：</w:t>
      </w:r>
    </w:p>
    <w:p w14:paraId="13A375B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发包人提供的材料表(参考格式)</w:t>
      </w:r>
    </w:p>
    <w:tbl>
      <w:tblPr>
        <w:tblStyle w:val="2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9"/>
        <w:gridCol w:w="1418"/>
        <w:gridCol w:w="1417"/>
        <w:gridCol w:w="709"/>
        <w:gridCol w:w="1417"/>
        <w:gridCol w:w="1134"/>
        <w:gridCol w:w="1560"/>
        <w:gridCol w:w="708"/>
      </w:tblGrid>
      <w:tr w14:paraId="06F88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2022980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序号</w:t>
            </w:r>
          </w:p>
        </w:tc>
        <w:tc>
          <w:tcPr>
            <w:tcW w:w="1418" w:type="dxa"/>
            <w:noWrap w:val="0"/>
            <w:vAlign w:val="center"/>
          </w:tcPr>
          <w:p w14:paraId="090A01AC">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材料名称</w:t>
            </w:r>
          </w:p>
        </w:tc>
        <w:tc>
          <w:tcPr>
            <w:tcW w:w="1417" w:type="dxa"/>
            <w:noWrap w:val="0"/>
            <w:vAlign w:val="center"/>
          </w:tcPr>
          <w:p w14:paraId="67D0666C">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材料规格</w:t>
            </w:r>
          </w:p>
        </w:tc>
        <w:tc>
          <w:tcPr>
            <w:tcW w:w="709" w:type="dxa"/>
            <w:noWrap w:val="0"/>
            <w:vAlign w:val="center"/>
          </w:tcPr>
          <w:p w14:paraId="45EF1082">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数量</w:t>
            </w:r>
          </w:p>
        </w:tc>
        <w:tc>
          <w:tcPr>
            <w:tcW w:w="1417" w:type="dxa"/>
            <w:noWrap w:val="0"/>
            <w:vAlign w:val="center"/>
          </w:tcPr>
          <w:p w14:paraId="4243D95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交货地点</w:t>
            </w:r>
          </w:p>
        </w:tc>
        <w:tc>
          <w:tcPr>
            <w:tcW w:w="1134" w:type="dxa"/>
            <w:noWrap w:val="0"/>
            <w:vAlign w:val="center"/>
          </w:tcPr>
          <w:p w14:paraId="7217D87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交货方式</w:t>
            </w:r>
          </w:p>
        </w:tc>
        <w:tc>
          <w:tcPr>
            <w:tcW w:w="1560" w:type="dxa"/>
            <w:noWrap w:val="0"/>
            <w:vAlign w:val="center"/>
          </w:tcPr>
          <w:p w14:paraId="27CF045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计划交货日期</w:t>
            </w:r>
          </w:p>
        </w:tc>
        <w:tc>
          <w:tcPr>
            <w:tcW w:w="708" w:type="dxa"/>
            <w:noWrap w:val="0"/>
            <w:vAlign w:val="center"/>
          </w:tcPr>
          <w:p w14:paraId="14F010E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备注</w:t>
            </w:r>
          </w:p>
        </w:tc>
      </w:tr>
      <w:tr w14:paraId="4C642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765DAA47">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8" w:type="dxa"/>
            <w:noWrap w:val="0"/>
            <w:vAlign w:val="center"/>
          </w:tcPr>
          <w:p w14:paraId="493FB94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7" w:type="dxa"/>
            <w:noWrap w:val="0"/>
            <w:vAlign w:val="center"/>
          </w:tcPr>
          <w:p w14:paraId="33263DD5">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09" w:type="dxa"/>
            <w:noWrap w:val="0"/>
            <w:vAlign w:val="center"/>
          </w:tcPr>
          <w:p w14:paraId="1713C70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7" w:type="dxa"/>
            <w:noWrap w:val="0"/>
            <w:vAlign w:val="center"/>
          </w:tcPr>
          <w:p w14:paraId="4859E33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134" w:type="dxa"/>
            <w:noWrap w:val="0"/>
            <w:vAlign w:val="center"/>
          </w:tcPr>
          <w:p w14:paraId="1AB98E8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560" w:type="dxa"/>
            <w:noWrap w:val="0"/>
            <w:vAlign w:val="center"/>
          </w:tcPr>
          <w:p w14:paraId="48CD0C83">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08" w:type="dxa"/>
            <w:noWrap w:val="0"/>
            <w:vAlign w:val="center"/>
          </w:tcPr>
          <w:p w14:paraId="1BF5905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r>
      <w:tr w14:paraId="1E249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6450AF5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8" w:type="dxa"/>
            <w:noWrap w:val="0"/>
            <w:vAlign w:val="center"/>
          </w:tcPr>
          <w:p w14:paraId="02950A9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7" w:type="dxa"/>
            <w:noWrap w:val="0"/>
            <w:vAlign w:val="center"/>
          </w:tcPr>
          <w:p w14:paraId="68A1284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09" w:type="dxa"/>
            <w:noWrap w:val="0"/>
            <w:vAlign w:val="center"/>
          </w:tcPr>
          <w:p w14:paraId="6B0A100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7" w:type="dxa"/>
            <w:noWrap w:val="0"/>
            <w:vAlign w:val="center"/>
          </w:tcPr>
          <w:p w14:paraId="3ECF49A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134" w:type="dxa"/>
            <w:noWrap w:val="0"/>
            <w:vAlign w:val="center"/>
          </w:tcPr>
          <w:p w14:paraId="20E16CE7">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560" w:type="dxa"/>
            <w:noWrap w:val="0"/>
            <w:vAlign w:val="center"/>
          </w:tcPr>
          <w:p w14:paraId="719D560B">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08" w:type="dxa"/>
            <w:noWrap w:val="0"/>
            <w:vAlign w:val="center"/>
          </w:tcPr>
          <w:p w14:paraId="4258DC1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r>
      <w:tr w14:paraId="24F71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2574AD96">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8" w:type="dxa"/>
            <w:noWrap w:val="0"/>
            <w:vAlign w:val="center"/>
          </w:tcPr>
          <w:p w14:paraId="6FA87E9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7" w:type="dxa"/>
            <w:noWrap w:val="0"/>
            <w:vAlign w:val="center"/>
          </w:tcPr>
          <w:p w14:paraId="3146365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09" w:type="dxa"/>
            <w:noWrap w:val="0"/>
            <w:vAlign w:val="center"/>
          </w:tcPr>
          <w:p w14:paraId="4C4B94BC">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7" w:type="dxa"/>
            <w:noWrap w:val="0"/>
            <w:vAlign w:val="center"/>
          </w:tcPr>
          <w:p w14:paraId="4BF0221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134" w:type="dxa"/>
            <w:noWrap w:val="0"/>
            <w:vAlign w:val="center"/>
          </w:tcPr>
          <w:p w14:paraId="4DD3BD92">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560" w:type="dxa"/>
            <w:noWrap w:val="0"/>
            <w:vAlign w:val="center"/>
          </w:tcPr>
          <w:p w14:paraId="41F2D4D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08" w:type="dxa"/>
            <w:noWrap w:val="0"/>
            <w:vAlign w:val="center"/>
          </w:tcPr>
          <w:p w14:paraId="3C80CEC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r>
    </w:tbl>
    <w:p w14:paraId="648AF19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7C059C6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发包人提供的工程设备表(参考格式)</w:t>
      </w:r>
    </w:p>
    <w:tbl>
      <w:tblPr>
        <w:tblStyle w:val="2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9"/>
        <w:gridCol w:w="1701"/>
        <w:gridCol w:w="1276"/>
        <w:gridCol w:w="877"/>
        <w:gridCol w:w="1168"/>
        <w:gridCol w:w="1168"/>
        <w:gridCol w:w="1606"/>
        <w:gridCol w:w="730"/>
      </w:tblGrid>
      <w:tr w14:paraId="36F24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5008400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序号</w:t>
            </w:r>
          </w:p>
        </w:tc>
        <w:tc>
          <w:tcPr>
            <w:tcW w:w="1701" w:type="dxa"/>
            <w:noWrap w:val="0"/>
            <w:vAlign w:val="center"/>
          </w:tcPr>
          <w:p w14:paraId="68B3A97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工程设备名称</w:t>
            </w:r>
          </w:p>
        </w:tc>
        <w:tc>
          <w:tcPr>
            <w:tcW w:w="1276" w:type="dxa"/>
            <w:noWrap w:val="0"/>
            <w:vAlign w:val="center"/>
          </w:tcPr>
          <w:p w14:paraId="330C631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型号及规格</w:t>
            </w:r>
          </w:p>
        </w:tc>
        <w:tc>
          <w:tcPr>
            <w:tcW w:w="877" w:type="dxa"/>
            <w:noWrap w:val="0"/>
            <w:vAlign w:val="center"/>
          </w:tcPr>
          <w:p w14:paraId="76BA5575">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数量</w:t>
            </w:r>
          </w:p>
        </w:tc>
        <w:tc>
          <w:tcPr>
            <w:tcW w:w="1168" w:type="dxa"/>
            <w:noWrap w:val="0"/>
            <w:vAlign w:val="center"/>
          </w:tcPr>
          <w:p w14:paraId="6BBB81F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交货地点</w:t>
            </w:r>
          </w:p>
        </w:tc>
        <w:tc>
          <w:tcPr>
            <w:tcW w:w="1168" w:type="dxa"/>
            <w:noWrap w:val="0"/>
            <w:vAlign w:val="center"/>
          </w:tcPr>
          <w:p w14:paraId="3C2AB29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交货方式</w:t>
            </w:r>
          </w:p>
        </w:tc>
        <w:tc>
          <w:tcPr>
            <w:tcW w:w="1606" w:type="dxa"/>
            <w:noWrap w:val="0"/>
            <w:vAlign w:val="center"/>
          </w:tcPr>
          <w:p w14:paraId="1E68296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计划交货日期</w:t>
            </w:r>
          </w:p>
        </w:tc>
        <w:tc>
          <w:tcPr>
            <w:tcW w:w="730" w:type="dxa"/>
            <w:noWrap w:val="0"/>
            <w:vAlign w:val="center"/>
          </w:tcPr>
          <w:p w14:paraId="663248E5">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备注</w:t>
            </w:r>
          </w:p>
        </w:tc>
      </w:tr>
      <w:tr w14:paraId="7DB72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25543676">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701" w:type="dxa"/>
            <w:noWrap w:val="0"/>
            <w:vAlign w:val="center"/>
          </w:tcPr>
          <w:p w14:paraId="71195E3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276" w:type="dxa"/>
            <w:noWrap w:val="0"/>
            <w:vAlign w:val="center"/>
          </w:tcPr>
          <w:p w14:paraId="0FBB9FC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877" w:type="dxa"/>
            <w:noWrap w:val="0"/>
            <w:vAlign w:val="center"/>
          </w:tcPr>
          <w:p w14:paraId="258AC67C">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168" w:type="dxa"/>
            <w:noWrap w:val="0"/>
            <w:vAlign w:val="center"/>
          </w:tcPr>
          <w:p w14:paraId="2D9A203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168" w:type="dxa"/>
            <w:noWrap w:val="0"/>
            <w:vAlign w:val="center"/>
          </w:tcPr>
          <w:p w14:paraId="0F320532">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606" w:type="dxa"/>
            <w:noWrap w:val="0"/>
            <w:vAlign w:val="center"/>
          </w:tcPr>
          <w:p w14:paraId="5A93122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30" w:type="dxa"/>
            <w:noWrap w:val="0"/>
            <w:vAlign w:val="center"/>
          </w:tcPr>
          <w:p w14:paraId="417D9ED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r>
      <w:tr w14:paraId="00FE1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477A39A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701" w:type="dxa"/>
            <w:noWrap w:val="0"/>
            <w:vAlign w:val="center"/>
          </w:tcPr>
          <w:p w14:paraId="4D0AA98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276" w:type="dxa"/>
            <w:noWrap w:val="0"/>
            <w:vAlign w:val="center"/>
          </w:tcPr>
          <w:p w14:paraId="4A79995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877" w:type="dxa"/>
            <w:noWrap w:val="0"/>
            <w:vAlign w:val="center"/>
          </w:tcPr>
          <w:p w14:paraId="126023D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168" w:type="dxa"/>
            <w:noWrap w:val="0"/>
            <w:vAlign w:val="center"/>
          </w:tcPr>
          <w:p w14:paraId="7A9BCCD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168" w:type="dxa"/>
            <w:noWrap w:val="0"/>
            <w:vAlign w:val="center"/>
          </w:tcPr>
          <w:p w14:paraId="55E6D51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606" w:type="dxa"/>
            <w:noWrap w:val="0"/>
            <w:vAlign w:val="center"/>
          </w:tcPr>
          <w:p w14:paraId="56D480C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30" w:type="dxa"/>
            <w:noWrap w:val="0"/>
            <w:vAlign w:val="center"/>
          </w:tcPr>
          <w:p w14:paraId="18DC69D6">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r>
    </w:tbl>
    <w:p w14:paraId="20A33ED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83" w:name="第04章合同条款及格式0206"/>
      <w:bookmarkEnd w:id="383"/>
      <w:r>
        <w:rPr>
          <w:rFonts w:hint="eastAsia" w:asciiTheme="minorEastAsia" w:hAnsiTheme="minorEastAsia" w:eastAsiaTheme="minorEastAsia" w:cstheme="minorEastAsia"/>
          <w:b/>
          <w:color w:val="auto"/>
          <w:sz w:val="24"/>
          <w:szCs w:val="24"/>
        </w:rPr>
        <w:t>6　施工设备和临时设施</w:t>
      </w:r>
    </w:p>
    <w:p w14:paraId="5F265E4C">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84" w:name="_Toc18766"/>
      <w:r>
        <w:rPr>
          <w:rFonts w:hint="eastAsia" w:asciiTheme="minorEastAsia" w:hAnsiTheme="minorEastAsia" w:eastAsiaTheme="minorEastAsia" w:cstheme="minorEastAsia"/>
          <w:color w:val="auto"/>
          <w:sz w:val="24"/>
          <w:szCs w:val="24"/>
        </w:rPr>
        <w:t>6.2　发包人提供的施工设备和临时设施</w:t>
      </w:r>
      <w:bookmarkEnd w:id="384"/>
    </w:p>
    <w:p w14:paraId="4A6DD6A4">
      <w:pPr>
        <w:keepNext w:val="0"/>
        <w:keepLines w:val="0"/>
        <w:pageBreakBefore w:val="0"/>
        <w:widowControl w:val="0"/>
        <w:kinsoku/>
        <w:wordWrap/>
        <w:overflowPunct/>
        <w:topLinePunct/>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(1)发包人提供的施工设备见下表：</w:t>
      </w:r>
    </w:p>
    <w:p w14:paraId="48AD0487">
      <w:pPr>
        <w:keepNext w:val="0"/>
        <w:keepLines w:val="0"/>
        <w:pageBreakBefore w:val="0"/>
        <w:widowControl w:val="0"/>
        <w:kinsoku/>
        <w:wordWrap/>
        <w:overflowPunct/>
        <w:topLinePunct/>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14:paraId="43020CE7">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发包人提供的施工设备表(参考格式)</w:t>
      </w:r>
    </w:p>
    <w:tbl>
      <w:tblPr>
        <w:tblStyle w:val="2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9"/>
        <w:gridCol w:w="1518"/>
        <w:gridCol w:w="1317"/>
        <w:gridCol w:w="1418"/>
        <w:gridCol w:w="769"/>
        <w:gridCol w:w="1168"/>
        <w:gridCol w:w="1606"/>
        <w:gridCol w:w="730"/>
      </w:tblGrid>
      <w:tr w14:paraId="36893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595D3B8B">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序号</w:t>
            </w:r>
          </w:p>
        </w:tc>
        <w:tc>
          <w:tcPr>
            <w:tcW w:w="1518" w:type="dxa"/>
            <w:noWrap w:val="0"/>
            <w:vAlign w:val="center"/>
          </w:tcPr>
          <w:p w14:paraId="79B7E10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施工设备名称</w:t>
            </w:r>
          </w:p>
        </w:tc>
        <w:tc>
          <w:tcPr>
            <w:tcW w:w="1317" w:type="dxa"/>
            <w:noWrap w:val="0"/>
            <w:vAlign w:val="center"/>
          </w:tcPr>
          <w:p w14:paraId="56C0B17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型号及规格</w:t>
            </w:r>
          </w:p>
        </w:tc>
        <w:tc>
          <w:tcPr>
            <w:tcW w:w="1418" w:type="dxa"/>
            <w:noWrap w:val="0"/>
            <w:vAlign w:val="center"/>
          </w:tcPr>
          <w:p w14:paraId="50084247">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设备状况</w:t>
            </w:r>
          </w:p>
        </w:tc>
        <w:tc>
          <w:tcPr>
            <w:tcW w:w="769" w:type="dxa"/>
            <w:noWrap w:val="0"/>
            <w:vAlign w:val="center"/>
          </w:tcPr>
          <w:p w14:paraId="76EC268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数量</w:t>
            </w:r>
          </w:p>
        </w:tc>
        <w:tc>
          <w:tcPr>
            <w:tcW w:w="1168" w:type="dxa"/>
            <w:noWrap w:val="0"/>
            <w:vAlign w:val="center"/>
          </w:tcPr>
          <w:p w14:paraId="35568E3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移交地点</w:t>
            </w:r>
          </w:p>
        </w:tc>
        <w:tc>
          <w:tcPr>
            <w:tcW w:w="1606" w:type="dxa"/>
            <w:noWrap w:val="0"/>
            <w:vAlign w:val="center"/>
          </w:tcPr>
          <w:p w14:paraId="56C2959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计划移交日期</w:t>
            </w:r>
          </w:p>
        </w:tc>
        <w:tc>
          <w:tcPr>
            <w:tcW w:w="730" w:type="dxa"/>
            <w:noWrap w:val="0"/>
            <w:vAlign w:val="center"/>
          </w:tcPr>
          <w:p w14:paraId="14B72B7B">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备注</w:t>
            </w:r>
          </w:p>
        </w:tc>
      </w:tr>
      <w:tr w14:paraId="2667A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4130AAC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518" w:type="dxa"/>
            <w:noWrap w:val="0"/>
            <w:vAlign w:val="center"/>
          </w:tcPr>
          <w:p w14:paraId="5061AD4C">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317" w:type="dxa"/>
            <w:noWrap w:val="0"/>
            <w:vAlign w:val="center"/>
          </w:tcPr>
          <w:p w14:paraId="28C716B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8" w:type="dxa"/>
            <w:noWrap w:val="0"/>
            <w:vAlign w:val="center"/>
          </w:tcPr>
          <w:p w14:paraId="0EFD134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69" w:type="dxa"/>
            <w:noWrap w:val="0"/>
            <w:vAlign w:val="center"/>
          </w:tcPr>
          <w:p w14:paraId="7D3F2173">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168" w:type="dxa"/>
            <w:noWrap w:val="0"/>
            <w:vAlign w:val="center"/>
          </w:tcPr>
          <w:p w14:paraId="7D17A085">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606" w:type="dxa"/>
            <w:noWrap w:val="0"/>
            <w:vAlign w:val="center"/>
          </w:tcPr>
          <w:p w14:paraId="13393225">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30" w:type="dxa"/>
            <w:noWrap w:val="0"/>
            <w:vAlign w:val="center"/>
          </w:tcPr>
          <w:p w14:paraId="3A3A93C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r>
      <w:tr w14:paraId="00E31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7D31C21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518" w:type="dxa"/>
            <w:noWrap w:val="0"/>
            <w:vAlign w:val="center"/>
          </w:tcPr>
          <w:p w14:paraId="22B4A19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317" w:type="dxa"/>
            <w:noWrap w:val="0"/>
            <w:vAlign w:val="center"/>
          </w:tcPr>
          <w:p w14:paraId="52544CD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8" w:type="dxa"/>
            <w:noWrap w:val="0"/>
            <w:vAlign w:val="center"/>
          </w:tcPr>
          <w:p w14:paraId="53578E0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69" w:type="dxa"/>
            <w:noWrap w:val="0"/>
            <w:vAlign w:val="center"/>
          </w:tcPr>
          <w:p w14:paraId="16D16562">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168" w:type="dxa"/>
            <w:noWrap w:val="0"/>
            <w:vAlign w:val="center"/>
          </w:tcPr>
          <w:p w14:paraId="4AECC6D7">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606" w:type="dxa"/>
            <w:noWrap w:val="0"/>
            <w:vAlign w:val="center"/>
          </w:tcPr>
          <w:p w14:paraId="5B424C5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30" w:type="dxa"/>
            <w:noWrap w:val="0"/>
            <w:vAlign w:val="center"/>
          </w:tcPr>
          <w:p w14:paraId="7B50766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r>
    </w:tbl>
    <w:p w14:paraId="650059E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注　设备状况栏内填写该设备的新旧程度、购进时间、已使用小时数和最近一次的大修时间。</w:t>
      </w:r>
    </w:p>
    <w:p w14:paraId="31B1CC8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(2)发包人提供的临时设施：</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5CDB02D8">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85" w:name="第04章合同条款及格式0207"/>
      <w:bookmarkEnd w:id="385"/>
      <w:bookmarkStart w:id="386" w:name="_Toc14521"/>
      <w:r>
        <w:rPr>
          <w:rFonts w:hint="eastAsia" w:asciiTheme="minorEastAsia" w:hAnsiTheme="minorEastAsia" w:eastAsiaTheme="minorEastAsia" w:cstheme="minorEastAsia"/>
          <w:b/>
          <w:color w:val="auto"/>
          <w:sz w:val="24"/>
          <w:szCs w:val="24"/>
        </w:rPr>
        <w:t>7　交通运输</w:t>
      </w:r>
      <w:bookmarkEnd w:id="386"/>
    </w:p>
    <w:p w14:paraId="77902EDA">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87" w:name="_Toc24751"/>
      <w:r>
        <w:rPr>
          <w:rFonts w:hint="eastAsia" w:asciiTheme="minorEastAsia" w:hAnsiTheme="minorEastAsia" w:eastAsiaTheme="minorEastAsia" w:cstheme="minorEastAsia"/>
          <w:color w:val="auto"/>
          <w:sz w:val="24"/>
          <w:szCs w:val="24"/>
        </w:rPr>
        <w:t>7.1　道路通行权和场外设施</w:t>
      </w:r>
      <w:bookmarkEnd w:id="387"/>
    </w:p>
    <w:p w14:paraId="444D3CE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道路通行权和场外设施的约定：</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5B2D5155">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88" w:name="第04章合同条款及格式0208"/>
      <w:bookmarkEnd w:id="388"/>
      <w:bookmarkStart w:id="389" w:name="_Toc18777"/>
      <w:r>
        <w:rPr>
          <w:rFonts w:hint="eastAsia" w:asciiTheme="minorEastAsia" w:hAnsiTheme="minorEastAsia" w:eastAsiaTheme="minorEastAsia" w:cstheme="minorEastAsia"/>
          <w:b/>
          <w:color w:val="auto"/>
          <w:sz w:val="24"/>
          <w:szCs w:val="24"/>
        </w:rPr>
        <w:t>8　测量放线</w:t>
      </w:r>
      <w:bookmarkEnd w:id="389"/>
    </w:p>
    <w:p w14:paraId="011F579B">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90" w:name="_Toc25642"/>
      <w:r>
        <w:rPr>
          <w:rFonts w:hint="eastAsia" w:asciiTheme="minorEastAsia" w:hAnsiTheme="minorEastAsia" w:eastAsiaTheme="minorEastAsia" w:cstheme="minorEastAsia"/>
          <w:color w:val="auto"/>
          <w:sz w:val="24"/>
          <w:szCs w:val="24"/>
        </w:rPr>
        <w:t>8.1　施工控制网</w:t>
      </w:r>
      <w:bookmarkEnd w:id="390"/>
    </w:p>
    <w:p w14:paraId="13B8072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8.1.1　施工控制网的约定：</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171BF081">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91" w:name="第04章合同条款及格式0209"/>
      <w:bookmarkEnd w:id="391"/>
      <w:bookmarkStart w:id="392" w:name="_Toc29177"/>
      <w:r>
        <w:rPr>
          <w:rFonts w:hint="eastAsia" w:asciiTheme="minorEastAsia" w:hAnsiTheme="minorEastAsia" w:eastAsiaTheme="minorEastAsia" w:cstheme="minorEastAsia"/>
          <w:b/>
          <w:color w:val="auto"/>
          <w:sz w:val="24"/>
          <w:szCs w:val="24"/>
        </w:rPr>
        <w:t>9　施工安全、治安保卫和环境保护</w:t>
      </w:r>
      <w:bookmarkEnd w:id="392"/>
    </w:p>
    <w:p w14:paraId="3F6563A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93" w:name="_Toc22454"/>
      <w:r>
        <w:rPr>
          <w:rFonts w:hint="eastAsia" w:asciiTheme="minorEastAsia" w:hAnsiTheme="minorEastAsia" w:eastAsiaTheme="minorEastAsia" w:cstheme="minorEastAsia"/>
          <w:color w:val="auto"/>
          <w:sz w:val="24"/>
          <w:szCs w:val="24"/>
        </w:rPr>
        <w:t>9.1　发包人的施工安全责任</w:t>
      </w:r>
      <w:bookmarkEnd w:id="393"/>
    </w:p>
    <w:p w14:paraId="25CCE03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9.1.4　发包人提供</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资料，其余资料由承包人负责收集。</w:t>
      </w:r>
    </w:p>
    <w:p w14:paraId="0511F38E">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94" w:name="_Toc15151"/>
      <w:r>
        <w:rPr>
          <w:rFonts w:hint="eastAsia" w:asciiTheme="minorEastAsia" w:hAnsiTheme="minorEastAsia" w:eastAsiaTheme="minorEastAsia" w:cstheme="minorEastAsia"/>
          <w:color w:val="auto"/>
          <w:sz w:val="24"/>
          <w:szCs w:val="24"/>
        </w:rPr>
        <w:t>9.2　承包人的施工安全责任</w:t>
      </w:r>
      <w:bookmarkEnd w:id="394"/>
    </w:p>
    <w:p w14:paraId="3D2789B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9.2.12　下列工程应编制专项施工方案：</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。其中</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应组织专家论证和审查。</w:t>
      </w:r>
    </w:p>
    <w:p w14:paraId="5DCCD79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95" w:name="_Toc19493"/>
      <w:r>
        <w:rPr>
          <w:rFonts w:hint="eastAsia" w:asciiTheme="minorEastAsia" w:hAnsiTheme="minorEastAsia" w:eastAsiaTheme="minorEastAsia" w:cstheme="minorEastAsia"/>
          <w:color w:val="auto"/>
          <w:sz w:val="24"/>
          <w:szCs w:val="24"/>
        </w:rPr>
        <w:t>9.7　文明工地</w:t>
      </w:r>
      <w:bookmarkEnd w:id="395"/>
    </w:p>
    <w:p w14:paraId="525A2EC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9.7.1　本合同文明工地的约定：</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6E89BF9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96" w:name="第04章合同条款及格式0211"/>
      <w:bookmarkEnd w:id="396"/>
      <w:r>
        <w:rPr>
          <w:rFonts w:hint="eastAsia" w:asciiTheme="minorEastAsia" w:hAnsiTheme="minorEastAsia" w:eastAsiaTheme="minorEastAsia" w:cstheme="minorEastAsia"/>
          <w:b/>
          <w:color w:val="auto"/>
          <w:sz w:val="24"/>
          <w:szCs w:val="24"/>
        </w:rPr>
        <w:t>11　开工和竣工(完工)</w:t>
      </w:r>
    </w:p>
    <w:p w14:paraId="50942D83">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97" w:name="_Toc15056"/>
      <w:r>
        <w:rPr>
          <w:rFonts w:hint="eastAsia" w:asciiTheme="minorEastAsia" w:hAnsiTheme="minorEastAsia" w:eastAsiaTheme="minorEastAsia" w:cstheme="minorEastAsia"/>
          <w:color w:val="auto"/>
          <w:sz w:val="24"/>
          <w:szCs w:val="24"/>
        </w:rPr>
        <w:t>11.4　异常恶劣的气候条件</w:t>
      </w:r>
      <w:bookmarkEnd w:id="397"/>
    </w:p>
    <w:p w14:paraId="32C44C1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11.4.3　本合同工程界定异常恶劣气候条件的范围为：</w:t>
      </w:r>
    </w:p>
    <w:p w14:paraId="11A6199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(1)日降雨量大于　　　　mm的雨日超过　　　　天；</w:t>
      </w:r>
    </w:p>
    <w:p w14:paraId="0EA266E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(2)风速大于　　　　m/s的　　　级以上台风灾害；</w:t>
      </w:r>
    </w:p>
    <w:p w14:paraId="4C7DF96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(3)日气温超过　　　　℃的高温大于　　　　天；</w:t>
      </w:r>
    </w:p>
    <w:p w14:paraId="2CE074C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(4)日气温低于　　　　℃的严寒大于　　　　天；</w:t>
      </w:r>
    </w:p>
    <w:p w14:paraId="0A8E963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(5)造成工程损坏的冰雹和大雪灾害：　　　　；</w:t>
      </w:r>
    </w:p>
    <w:p w14:paraId="5370256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(6)其它异常恶劣气候灾害。</w:t>
      </w:r>
    </w:p>
    <w:p w14:paraId="74AEDE75">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98" w:name="_Toc20248"/>
      <w:r>
        <w:rPr>
          <w:rFonts w:hint="eastAsia" w:asciiTheme="minorEastAsia" w:hAnsiTheme="minorEastAsia" w:eastAsiaTheme="minorEastAsia" w:cstheme="minorEastAsia"/>
          <w:color w:val="auto"/>
          <w:sz w:val="24"/>
          <w:szCs w:val="24"/>
        </w:rPr>
        <w:t>11.5　承包人工期延误</w:t>
      </w:r>
      <w:bookmarkEnd w:id="398"/>
    </w:p>
    <w:p w14:paraId="61A8738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(1)逾期完工违约金表(参考格式)。</w:t>
      </w:r>
    </w:p>
    <w:tbl>
      <w:tblPr>
        <w:tblStyle w:val="2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93"/>
        <w:gridCol w:w="3570"/>
        <w:gridCol w:w="2336"/>
        <w:gridCol w:w="2173"/>
      </w:tblGrid>
      <w:tr w14:paraId="724A8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noWrap w:val="0"/>
            <w:vAlign w:val="center"/>
          </w:tcPr>
          <w:p w14:paraId="2054BEA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序号</w:t>
            </w:r>
          </w:p>
        </w:tc>
        <w:tc>
          <w:tcPr>
            <w:tcW w:w="3570" w:type="dxa"/>
            <w:noWrap w:val="0"/>
            <w:vAlign w:val="center"/>
          </w:tcPr>
          <w:p w14:paraId="10BA101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项目及其说明</w:t>
            </w:r>
          </w:p>
        </w:tc>
        <w:tc>
          <w:tcPr>
            <w:tcW w:w="2336" w:type="dxa"/>
            <w:noWrap w:val="0"/>
            <w:vAlign w:val="center"/>
          </w:tcPr>
          <w:p w14:paraId="13086A9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要求完工日期</w:t>
            </w:r>
          </w:p>
        </w:tc>
        <w:tc>
          <w:tcPr>
            <w:tcW w:w="2173" w:type="dxa"/>
            <w:noWrap w:val="0"/>
            <w:vAlign w:val="center"/>
          </w:tcPr>
          <w:p w14:paraId="6021669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违约金(元/天)</w:t>
            </w:r>
          </w:p>
        </w:tc>
      </w:tr>
      <w:tr w14:paraId="18C46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noWrap w:val="0"/>
            <w:vAlign w:val="center"/>
          </w:tcPr>
          <w:p w14:paraId="2D0045E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3570" w:type="dxa"/>
            <w:noWrap w:val="0"/>
            <w:vAlign w:val="center"/>
          </w:tcPr>
          <w:p w14:paraId="2D2D572B">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2336" w:type="dxa"/>
            <w:noWrap w:val="0"/>
            <w:vAlign w:val="center"/>
          </w:tcPr>
          <w:p w14:paraId="4121686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2173" w:type="dxa"/>
            <w:noWrap w:val="0"/>
            <w:vAlign w:val="center"/>
          </w:tcPr>
          <w:p w14:paraId="3727E853">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r>
      <w:tr w14:paraId="46CDC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noWrap w:val="0"/>
            <w:vAlign w:val="center"/>
          </w:tcPr>
          <w:p w14:paraId="4765D592">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3570" w:type="dxa"/>
            <w:noWrap w:val="0"/>
            <w:vAlign w:val="center"/>
          </w:tcPr>
          <w:p w14:paraId="2003E2C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2336" w:type="dxa"/>
            <w:noWrap w:val="0"/>
            <w:vAlign w:val="center"/>
          </w:tcPr>
          <w:p w14:paraId="72261B6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2173" w:type="dxa"/>
            <w:noWrap w:val="0"/>
            <w:vAlign w:val="center"/>
          </w:tcPr>
          <w:p w14:paraId="52CB089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r>
    </w:tbl>
    <w:p w14:paraId="1E4A9EB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(2)全部逾期完工违约金的总限额为</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(不超过签约合同价的</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4E5A7ED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99" w:name="_Toc9125"/>
      <w:r>
        <w:rPr>
          <w:rFonts w:hint="eastAsia" w:asciiTheme="minorEastAsia" w:hAnsiTheme="minorEastAsia" w:eastAsiaTheme="minorEastAsia" w:cstheme="minorEastAsia"/>
          <w:color w:val="auto"/>
          <w:sz w:val="24"/>
          <w:szCs w:val="24"/>
        </w:rPr>
        <w:t>11.6　工期提前</w:t>
      </w:r>
      <w:bookmarkEnd w:id="399"/>
    </w:p>
    <w:p w14:paraId="4DB86AB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工期提前的奖金约定：</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167ABEB8">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400" w:name="第04章合同条款及格式0212"/>
      <w:bookmarkEnd w:id="400"/>
      <w:bookmarkStart w:id="401" w:name="_Toc26781"/>
      <w:r>
        <w:rPr>
          <w:rFonts w:hint="eastAsia" w:asciiTheme="minorEastAsia" w:hAnsiTheme="minorEastAsia" w:eastAsiaTheme="minorEastAsia" w:cstheme="minorEastAsia"/>
          <w:b/>
          <w:color w:val="auto"/>
          <w:sz w:val="24"/>
          <w:szCs w:val="24"/>
        </w:rPr>
        <w:t>12　暂停施工</w:t>
      </w:r>
      <w:bookmarkEnd w:id="401"/>
    </w:p>
    <w:p w14:paraId="2EC428D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12.1　承包人暂停施工的责任</w:t>
      </w:r>
    </w:p>
    <w:p w14:paraId="23E812A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(5)承包人承担暂停施工责任的其它情形：</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72B3D69B">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402" w:name="_Toc20746"/>
      <w:r>
        <w:rPr>
          <w:rFonts w:hint="eastAsia" w:asciiTheme="minorEastAsia" w:hAnsiTheme="minorEastAsia" w:eastAsiaTheme="minorEastAsia" w:cstheme="minorEastAsia"/>
          <w:color w:val="auto"/>
          <w:sz w:val="24"/>
          <w:szCs w:val="24"/>
        </w:rPr>
        <w:t>12.2　发包人暂停施工的责任</w:t>
      </w:r>
      <w:bookmarkEnd w:id="402"/>
    </w:p>
    <w:p w14:paraId="59FC56B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(3)发包人承担暂停施工责任的其它情形：</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2006D2F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403" w:name="第04章合同条款及格式0213"/>
      <w:bookmarkEnd w:id="403"/>
      <w:bookmarkStart w:id="404" w:name="_Toc16880"/>
      <w:r>
        <w:rPr>
          <w:rFonts w:hint="eastAsia" w:asciiTheme="minorEastAsia" w:hAnsiTheme="minorEastAsia" w:eastAsiaTheme="minorEastAsia" w:cstheme="minorEastAsia"/>
          <w:b/>
          <w:color w:val="auto"/>
          <w:sz w:val="24"/>
          <w:szCs w:val="24"/>
        </w:rPr>
        <w:t>13　工程质量</w:t>
      </w:r>
      <w:bookmarkEnd w:id="404"/>
    </w:p>
    <w:p w14:paraId="5E421DF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　质量评定</w:t>
      </w:r>
    </w:p>
    <w:p w14:paraId="3B8BA35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13.7.4　重要隐蔽单元工程和关键部位单元工程质量评定的约定：　　　　。</w:t>
      </w:r>
    </w:p>
    <w:p w14:paraId="25AD2ED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13.7.7　工程合格标准为：　　　　　；优良标准为：　　　　。达到优良的奖金为：　　　　　。</w:t>
      </w:r>
    </w:p>
    <w:p w14:paraId="44CC604E">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405" w:name="_Toc16423"/>
      <w:r>
        <w:rPr>
          <w:rFonts w:hint="eastAsia" w:asciiTheme="minorEastAsia" w:hAnsiTheme="minorEastAsia" w:eastAsiaTheme="minorEastAsia" w:cstheme="minorEastAsia"/>
          <w:color w:val="auto"/>
          <w:sz w:val="24"/>
          <w:szCs w:val="24"/>
        </w:rPr>
        <w:t>13.8　质量事故处理</w:t>
      </w:r>
      <w:bookmarkEnd w:id="405"/>
    </w:p>
    <w:p w14:paraId="485CDA7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13.8.4　工程竣工验收时，　　　　　向竣工验收委员会汇报并提交历次质量缺陷处理的备案资料。</w:t>
      </w:r>
    </w:p>
    <w:p w14:paraId="44DDA9C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406" w:name="第04章合同条款及格式0214"/>
      <w:bookmarkEnd w:id="406"/>
      <w:r>
        <w:rPr>
          <w:rFonts w:hint="eastAsia" w:asciiTheme="minorEastAsia" w:hAnsiTheme="minorEastAsia" w:eastAsiaTheme="minorEastAsia" w:cstheme="minorEastAsia"/>
          <w:b/>
          <w:color w:val="auto"/>
          <w:sz w:val="24"/>
          <w:szCs w:val="24"/>
        </w:rPr>
        <w:t>14　试验和检验</w:t>
      </w:r>
    </w:p>
    <w:p w14:paraId="35282A2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14.1　材料、工程设备和工程的试验和检验</w:t>
      </w:r>
    </w:p>
    <w:p w14:paraId="2D7EB3B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14.1.5　水工金属结构、启闭机及机电产品进场后的交货检查和验收中，承包人负责　　　　　。</w:t>
      </w:r>
    </w:p>
    <w:p w14:paraId="50F33B9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14.1.6　本工程实行见证取样的试块、试件及有关材料：　　　　　　。</w:t>
      </w:r>
    </w:p>
    <w:p w14:paraId="5E2556C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407" w:name="第04章合同条款及格式0215"/>
      <w:bookmarkEnd w:id="407"/>
      <w:r>
        <w:rPr>
          <w:rFonts w:hint="eastAsia" w:asciiTheme="minorEastAsia" w:hAnsiTheme="minorEastAsia" w:eastAsiaTheme="minorEastAsia" w:cstheme="minorEastAsia"/>
          <w:b/>
          <w:color w:val="auto"/>
          <w:sz w:val="24"/>
          <w:szCs w:val="24"/>
        </w:rPr>
        <w:t>15　变更</w:t>
      </w:r>
    </w:p>
    <w:p w14:paraId="51724E42">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408" w:name="_Toc9336"/>
      <w:r>
        <w:rPr>
          <w:rFonts w:hint="eastAsia" w:asciiTheme="minorEastAsia" w:hAnsiTheme="minorEastAsia" w:eastAsiaTheme="minorEastAsia" w:cstheme="minorEastAsia"/>
          <w:color w:val="auto"/>
          <w:sz w:val="24"/>
          <w:szCs w:val="24"/>
        </w:rPr>
        <w:t>15.1　变更的范围和内容</w:t>
      </w:r>
      <w:bookmarkEnd w:id="408"/>
    </w:p>
    <w:p w14:paraId="2E267FA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(6)增加或减少合同中关键项目的工程量超过其工程总量的　　　　%，关键项目：　　　　，单价调整方式：　　　　　。</w:t>
      </w:r>
    </w:p>
    <w:p w14:paraId="73DC74AB">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409" w:name="_Toc9619"/>
      <w:r>
        <w:rPr>
          <w:rFonts w:hint="eastAsia" w:asciiTheme="minorEastAsia" w:hAnsiTheme="minorEastAsia" w:eastAsiaTheme="minorEastAsia" w:cstheme="minorEastAsia"/>
          <w:color w:val="auto"/>
          <w:sz w:val="24"/>
          <w:szCs w:val="24"/>
        </w:rPr>
        <w:t>15.5　承包人的合理化建议</w:t>
      </w:r>
      <w:bookmarkEnd w:id="409"/>
    </w:p>
    <w:p w14:paraId="7F8835D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15.5.2　承包人实现合理化建议的奖励金额为：　　　　　　　　。</w:t>
      </w:r>
    </w:p>
    <w:p w14:paraId="0AB242E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410" w:name="_Toc30537"/>
      <w:r>
        <w:rPr>
          <w:rFonts w:hint="eastAsia" w:asciiTheme="minorEastAsia" w:hAnsiTheme="minorEastAsia" w:eastAsiaTheme="minorEastAsia" w:cstheme="minorEastAsia"/>
          <w:color w:val="auto"/>
          <w:sz w:val="24"/>
          <w:szCs w:val="24"/>
        </w:rPr>
        <w:t>15.8　暂估价</w:t>
      </w:r>
      <w:bookmarkEnd w:id="410"/>
    </w:p>
    <w:p w14:paraId="3816FA5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15.8.1　(1)发包人和承包人组织招标的暂估价项目：　　　　　(签约后填入)；发包人组织招标的暂估价项目：　　　　　(签约后填入)。</w:t>
      </w:r>
    </w:p>
    <w:p w14:paraId="065CD01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(2)发包人和承包人以招标方式选择暂估价项目供应商或分包人时，双方的权利义务关系：　　　　　。</w:t>
      </w:r>
    </w:p>
    <w:p w14:paraId="6F19E842">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411" w:name="第04章合同条款及格式0216"/>
      <w:bookmarkEnd w:id="411"/>
      <w:bookmarkStart w:id="412" w:name="_Toc9604"/>
      <w:r>
        <w:rPr>
          <w:rFonts w:hint="eastAsia" w:asciiTheme="minorEastAsia" w:hAnsiTheme="minorEastAsia" w:eastAsiaTheme="minorEastAsia" w:cstheme="minorEastAsia"/>
          <w:b/>
          <w:color w:val="auto"/>
          <w:sz w:val="24"/>
          <w:szCs w:val="24"/>
        </w:rPr>
        <w:t>16　价格调整</w:t>
      </w:r>
      <w:bookmarkEnd w:id="412"/>
    </w:p>
    <w:p w14:paraId="53AED48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16.1　物价波动引起的价格调整</w:t>
      </w:r>
    </w:p>
    <w:p w14:paraId="39AA154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物价波动引起的价格调整方式：　　　　。</w:t>
      </w:r>
    </w:p>
    <w:p w14:paraId="5FD3CDC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16.1.2　采用造价信息调整价格差额</w:t>
      </w:r>
    </w:p>
    <w:p w14:paraId="3962F91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工程造价信息的来源：　　　　　。</w:t>
      </w:r>
    </w:p>
    <w:p w14:paraId="0E0218E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价格调整的项目和系数：　　　　　。</w:t>
      </w:r>
    </w:p>
    <w:p w14:paraId="41E8247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413" w:name="第04章合同条款及格式0217"/>
      <w:bookmarkEnd w:id="413"/>
      <w:r>
        <w:rPr>
          <w:rFonts w:hint="eastAsia" w:asciiTheme="minorEastAsia" w:hAnsiTheme="minorEastAsia" w:eastAsiaTheme="minorEastAsia" w:cstheme="minorEastAsia"/>
          <w:b/>
          <w:color w:val="auto"/>
          <w:sz w:val="24"/>
          <w:szCs w:val="24"/>
        </w:rPr>
        <w:t>17　计量与支付</w:t>
      </w:r>
    </w:p>
    <w:p w14:paraId="4448491A">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414" w:name="_Toc2409"/>
      <w:r>
        <w:rPr>
          <w:rFonts w:hint="eastAsia" w:asciiTheme="minorEastAsia" w:hAnsiTheme="minorEastAsia" w:eastAsiaTheme="minorEastAsia" w:cstheme="minorEastAsia"/>
          <w:color w:val="auto"/>
          <w:sz w:val="24"/>
          <w:szCs w:val="24"/>
        </w:rPr>
        <w:t>17.2　预付款</w:t>
      </w:r>
      <w:bookmarkEnd w:id="414"/>
    </w:p>
    <w:p w14:paraId="243CFC0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17.2.1　预付款：</w:t>
      </w:r>
    </w:p>
    <w:p w14:paraId="2D1EC3A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(1)工程预付款的总金额为签约合同价的　　　　%，分　　　　次支付给承包人。</w:t>
      </w:r>
    </w:p>
    <w:p w14:paraId="310F426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各次预付款的支付额度和付款时间为：</w:t>
      </w:r>
    </w:p>
    <w:p w14:paraId="6C0C0FB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1)第一次预付款金额为工程预付款总金额的　　　%，付款时间应在合同协议书签订后，由承包人向发包人提交了发包人认可的工程预付款担保，并经监理人出具付款证书报送发包人批准后14天内予以支付。</w:t>
      </w:r>
    </w:p>
    <w:p w14:paraId="0ABA15A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2)第二次预付款金额为工程预付款总金额的　　%。付款时间需待承包人主要设备进入工地后，其估算价值已达到本次预付款金额时，由承包人提出书面申请，经监理人核实后出具付款证书报送发包人批准后14天内予以支付。</w:t>
      </w:r>
    </w:p>
    <w:p w14:paraId="08798EF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3)第三次预付款……。</w:t>
      </w:r>
    </w:p>
    <w:p w14:paraId="654E83F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p>
    <w:p w14:paraId="7C0A96B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(2)工程材料预付款的额度和预付办法约定为：　　　。</w:t>
      </w:r>
    </w:p>
    <w:p w14:paraId="3CB54E3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17.2.2　预付款保函(担保)</w:t>
      </w:r>
    </w:p>
    <w:p w14:paraId="4C4C530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(2)工程材料预付款的担保约定为：　　　。</w:t>
      </w:r>
    </w:p>
    <w:p w14:paraId="53CD6D0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17.2.3　预付款的扣回与还清</w:t>
      </w:r>
    </w:p>
    <w:p w14:paraId="5BDBC8A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(1)工程预付款在合同累计完成金额达到签约合同价的　　%时开始扣款，直至合同累计完成金额达到签约合同价的%时全部扣清。</w:t>
      </w:r>
    </w:p>
    <w:p w14:paraId="0091A26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QUOTE </w:instrText>
      </w:r>
      <w:r>
        <w:rPr>
          <w:rFonts w:hint="eastAsia" w:asciiTheme="minorEastAsia" w:hAnsiTheme="minorEastAsia" w:eastAsiaTheme="minorEastAsia" w:cstheme="minorEastAsia"/>
          <w:color w:val="auto"/>
          <w:position w:val="-24"/>
          <w:sz w:val="24"/>
          <w:szCs w:val="24"/>
        </w:rPr>
        <w:pict>
          <v:shape id="_x0000_i1025" o:spt="75" type="#_x0000_t75" style="height:31.5pt;width:99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text-fit&quot; w:percent=&quot;188&quot;/&gt;&lt;w:doNotEmbedSystemFonts/&gt;&lt;w:bordersDontSurroundHeader/&gt;&lt;w:bordersDontSurroundFooter/&gt;&lt;w:hideSpellingErrors/&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0D57EE&quot;/&gt;&lt;wsp:rsid wsp:val=&quot;000143FB&quot;/&gt;&lt;wsp:rsid wsp:val=&quot;00014C8B&quot;/&gt;&lt;wsp:rsid wsp:val=&quot;00020790&quot;/&gt;&lt;wsp:rsid wsp:val=&quot;000244D7&quot;/&gt;&lt;wsp:rsid wsp:val=&quot;0002697F&quot;/&gt;&lt;wsp:rsid wsp:val=&quot;00027877&quot;/&gt;&lt;wsp:rsid wsp:val=&quot;00030315&quot;/&gt;&lt;wsp:rsid wsp:val=&quot;00032EC3&quot;/&gt;&lt;wsp:rsid wsp:val=&quot;00035706&quot;/&gt;&lt;wsp:rsid wsp:val=&quot;00036F0D&quot;/&gt;&lt;wsp:rsid wsp:val=&quot;00040951&quot;/&gt;&lt;wsp:rsid wsp:val=&quot;000513EE&quot;/&gt;&lt;wsp:rsid wsp:val=&quot;000579AC&quot;/&gt;&lt;wsp:rsid wsp:val=&quot;000604A6&quot;/&gt;&lt;wsp:rsid wsp:val=&quot;00060A62&quot;/&gt;&lt;wsp:rsid wsp:val=&quot;0006472F&quot;/&gt;&lt;wsp:rsid wsp:val=&quot;00064B5A&quot;/&gt;&lt;wsp:rsid wsp:val=&quot;000673D8&quot;/&gt;&lt;wsp:rsid wsp:val=&quot;00070B9C&quot;/&gt;&lt;wsp:rsid wsp:val=&quot;000729B4&quot;/&gt;&lt;wsp:rsid wsp:val=&quot;00073EC7&quot;/&gt;&lt;wsp:rsid wsp:val=&quot;000753F2&quot;/&gt;&lt;wsp:rsid wsp:val=&quot;000839C3&quot;/&gt;&lt;wsp:rsid wsp:val=&quot;00090E83&quot;/&gt;&lt;wsp:rsid wsp:val=&quot;0009326D&quot;/&gt;&lt;wsp:rsid wsp:val=&quot;00096FEA&quot;/&gt;&lt;wsp:rsid wsp:val=&quot;000A18B0&quot;/&gt;&lt;wsp:rsid wsp:val=&quot;000A6F4F&quot;/&gt;&lt;wsp:rsid wsp:val=&quot;000B2878&quot;/&gt;&lt;wsp:rsid wsp:val=&quot;000B676F&quot;/&gt;&lt;wsp:rsid wsp:val=&quot;000C0351&quot;/&gt;&lt;wsp:rsid wsp:val=&quot;000C1C90&quot;/&gt;&lt;wsp:rsid wsp:val=&quot;000C7193&quot;/&gt;&lt;wsp:rsid wsp:val=&quot;000D155F&quot;/&gt;&lt;wsp:rsid wsp:val=&quot;000D1D74&quot;/&gt;&lt;wsp:rsid wsp:val=&quot;000D57EE&quot;/&gt;&lt;wsp:rsid wsp:val=&quot;000D60ED&quot;/&gt;&lt;wsp:rsid wsp:val=&quot;000E1EEE&quot;/&gt;&lt;wsp:rsid wsp:val=&quot;000E5FB4&quot;/&gt;&lt;wsp:rsid wsp:val=&quot;000F030A&quot;/&gt;&lt;wsp:rsid wsp:val=&quot;000F1980&quot;/&gt;&lt;wsp:rsid wsp:val=&quot;000F6FAE&quot;/&gt;&lt;wsp:rsid wsp:val=&quot;00101332&quot;/&gt;&lt;wsp:rsid wsp:val=&quot;0010179B&quot;/&gt;&lt;wsp:rsid wsp:val=&quot;00110F48&quot;/&gt;&lt;wsp:rsid wsp:val=&quot;001119A3&quot;/&gt;&lt;wsp:rsid wsp:val=&quot;00115B0B&quot;/&gt;&lt;wsp:rsid wsp:val=&quot;00134CD7&quot;/&gt;&lt;wsp:rsid wsp:val=&quot;001354CA&quot;/&gt;&lt;wsp:rsid wsp:val=&quot;001423FD&quot;/&gt;&lt;wsp:rsid wsp:val=&quot;00142E3D&quot;/&gt;&lt;wsp:rsid wsp:val=&quot;001436D0&quot;/&gt;&lt;wsp:rsid wsp:val=&quot;00147AA1&quot;/&gt;&lt;wsp:rsid wsp:val=&quot;001524B1&quot;/&gt;&lt;wsp:rsid wsp:val=&quot;00154C76&quot;/&gt;&lt;wsp:rsid wsp:val=&quot;00163AC7&quot;/&gt;&lt;wsp:rsid wsp:val=&quot;00167705&quot;/&gt;&lt;wsp:rsid wsp:val=&quot;00167E6C&quot;/&gt;&lt;wsp:rsid wsp:val=&quot;001701B3&quot;/&gt;&lt;wsp:rsid wsp:val=&quot;00173117&quot;/&gt;&lt;wsp:rsid wsp:val=&quot;0017357C&quot;/&gt;&lt;wsp:rsid wsp:val=&quot;00175FC2&quot;/&gt;&lt;wsp:rsid wsp:val=&quot;0018685E&quot;/&gt;&lt;wsp:rsid wsp:val=&quot;00187473&quot;/&gt;&lt;wsp:rsid wsp:val=&quot;0019016A&quot;/&gt;&lt;wsp:rsid wsp:val=&quot;00190AED&quot;/&gt;&lt;wsp:rsid wsp:val=&quot;00192BBD&quot;/&gt;&lt;wsp:rsid wsp:val=&quot;00195538&quot;/&gt;&lt;wsp:rsid wsp:val=&quot;001B17B3&quot;/&gt;&lt;wsp:rsid wsp:val=&quot;001B191F&quot;/&gt;&lt;wsp:rsid wsp:val=&quot;001B39B3&quot;/&gt;&lt;wsp:rsid wsp:val=&quot;001B3D2A&quot;/&gt;&lt;wsp:rsid wsp:val=&quot;001D0C69&quot;/&gt;&lt;wsp:rsid wsp:val=&quot;001D14C2&quot;/&gt;&lt;wsp:rsid wsp:val=&quot;001E18DE&quot;/&gt;&lt;wsp:rsid wsp:val=&quot;001F02F3&quot;/&gt;&lt;wsp:rsid wsp:val=&quot;001F3487&quot;/&gt;&lt;wsp:rsid wsp:val=&quot;0020261D&quot;/&gt;&lt;wsp:rsid wsp:val=&quot;00206894&quot;/&gt;&lt;wsp:rsid wsp:val=&quot;00216FAF&quot;/&gt;&lt;wsp:rsid wsp:val=&quot;00217683&quot;/&gt;&lt;wsp:rsid wsp:val=&quot;00217694&quot;/&gt;&lt;wsp:rsid wsp:val=&quot;00217A9B&quot;/&gt;&lt;wsp:rsid wsp:val=&quot;00221835&quot;/&gt;&lt;wsp:rsid wsp:val=&quot;0022566D&quot;/&gt;&lt;wsp:rsid wsp:val=&quot;00227CC3&quot;/&gt;&lt;wsp:rsid wsp:val=&quot;00231C4B&quot;/&gt;&lt;wsp:rsid wsp:val=&quot;00237EBE&quot;/&gt;&lt;wsp:rsid wsp:val=&quot;002435AC&quot;/&gt;&lt;wsp:rsid wsp:val=&quot;00243F71&quot;/&gt;&lt;wsp:rsid wsp:val=&quot;00253142&quot;/&gt;&lt;wsp:rsid wsp:val=&quot;0026293E&quot;/&gt;&lt;wsp:rsid wsp:val=&quot;00263EC0&quot;/&gt;&lt;wsp:rsid wsp:val=&quot;00273896&quot;/&gt;&lt;wsp:rsid wsp:val=&quot;00273E53&quot;/&gt;&lt;wsp:rsid wsp:val=&quot;002A4944&quot;/&gt;&lt;wsp:rsid wsp:val=&quot;002A578C&quot;/&gt;&lt;wsp:rsid wsp:val=&quot;002A6999&quot;/&gt;&lt;wsp:rsid wsp:val=&quot;002B0B93&quot;/&gt;&lt;wsp:rsid wsp:val=&quot;002B2402&quot;/&gt;&lt;wsp:rsid wsp:val=&quot;002B4203&quot;/&gt;&lt;wsp:rsid wsp:val=&quot;002B4B6C&quot;/&gt;&lt;wsp:rsid wsp:val=&quot;002C70A0&quot;/&gt;&lt;wsp:rsid wsp:val=&quot;002C712F&quot;/&gt;&lt;wsp:rsid wsp:val=&quot;002D3F5E&quot;/&gt;&lt;wsp:rsid wsp:val=&quot;002D66FE&quot;/&gt;&lt;wsp:rsid wsp:val=&quot;002D6DCF&quot;/&gt;&lt;wsp:rsid wsp:val=&quot;002E271D&quot;/&gt;&lt;wsp:rsid wsp:val=&quot;002F238B&quot;/&gt;&lt;wsp:rsid wsp:val=&quot;002F28A4&quot;/&gt;&lt;wsp:rsid wsp:val=&quot;002F472B&quot;/&gt;&lt;wsp:rsid wsp:val=&quot;002F5ABE&quot;/&gt;&lt;wsp:rsid wsp:val=&quot;00303120&quot;/&gt;&lt;wsp:rsid wsp:val=&quot;003034FB&quot;/&gt;&lt;wsp:rsid wsp:val=&quot;00311A79&quot;/&gt;&lt;wsp:rsid wsp:val=&quot;00311AC1&quot;/&gt;&lt;wsp:rsid wsp:val=&quot;00312F2D&quot;/&gt;&lt;wsp:rsid wsp:val=&quot;0032386C&quot;/&gt;&lt;wsp:rsid wsp:val=&quot;0032640A&quot;/&gt;&lt;wsp:rsid wsp:val=&quot;00330C8A&quot;/&gt;&lt;wsp:rsid wsp:val=&quot;00330E37&quot;/&gt;&lt;wsp:rsid wsp:val=&quot;00334111&quot;/&gt;&lt;wsp:rsid wsp:val=&quot;0033443D&quot;/&gt;&lt;wsp:rsid wsp:val=&quot;003452A6&quot;/&gt;&lt;wsp:rsid wsp:val=&quot;003557A3&quot;/&gt;&lt;wsp:rsid wsp:val=&quot;00370533&quot;/&gt;&lt;wsp:rsid wsp:val=&quot;00374479&quot;/&gt;&lt;wsp:rsid wsp:val=&quot;00384E0D&quot;/&gt;&lt;wsp:rsid wsp:val=&quot;003873C7&quot;/&gt;&lt;wsp:rsid wsp:val=&quot;00390909&quot;/&gt;&lt;wsp:rsid wsp:val=&quot;00392823&quot;/&gt;&lt;wsp:rsid wsp:val=&quot;00392D7C&quot;/&gt;&lt;wsp:rsid wsp:val=&quot;00395E0D&quot;/&gt;&lt;wsp:rsid wsp:val=&quot;003A0B1A&quot;/&gt;&lt;wsp:rsid wsp:val=&quot;003A296A&quot;/&gt;&lt;wsp:rsid wsp:val=&quot;003A5DD9&quot;/&gt;&lt;wsp:rsid wsp:val=&quot;003A6803&quot;/&gt;&lt;wsp:rsid wsp:val=&quot;003B4DF6&quot;/&gt;&lt;wsp:rsid wsp:val=&quot;003C0686&quot;/&gt;&lt;wsp:rsid wsp:val=&quot;003C19E1&quot;/&gt;&lt;wsp:rsid wsp:val=&quot;003C1B0E&quot;/&gt;&lt;wsp:rsid wsp:val=&quot;003C3490&quot;/&gt;&lt;wsp:rsid wsp:val=&quot;003C4775&quot;/&gt;&lt;wsp:rsid wsp:val=&quot;003C4A16&quot;/&gt;&lt;wsp:rsid wsp:val=&quot;003D4F30&quot;/&gt;&lt;wsp:rsid wsp:val=&quot;003E782D&quot;/&gt;&lt;wsp:rsid wsp:val=&quot;003F115A&quot;/&gt;&lt;wsp:rsid wsp:val=&quot;003F38C1&quot;/&gt;&lt;wsp:rsid wsp:val=&quot;003F6052&quot;/&gt;&lt;wsp:rsid wsp:val=&quot;004007DB&quot;/&gt;&lt;wsp:rsid wsp:val=&quot;004042F9&quot;/&gt;&lt;wsp:rsid wsp:val=&quot;0040519B&quot;/&gt;&lt;wsp:rsid wsp:val=&quot;00407207&quot;/&gt;&lt;wsp:rsid wsp:val=&quot;004121CA&quot;/&gt;&lt;wsp:rsid wsp:val=&quot;004148C4&quot;/&gt;&lt;wsp:rsid wsp:val=&quot;00415416&quot;/&gt;&lt;wsp:rsid wsp:val=&quot;0041587E&quot;/&gt;&lt;wsp:rsid wsp:val=&quot;00415F6E&quot;/&gt;&lt;wsp:rsid wsp:val=&quot;0042357F&quot;/&gt;&lt;wsp:rsid wsp:val=&quot;00426AA5&quot;/&gt;&lt;wsp:rsid wsp:val=&quot;00432084&quot;/&gt;&lt;wsp:rsid wsp:val=&quot;004326A1&quot;/&gt;&lt;wsp:rsid wsp:val=&quot;00440A75&quot;/&gt;&lt;wsp:rsid wsp:val=&quot;0044506E&quot;/&gt;&lt;wsp:rsid wsp:val=&quot;00445CD5&quot;/&gt;&lt;wsp:rsid wsp:val=&quot;00451DB4&quot;/&gt;&lt;wsp:rsid wsp:val=&quot;00457601&quot;/&gt;&lt;wsp:rsid wsp:val=&quot;004660D1&quot;/&gt;&lt;wsp:rsid wsp:val=&quot;00471E99&quot;/&gt;&lt;wsp:rsid wsp:val=&quot;00471F74&quot;/&gt;&lt;wsp:rsid wsp:val=&quot;004724CF&quot;/&gt;&lt;wsp:rsid wsp:val=&quot;0048051F&quot;/&gt;&lt;wsp:rsid wsp:val=&quot;004821B3&quot;/&gt;&lt;wsp:rsid wsp:val=&quot;0048239C&quot;/&gt;&lt;wsp:rsid wsp:val=&quot;00487E37&quot;/&gt;&lt;wsp:rsid wsp:val=&quot;0049107A&quot;/&gt;&lt;wsp:rsid wsp:val=&quot;00494967&quot;/&gt;&lt;wsp:rsid wsp:val=&quot;00494995&quot;/&gt;&lt;wsp:rsid wsp:val=&quot;00494DB4&quot;/&gt;&lt;wsp:rsid wsp:val=&quot;004B3B62&quot;/&gt;&lt;wsp:rsid wsp:val=&quot;004B4343&quot;/&gt;&lt;wsp:rsid wsp:val=&quot;004B4B48&quot;/&gt;&lt;wsp:rsid wsp:val=&quot;004C6D8A&quot;/&gt;&lt;wsp:rsid wsp:val=&quot;004C7030&quot;/&gt;&lt;wsp:rsid wsp:val=&quot;004D0958&quot;/&gt;&lt;wsp:rsid wsp:val=&quot;004D55BA&quot;/&gt;&lt;wsp:rsid wsp:val=&quot;004D6A41&quot;/&gt;&lt;wsp:rsid wsp:val=&quot;004E1976&quot;/&gt;&lt;wsp:rsid wsp:val=&quot;004E50AF&quot;/&gt;&lt;wsp:rsid wsp:val=&quot;004E563B&quot;/&gt;&lt;wsp:rsid wsp:val=&quot;004E5DA9&quot;/&gt;&lt;wsp:rsid wsp:val=&quot;004E683F&quot;/&gt;&lt;wsp:rsid wsp:val=&quot;0051218F&quot;/&gt;&lt;wsp:rsid wsp:val=&quot;005147D7&quot;/&gt;&lt;wsp:rsid wsp:val=&quot;00517576&quot;/&gt;&lt;wsp:rsid wsp:val=&quot;00523C67&quot;/&gt;&lt;wsp:rsid wsp:val=&quot;0052596B&quot;/&gt;&lt;wsp:rsid wsp:val=&quot;00533B9E&quot;/&gt;&lt;wsp:rsid wsp:val=&quot;00533C02&quot;/&gt;&lt;wsp:rsid wsp:val=&quot;005474B3&quot;/&gt;&lt;wsp:rsid wsp:val=&quot;005478B1&quot;/&gt;&lt;wsp:rsid wsp:val=&quot;005508B0&quot;/&gt;&lt;wsp:rsid wsp:val=&quot;005539AE&quot;/&gt;&lt;wsp:rsid wsp:val=&quot;00553D73&quot;/&gt;&lt;wsp:rsid wsp:val=&quot;00554412&quot;/&gt;&lt;wsp:rsid wsp:val=&quot;00560211&quot;/&gt;&lt;wsp:rsid wsp:val=&quot;005648D2&quot;/&gt;&lt;wsp:rsid wsp:val=&quot;00564DE5&quot;/&gt;&lt;wsp:rsid wsp:val=&quot;00571235&quot;/&gt;&lt;wsp:rsid wsp:val=&quot;0057200B&quot;/&gt;&lt;wsp:rsid wsp:val=&quot;00573CD3&quot;/&gt;&lt;wsp:rsid wsp:val=&quot;00573DF0&quot;/&gt;&lt;wsp:rsid wsp:val=&quot;00574069&quot;/&gt;&lt;wsp:rsid wsp:val=&quot;00582600&quot;/&gt;&lt;wsp:rsid wsp:val=&quot;00583781&quot;/&gt;&lt;wsp:rsid wsp:val=&quot;005928F9&quot;/&gt;&lt;wsp:rsid wsp:val=&quot;00595B8E&quot;/&gt;&lt;wsp:rsid wsp:val=&quot;00597BC5&quot;/&gt;&lt;wsp:rsid wsp:val=&quot;005A07A2&quot;/&gt;&lt;wsp:rsid wsp:val=&quot;005A2134&quot;/&gt;&lt;wsp:rsid wsp:val=&quot;005A2198&quot;/&gt;&lt;wsp:rsid wsp:val=&quot;005B20E3&quot;/&gt;&lt;wsp:rsid wsp:val=&quot;005C219B&quot;/&gt;&lt;wsp:rsid wsp:val=&quot;005C21AA&quot;/&gt;&lt;wsp:rsid wsp:val=&quot;005C30CF&quot;/&gt;&lt;wsp:rsid wsp:val=&quot;005C3112&quot;/&gt;&lt;wsp:rsid wsp:val=&quot;005C6011&quot;/&gt;&lt;wsp:rsid wsp:val=&quot;005D06F9&quot;/&gt;&lt;wsp:rsid wsp:val=&quot;005D0AD3&quot;/&gt;&lt;wsp:rsid wsp:val=&quot;005D18D9&quot;/&gt;&lt;wsp:rsid wsp:val=&quot;005D2263&quot;/&gt;&lt;wsp:rsid wsp:val=&quot;005D2CBB&quot;/&gt;&lt;wsp:rsid wsp:val=&quot;005D4A57&quot;/&gt;&lt;wsp:rsid wsp:val=&quot;005E231D&quot;/&gt;&lt;wsp:rsid wsp:val=&quot;005E439B&quot;/&gt;&lt;wsp:rsid wsp:val=&quot;005E463B&quot;/&gt;&lt;wsp:rsid wsp:val=&quot;005E6123&quot;/&gt;&lt;wsp:rsid wsp:val=&quot;005F628F&quot;/&gt;&lt;wsp:rsid wsp:val=&quot;00601C1C&quot;/&gt;&lt;wsp:rsid wsp:val=&quot;0060221F&quot;/&gt;&lt;wsp:rsid wsp:val=&quot;00602DD8&quot;/&gt;&lt;wsp:rsid wsp:val=&quot;00603B24&quot;/&gt;&lt;wsp:rsid wsp:val=&quot;00604DCD&quot;/&gt;&lt;wsp:rsid wsp:val=&quot;00605815&quot;/&gt;&lt;wsp:rsid wsp:val=&quot;00607BEB&quot;/&gt;&lt;wsp:rsid wsp:val=&quot;00623E84&quot;/&gt;&lt;wsp:rsid wsp:val=&quot;00632614&quot;/&gt;&lt;wsp:rsid wsp:val=&quot;00633E0C&quot;/&gt;&lt;wsp:rsid wsp:val=&quot;006406CF&quot;/&gt;&lt;wsp:rsid wsp:val=&quot;00642B61&quot;/&gt;&lt;wsp:rsid wsp:val=&quot;00651FDE&quot;/&gt;&lt;wsp:rsid wsp:val=&quot;006530AB&quot;/&gt;&lt;wsp:rsid wsp:val=&quot;00663D4A&quot;/&gt;&lt;wsp:rsid wsp:val=&quot;00670AE2&quot;/&gt;&lt;wsp:rsid wsp:val=&quot;006726AE&quot;/&gt;&lt;wsp:rsid wsp:val=&quot;0067433C&quot;/&gt;&lt;wsp:rsid wsp:val=&quot;00685518&quot;/&gt;&lt;wsp:rsid wsp:val=&quot;00690C8C&quot;/&gt;&lt;wsp:rsid wsp:val=&quot;006B4255&quot;/&gt;&lt;wsp:rsid wsp:val=&quot;006B622F&quot;/&gt;&lt;wsp:rsid wsp:val=&quot;006D4B9D&quot;/&gt;&lt;wsp:rsid wsp:val=&quot;006E1017&quot;/&gt;&lt;wsp:rsid wsp:val=&quot;006F218F&quot;/&gt;&lt;wsp:rsid wsp:val=&quot;006F797F&quot;/&gt;&lt;wsp:rsid wsp:val=&quot;00704A4C&quot;/&gt;&lt;wsp:rsid wsp:val=&quot;00706B09&quot;/&gt;&lt;wsp:rsid wsp:val=&quot;00710241&quot;/&gt;&lt;wsp:rsid wsp:val=&quot;00710416&quot;/&gt;&lt;wsp:rsid wsp:val=&quot;007115F9&quot;/&gt;&lt;wsp:rsid wsp:val=&quot;00715B58&quot;/&gt;&lt;wsp:rsid wsp:val=&quot;007179F3&quot;/&gt;&lt;wsp:rsid wsp:val=&quot;007239BD&quot;/&gt;&lt;wsp:rsid wsp:val=&quot;00724982&quot;/&gt;&lt;wsp:rsid wsp:val=&quot;00742197&quot;/&gt;&lt;wsp:rsid wsp:val=&quot;00743A22&quot;/&gt;&lt;wsp:rsid wsp:val=&quot;0075222B&quot;/&gt;&lt;wsp:rsid wsp:val=&quot;0075414C&quot;/&gt;&lt;wsp:rsid wsp:val=&quot;0076388B&quot;/&gt;&lt;wsp:rsid wsp:val=&quot;00766FE7&quot;/&gt;&lt;wsp:rsid wsp:val=&quot;00775FFB&quot;/&gt;&lt;wsp:rsid wsp:val=&quot;0078704B&quot;/&gt;&lt;wsp:rsid wsp:val=&quot;0079167C&quot;/&gt;&lt;wsp:rsid wsp:val=&quot;00794214&quot;/&gt;&lt;wsp:rsid wsp:val=&quot;007B40D5&quot;/&gt;&lt;wsp:rsid wsp:val=&quot;007C0311&quot;/&gt;&lt;wsp:rsid wsp:val=&quot;007D0F15&quot;/&gt;&lt;wsp:rsid wsp:val=&quot;007D7AFF&quot;/&gt;&lt;wsp:rsid wsp:val=&quot;007E411B&quot;/&gt;&lt;wsp:rsid wsp:val=&quot;007E7561&quot;/&gt;&lt;wsp:rsid wsp:val=&quot;007F4178&quot;/&gt;&lt;wsp:rsid wsp:val=&quot;007F554F&quot;/&gt;&lt;wsp:rsid wsp:val=&quot;007F74E4&quot;/&gt;&lt;wsp:rsid wsp:val=&quot;007F76E0&quot;/&gt;&lt;wsp:rsid wsp:val=&quot;008031FE&quot;/&gt;&lt;wsp:rsid wsp:val=&quot;008042E6&quot;/&gt;&lt;wsp:rsid wsp:val=&quot;008068EF&quot;/&gt;&lt;wsp:rsid wsp:val=&quot;00812CB4&quot;/&gt;&lt;wsp:rsid wsp:val=&quot;00815B7F&quot;/&gt;&lt;wsp:rsid wsp:val=&quot;00823629&quot;/&gt;&lt;wsp:rsid wsp:val=&quot;008246B0&quot;/&gt;&lt;wsp:rsid wsp:val=&quot;00830820&quot;/&gt;&lt;wsp:rsid wsp:val=&quot;0083315B&quot;/&gt;&lt;wsp:rsid wsp:val=&quot;008340BD&quot;/&gt;&lt;wsp:rsid wsp:val=&quot;008558F7&quot;/&gt;&lt;wsp:rsid wsp:val=&quot;00863458&quot;/&gt;&lt;wsp:rsid wsp:val=&quot;008824B5&quot;/&gt;&lt;wsp:rsid wsp:val=&quot;00884E58&quot;/&gt;&lt;wsp:rsid wsp:val=&quot;0089331E&quot;/&gt;&lt;wsp:rsid wsp:val=&quot;00896FAC&quot;/&gt;&lt;wsp:rsid wsp:val=&quot;008A35D8&quot;/&gt;&lt;wsp:rsid wsp:val=&quot;008C1153&quot;/&gt;&lt;wsp:rsid wsp:val=&quot;008C5D4A&quot;/&gt;&lt;wsp:rsid wsp:val=&quot;008C6580&quot;/&gt;&lt;wsp:rsid wsp:val=&quot;008D3544&quot;/&gt;&lt;wsp:rsid wsp:val=&quot;008E1719&quot;/&gt;&lt;wsp:rsid wsp:val=&quot;008E2A7F&quot;/&gt;&lt;wsp:rsid wsp:val=&quot;008F4FF2&quot;/&gt;&lt;wsp:rsid wsp:val=&quot;008F55E2&quot;/&gt;&lt;wsp:rsid wsp:val=&quot;00906E30&quot;/&gt;&lt;wsp:rsid wsp:val=&quot;009116B6&quot;/&gt;&lt;wsp:rsid wsp:val=&quot;0093774F&quot;/&gt;&lt;wsp:rsid wsp:val=&quot;00971652&quot;/&gt;&lt;wsp:rsid wsp:val=&quot;0097443D&quot;/&gt;&lt;wsp:rsid wsp:val=&quot;00982FCC&quot;/&gt;&lt;wsp:rsid wsp:val=&quot;0098314B&quot;/&gt;&lt;wsp:rsid wsp:val=&quot;00983444&quot;/&gt;&lt;wsp:rsid wsp:val=&quot;00986F65&quot;/&gt;&lt;wsp:rsid wsp:val=&quot;00990E46&quot;/&gt;&lt;wsp:rsid wsp:val=&quot;0099623A&quot;/&gt;&lt;wsp:rsid wsp:val=&quot;009A39AB&quot;/&gt;&lt;wsp:rsid wsp:val=&quot;009A4C7B&quot;/&gt;&lt;wsp:rsid wsp:val=&quot;009A597B&quot;/&gt;&lt;wsp:rsid wsp:val=&quot;009B779E&quot;/&gt;&lt;wsp:rsid wsp:val=&quot;009C1616&quot;/&gt;&lt;wsp:rsid wsp:val=&quot;009C34E5&quot;/&gt;&lt;wsp:rsid wsp:val=&quot;009C629B&quot;/&gt;&lt;wsp:rsid wsp:val=&quot;009C797F&quot;/&gt;&lt;wsp:rsid wsp:val=&quot;009E635E&quot;/&gt;&lt;wsp:rsid wsp:val=&quot;009F0099&quot;/&gt;&lt;wsp:rsid wsp:val=&quot;009F5F12&quot;/&gt;&lt;wsp:rsid wsp:val=&quot;00A00E8B&quot;/&gt;&lt;wsp:rsid wsp:val=&quot;00A014F3&quot;/&gt;&lt;wsp:rsid wsp:val=&quot;00A10F1A&quot;/&gt;&lt;wsp:rsid wsp:val=&quot;00A21015&quot;/&gt;&lt;wsp:rsid wsp:val=&quot;00A234BA&quot;/&gt;&lt;wsp:rsid wsp:val=&quot;00A313D3&quot;/&gt;&lt;wsp:rsid wsp:val=&quot;00A32CA9&quot;/&gt;&lt;wsp:rsid wsp:val=&quot;00A3469F&quot;/&gt;&lt;wsp:rsid wsp:val=&quot;00A42F9F&quot;/&gt;&lt;wsp:rsid wsp:val=&quot;00A4379E&quot;/&gt;&lt;wsp:rsid wsp:val=&quot;00A43BA3&quot;/&gt;&lt;wsp:rsid wsp:val=&quot;00A45CD2&quot;/&gt;&lt;wsp:rsid wsp:val=&quot;00A461FC&quot;/&gt;&lt;wsp:rsid wsp:val=&quot;00A516B9&quot;/&gt;&lt;wsp:rsid wsp:val=&quot;00A5472C&quot;/&gt;&lt;wsp:rsid wsp:val=&quot;00A55544&quot;/&gt;&lt;wsp:rsid wsp:val=&quot;00A61E62&quot;/&gt;&lt;wsp:rsid wsp:val=&quot;00A63B6E&quot;/&gt;&lt;wsp:rsid wsp:val=&quot;00A72C35&quot;/&gt;&lt;wsp:rsid wsp:val=&quot;00A73B95&quot;/&gt;&lt;wsp:rsid wsp:val=&quot;00A74C22&quot;/&gt;&lt;wsp:rsid wsp:val=&quot;00A76587&quot;/&gt;&lt;wsp:rsid wsp:val=&quot;00A77102&quot;/&gt;&lt;wsp:rsid wsp:val=&quot;00A906E2&quot;/&gt;&lt;wsp:rsid wsp:val=&quot;00A92B64&quot;/&gt;&lt;wsp:rsid wsp:val=&quot;00A97CEF&quot;/&gt;&lt;wsp:rsid wsp:val=&quot;00AA6650&quot;/&gt;&lt;wsp:rsid wsp:val=&quot;00AB45DA&quot;/&gt;&lt;wsp:rsid wsp:val=&quot;00AB74BB&quot;/&gt;&lt;wsp:rsid wsp:val=&quot;00AC3695&quot;/&gt;&lt;wsp:rsid wsp:val=&quot;00AC44E2&quot;/&gt;&lt;wsp:rsid wsp:val=&quot;00AD4ED7&quot;/&gt;&lt;wsp:rsid wsp:val=&quot;00AD5BD1&quot;/&gt;&lt;wsp:rsid wsp:val=&quot;00AE31D5&quot;/&gt;&lt;wsp:rsid wsp:val=&quot;00AF5A12&quot;/&gt;&lt;wsp:rsid wsp:val=&quot;00AF7544&quot;/&gt;&lt;wsp:rsid wsp:val=&quot;00B06B7E&quot;/&gt;&lt;wsp:rsid wsp:val=&quot;00B136B2&quot;/&gt;&lt;wsp:rsid wsp:val=&quot;00B14ED4&quot;/&gt;&lt;wsp:rsid wsp:val=&quot;00B16D96&quot;/&gt;&lt;wsp:rsid wsp:val=&quot;00B22299&quot;/&gt;&lt;wsp:rsid wsp:val=&quot;00B24936&quot;/&gt;&lt;wsp:rsid wsp:val=&quot;00B2754F&quot;/&gt;&lt;wsp:rsid wsp:val=&quot;00B305B2&quot;/&gt;&lt;wsp:rsid wsp:val=&quot;00B346A9&quot;/&gt;&lt;wsp:rsid wsp:val=&quot;00B34A94&quot;/&gt;&lt;wsp:rsid wsp:val=&quot;00B50A7A&quot;/&gt;&lt;wsp:rsid wsp:val=&quot;00B54A7B&quot;/&gt;&lt;wsp:rsid wsp:val=&quot;00B551D8&quot;/&gt;&lt;wsp:rsid wsp:val=&quot;00B61455&quot;/&gt;&lt;wsp:rsid wsp:val=&quot;00B620B6&quot;/&gt;&lt;wsp:rsid wsp:val=&quot;00B70683&quot;/&gt;&lt;wsp:rsid wsp:val=&quot;00B72ACB&quot;/&gt;&lt;wsp:rsid wsp:val=&quot;00B8132C&quot;/&gt;&lt;wsp:rsid wsp:val=&quot;00B82D19&quot;/&gt;&lt;wsp:rsid wsp:val=&quot;00B85335&quot;/&gt;&lt;wsp:rsid wsp:val=&quot;00B905C0&quot;/&gt;&lt;wsp:rsid wsp:val=&quot;00B912F4&quot;/&gt;&lt;wsp:rsid wsp:val=&quot;00B937E9&quot;/&gt;&lt;wsp:rsid wsp:val=&quot;00B9549A&quot;/&gt;&lt;wsp:rsid wsp:val=&quot;00B96394&quot;/&gt;&lt;wsp:rsid wsp:val=&quot;00B97060&quot;/&gt;&lt;wsp:rsid wsp:val=&quot;00BA187E&quot;/&gt;&lt;wsp:rsid wsp:val=&quot;00BA4DD6&quot;/&gt;&lt;wsp:rsid wsp:val=&quot;00BA527A&quot;/&gt;&lt;wsp:rsid wsp:val=&quot;00BB739A&quot;/&gt;&lt;wsp:rsid wsp:val=&quot;00BC42DA&quot;/&gt;&lt;wsp:rsid wsp:val=&quot;00BC46A3&quot;/&gt;&lt;wsp:rsid wsp:val=&quot;00BC7590&quot;/&gt;&lt;wsp:rsid wsp:val=&quot;00BC76D7&quot;/&gt;&lt;wsp:rsid wsp:val=&quot;00BD551E&quot;/&gt;&lt;wsp:rsid wsp:val=&quot;00BD5A4F&quot;/&gt;&lt;wsp:rsid wsp:val=&quot;00BD768F&quot;/&gt;&lt;wsp:rsid wsp:val=&quot;00BE5983&quot;/&gt;&lt;wsp:rsid wsp:val=&quot;00BF0B98&quot;/&gt;&lt;wsp:rsid wsp:val=&quot;00BF0E17&quot;/&gt;&lt;wsp:rsid wsp:val=&quot;00BF3CFC&quot;/&gt;&lt;wsp:rsid wsp:val=&quot;00BF6025&quot;/&gt;&lt;wsp:rsid wsp:val=&quot;00C01FB2&quot;/&gt;&lt;wsp:rsid wsp:val=&quot;00C04D5C&quot;/&gt;&lt;wsp:rsid wsp:val=&quot;00C06F81&quot;/&gt;&lt;wsp:rsid wsp:val=&quot;00C20237&quot;/&gt;&lt;wsp:rsid wsp:val=&quot;00C22EB7&quot;/&gt;&lt;wsp:rsid wsp:val=&quot;00C324A9&quot;/&gt;&lt;wsp:rsid wsp:val=&quot;00C325F3&quot;/&gt;&lt;wsp:rsid wsp:val=&quot;00C346CC&quot;/&gt;&lt;wsp:rsid wsp:val=&quot;00C3514D&quot;/&gt;&lt;wsp:rsid wsp:val=&quot;00C4401A&quot;/&gt;&lt;wsp:rsid wsp:val=&quot;00C5227D&quot;/&gt;&lt;wsp:rsid wsp:val=&quot;00C5609B&quot;/&gt;&lt;wsp:rsid wsp:val=&quot;00C56E68&quot;/&gt;&lt;wsp:rsid wsp:val=&quot;00C57779&quot;/&gt;&lt;wsp:rsid wsp:val=&quot;00C71788&quot;/&gt;&lt;wsp:rsid wsp:val=&quot;00C73D14&quot;/&gt;&lt;wsp:rsid wsp:val=&quot;00C75E36&quot;/&gt;&lt;wsp:rsid wsp:val=&quot;00C80484&quot;/&gt;&lt;wsp:rsid wsp:val=&quot;00C80B7C&quot;/&gt;&lt;wsp:rsid wsp:val=&quot;00C8260B&quot;/&gt;&lt;wsp:rsid wsp:val=&quot;00C87504&quot;/&gt;&lt;wsp:rsid wsp:val=&quot;00C90E02&quot;/&gt;&lt;wsp:rsid wsp:val=&quot;00CA11E7&quot;/&gt;&lt;wsp:rsid wsp:val=&quot;00CB5566&quot;/&gt;&lt;wsp:rsid wsp:val=&quot;00CC6806&quot;/&gt;&lt;wsp:rsid wsp:val=&quot;00CC6A56&quot;/&gt;&lt;wsp:rsid wsp:val=&quot;00CD2E25&quot;/&gt;&lt;wsp:rsid wsp:val=&quot;00CD5B6E&quot;/&gt;&lt;wsp:rsid wsp:val=&quot;00CD723F&quot;/&gt;&lt;wsp:rsid wsp:val=&quot;00CE7E79&quot;/&gt;&lt;wsp:rsid wsp:val=&quot;00CF3050&quot;/&gt;&lt;wsp:rsid wsp:val=&quot;00CF4544&quot;/&gt;&lt;wsp:rsid wsp:val=&quot;00D0341C&quot;/&gt;&lt;wsp:rsid wsp:val=&quot;00D11CF3&quot;/&gt;&lt;wsp:rsid wsp:val=&quot;00D120BB&quot;/&gt;&lt;wsp:rsid wsp:val=&quot;00D22908&quot;/&gt;&lt;wsp:rsid wsp:val=&quot;00D24EB7&quot;/&gt;&lt;wsp:rsid wsp:val=&quot;00D406AC&quot;/&gt;&lt;wsp:rsid wsp:val=&quot;00D47DDB&quot;/&gt;&lt;wsp:rsid wsp:val=&quot;00D505D0&quot;/&gt;&lt;wsp:rsid wsp:val=&quot;00D53B15&quot;/&gt;&lt;wsp:rsid wsp:val=&quot;00D56191&quot;/&gt;&lt;wsp:rsid wsp:val=&quot;00D61839&quot;/&gt;&lt;wsp:rsid wsp:val=&quot;00D624AC&quot;/&gt;&lt;wsp:rsid wsp:val=&quot;00D6550D&quot;/&gt;&lt;wsp:rsid wsp:val=&quot;00D6747A&quot;/&gt;&lt;wsp:rsid wsp:val=&quot;00D8280A&quot;/&gt;&lt;wsp:rsid wsp:val=&quot;00D91913&quot;/&gt;&lt;wsp:rsid wsp:val=&quot;00D94246&quot;/&gt;&lt;wsp:rsid wsp:val=&quot;00D952B0&quot;/&gt;&lt;wsp:rsid wsp:val=&quot;00DA0A25&quot;/&gt;&lt;wsp:rsid wsp:val=&quot;00DB08CF&quot;/&gt;&lt;wsp:rsid wsp:val=&quot;00DB2C9F&quot;/&gt;&lt;wsp:rsid wsp:val=&quot;00DB38F2&quot;/&gt;&lt;wsp:rsid wsp:val=&quot;00DC2E96&quot;/&gt;&lt;wsp:rsid wsp:val=&quot;00DC4CA5&quot;/&gt;&lt;wsp:rsid wsp:val=&quot;00DC77C3&quot;/&gt;&lt;wsp:rsid wsp:val=&quot;00DC77F9&quot;/&gt;&lt;wsp:rsid wsp:val=&quot;00DD5617&quot;/&gt;&lt;wsp:rsid wsp:val=&quot;00DD58EF&quot;/&gt;&lt;wsp:rsid wsp:val=&quot;00DE06AA&quot;/&gt;&lt;wsp:rsid wsp:val=&quot;00DF17FD&quot;/&gt;&lt;wsp:rsid wsp:val=&quot;00DF1E35&quot;/&gt;&lt;wsp:rsid wsp:val=&quot;00DF547D&quot;/&gt;&lt;wsp:rsid wsp:val=&quot;00DF6B85&quot;/&gt;&lt;wsp:rsid wsp:val=&quot;00E005AF&quot;/&gt;&lt;wsp:rsid wsp:val=&quot;00E12732&quot;/&gt;&lt;wsp:rsid wsp:val=&quot;00E12AFC&quot;/&gt;&lt;wsp:rsid wsp:val=&quot;00E15D14&quot;/&gt;&lt;wsp:rsid wsp:val=&quot;00E24178&quot;/&gt;&lt;wsp:rsid wsp:val=&quot;00E27380&quot;/&gt;&lt;wsp:rsid wsp:val=&quot;00E27657&quot;/&gt;&lt;wsp:rsid wsp:val=&quot;00E33953&quot;/&gt;&lt;wsp:rsid wsp:val=&quot;00E3533B&quot;/&gt;&lt;wsp:rsid wsp:val=&quot;00E46D50&quot;/&gt;&lt;wsp:rsid wsp:val=&quot;00E47094&quot;/&gt;&lt;wsp:rsid wsp:val=&quot;00E47382&quot;/&gt;&lt;wsp:rsid wsp:val=&quot;00E47ED5&quot;/&gt;&lt;wsp:rsid wsp:val=&quot;00E56DDD&quot;/&gt;&lt;wsp:rsid wsp:val=&quot;00E7183A&quot;/&gt;&lt;wsp:rsid wsp:val=&quot;00E72873&quot;/&gt;&lt;wsp:rsid wsp:val=&quot;00E73D7D&quot;/&gt;&lt;wsp:rsid wsp:val=&quot;00E777BC&quot;/&gt;&lt;wsp:rsid wsp:val=&quot;00E77B63&quot;/&gt;&lt;wsp:rsid wsp:val=&quot;00E808BD&quot;/&gt;&lt;wsp:rsid wsp:val=&quot;00E82E24&quot;/&gt;&lt;wsp:rsid wsp:val=&quot;00E82E48&quot;/&gt;&lt;wsp:rsid wsp:val=&quot;00E85779&quot;/&gt;&lt;wsp:rsid wsp:val=&quot;00EA69C6&quot;/&gt;&lt;wsp:rsid wsp:val=&quot;00EB196D&quot;/&gt;&lt;wsp:rsid wsp:val=&quot;00EB2399&quot;/&gt;&lt;wsp:rsid wsp:val=&quot;00EC398C&quot;/&gt;&lt;wsp:rsid wsp:val=&quot;00ED3A21&quot;/&gt;&lt;wsp:rsid wsp:val=&quot;00ED44E9&quot;/&gt;&lt;wsp:rsid wsp:val=&quot;00EE56A8&quot;/&gt;&lt;wsp:rsid wsp:val=&quot;00EF19A7&quot;/&gt;&lt;wsp:rsid wsp:val=&quot;00EF3CCB&quot;/&gt;&lt;wsp:rsid wsp:val=&quot;00EF7189&quot;/&gt;&lt;wsp:rsid wsp:val=&quot;00F00B94&quot;/&gt;&lt;wsp:rsid wsp:val=&quot;00F02F23&quot;/&gt;&lt;wsp:rsid wsp:val=&quot;00F03050&quot;/&gt;&lt;wsp:rsid wsp:val=&quot;00F06B6B&quot;/&gt;&lt;wsp:rsid wsp:val=&quot;00F21B22&quot;/&gt;&lt;wsp:rsid wsp:val=&quot;00F23BE8&quot;/&gt;&lt;wsp:rsid wsp:val=&quot;00F272CE&quot;/&gt;&lt;wsp:rsid wsp:val=&quot;00F3058C&quot;/&gt;&lt;wsp:rsid wsp:val=&quot;00F3197F&quot;/&gt;&lt;wsp:rsid wsp:val=&quot;00F455D6&quot;/&gt;&lt;wsp:rsid wsp:val=&quot;00F45F97&quot;/&gt;&lt;wsp:rsid wsp:val=&quot;00F46E96&quot;/&gt;&lt;wsp:rsid wsp:val=&quot;00F5179E&quot;/&gt;&lt;wsp:rsid wsp:val=&quot;00F60827&quot;/&gt;&lt;wsp:rsid wsp:val=&quot;00F60C91&quot;/&gt;&lt;wsp:rsid wsp:val=&quot;00F6107E&quot;/&gt;&lt;wsp:rsid wsp:val=&quot;00F71B52&quot;/&gt;&lt;wsp:rsid wsp:val=&quot;00F762F1&quot;/&gt;&lt;wsp:rsid wsp:val=&quot;00F846EE&quot;/&gt;&lt;wsp:rsid wsp:val=&quot;00F86FC1&quot;/&gt;&lt;wsp:rsid wsp:val=&quot;00F874A6&quot;/&gt;&lt;wsp:rsid wsp:val=&quot;00F91FE0&quot;/&gt;&lt;wsp:rsid wsp:val=&quot;00F92673&quot;/&gt;&lt;wsp:rsid wsp:val=&quot;00F9286A&quot;/&gt;&lt;wsp:rsid wsp:val=&quot;00F93C48&quot;/&gt;&lt;wsp:rsid wsp:val=&quot;00F94D29&quot;/&gt;&lt;wsp:rsid wsp:val=&quot;00F966EF&quot;/&gt;&lt;wsp:rsid wsp:val=&quot;00FC4369&quot;/&gt;&lt;wsp:rsid wsp:val=&quot;00FC582E&quot;/&gt;&lt;wsp:rsid wsp:val=&quot;00FD3B36&quot;/&gt;&lt;wsp:rsid wsp:val=&quot;00FD4C77&quot;/&gt;&lt;wsp:rsid wsp:val=&quot;00FD75C8&quot;/&gt;&lt;wsp:rsid wsp:val=&quot;00FE048E&quot;/&gt;&lt;wsp:rsid wsp:val=&quot;00FF061F&quot;/&gt;&lt;wsp:rsid wsp:val=&quot;00FF4AB1&quot;/&gt;&lt;/wsp:rsids&gt;&lt;/w:docPr&gt;&lt;w:body&gt;&lt;w:p wsp:rsidR=&quot;00000000&quot; wsp:rsidRDefault=&quot;001F3487&quot;&gt;&lt;m:oMathPara&gt;&lt;m:oMath&gt;&lt;m:r&gt;&lt;m:rPr&gt;&lt;m:sty m:val=&quot;p&quot;/&gt;&lt;/m:rPr&gt;&lt;w:rPr&gt;&lt;w:rFonts w:ascii=&quot;Cambria Math&quot; w:h-ansi=&quot;Cambria Math&quot;/&gt;&lt;wx:font wx:val=&quot;Cambria Math&quot;/&gt;&lt;/w:rPr&gt;&lt;m:t&gt;R=&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 w:cs=&quot;Cambria Math&quot;/&gt;&lt;wx:font wx:val=&quot;Cambria Math&quot;/&gt;&lt;/w:rPr&gt;&lt;m:t&gt;A&lt;/m:t&gt;&lt;/m:r&gt;&lt;/m:num&gt;&lt;m:den&gt;&lt;m:d&gt;&lt;m:dPr&gt;&lt;m:ctrlPr&gt;&lt;w:rPr&gt;&lt;w:rFonts w:ascii=&quot;Cambria Math&quot; w:h-ansi=&quot;Cambria Math&quot; w:cs=&quot;Cambria Math&quot;/&gt;&lt;wx:font wx:val=&quot;Cambria Math&quot;/&gt;&lt;/w:rPr&gt;&lt;/m:ctrlPr&gt;&lt;/m:dPr&gt;&lt;m:e&gt;&lt;m:r&gt;&lt;m:rPr&gt;&lt;m:sty m:val=&quot;p&quot;/&gt;&lt;/m:rPr&gt;&lt;w:rPr&gt;&lt;w:rFonts w:ascii=&quot;Cambria Math&quot; w:h-ansi=&quot;Cambria Math&quot; w:cs=&quot;Cambria Math&quot;/&gt;&lt;wx:font wx:val=&quot;Cambria Math&quot;/&gt;&lt;/w:rPr&gt;&lt;m:t&gt;F2-F1&lt;/m:t&gt;&lt;/m:r&gt;&lt;/m:e&gt;&lt;/m:d&gt;&lt;m:r&gt;&lt;m:rPr&gt;&lt;m:sty m:val=&quot;p&quot;/&gt;&lt;/m:rPr&gt;&lt;w:rPr&gt;&lt;w:rFonts w:ascii=&quot;Cambria Math&quot; w:h-ansi=&quot;Cambria Math&quot; w:cs=&quot;Cambria Math&quot;/&gt;&lt;wx:font wx:val=&quot;Cambria Math&quot;/&gt;&lt;/w:rPr&gt;&lt;m:t&gt;S&lt;/m:t&gt;&lt;/m:r&gt;&lt;/m:den&gt;&lt;/m:f&gt;&lt;m:r&gt;&lt;m:rPr&gt;&lt;m:sty m:val=&quot;p&quot;/&gt;&lt;/m:rPr&gt;&lt;w:rPr&gt;&lt;w:rFonts w:ascii=&quot;Cambria Math&quot; w:h-ansi=&quot;Cambria Math&quot;/&gt;&lt;wx:font wx:val=&quot;Cambria Math&quot;/&gt;&lt;/w:rPr&gt;&lt;m:t&gt;(C-F1S)&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12" chromakey="#FFFFFF" o:title=""/>
            <o:lock v:ext="edit" aspectratio="t"/>
            <w10:wrap type="none"/>
            <w10:anchorlock/>
          </v:shape>
        </w:pict>
      </w:r>
      <w:r>
        <w:rPr>
          <w:rFonts w:hint="eastAsia" w:asciiTheme="minorEastAsia" w:hAnsiTheme="minorEastAsia" w:eastAsiaTheme="minorEastAsia" w:cstheme="minorEastAsia"/>
          <w:color w:val="auto"/>
          <w:sz w:val="24"/>
          <w:szCs w:val="24"/>
        </w:rPr>
        <w:instrText xml:space="preserve">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position w:val="-24"/>
          <w:sz w:val="24"/>
          <w:szCs w:val="24"/>
        </w:rPr>
        <w:pict>
          <v:shape id="_x0000_i1026" o:spt="75" type="#_x0000_t75" style="height:31.5pt;width:99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text-fit&quot; w:percent=&quot;188&quot;/&gt;&lt;w:doNotEmbedSystemFonts/&gt;&lt;w:bordersDontSurroundHeader/&gt;&lt;w:bordersDontSurroundFooter/&gt;&lt;w:hideSpellingErrors/&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0D57EE&quot;/&gt;&lt;wsp:rsid wsp:val=&quot;000143FB&quot;/&gt;&lt;wsp:rsid wsp:val=&quot;00014C8B&quot;/&gt;&lt;wsp:rsid wsp:val=&quot;00020790&quot;/&gt;&lt;wsp:rsid wsp:val=&quot;000244D7&quot;/&gt;&lt;wsp:rsid wsp:val=&quot;0002697F&quot;/&gt;&lt;wsp:rsid wsp:val=&quot;00027877&quot;/&gt;&lt;wsp:rsid wsp:val=&quot;00030315&quot;/&gt;&lt;wsp:rsid wsp:val=&quot;00032EC3&quot;/&gt;&lt;wsp:rsid wsp:val=&quot;00035706&quot;/&gt;&lt;wsp:rsid wsp:val=&quot;00036F0D&quot;/&gt;&lt;wsp:rsid wsp:val=&quot;00040951&quot;/&gt;&lt;wsp:rsid wsp:val=&quot;000513EE&quot;/&gt;&lt;wsp:rsid wsp:val=&quot;000579AC&quot;/&gt;&lt;wsp:rsid wsp:val=&quot;000604A6&quot;/&gt;&lt;wsp:rsid wsp:val=&quot;00060A62&quot;/&gt;&lt;wsp:rsid wsp:val=&quot;0006472F&quot;/&gt;&lt;wsp:rsid wsp:val=&quot;00064B5A&quot;/&gt;&lt;wsp:rsid wsp:val=&quot;000673D8&quot;/&gt;&lt;wsp:rsid wsp:val=&quot;00070B9C&quot;/&gt;&lt;wsp:rsid wsp:val=&quot;000729B4&quot;/&gt;&lt;wsp:rsid wsp:val=&quot;00073EC7&quot;/&gt;&lt;wsp:rsid wsp:val=&quot;000753F2&quot;/&gt;&lt;wsp:rsid wsp:val=&quot;000839C3&quot;/&gt;&lt;wsp:rsid wsp:val=&quot;00090E83&quot;/&gt;&lt;wsp:rsid wsp:val=&quot;0009326D&quot;/&gt;&lt;wsp:rsid wsp:val=&quot;00096FEA&quot;/&gt;&lt;wsp:rsid wsp:val=&quot;000A18B0&quot;/&gt;&lt;wsp:rsid wsp:val=&quot;000A6F4F&quot;/&gt;&lt;wsp:rsid wsp:val=&quot;000B2878&quot;/&gt;&lt;wsp:rsid wsp:val=&quot;000B676F&quot;/&gt;&lt;wsp:rsid wsp:val=&quot;000C0351&quot;/&gt;&lt;wsp:rsid wsp:val=&quot;000C1C90&quot;/&gt;&lt;wsp:rsid wsp:val=&quot;000C7193&quot;/&gt;&lt;wsp:rsid wsp:val=&quot;000D155F&quot;/&gt;&lt;wsp:rsid wsp:val=&quot;000D1D74&quot;/&gt;&lt;wsp:rsid wsp:val=&quot;000D57EE&quot;/&gt;&lt;wsp:rsid wsp:val=&quot;000D60ED&quot;/&gt;&lt;wsp:rsid wsp:val=&quot;000E1EEE&quot;/&gt;&lt;wsp:rsid wsp:val=&quot;000E5FB4&quot;/&gt;&lt;wsp:rsid wsp:val=&quot;000F030A&quot;/&gt;&lt;wsp:rsid wsp:val=&quot;000F1980&quot;/&gt;&lt;wsp:rsid wsp:val=&quot;000F6FAE&quot;/&gt;&lt;wsp:rsid wsp:val=&quot;00101332&quot;/&gt;&lt;wsp:rsid wsp:val=&quot;0010179B&quot;/&gt;&lt;wsp:rsid wsp:val=&quot;00110F48&quot;/&gt;&lt;wsp:rsid wsp:val=&quot;001119A3&quot;/&gt;&lt;wsp:rsid wsp:val=&quot;00115B0B&quot;/&gt;&lt;wsp:rsid wsp:val=&quot;00134CD7&quot;/&gt;&lt;wsp:rsid wsp:val=&quot;001354CA&quot;/&gt;&lt;wsp:rsid wsp:val=&quot;001423FD&quot;/&gt;&lt;wsp:rsid wsp:val=&quot;00142E3D&quot;/&gt;&lt;wsp:rsid wsp:val=&quot;001436D0&quot;/&gt;&lt;wsp:rsid wsp:val=&quot;00147AA1&quot;/&gt;&lt;wsp:rsid wsp:val=&quot;001524B1&quot;/&gt;&lt;wsp:rsid wsp:val=&quot;00154C76&quot;/&gt;&lt;wsp:rsid wsp:val=&quot;00163AC7&quot;/&gt;&lt;wsp:rsid wsp:val=&quot;00167705&quot;/&gt;&lt;wsp:rsid wsp:val=&quot;00167E6C&quot;/&gt;&lt;wsp:rsid wsp:val=&quot;001701B3&quot;/&gt;&lt;wsp:rsid wsp:val=&quot;00173117&quot;/&gt;&lt;wsp:rsid wsp:val=&quot;0017357C&quot;/&gt;&lt;wsp:rsid wsp:val=&quot;00175FC2&quot;/&gt;&lt;wsp:rsid wsp:val=&quot;0018685E&quot;/&gt;&lt;wsp:rsid wsp:val=&quot;00187473&quot;/&gt;&lt;wsp:rsid wsp:val=&quot;0019016A&quot;/&gt;&lt;wsp:rsid wsp:val=&quot;00190AED&quot;/&gt;&lt;wsp:rsid wsp:val=&quot;00192BBD&quot;/&gt;&lt;wsp:rsid wsp:val=&quot;00195538&quot;/&gt;&lt;wsp:rsid wsp:val=&quot;001B17B3&quot;/&gt;&lt;wsp:rsid wsp:val=&quot;001B191F&quot;/&gt;&lt;wsp:rsid wsp:val=&quot;001B39B3&quot;/&gt;&lt;wsp:rsid wsp:val=&quot;001B3D2A&quot;/&gt;&lt;wsp:rsid wsp:val=&quot;001D0C69&quot;/&gt;&lt;wsp:rsid wsp:val=&quot;001D14C2&quot;/&gt;&lt;wsp:rsid wsp:val=&quot;001E18DE&quot;/&gt;&lt;wsp:rsid wsp:val=&quot;001F02F3&quot;/&gt;&lt;wsp:rsid wsp:val=&quot;001F3487&quot;/&gt;&lt;wsp:rsid wsp:val=&quot;0020261D&quot;/&gt;&lt;wsp:rsid wsp:val=&quot;00206894&quot;/&gt;&lt;wsp:rsid wsp:val=&quot;00216FAF&quot;/&gt;&lt;wsp:rsid wsp:val=&quot;00217683&quot;/&gt;&lt;wsp:rsid wsp:val=&quot;00217694&quot;/&gt;&lt;wsp:rsid wsp:val=&quot;00217A9B&quot;/&gt;&lt;wsp:rsid wsp:val=&quot;00221835&quot;/&gt;&lt;wsp:rsid wsp:val=&quot;0022566D&quot;/&gt;&lt;wsp:rsid wsp:val=&quot;00227CC3&quot;/&gt;&lt;wsp:rsid wsp:val=&quot;00231C4B&quot;/&gt;&lt;wsp:rsid wsp:val=&quot;00237EBE&quot;/&gt;&lt;wsp:rsid wsp:val=&quot;002435AC&quot;/&gt;&lt;wsp:rsid wsp:val=&quot;00243F71&quot;/&gt;&lt;wsp:rsid wsp:val=&quot;00253142&quot;/&gt;&lt;wsp:rsid wsp:val=&quot;0026293E&quot;/&gt;&lt;wsp:rsid wsp:val=&quot;00263EC0&quot;/&gt;&lt;wsp:rsid wsp:val=&quot;00273896&quot;/&gt;&lt;wsp:rsid wsp:val=&quot;00273E53&quot;/&gt;&lt;wsp:rsid wsp:val=&quot;002A4944&quot;/&gt;&lt;wsp:rsid wsp:val=&quot;002A578C&quot;/&gt;&lt;wsp:rsid wsp:val=&quot;002A6999&quot;/&gt;&lt;wsp:rsid wsp:val=&quot;002B0B93&quot;/&gt;&lt;wsp:rsid wsp:val=&quot;002B2402&quot;/&gt;&lt;wsp:rsid wsp:val=&quot;002B4203&quot;/&gt;&lt;wsp:rsid wsp:val=&quot;002B4B6C&quot;/&gt;&lt;wsp:rsid wsp:val=&quot;002C70A0&quot;/&gt;&lt;wsp:rsid wsp:val=&quot;002C712F&quot;/&gt;&lt;wsp:rsid wsp:val=&quot;002D3F5E&quot;/&gt;&lt;wsp:rsid wsp:val=&quot;002D66FE&quot;/&gt;&lt;wsp:rsid wsp:val=&quot;002D6DCF&quot;/&gt;&lt;wsp:rsid wsp:val=&quot;002E271D&quot;/&gt;&lt;wsp:rsid wsp:val=&quot;002F238B&quot;/&gt;&lt;wsp:rsid wsp:val=&quot;002F28A4&quot;/&gt;&lt;wsp:rsid wsp:val=&quot;002F472B&quot;/&gt;&lt;wsp:rsid wsp:val=&quot;002F5ABE&quot;/&gt;&lt;wsp:rsid wsp:val=&quot;00303120&quot;/&gt;&lt;wsp:rsid wsp:val=&quot;003034FB&quot;/&gt;&lt;wsp:rsid wsp:val=&quot;00311A79&quot;/&gt;&lt;wsp:rsid wsp:val=&quot;00311AC1&quot;/&gt;&lt;wsp:rsid wsp:val=&quot;00312F2D&quot;/&gt;&lt;wsp:rsid wsp:val=&quot;0032386C&quot;/&gt;&lt;wsp:rsid wsp:val=&quot;0032640A&quot;/&gt;&lt;wsp:rsid wsp:val=&quot;00330C8A&quot;/&gt;&lt;wsp:rsid wsp:val=&quot;00330E37&quot;/&gt;&lt;wsp:rsid wsp:val=&quot;00334111&quot;/&gt;&lt;wsp:rsid wsp:val=&quot;0033443D&quot;/&gt;&lt;wsp:rsid wsp:val=&quot;003452A6&quot;/&gt;&lt;wsp:rsid wsp:val=&quot;003557A3&quot;/&gt;&lt;wsp:rsid wsp:val=&quot;00370533&quot;/&gt;&lt;wsp:rsid wsp:val=&quot;00374479&quot;/&gt;&lt;wsp:rsid wsp:val=&quot;00384E0D&quot;/&gt;&lt;wsp:rsid wsp:val=&quot;003873C7&quot;/&gt;&lt;wsp:rsid wsp:val=&quot;00390909&quot;/&gt;&lt;wsp:rsid wsp:val=&quot;00392823&quot;/&gt;&lt;wsp:rsid wsp:val=&quot;00392D7C&quot;/&gt;&lt;wsp:rsid wsp:val=&quot;00395E0D&quot;/&gt;&lt;wsp:rsid wsp:val=&quot;003A0B1A&quot;/&gt;&lt;wsp:rsid wsp:val=&quot;003A296A&quot;/&gt;&lt;wsp:rsid wsp:val=&quot;003A5DD9&quot;/&gt;&lt;wsp:rsid wsp:val=&quot;003A6803&quot;/&gt;&lt;wsp:rsid wsp:val=&quot;003B4DF6&quot;/&gt;&lt;wsp:rsid wsp:val=&quot;003C0686&quot;/&gt;&lt;wsp:rsid wsp:val=&quot;003C19E1&quot;/&gt;&lt;wsp:rsid wsp:val=&quot;003C1B0E&quot;/&gt;&lt;wsp:rsid wsp:val=&quot;003C3490&quot;/&gt;&lt;wsp:rsid wsp:val=&quot;003C4775&quot;/&gt;&lt;wsp:rsid wsp:val=&quot;003C4A16&quot;/&gt;&lt;wsp:rsid wsp:val=&quot;003D4F30&quot;/&gt;&lt;wsp:rsid wsp:val=&quot;003E782D&quot;/&gt;&lt;wsp:rsid wsp:val=&quot;003F115A&quot;/&gt;&lt;wsp:rsid wsp:val=&quot;003F38C1&quot;/&gt;&lt;wsp:rsid wsp:val=&quot;003F6052&quot;/&gt;&lt;wsp:rsid wsp:val=&quot;004007DB&quot;/&gt;&lt;wsp:rsid wsp:val=&quot;004042F9&quot;/&gt;&lt;wsp:rsid wsp:val=&quot;0040519B&quot;/&gt;&lt;wsp:rsid wsp:val=&quot;00407207&quot;/&gt;&lt;wsp:rsid wsp:val=&quot;004121CA&quot;/&gt;&lt;wsp:rsid wsp:val=&quot;004148C4&quot;/&gt;&lt;wsp:rsid wsp:val=&quot;00415416&quot;/&gt;&lt;wsp:rsid wsp:val=&quot;0041587E&quot;/&gt;&lt;wsp:rsid wsp:val=&quot;00415F6E&quot;/&gt;&lt;wsp:rsid wsp:val=&quot;0042357F&quot;/&gt;&lt;wsp:rsid wsp:val=&quot;00426AA5&quot;/&gt;&lt;wsp:rsid wsp:val=&quot;00432084&quot;/&gt;&lt;wsp:rsid wsp:val=&quot;004326A1&quot;/&gt;&lt;wsp:rsid wsp:val=&quot;00440A75&quot;/&gt;&lt;wsp:rsid wsp:val=&quot;0044506E&quot;/&gt;&lt;wsp:rsid wsp:val=&quot;00445CD5&quot;/&gt;&lt;wsp:rsid wsp:val=&quot;00451DB4&quot;/&gt;&lt;wsp:rsid wsp:val=&quot;00457601&quot;/&gt;&lt;wsp:rsid wsp:val=&quot;004660D1&quot;/&gt;&lt;wsp:rsid wsp:val=&quot;00471E99&quot;/&gt;&lt;wsp:rsid wsp:val=&quot;00471F74&quot;/&gt;&lt;wsp:rsid wsp:val=&quot;004724CF&quot;/&gt;&lt;wsp:rsid wsp:val=&quot;0048051F&quot;/&gt;&lt;wsp:rsid wsp:val=&quot;004821B3&quot;/&gt;&lt;wsp:rsid wsp:val=&quot;0048239C&quot;/&gt;&lt;wsp:rsid wsp:val=&quot;00487E37&quot;/&gt;&lt;wsp:rsid wsp:val=&quot;0049107A&quot;/&gt;&lt;wsp:rsid wsp:val=&quot;00494967&quot;/&gt;&lt;wsp:rsid wsp:val=&quot;00494995&quot;/&gt;&lt;wsp:rsid wsp:val=&quot;00494DB4&quot;/&gt;&lt;wsp:rsid wsp:val=&quot;004B3B62&quot;/&gt;&lt;wsp:rsid wsp:val=&quot;004B4343&quot;/&gt;&lt;wsp:rsid wsp:val=&quot;004B4B48&quot;/&gt;&lt;wsp:rsid wsp:val=&quot;004C6D8A&quot;/&gt;&lt;wsp:rsid wsp:val=&quot;004C7030&quot;/&gt;&lt;wsp:rsid wsp:val=&quot;004D0958&quot;/&gt;&lt;wsp:rsid wsp:val=&quot;004D55BA&quot;/&gt;&lt;wsp:rsid wsp:val=&quot;004D6A41&quot;/&gt;&lt;wsp:rsid wsp:val=&quot;004E1976&quot;/&gt;&lt;wsp:rsid wsp:val=&quot;004E50AF&quot;/&gt;&lt;wsp:rsid wsp:val=&quot;004E563B&quot;/&gt;&lt;wsp:rsid wsp:val=&quot;004E5DA9&quot;/&gt;&lt;wsp:rsid wsp:val=&quot;004E683F&quot;/&gt;&lt;wsp:rsid wsp:val=&quot;0051218F&quot;/&gt;&lt;wsp:rsid wsp:val=&quot;005147D7&quot;/&gt;&lt;wsp:rsid wsp:val=&quot;00517576&quot;/&gt;&lt;wsp:rsid wsp:val=&quot;00523C67&quot;/&gt;&lt;wsp:rsid wsp:val=&quot;0052596B&quot;/&gt;&lt;wsp:rsid wsp:val=&quot;00533B9E&quot;/&gt;&lt;wsp:rsid wsp:val=&quot;00533C02&quot;/&gt;&lt;wsp:rsid wsp:val=&quot;005474B3&quot;/&gt;&lt;wsp:rsid wsp:val=&quot;005478B1&quot;/&gt;&lt;wsp:rsid wsp:val=&quot;005508B0&quot;/&gt;&lt;wsp:rsid wsp:val=&quot;005539AE&quot;/&gt;&lt;wsp:rsid wsp:val=&quot;00553D73&quot;/&gt;&lt;wsp:rsid wsp:val=&quot;00554412&quot;/&gt;&lt;wsp:rsid wsp:val=&quot;00560211&quot;/&gt;&lt;wsp:rsid wsp:val=&quot;005648D2&quot;/&gt;&lt;wsp:rsid wsp:val=&quot;00564DE5&quot;/&gt;&lt;wsp:rsid wsp:val=&quot;00571235&quot;/&gt;&lt;wsp:rsid wsp:val=&quot;0057200B&quot;/&gt;&lt;wsp:rsid wsp:val=&quot;00573CD3&quot;/&gt;&lt;wsp:rsid wsp:val=&quot;00573DF0&quot;/&gt;&lt;wsp:rsid wsp:val=&quot;00574069&quot;/&gt;&lt;wsp:rsid wsp:val=&quot;00582600&quot;/&gt;&lt;wsp:rsid wsp:val=&quot;00583781&quot;/&gt;&lt;wsp:rsid wsp:val=&quot;005928F9&quot;/&gt;&lt;wsp:rsid wsp:val=&quot;00595B8E&quot;/&gt;&lt;wsp:rsid wsp:val=&quot;00597BC5&quot;/&gt;&lt;wsp:rsid wsp:val=&quot;005A07A2&quot;/&gt;&lt;wsp:rsid wsp:val=&quot;005A2134&quot;/&gt;&lt;wsp:rsid wsp:val=&quot;005A2198&quot;/&gt;&lt;wsp:rsid wsp:val=&quot;005B20E3&quot;/&gt;&lt;wsp:rsid wsp:val=&quot;005C219B&quot;/&gt;&lt;wsp:rsid wsp:val=&quot;005C21AA&quot;/&gt;&lt;wsp:rsid wsp:val=&quot;005C30CF&quot;/&gt;&lt;wsp:rsid wsp:val=&quot;005C3112&quot;/&gt;&lt;wsp:rsid wsp:val=&quot;005C6011&quot;/&gt;&lt;wsp:rsid wsp:val=&quot;005D06F9&quot;/&gt;&lt;wsp:rsid wsp:val=&quot;005D0AD3&quot;/&gt;&lt;wsp:rsid wsp:val=&quot;005D18D9&quot;/&gt;&lt;wsp:rsid wsp:val=&quot;005D2263&quot;/&gt;&lt;wsp:rsid wsp:val=&quot;005D2CBB&quot;/&gt;&lt;wsp:rsid wsp:val=&quot;005D4A57&quot;/&gt;&lt;wsp:rsid wsp:val=&quot;005E231D&quot;/&gt;&lt;wsp:rsid wsp:val=&quot;005E439B&quot;/&gt;&lt;wsp:rsid wsp:val=&quot;005E463B&quot;/&gt;&lt;wsp:rsid wsp:val=&quot;005E6123&quot;/&gt;&lt;wsp:rsid wsp:val=&quot;005F628F&quot;/&gt;&lt;wsp:rsid wsp:val=&quot;00601C1C&quot;/&gt;&lt;wsp:rsid wsp:val=&quot;0060221F&quot;/&gt;&lt;wsp:rsid wsp:val=&quot;00602DD8&quot;/&gt;&lt;wsp:rsid wsp:val=&quot;00603B24&quot;/&gt;&lt;wsp:rsid wsp:val=&quot;00604DCD&quot;/&gt;&lt;wsp:rsid wsp:val=&quot;00605815&quot;/&gt;&lt;wsp:rsid wsp:val=&quot;00607BEB&quot;/&gt;&lt;wsp:rsid wsp:val=&quot;00623E84&quot;/&gt;&lt;wsp:rsid wsp:val=&quot;00632614&quot;/&gt;&lt;wsp:rsid wsp:val=&quot;00633E0C&quot;/&gt;&lt;wsp:rsid wsp:val=&quot;006406CF&quot;/&gt;&lt;wsp:rsid wsp:val=&quot;00642B61&quot;/&gt;&lt;wsp:rsid wsp:val=&quot;00651FDE&quot;/&gt;&lt;wsp:rsid wsp:val=&quot;006530AB&quot;/&gt;&lt;wsp:rsid wsp:val=&quot;00663D4A&quot;/&gt;&lt;wsp:rsid wsp:val=&quot;00670AE2&quot;/&gt;&lt;wsp:rsid wsp:val=&quot;006726AE&quot;/&gt;&lt;wsp:rsid wsp:val=&quot;0067433C&quot;/&gt;&lt;wsp:rsid wsp:val=&quot;00685518&quot;/&gt;&lt;wsp:rsid wsp:val=&quot;00690C8C&quot;/&gt;&lt;wsp:rsid wsp:val=&quot;006B4255&quot;/&gt;&lt;wsp:rsid wsp:val=&quot;006B622F&quot;/&gt;&lt;wsp:rsid wsp:val=&quot;006D4B9D&quot;/&gt;&lt;wsp:rsid wsp:val=&quot;006E1017&quot;/&gt;&lt;wsp:rsid wsp:val=&quot;006F218F&quot;/&gt;&lt;wsp:rsid wsp:val=&quot;006F797F&quot;/&gt;&lt;wsp:rsid wsp:val=&quot;00704A4C&quot;/&gt;&lt;wsp:rsid wsp:val=&quot;00706B09&quot;/&gt;&lt;wsp:rsid wsp:val=&quot;00710241&quot;/&gt;&lt;wsp:rsid wsp:val=&quot;00710416&quot;/&gt;&lt;wsp:rsid wsp:val=&quot;007115F9&quot;/&gt;&lt;wsp:rsid wsp:val=&quot;00715B58&quot;/&gt;&lt;wsp:rsid wsp:val=&quot;007179F3&quot;/&gt;&lt;wsp:rsid wsp:val=&quot;007239BD&quot;/&gt;&lt;wsp:rsid wsp:val=&quot;00724982&quot;/&gt;&lt;wsp:rsid wsp:val=&quot;00742197&quot;/&gt;&lt;wsp:rsid wsp:val=&quot;00743A22&quot;/&gt;&lt;wsp:rsid wsp:val=&quot;0075222B&quot;/&gt;&lt;wsp:rsid wsp:val=&quot;0075414C&quot;/&gt;&lt;wsp:rsid wsp:val=&quot;0076388B&quot;/&gt;&lt;wsp:rsid wsp:val=&quot;00766FE7&quot;/&gt;&lt;wsp:rsid wsp:val=&quot;00775FFB&quot;/&gt;&lt;wsp:rsid wsp:val=&quot;0078704B&quot;/&gt;&lt;wsp:rsid wsp:val=&quot;0079167C&quot;/&gt;&lt;wsp:rsid wsp:val=&quot;00794214&quot;/&gt;&lt;wsp:rsid wsp:val=&quot;007B40D5&quot;/&gt;&lt;wsp:rsid wsp:val=&quot;007C0311&quot;/&gt;&lt;wsp:rsid wsp:val=&quot;007D0F15&quot;/&gt;&lt;wsp:rsid wsp:val=&quot;007D7AFF&quot;/&gt;&lt;wsp:rsid wsp:val=&quot;007E411B&quot;/&gt;&lt;wsp:rsid wsp:val=&quot;007E7561&quot;/&gt;&lt;wsp:rsid wsp:val=&quot;007F4178&quot;/&gt;&lt;wsp:rsid wsp:val=&quot;007F554F&quot;/&gt;&lt;wsp:rsid wsp:val=&quot;007F74E4&quot;/&gt;&lt;wsp:rsid wsp:val=&quot;007F76E0&quot;/&gt;&lt;wsp:rsid wsp:val=&quot;008031FE&quot;/&gt;&lt;wsp:rsid wsp:val=&quot;008042E6&quot;/&gt;&lt;wsp:rsid wsp:val=&quot;008068EF&quot;/&gt;&lt;wsp:rsid wsp:val=&quot;00812CB4&quot;/&gt;&lt;wsp:rsid wsp:val=&quot;00815B7F&quot;/&gt;&lt;wsp:rsid wsp:val=&quot;00823629&quot;/&gt;&lt;wsp:rsid wsp:val=&quot;008246B0&quot;/&gt;&lt;wsp:rsid wsp:val=&quot;00830820&quot;/&gt;&lt;wsp:rsid wsp:val=&quot;0083315B&quot;/&gt;&lt;wsp:rsid wsp:val=&quot;008340BD&quot;/&gt;&lt;wsp:rsid wsp:val=&quot;008558F7&quot;/&gt;&lt;wsp:rsid wsp:val=&quot;00863458&quot;/&gt;&lt;wsp:rsid wsp:val=&quot;008824B5&quot;/&gt;&lt;wsp:rsid wsp:val=&quot;00884E58&quot;/&gt;&lt;wsp:rsid wsp:val=&quot;0089331E&quot;/&gt;&lt;wsp:rsid wsp:val=&quot;00896FAC&quot;/&gt;&lt;wsp:rsid wsp:val=&quot;008A35D8&quot;/&gt;&lt;wsp:rsid wsp:val=&quot;008C1153&quot;/&gt;&lt;wsp:rsid wsp:val=&quot;008C5D4A&quot;/&gt;&lt;wsp:rsid wsp:val=&quot;008C6580&quot;/&gt;&lt;wsp:rsid wsp:val=&quot;008D3544&quot;/&gt;&lt;wsp:rsid wsp:val=&quot;008E1719&quot;/&gt;&lt;wsp:rsid wsp:val=&quot;008E2A7F&quot;/&gt;&lt;wsp:rsid wsp:val=&quot;008F4FF2&quot;/&gt;&lt;wsp:rsid wsp:val=&quot;008F55E2&quot;/&gt;&lt;wsp:rsid wsp:val=&quot;00906E30&quot;/&gt;&lt;wsp:rsid wsp:val=&quot;009116B6&quot;/&gt;&lt;wsp:rsid wsp:val=&quot;0093774F&quot;/&gt;&lt;wsp:rsid wsp:val=&quot;00971652&quot;/&gt;&lt;wsp:rsid wsp:val=&quot;0097443D&quot;/&gt;&lt;wsp:rsid wsp:val=&quot;00982FCC&quot;/&gt;&lt;wsp:rsid wsp:val=&quot;0098314B&quot;/&gt;&lt;wsp:rsid wsp:val=&quot;00983444&quot;/&gt;&lt;wsp:rsid wsp:val=&quot;00986F65&quot;/&gt;&lt;wsp:rsid wsp:val=&quot;00990E46&quot;/&gt;&lt;wsp:rsid wsp:val=&quot;0099623A&quot;/&gt;&lt;wsp:rsid wsp:val=&quot;009A39AB&quot;/&gt;&lt;wsp:rsid wsp:val=&quot;009A4C7B&quot;/&gt;&lt;wsp:rsid wsp:val=&quot;009A597B&quot;/&gt;&lt;wsp:rsid wsp:val=&quot;009B779E&quot;/&gt;&lt;wsp:rsid wsp:val=&quot;009C1616&quot;/&gt;&lt;wsp:rsid wsp:val=&quot;009C34E5&quot;/&gt;&lt;wsp:rsid wsp:val=&quot;009C629B&quot;/&gt;&lt;wsp:rsid wsp:val=&quot;009C797F&quot;/&gt;&lt;wsp:rsid wsp:val=&quot;009E635E&quot;/&gt;&lt;wsp:rsid wsp:val=&quot;009F0099&quot;/&gt;&lt;wsp:rsid wsp:val=&quot;009F5F12&quot;/&gt;&lt;wsp:rsid wsp:val=&quot;00A00E8B&quot;/&gt;&lt;wsp:rsid wsp:val=&quot;00A014F3&quot;/&gt;&lt;wsp:rsid wsp:val=&quot;00A10F1A&quot;/&gt;&lt;wsp:rsid wsp:val=&quot;00A21015&quot;/&gt;&lt;wsp:rsid wsp:val=&quot;00A234BA&quot;/&gt;&lt;wsp:rsid wsp:val=&quot;00A313D3&quot;/&gt;&lt;wsp:rsid wsp:val=&quot;00A32CA9&quot;/&gt;&lt;wsp:rsid wsp:val=&quot;00A3469F&quot;/&gt;&lt;wsp:rsid wsp:val=&quot;00A42F9F&quot;/&gt;&lt;wsp:rsid wsp:val=&quot;00A4379E&quot;/&gt;&lt;wsp:rsid wsp:val=&quot;00A43BA3&quot;/&gt;&lt;wsp:rsid wsp:val=&quot;00A45CD2&quot;/&gt;&lt;wsp:rsid wsp:val=&quot;00A461FC&quot;/&gt;&lt;wsp:rsid wsp:val=&quot;00A516B9&quot;/&gt;&lt;wsp:rsid wsp:val=&quot;00A5472C&quot;/&gt;&lt;wsp:rsid wsp:val=&quot;00A55544&quot;/&gt;&lt;wsp:rsid wsp:val=&quot;00A61E62&quot;/&gt;&lt;wsp:rsid wsp:val=&quot;00A63B6E&quot;/&gt;&lt;wsp:rsid wsp:val=&quot;00A72C35&quot;/&gt;&lt;wsp:rsid wsp:val=&quot;00A73B95&quot;/&gt;&lt;wsp:rsid wsp:val=&quot;00A74C22&quot;/&gt;&lt;wsp:rsid wsp:val=&quot;00A76587&quot;/&gt;&lt;wsp:rsid wsp:val=&quot;00A77102&quot;/&gt;&lt;wsp:rsid wsp:val=&quot;00A906E2&quot;/&gt;&lt;wsp:rsid wsp:val=&quot;00A92B64&quot;/&gt;&lt;wsp:rsid wsp:val=&quot;00A97CEF&quot;/&gt;&lt;wsp:rsid wsp:val=&quot;00AA6650&quot;/&gt;&lt;wsp:rsid wsp:val=&quot;00AB45DA&quot;/&gt;&lt;wsp:rsid wsp:val=&quot;00AB74BB&quot;/&gt;&lt;wsp:rsid wsp:val=&quot;00AC3695&quot;/&gt;&lt;wsp:rsid wsp:val=&quot;00AC44E2&quot;/&gt;&lt;wsp:rsid wsp:val=&quot;00AD4ED7&quot;/&gt;&lt;wsp:rsid wsp:val=&quot;00AD5BD1&quot;/&gt;&lt;wsp:rsid wsp:val=&quot;00AE31D5&quot;/&gt;&lt;wsp:rsid wsp:val=&quot;00AF5A12&quot;/&gt;&lt;wsp:rsid wsp:val=&quot;00AF7544&quot;/&gt;&lt;wsp:rsid wsp:val=&quot;00B06B7E&quot;/&gt;&lt;wsp:rsid wsp:val=&quot;00B136B2&quot;/&gt;&lt;wsp:rsid wsp:val=&quot;00B14ED4&quot;/&gt;&lt;wsp:rsid wsp:val=&quot;00B16D96&quot;/&gt;&lt;wsp:rsid wsp:val=&quot;00B22299&quot;/&gt;&lt;wsp:rsid wsp:val=&quot;00B24936&quot;/&gt;&lt;wsp:rsid wsp:val=&quot;00B2754F&quot;/&gt;&lt;wsp:rsid wsp:val=&quot;00B305B2&quot;/&gt;&lt;wsp:rsid wsp:val=&quot;00B346A9&quot;/&gt;&lt;wsp:rsid wsp:val=&quot;00B34A94&quot;/&gt;&lt;wsp:rsid wsp:val=&quot;00B50A7A&quot;/&gt;&lt;wsp:rsid wsp:val=&quot;00B54A7B&quot;/&gt;&lt;wsp:rsid wsp:val=&quot;00B551D8&quot;/&gt;&lt;wsp:rsid wsp:val=&quot;00B61455&quot;/&gt;&lt;wsp:rsid wsp:val=&quot;00B620B6&quot;/&gt;&lt;wsp:rsid wsp:val=&quot;00B70683&quot;/&gt;&lt;wsp:rsid wsp:val=&quot;00B72ACB&quot;/&gt;&lt;wsp:rsid wsp:val=&quot;00B8132C&quot;/&gt;&lt;wsp:rsid wsp:val=&quot;00B82D19&quot;/&gt;&lt;wsp:rsid wsp:val=&quot;00B85335&quot;/&gt;&lt;wsp:rsid wsp:val=&quot;00B905C0&quot;/&gt;&lt;wsp:rsid wsp:val=&quot;00B912F4&quot;/&gt;&lt;wsp:rsid wsp:val=&quot;00B937E9&quot;/&gt;&lt;wsp:rsid wsp:val=&quot;00B9549A&quot;/&gt;&lt;wsp:rsid wsp:val=&quot;00B96394&quot;/&gt;&lt;wsp:rsid wsp:val=&quot;00B97060&quot;/&gt;&lt;wsp:rsid wsp:val=&quot;00BA187E&quot;/&gt;&lt;wsp:rsid wsp:val=&quot;00BA4DD6&quot;/&gt;&lt;wsp:rsid wsp:val=&quot;00BA527A&quot;/&gt;&lt;wsp:rsid wsp:val=&quot;00BB739A&quot;/&gt;&lt;wsp:rsid wsp:val=&quot;00BC42DA&quot;/&gt;&lt;wsp:rsid wsp:val=&quot;00BC46A3&quot;/&gt;&lt;wsp:rsid wsp:val=&quot;00BC7590&quot;/&gt;&lt;wsp:rsid wsp:val=&quot;00BC76D7&quot;/&gt;&lt;wsp:rsid wsp:val=&quot;00BD551E&quot;/&gt;&lt;wsp:rsid wsp:val=&quot;00BD5A4F&quot;/&gt;&lt;wsp:rsid wsp:val=&quot;00BD768F&quot;/&gt;&lt;wsp:rsid wsp:val=&quot;00BE5983&quot;/&gt;&lt;wsp:rsid wsp:val=&quot;00BF0B98&quot;/&gt;&lt;wsp:rsid wsp:val=&quot;00BF0E17&quot;/&gt;&lt;wsp:rsid wsp:val=&quot;00BF3CFC&quot;/&gt;&lt;wsp:rsid wsp:val=&quot;00BF6025&quot;/&gt;&lt;wsp:rsid wsp:val=&quot;00C01FB2&quot;/&gt;&lt;wsp:rsid wsp:val=&quot;00C04D5C&quot;/&gt;&lt;wsp:rsid wsp:val=&quot;00C06F81&quot;/&gt;&lt;wsp:rsid wsp:val=&quot;00C20237&quot;/&gt;&lt;wsp:rsid wsp:val=&quot;00C22EB7&quot;/&gt;&lt;wsp:rsid wsp:val=&quot;00C324A9&quot;/&gt;&lt;wsp:rsid wsp:val=&quot;00C325F3&quot;/&gt;&lt;wsp:rsid wsp:val=&quot;00C346CC&quot;/&gt;&lt;wsp:rsid wsp:val=&quot;00C3514D&quot;/&gt;&lt;wsp:rsid wsp:val=&quot;00C4401A&quot;/&gt;&lt;wsp:rsid wsp:val=&quot;00C5227D&quot;/&gt;&lt;wsp:rsid wsp:val=&quot;00C5609B&quot;/&gt;&lt;wsp:rsid wsp:val=&quot;00C56E68&quot;/&gt;&lt;wsp:rsid wsp:val=&quot;00C57779&quot;/&gt;&lt;wsp:rsid wsp:val=&quot;00C71788&quot;/&gt;&lt;wsp:rsid wsp:val=&quot;00C73D14&quot;/&gt;&lt;wsp:rsid wsp:val=&quot;00C75E36&quot;/&gt;&lt;wsp:rsid wsp:val=&quot;00C80484&quot;/&gt;&lt;wsp:rsid wsp:val=&quot;00C80B7C&quot;/&gt;&lt;wsp:rsid wsp:val=&quot;00C8260B&quot;/&gt;&lt;wsp:rsid wsp:val=&quot;00C87504&quot;/&gt;&lt;wsp:rsid wsp:val=&quot;00C90E02&quot;/&gt;&lt;wsp:rsid wsp:val=&quot;00CA11E7&quot;/&gt;&lt;wsp:rsid wsp:val=&quot;00CB5566&quot;/&gt;&lt;wsp:rsid wsp:val=&quot;00CC6806&quot;/&gt;&lt;wsp:rsid wsp:val=&quot;00CC6A56&quot;/&gt;&lt;wsp:rsid wsp:val=&quot;00CD2E25&quot;/&gt;&lt;wsp:rsid wsp:val=&quot;00CD5B6E&quot;/&gt;&lt;wsp:rsid wsp:val=&quot;00CD723F&quot;/&gt;&lt;wsp:rsid wsp:val=&quot;00CE7E79&quot;/&gt;&lt;wsp:rsid wsp:val=&quot;00CF3050&quot;/&gt;&lt;wsp:rsid wsp:val=&quot;00CF4544&quot;/&gt;&lt;wsp:rsid wsp:val=&quot;00D0341C&quot;/&gt;&lt;wsp:rsid wsp:val=&quot;00D11CF3&quot;/&gt;&lt;wsp:rsid wsp:val=&quot;00D120BB&quot;/&gt;&lt;wsp:rsid wsp:val=&quot;00D22908&quot;/&gt;&lt;wsp:rsid wsp:val=&quot;00D24EB7&quot;/&gt;&lt;wsp:rsid wsp:val=&quot;00D406AC&quot;/&gt;&lt;wsp:rsid wsp:val=&quot;00D47DDB&quot;/&gt;&lt;wsp:rsid wsp:val=&quot;00D505D0&quot;/&gt;&lt;wsp:rsid wsp:val=&quot;00D53B15&quot;/&gt;&lt;wsp:rsid wsp:val=&quot;00D56191&quot;/&gt;&lt;wsp:rsid wsp:val=&quot;00D61839&quot;/&gt;&lt;wsp:rsid wsp:val=&quot;00D624AC&quot;/&gt;&lt;wsp:rsid wsp:val=&quot;00D6550D&quot;/&gt;&lt;wsp:rsid wsp:val=&quot;00D6747A&quot;/&gt;&lt;wsp:rsid wsp:val=&quot;00D8280A&quot;/&gt;&lt;wsp:rsid wsp:val=&quot;00D91913&quot;/&gt;&lt;wsp:rsid wsp:val=&quot;00D94246&quot;/&gt;&lt;wsp:rsid wsp:val=&quot;00D952B0&quot;/&gt;&lt;wsp:rsid wsp:val=&quot;00DA0A25&quot;/&gt;&lt;wsp:rsid wsp:val=&quot;00DB08CF&quot;/&gt;&lt;wsp:rsid wsp:val=&quot;00DB2C9F&quot;/&gt;&lt;wsp:rsid wsp:val=&quot;00DB38F2&quot;/&gt;&lt;wsp:rsid wsp:val=&quot;00DC2E96&quot;/&gt;&lt;wsp:rsid wsp:val=&quot;00DC4CA5&quot;/&gt;&lt;wsp:rsid wsp:val=&quot;00DC77C3&quot;/&gt;&lt;wsp:rsid wsp:val=&quot;00DC77F9&quot;/&gt;&lt;wsp:rsid wsp:val=&quot;00DD5617&quot;/&gt;&lt;wsp:rsid wsp:val=&quot;00DD58EF&quot;/&gt;&lt;wsp:rsid wsp:val=&quot;00DE06AA&quot;/&gt;&lt;wsp:rsid wsp:val=&quot;00DF17FD&quot;/&gt;&lt;wsp:rsid wsp:val=&quot;00DF1E35&quot;/&gt;&lt;wsp:rsid wsp:val=&quot;00DF547D&quot;/&gt;&lt;wsp:rsid wsp:val=&quot;00DF6B85&quot;/&gt;&lt;wsp:rsid wsp:val=&quot;00E005AF&quot;/&gt;&lt;wsp:rsid wsp:val=&quot;00E12732&quot;/&gt;&lt;wsp:rsid wsp:val=&quot;00E12AFC&quot;/&gt;&lt;wsp:rsid wsp:val=&quot;00E15D14&quot;/&gt;&lt;wsp:rsid wsp:val=&quot;00E24178&quot;/&gt;&lt;wsp:rsid wsp:val=&quot;00E27380&quot;/&gt;&lt;wsp:rsid wsp:val=&quot;00E27657&quot;/&gt;&lt;wsp:rsid wsp:val=&quot;00E33953&quot;/&gt;&lt;wsp:rsid wsp:val=&quot;00E3533B&quot;/&gt;&lt;wsp:rsid wsp:val=&quot;00E46D50&quot;/&gt;&lt;wsp:rsid wsp:val=&quot;00E47094&quot;/&gt;&lt;wsp:rsid wsp:val=&quot;00E47382&quot;/&gt;&lt;wsp:rsid wsp:val=&quot;00E47ED5&quot;/&gt;&lt;wsp:rsid wsp:val=&quot;00E56DDD&quot;/&gt;&lt;wsp:rsid wsp:val=&quot;00E7183A&quot;/&gt;&lt;wsp:rsid wsp:val=&quot;00E72873&quot;/&gt;&lt;wsp:rsid wsp:val=&quot;00E73D7D&quot;/&gt;&lt;wsp:rsid wsp:val=&quot;00E777BC&quot;/&gt;&lt;wsp:rsid wsp:val=&quot;00E77B63&quot;/&gt;&lt;wsp:rsid wsp:val=&quot;00E808BD&quot;/&gt;&lt;wsp:rsid wsp:val=&quot;00E82E24&quot;/&gt;&lt;wsp:rsid wsp:val=&quot;00E82E48&quot;/&gt;&lt;wsp:rsid wsp:val=&quot;00E85779&quot;/&gt;&lt;wsp:rsid wsp:val=&quot;00EA69C6&quot;/&gt;&lt;wsp:rsid wsp:val=&quot;00EB196D&quot;/&gt;&lt;wsp:rsid wsp:val=&quot;00EB2399&quot;/&gt;&lt;wsp:rsid wsp:val=&quot;00EC398C&quot;/&gt;&lt;wsp:rsid wsp:val=&quot;00ED3A21&quot;/&gt;&lt;wsp:rsid wsp:val=&quot;00ED44E9&quot;/&gt;&lt;wsp:rsid wsp:val=&quot;00EE56A8&quot;/&gt;&lt;wsp:rsid wsp:val=&quot;00EF19A7&quot;/&gt;&lt;wsp:rsid wsp:val=&quot;00EF3CCB&quot;/&gt;&lt;wsp:rsid wsp:val=&quot;00EF7189&quot;/&gt;&lt;wsp:rsid wsp:val=&quot;00F00B94&quot;/&gt;&lt;wsp:rsid wsp:val=&quot;00F02F23&quot;/&gt;&lt;wsp:rsid wsp:val=&quot;00F03050&quot;/&gt;&lt;wsp:rsid wsp:val=&quot;00F06B6B&quot;/&gt;&lt;wsp:rsid wsp:val=&quot;00F21B22&quot;/&gt;&lt;wsp:rsid wsp:val=&quot;00F23BE8&quot;/&gt;&lt;wsp:rsid wsp:val=&quot;00F272CE&quot;/&gt;&lt;wsp:rsid wsp:val=&quot;00F3058C&quot;/&gt;&lt;wsp:rsid wsp:val=&quot;00F3197F&quot;/&gt;&lt;wsp:rsid wsp:val=&quot;00F455D6&quot;/&gt;&lt;wsp:rsid wsp:val=&quot;00F45F97&quot;/&gt;&lt;wsp:rsid wsp:val=&quot;00F46E96&quot;/&gt;&lt;wsp:rsid wsp:val=&quot;00F5179E&quot;/&gt;&lt;wsp:rsid wsp:val=&quot;00F60827&quot;/&gt;&lt;wsp:rsid wsp:val=&quot;00F60C91&quot;/&gt;&lt;wsp:rsid wsp:val=&quot;00F6107E&quot;/&gt;&lt;wsp:rsid wsp:val=&quot;00F71B52&quot;/&gt;&lt;wsp:rsid wsp:val=&quot;00F762F1&quot;/&gt;&lt;wsp:rsid wsp:val=&quot;00F846EE&quot;/&gt;&lt;wsp:rsid wsp:val=&quot;00F86FC1&quot;/&gt;&lt;wsp:rsid wsp:val=&quot;00F874A6&quot;/&gt;&lt;wsp:rsid wsp:val=&quot;00F91FE0&quot;/&gt;&lt;wsp:rsid wsp:val=&quot;00F92673&quot;/&gt;&lt;wsp:rsid wsp:val=&quot;00F9286A&quot;/&gt;&lt;wsp:rsid wsp:val=&quot;00F93C48&quot;/&gt;&lt;wsp:rsid wsp:val=&quot;00F94D29&quot;/&gt;&lt;wsp:rsid wsp:val=&quot;00F966EF&quot;/&gt;&lt;wsp:rsid wsp:val=&quot;00FC4369&quot;/&gt;&lt;wsp:rsid wsp:val=&quot;00FC582E&quot;/&gt;&lt;wsp:rsid wsp:val=&quot;00FD3B36&quot;/&gt;&lt;wsp:rsid wsp:val=&quot;00FD4C77&quot;/&gt;&lt;wsp:rsid wsp:val=&quot;00FD75C8&quot;/&gt;&lt;wsp:rsid wsp:val=&quot;00FE048E&quot;/&gt;&lt;wsp:rsid wsp:val=&quot;00FF061F&quot;/&gt;&lt;wsp:rsid wsp:val=&quot;00FF4AB1&quot;/&gt;&lt;/wsp:rsids&gt;&lt;/w:docPr&gt;&lt;w:body&gt;&lt;w:p wsp:rsidR=&quot;00000000&quot; wsp:rsidRDefault=&quot;001F3487&quot;&gt;&lt;m:oMathPara&gt;&lt;m:oMath&gt;&lt;m:r&gt;&lt;m:rPr&gt;&lt;m:sty m:val=&quot;p&quot;/&gt;&lt;/m:rPr&gt;&lt;w:rPr&gt;&lt;w:rFonts w:ascii=&quot;Cambria Math&quot; w:h-ansi=&quot;Cambria Math&quot;/&gt;&lt;wx:font wx:val=&quot;Cambria Math&quot;/&gt;&lt;/w:rPr&gt;&lt;m:t&gt;R=&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 w:cs=&quot;Cambria Math&quot;/&gt;&lt;wx:font wx:val=&quot;Cambria Math&quot;/&gt;&lt;/w:rPr&gt;&lt;m:t&gt;A&lt;/m:t&gt;&lt;/m:r&gt;&lt;/m:num&gt;&lt;m:den&gt;&lt;m:d&gt;&lt;m:dPr&gt;&lt;m:ctrlPr&gt;&lt;w:rPr&gt;&lt;w:rFonts w:ascii=&quot;Cambria Math&quot; w:h-ansi=&quot;Cambria Math&quot; w:cs=&quot;Cambria Math&quot;/&gt;&lt;wx:font wx:val=&quot;Cambria Math&quot;/&gt;&lt;/w:rPr&gt;&lt;/m:ctrlPr&gt;&lt;/m:dPr&gt;&lt;m:e&gt;&lt;m:r&gt;&lt;m:rPr&gt;&lt;m:sty m:val=&quot;p&quot;/&gt;&lt;/m:rPr&gt;&lt;w:rPr&gt;&lt;w:rFonts w:ascii=&quot;Cambria Math&quot; w:h-ansi=&quot;Cambria Math&quot; w:cs=&quot;Cambria Math&quot;/&gt;&lt;wx:font wx:val=&quot;Cambria Math&quot;/&gt;&lt;/w:rPr&gt;&lt;m:t&gt;F2-F1&lt;/m:t&gt;&lt;/m:r&gt;&lt;/m:e&gt;&lt;/m:d&gt;&lt;m:r&gt;&lt;m:rPr&gt;&lt;m:sty m:val=&quot;p&quot;/&gt;&lt;/m:rPr&gt;&lt;w:rPr&gt;&lt;w:rFonts w:ascii=&quot;Cambria Math&quot; w:h-ansi=&quot;Cambria Math&quot; w:cs=&quot;Cambria Math&quot;/&gt;&lt;wx:font wx:val=&quot;Cambria Math&quot;/&gt;&lt;/w:rPr&gt;&lt;m:t&gt;S&lt;/m:t&gt;&lt;/m:r&gt;&lt;/m:den&gt;&lt;/m:f&gt;&lt;m:r&gt;&lt;m:rPr&gt;&lt;m:sty m:val=&quot;p&quot;/&gt;&lt;/m:rPr&gt;&lt;w:rPr&gt;&lt;w:rFonts w:ascii=&quot;Cambria Math&quot; w:h-ansi=&quot;Cambria Math&quot;/&gt;&lt;wx:font wx:val=&quot;Cambria Math&quot;/&gt;&lt;/w:rPr&gt;&lt;m:t&gt;(C-F1S)&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12" chromakey="#FFFFFF" o:title=""/>
            <o:lock v:ext="edit" aspectratio="t"/>
            <w10:wrap type="none"/>
            <w10:anchorlock/>
          </v:shape>
        </w:pict>
      </w:r>
      <w:r>
        <w:rPr>
          <w:rFonts w:hint="eastAsia" w:asciiTheme="minorEastAsia" w:hAnsiTheme="minorEastAsia" w:eastAsiaTheme="minorEastAsia" w:cstheme="minorEastAsia"/>
          <w:color w:val="auto"/>
          <w:sz w:val="24"/>
          <w:szCs w:val="24"/>
        </w:rPr>
        <w:fldChar w:fldCharType="end"/>
      </w:r>
    </w:p>
    <w:p w14:paraId="7C12FC8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式中　R——每次进度付款中累计扣回的金额；</w:t>
      </w:r>
    </w:p>
    <w:p w14:paraId="3CD0654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A——工程预付款总金额；</w:t>
      </w:r>
    </w:p>
    <w:p w14:paraId="3DABC45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S——签约合同价；</w:t>
      </w:r>
    </w:p>
    <w:p w14:paraId="2703BCD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C——合同累计完成金额；</w:t>
      </w:r>
    </w:p>
    <w:p w14:paraId="1FEF941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F1——开始扣款时合同累计完成金额达到签约合同价的比例；</w:t>
      </w:r>
    </w:p>
    <w:p w14:paraId="369EF9E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F2——全部扣清时合同累计完成金额达到签约合同价的比例。</w:t>
      </w:r>
    </w:p>
    <w:p w14:paraId="783B12C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上述合同累计完成金额均指价格调整前未扣质量保证金的金额。</w:t>
      </w:r>
    </w:p>
    <w:p w14:paraId="0A2EE14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(2)工程材料预付款的扣回与还清约定为：　　　　。</w:t>
      </w:r>
    </w:p>
    <w:p w14:paraId="279BAFA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17.4　质量保证金</w:t>
      </w:r>
    </w:p>
    <w:p w14:paraId="69F1159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17.4.1　每个付款周期扣留的质量保证金为工程进度付款的　　　　%，扣留的质量保证金总额为签约合同价的　　　　%。</w:t>
      </w:r>
    </w:p>
    <w:p w14:paraId="6F1EC335">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415" w:name="_Toc18413"/>
      <w:r>
        <w:rPr>
          <w:rFonts w:hint="eastAsia" w:asciiTheme="minorEastAsia" w:hAnsiTheme="minorEastAsia" w:eastAsiaTheme="minorEastAsia" w:cstheme="minorEastAsia"/>
          <w:color w:val="auto"/>
          <w:sz w:val="24"/>
          <w:szCs w:val="24"/>
        </w:rPr>
        <w:t>17.5　竣工(完工)结算</w:t>
      </w:r>
      <w:bookmarkEnd w:id="415"/>
    </w:p>
    <w:p w14:paraId="5971308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17.5.1　竣工(完工)付款申请单</w:t>
      </w:r>
    </w:p>
    <w:p w14:paraId="297CA25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(1)承包人应提交完工付款申请单一式　　　　份。</w:t>
      </w:r>
    </w:p>
    <w:p w14:paraId="32C5944A">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416" w:name="_Toc27642"/>
      <w:r>
        <w:rPr>
          <w:rFonts w:hint="eastAsia" w:asciiTheme="minorEastAsia" w:hAnsiTheme="minorEastAsia" w:eastAsiaTheme="minorEastAsia" w:cstheme="minorEastAsia"/>
          <w:color w:val="auto"/>
          <w:sz w:val="24"/>
          <w:szCs w:val="24"/>
        </w:rPr>
        <w:t>17.6　最终结清</w:t>
      </w:r>
      <w:bookmarkEnd w:id="416"/>
    </w:p>
    <w:p w14:paraId="439512F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17.6.1　最终结清申请单</w:t>
      </w:r>
    </w:p>
    <w:p w14:paraId="40D6E6E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(1)承包人应提交最终结清申请单一式　　　份。</w:t>
      </w:r>
    </w:p>
    <w:p w14:paraId="4AD838E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417" w:name="_Toc18035"/>
      <w:r>
        <w:rPr>
          <w:rFonts w:hint="eastAsia" w:asciiTheme="minorEastAsia" w:hAnsiTheme="minorEastAsia" w:eastAsiaTheme="minorEastAsia" w:cstheme="minorEastAsia"/>
          <w:color w:val="auto"/>
          <w:sz w:val="24"/>
          <w:szCs w:val="24"/>
        </w:rPr>
        <w:t>17.7　竣工财务决算</w:t>
      </w:r>
      <w:bookmarkEnd w:id="417"/>
    </w:p>
    <w:p w14:paraId="720C5C7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承包人应为竣工财务决算编制提供的资料：　　　　　。</w:t>
      </w:r>
    </w:p>
    <w:p w14:paraId="66B5E42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418" w:name="第04章合同条款及格式0218"/>
      <w:bookmarkEnd w:id="418"/>
      <w:r>
        <w:rPr>
          <w:rFonts w:hint="eastAsia" w:asciiTheme="minorEastAsia" w:hAnsiTheme="minorEastAsia" w:eastAsiaTheme="minorEastAsia" w:cstheme="minorEastAsia"/>
          <w:b/>
          <w:color w:val="auto"/>
          <w:sz w:val="24"/>
          <w:szCs w:val="24"/>
        </w:rPr>
        <w:t>18　竣工验收(验收)</w:t>
      </w:r>
    </w:p>
    <w:p w14:paraId="40E961D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18.1　验收工作分类</w:t>
      </w:r>
    </w:p>
    <w:p w14:paraId="0A19946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本工程法人验收包括：　　　　；政府验收包括：　　　　。验收条件为：　　　　　，验收程序为：　　　　。</w:t>
      </w:r>
    </w:p>
    <w:p w14:paraId="38BFE976">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419" w:name="_Toc29399"/>
      <w:r>
        <w:rPr>
          <w:rFonts w:hint="eastAsia" w:asciiTheme="minorEastAsia" w:hAnsiTheme="minorEastAsia" w:eastAsiaTheme="minorEastAsia" w:cstheme="minorEastAsia"/>
          <w:color w:val="auto"/>
          <w:sz w:val="24"/>
          <w:szCs w:val="24"/>
        </w:rPr>
        <w:t>18.2　分部工程验收</w:t>
      </w:r>
      <w:bookmarkEnd w:id="419"/>
    </w:p>
    <w:p w14:paraId="5043051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18.2.2　本工程由发包人主持的分部工程验收为　　　　，其余由监理人主持。</w:t>
      </w:r>
    </w:p>
    <w:p w14:paraId="30D444B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18.3　单位工程验收</w:t>
      </w:r>
    </w:p>
    <w:p w14:paraId="7276B41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18.3.4　提前投入使用的单位工程包括：　　、　　、　　。</w:t>
      </w:r>
    </w:p>
    <w:p w14:paraId="1E84617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18.5　阶段验收</w:t>
      </w:r>
    </w:p>
    <w:p w14:paraId="4F9FE6A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18.5.1　本合同工程阶段验收类别包括：　　、　　、　　。</w:t>
      </w:r>
    </w:p>
    <w:p w14:paraId="6278AB1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420" w:name="_Toc19246"/>
      <w:r>
        <w:rPr>
          <w:rFonts w:hint="eastAsia" w:asciiTheme="minorEastAsia" w:hAnsiTheme="minorEastAsia" w:eastAsiaTheme="minorEastAsia" w:cstheme="minorEastAsia"/>
          <w:color w:val="auto"/>
          <w:sz w:val="24"/>
          <w:szCs w:val="24"/>
        </w:rPr>
        <w:t>18.6　专项验收</w:t>
      </w:r>
      <w:bookmarkEnd w:id="420"/>
    </w:p>
    <w:p w14:paraId="475596C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18.6.2　本合同工程专项验收类别包括：　　、　　、　　。</w:t>
      </w:r>
    </w:p>
    <w:p w14:paraId="7D0D019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18.7　竣工验收</w:t>
      </w:r>
    </w:p>
    <w:p w14:paraId="7327F72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18.7.3　本工程　　　　(需要／不需要)竣工验收技术鉴定(蓄水安全鉴定)。</w:t>
      </w:r>
    </w:p>
    <w:p w14:paraId="13121BC7">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421" w:name="_Toc14036"/>
      <w:r>
        <w:rPr>
          <w:rFonts w:hint="eastAsia" w:asciiTheme="minorEastAsia" w:hAnsiTheme="minorEastAsia" w:eastAsiaTheme="minorEastAsia" w:cstheme="minorEastAsia"/>
          <w:color w:val="auto"/>
          <w:sz w:val="24"/>
          <w:szCs w:val="24"/>
        </w:rPr>
        <w:t>18.8　施工期运行</w:t>
      </w:r>
      <w:bookmarkEnd w:id="421"/>
    </w:p>
    <w:p w14:paraId="09F2281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18.8.1　需要在施工期运行的单位工程或工程设备为：　　、　　、　　。</w:t>
      </w:r>
    </w:p>
    <w:p w14:paraId="3E5457CA">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422" w:name="_Toc11856"/>
      <w:r>
        <w:rPr>
          <w:rFonts w:hint="eastAsia" w:asciiTheme="minorEastAsia" w:hAnsiTheme="minorEastAsia" w:eastAsiaTheme="minorEastAsia" w:cstheme="minorEastAsia"/>
          <w:color w:val="auto"/>
          <w:sz w:val="24"/>
          <w:szCs w:val="24"/>
        </w:rPr>
        <w:t>18.9　试运行</w:t>
      </w:r>
      <w:bookmarkEnd w:id="422"/>
    </w:p>
    <w:p w14:paraId="432A505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18.9.1　试运行的组织：　　；费用承担：　　。</w:t>
      </w:r>
    </w:p>
    <w:p w14:paraId="140F5A33">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423" w:name="第04章合同条款及格式0219"/>
      <w:bookmarkEnd w:id="423"/>
      <w:bookmarkStart w:id="424" w:name="_Toc3907"/>
      <w:r>
        <w:rPr>
          <w:rFonts w:hint="eastAsia" w:asciiTheme="minorEastAsia" w:hAnsiTheme="minorEastAsia" w:eastAsiaTheme="minorEastAsia" w:cstheme="minorEastAsia"/>
          <w:b/>
          <w:color w:val="auto"/>
          <w:sz w:val="24"/>
          <w:szCs w:val="24"/>
        </w:rPr>
        <w:t>19　缺陷责任与保修责任</w:t>
      </w:r>
      <w:bookmarkEnd w:id="424"/>
    </w:p>
    <w:p w14:paraId="210CE7A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19.1　缺陷责任期(工程质量保修期)的起算时间</w:t>
      </w:r>
    </w:p>
    <w:p w14:paraId="21CF5D4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本工程缺陷责任期(工程质量保修期)计算如下：　　　　。</w:t>
      </w:r>
    </w:p>
    <w:p w14:paraId="708B240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425" w:name="第04章合同条款及格式0220"/>
      <w:bookmarkEnd w:id="425"/>
      <w:bookmarkStart w:id="426" w:name="_Toc29224"/>
      <w:r>
        <w:rPr>
          <w:rFonts w:hint="eastAsia" w:asciiTheme="minorEastAsia" w:hAnsiTheme="minorEastAsia" w:eastAsiaTheme="minorEastAsia" w:cstheme="minorEastAsia"/>
          <w:b/>
          <w:color w:val="auto"/>
          <w:sz w:val="24"/>
          <w:szCs w:val="24"/>
        </w:rPr>
        <w:t>20　保险</w:t>
      </w:r>
      <w:bookmarkEnd w:id="426"/>
    </w:p>
    <w:p w14:paraId="0B4782E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20.1　工程保险</w:t>
      </w:r>
    </w:p>
    <w:p w14:paraId="20716FA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建筑工程一切险和(或)安装工程一切险投保人：　　；</w:t>
      </w:r>
    </w:p>
    <w:p w14:paraId="3304C49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投保内容：　　；</w:t>
      </w:r>
    </w:p>
    <w:p w14:paraId="732386A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保险金额、保险费率和保险期限：　　　　　　。</w:t>
      </w:r>
    </w:p>
    <w:p w14:paraId="4C782843">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427" w:name="_Toc25713"/>
      <w:r>
        <w:rPr>
          <w:rFonts w:hint="eastAsia" w:asciiTheme="minorEastAsia" w:hAnsiTheme="minorEastAsia" w:eastAsiaTheme="minorEastAsia" w:cstheme="minorEastAsia"/>
          <w:color w:val="auto"/>
          <w:sz w:val="24"/>
          <w:szCs w:val="24"/>
        </w:rPr>
        <w:t>20.4　第三者责任险</w:t>
      </w:r>
      <w:bookmarkEnd w:id="427"/>
    </w:p>
    <w:p w14:paraId="44E7058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20.4.2　第三者责任险保险费率：　　　　；</w:t>
      </w:r>
    </w:p>
    <w:p w14:paraId="19CE1FD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第三者责任险保险金额：　　　。</w:t>
      </w:r>
    </w:p>
    <w:p w14:paraId="3796A28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20.5　其它保险</w:t>
      </w:r>
    </w:p>
    <w:p w14:paraId="2E5AD95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需要投保的其它内容：　　　　；</w:t>
      </w:r>
    </w:p>
    <w:p w14:paraId="37A2063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保险金额、保险费率和保险期限：　　　　。</w:t>
      </w:r>
    </w:p>
    <w:p w14:paraId="4BE4CF9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20.6　对各项保险的一般要求</w:t>
      </w:r>
    </w:p>
    <w:p w14:paraId="1CA4D65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20.6.1　保险凭证</w:t>
      </w:r>
    </w:p>
    <w:p w14:paraId="36305AD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承包人提交保险凭证的期限：　　　　。</w:t>
      </w:r>
    </w:p>
    <w:p w14:paraId="1D8E9EA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保险条件：　　　　；</w:t>
      </w:r>
    </w:p>
    <w:p w14:paraId="14119F5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20.6.4　保险金不足的补偿</w:t>
      </w:r>
    </w:p>
    <w:p w14:paraId="3A9E04F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承包人负责补偿的范围与金额：　　　　；</w:t>
      </w:r>
    </w:p>
    <w:p w14:paraId="547C12A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发包人负责补偿的范围与金额：　　　　。</w:t>
      </w:r>
    </w:p>
    <w:p w14:paraId="08E038E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428" w:name="第04章合同条款及格式0224"/>
      <w:bookmarkEnd w:id="428"/>
      <w:r>
        <w:rPr>
          <w:rFonts w:hint="eastAsia" w:asciiTheme="minorEastAsia" w:hAnsiTheme="minorEastAsia" w:eastAsiaTheme="minorEastAsia" w:cstheme="minorEastAsia"/>
          <w:b/>
          <w:color w:val="auto"/>
          <w:sz w:val="24"/>
          <w:szCs w:val="24"/>
        </w:rPr>
        <w:t>24　争议的解决</w:t>
      </w:r>
    </w:p>
    <w:p w14:paraId="1D84E73A">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429" w:name="_Toc30748"/>
      <w:r>
        <w:rPr>
          <w:rFonts w:hint="eastAsia" w:asciiTheme="minorEastAsia" w:hAnsiTheme="minorEastAsia" w:eastAsiaTheme="minorEastAsia" w:cstheme="minorEastAsia"/>
          <w:color w:val="auto"/>
          <w:sz w:val="24"/>
          <w:szCs w:val="24"/>
        </w:rPr>
        <w:t>24.1　争议的解决方式</w:t>
      </w:r>
      <w:bookmarkEnd w:id="429"/>
    </w:p>
    <w:p w14:paraId="5F5D609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合同当事人友好协商解决不成、不愿提请争议评审或不接受争议评审组意见的，约定的合同争议解决方式：　　　　。</w:t>
      </w:r>
    </w:p>
    <w:p w14:paraId="5DF5635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第3节　合同附件格式</w:t>
      </w:r>
    </w:p>
    <w:p w14:paraId="296F5EA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附件一：</w:t>
      </w:r>
    </w:p>
    <w:p w14:paraId="175C2E3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bookmarkStart w:id="430" w:name="第04章合同条款及格式03附件01"/>
      <w:bookmarkEnd w:id="430"/>
      <w:r>
        <w:rPr>
          <w:rFonts w:hint="eastAsia" w:asciiTheme="minorEastAsia" w:hAnsiTheme="minorEastAsia" w:eastAsiaTheme="minorEastAsia" w:cstheme="minorEastAsia"/>
          <w:b/>
          <w:color w:val="auto"/>
          <w:sz w:val="24"/>
          <w:szCs w:val="24"/>
        </w:rPr>
        <w:t>合同协议书</w:t>
      </w:r>
    </w:p>
    <w:p w14:paraId="5E0B6F3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(发包人名称，以下简称“发包人”)为实施</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(项目名称)，已接受</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(承包人名称，以下简称“承包人”)</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对(项目名称)</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(标段名称)的投标，并确定其为中标人。发包人和承包人共同达成如下协议。</w:t>
      </w:r>
    </w:p>
    <w:p w14:paraId="4933EB7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1.本协议书与下列文件一起构成合同文件：</w:t>
      </w:r>
    </w:p>
    <w:p w14:paraId="664DCEA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(1)中标通知书；</w:t>
      </w:r>
    </w:p>
    <w:p w14:paraId="6E31238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(2)投标函及投标函附录；</w:t>
      </w:r>
    </w:p>
    <w:p w14:paraId="3120284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(3)专用合同条款；</w:t>
      </w:r>
    </w:p>
    <w:p w14:paraId="3E74E3A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(4)通用合同条款；</w:t>
      </w:r>
    </w:p>
    <w:p w14:paraId="17C8E5A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(5)技术标准和要求(合同技术条款)；</w:t>
      </w:r>
    </w:p>
    <w:p w14:paraId="6A0B144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(6)图纸；</w:t>
      </w:r>
    </w:p>
    <w:p w14:paraId="752E06D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(7)已标价工程量清单；</w:t>
      </w:r>
    </w:p>
    <w:p w14:paraId="313F5B7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(8)其它合同文件。</w:t>
      </w:r>
    </w:p>
    <w:p w14:paraId="54E9CFB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2.上述文件互相补充和解释，如有不明确或不一致之处，以合同约定次序在先者为准。</w:t>
      </w:r>
    </w:p>
    <w:p w14:paraId="2B5BDC7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3.签约合同价：人民币(大写)</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元(￥</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元)。</w:t>
      </w:r>
    </w:p>
    <w:p w14:paraId="1CE6F8F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4.承包人项目经理：　　　　。</w:t>
      </w:r>
    </w:p>
    <w:p w14:paraId="1360B5D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5.工程质量符合</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标准。</w:t>
      </w:r>
    </w:p>
    <w:p w14:paraId="750C004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6.承包人承诺按合同约定承担工程的实施、完成及缺陷修复。</w:t>
      </w:r>
    </w:p>
    <w:p w14:paraId="2DCCAF5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7.发包人承诺按合同约定的条件、时间和方式向承包人支付合同价款。</w:t>
      </w:r>
    </w:p>
    <w:p w14:paraId="0A81DC2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8.承包人承诺执行监理人开工通知，计划工期为</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天。</w:t>
      </w:r>
    </w:p>
    <w:p w14:paraId="0216DB0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9.本协议书一式</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份，合同双方各执一份。</w:t>
      </w:r>
    </w:p>
    <w:p w14:paraId="1D9876A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10.合同未尽事宜，双方另行签订补充协议。补充协议是合同的组成部分。</w:t>
      </w:r>
    </w:p>
    <w:p w14:paraId="14B637A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发包人：　　(盖单位章)　　</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承包人：　　　　　</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(盖单位章)</w:t>
      </w:r>
    </w:p>
    <w:p w14:paraId="1EB2282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313C4E2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法定代表人或其委托代理人：　　(签字)法定代表人或其委托代理人：　(签字)</w:t>
      </w:r>
    </w:p>
    <w:p w14:paraId="4F1DCAF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年　　月　　日　</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　　　　　　　　　年　　月　　日</w:t>
      </w:r>
    </w:p>
    <w:p w14:paraId="2307626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61DA69A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附件二：</w:t>
      </w:r>
    </w:p>
    <w:p w14:paraId="0149949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履约担保</w:t>
      </w:r>
    </w:p>
    <w:p w14:paraId="6FA3DE54">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4"/>
          <w:szCs w:val="24"/>
        </w:rPr>
      </w:pPr>
    </w:p>
    <w:p w14:paraId="23E1DB5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(发包人名称)：</w:t>
      </w:r>
    </w:p>
    <w:p w14:paraId="67588C2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鉴于</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(发包人名称，以下简称“发包人”)已接受</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(承包人名称，以下简称“承包人”)于</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日递交的</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(项目名称)　　　(标段名称)的投标文件。我方愿意无条件地、不可撤销地就承包人履行与你方订立的合同，向你方提供担保。</w:t>
      </w:r>
    </w:p>
    <w:p w14:paraId="6B9CD25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1.担保金额人民币(大写)</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元(￥</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元)。</w:t>
      </w:r>
    </w:p>
    <w:p w14:paraId="1556525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2.担保有效期自发包人与承包人签订的合同生效之日起至发包人签发合同工程完工证书之日止。</w:t>
      </w:r>
    </w:p>
    <w:p w14:paraId="6301474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3.在本担保有效期内，因承包人违反合同约定的义务给你方造成经济损失时，我方在收到你方以书面形式提出的在担保金额内的赔偿要求后，无条件地在7天内予以支付。</w:t>
      </w:r>
    </w:p>
    <w:p w14:paraId="0AB39E8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4.发包人和承包人按《通用合同条款》第15条变更合同时，我方承担本担保规定的义务不变。</w:t>
      </w:r>
    </w:p>
    <w:p w14:paraId="0831D28B">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担保人：　　　　　　　　　　　(盖单位章)</w:t>
      </w:r>
    </w:p>
    <w:p w14:paraId="263D7D4D">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法定代表人或其委托代理人：　　　　(签字)</w:t>
      </w:r>
    </w:p>
    <w:p w14:paraId="157B25D4">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地址：　　　　　　　　　　　　　　　　　</w:t>
      </w:r>
    </w:p>
    <w:p w14:paraId="784AEDB0">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邮政编码：　　　　　　　　　　　　　　　</w:t>
      </w:r>
    </w:p>
    <w:p w14:paraId="4E59A1FD">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电话：　　　　　　　　　　　　　　　　　</w:t>
      </w:r>
    </w:p>
    <w:p w14:paraId="78FD5A08">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传真：　　　　　　　　　　　　　　　　　</w:t>
      </w:r>
    </w:p>
    <w:p w14:paraId="7225613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年　　月　　日</w:t>
      </w:r>
    </w:p>
    <w:p w14:paraId="39D0489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7B4AAD2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注：委托代理人应附授权委托书。</w:t>
      </w:r>
    </w:p>
    <w:p w14:paraId="6262C18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025E076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44BB605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0A0D122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附件三：</w:t>
      </w:r>
    </w:p>
    <w:p w14:paraId="63817D1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bookmarkStart w:id="431" w:name="第04章合同条款及格式03附件03"/>
      <w:bookmarkEnd w:id="431"/>
      <w:r>
        <w:rPr>
          <w:rFonts w:hint="eastAsia" w:asciiTheme="minorEastAsia" w:hAnsiTheme="minorEastAsia" w:eastAsiaTheme="minorEastAsia" w:cstheme="minorEastAsia"/>
          <w:b/>
          <w:color w:val="auto"/>
          <w:sz w:val="24"/>
          <w:szCs w:val="24"/>
        </w:rPr>
        <w:t>预付款担保函</w:t>
      </w:r>
    </w:p>
    <w:p w14:paraId="023ECF4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(发包人名称)：</w:t>
      </w:r>
    </w:p>
    <w:p w14:paraId="4521A36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根据</w:t>
      </w:r>
      <w:bookmarkStart w:id="432" w:name="OLE_LINK12"/>
      <w:r>
        <w:rPr>
          <w:rFonts w:hint="eastAsia" w:asciiTheme="minorEastAsia" w:hAnsiTheme="minorEastAsia" w:eastAsiaTheme="minorEastAsia" w:cstheme="minorEastAsia"/>
          <w:color w:val="auto"/>
          <w:sz w:val="24"/>
          <w:szCs w:val="24"/>
          <w:u w:val="single"/>
        </w:rPr>
        <w:t>　　　　　　　</w:t>
      </w:r>
      <w:bookmarkEnd w:id="432"/>
      <w:r>
        <w:rPr>
          <w:rFonts w:hint="eastAsia" w:asciiTheme="minorEastAsia" w:hAnsiTheme="minorEastAsia" w:eastAsiaTheme="minorEastAsia" w:cstheme="minorEastAsia"/>
          <w:color w:val="auto"/>
          <w:sz w:val="24"/>
          <w:szCs w:val="24"/>
        </w:rPr>
        <w:t>(承包人名称，以下简称“承包人”)与</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(发包人名称，以下简称“发包人”)于</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日签订的</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(项目名称)　　　　(标段名称)合同协议书，承包人按约定的金额向发包人提交一份预付款担保，即有权得到发包人支付相等金额的预付款。我方愿意就你方提供给承包人的预付款提供担保。</w:t>
      </w:r>
    </w:p>
    <w:p w14:paraId="6879435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1.担保金额人民币(大写)</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元(￥</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元)。</w:t>
      </w:r>
    </w:p>
    <w:p w14:paraId="2BC8C0F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2.担保有效期自预付款支付给承包人起生效，至发包人签发的进度付款证书说明预付款已完全扣清止。</w:t>
      </w:r>
    </w:p>
    <w:p w14:paraId="1C751D4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在本担保有效期内，因承包人违反合同约定的义务而要求收回预付款时，我方在收到你方的书面通知后，无条件地在7天内予以支付。但本担保的担保金额，在任何时候不应超过预付款金额减去发包人按合同约定在向承包人签发的进度付款证书中已扣回的金额。</w:t>
      </w:r>
    </w:p>
    <w:p w14:paraId="1F77F4B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4.发包人和承包人按《通用合同条款》第15条变更合同时，我方承担本担保规定的义务不变。</w:t>
      </w:r>
    </w:p>
    <w:p w14:paraId="33A553F8">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担保人：　　　　　　　　　　　　(盖单位章)</w:t>
      </w:r>
    </w:p>
    <w:p w14:paraId="3ED1F563">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法定代表人或其委托代理人：　　　　　(签字)</w:t>
      </w:r>
    </w:p>
    <w:p w14:paraId="7AA5A9E4">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地址：　　　　　　　　　　　　　　　　　</w:t>
      </w:r>
    </w:p>
    <w:p w14:paraId="6AF55BEE">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邮政编码：　　　　　　　　　　　　　　　</w:t>
      </w:r>
    </w:p>
    <w:p w14:paraId="710215B1">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电话：　　　　　　　　　　　　　　　　　</w:t>
      </w:r>
    </w:p>
    <w:p w14:paraId="252F3862">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传真：　　　　　　　　　　　　　　　　　</w:t>
      </w:r>
    </w:p>
    <w:p w14:paraId="24C60FA6">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年　　月　　日</w:t>
      </w:r>
    </w:p>
    <w:p w14:paraId="10B5931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3EF5C20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注：委托代理人应附授权委托书。</w:t>
      </w:r>
    </w:p>
    <w:p w14:paraId="66A3AC00"/>
    <w:p w14:paraId="52C87399">
      <w:pPr>
        <w:rPr>
          <w:rFonts w:hint="eastAsia" w:ascii="宋体" w:hAnsi="宋体" w:eastAsia="宋体" w:cs="宋体"/>
          <w:color w:val="auto"/>
          <w:highlight w:val="none"/>
          <w:lang w:eastAsia="zh-CN"/>
        </w:rPr>
      </w:pPr>
    </w:p>
    <w:p w14:paraId="0F59B3C4">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14:paraId="4696541E">
      <w:pPr>
        <w:pStyle w:val="2"/>
        <w:rPr>
          <w:rFonts w:hint="eastAsia" w:ascii="宋体" w:hAnsi="宋体" w:eastAsia="宋体" w:cs="宋体"/>
          <w:b/>
          <w:bCs/>
          <w:color w:val="auto"/>
          <w:sz w:val="24"/>
          <w:szCs w:val="24"/>
          <w:highlight w:val="none"/>
          <w:lang w:eastAsia="zh-CN"/>
        </w:rPr>
      </w:pPr>
      <w:r>
        <w:rPr>
          <w:rFonts w:hint="eastAsia" w:ascii="宋体" w:hAnsi="宋体" w:eastAsia="宋体" w:cs="宋体"/>
          <w:color w:val="auto"/>
          <w:highlight w:val="none"/>
          <w:lang w:eastAsia="zh-CN"/>
        </w:rPr>
        <w:t>第</w:t>
      </w:r>
      <w:r>
        <w:rPr>
          <w:rFonts w:hint="eastAsia" w:ascii="宋体" w:hAnsi="宋体" w:eastAsia="宋体" w:cs="宋体"/>
          <w:color w:val="auto"/>
          <w:highlight w:val="none"/>
        </w:rPr>
        <w:t xml:space="preserve">五章  </w:t>
      </w:r>
      <w:bookmarkEnd w:id="275"/>
      <w:r>
        <w:rPr>
          <w:rFonts w:hint="eastAsia" w:ascii="宋体" w:hAnsi="宋体" w:eastAsia="宋体" w:cs="宋体"/>
          <w:color w:val="auto"/>
          <w:highlight w:val="none"/>
        </w:rPr>
        <w:t>采购需求</w:t>
      </w:r>
      <w:bookmarkEnd w:id="276"/>
      <w:bookmarkEnd w:id="277"/>
      <w:bookmarkEnd w:id="278"/>
      <w:bookmarkStart w:id="433" w:name="_Toc8274"/>
      <w:bookmarkStart w:id="434" w:name="_Toc27874"/>
      <w:bookmarkStart w:id="435" w:name="_Toc5331"/>
      <w:bookmarkStart w:id="436" w:name="_Toc30134"/>
    </w:p>
    <w:p w14:paraId="04388AD6">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一、采购内容：</w:t>
      </w:r>
    </w:p>
    <w:p w14:paraId="49FB7386">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采购项目名称：</w:t>
      </w:r>
      <w:r>
        <w:rPr>
          <w:rFonts w:hint="eastAsia" w:ascii="宋体" w:hAnsi="宋体" w:eastAsia="宋体" w:cs="宋体"/>
          <w:color w:val="auto"/>
          <w:sz w:val="24"/>
          <w:szCs w:val="24"/>
          <w:highlight w:val="none"/>
          <w:lang w:val="en-US" w:eastAsia="zh-CN"/>
        </w:rPr>
        <w:t>田家寨镇张圪崂村张圪崂大型淤地坝提升改造工程</w:t>
      </w:r>
    </w:p>
    <w:p w14:paraId="0D865EBB">
      <w:pPr>
        <w:spacing w:line="360" w:lineRule="auto"/>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、采购项目预算：</w:t>
      </w:r>
      <w:r>
        <w:rPr>
          <w:rFonts w:hint="eastAsia" w:ascii="宋体" w:hAnsi="宋体" w:eastAsia="宋体" w:cs="宋体"/>
          <w:color w:val="auto"/>
          <w:sz w:val="24"/>
          <w:szCs w:val="24"/>
          <w:highlight w:val="none"/>
          <w:lang w:val="en-US" w:eastAsia="zh-CN"/>
        </w:rPr>
        <w:t>1066200.00元（包含本项目预备费4.63万元）</w:t>
      </w:r>
    </w:p>
    <w:p w14:paraId="7F52264A">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、资金来源：</w:t>
      </w:r>
      <w:r>
        <w:rPr>
          <w:rFonts w:hint="eastAsia" w:ascii="宋体" w:hAnsi="宋体" w:eastAsia="宋体" w:cs="宋体"/>
          <w:color w:val="auto"/>
          <w:sz w:val="24"/>
          <w:szCs w:val="24"/>
          <w:highlight w:val="none"/>
          <w:lang w:val="en-US" w:eastAsia="zh-CN"/>
        </w:rPr>
        <w:t>财政拨款</w:t>
      </w:r>
    </w:p>
    <w:p w14:paraId="2C10C629">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4、采购方式：</w:t>
      </w:r>
      <w:r>
        <w:rPr>
          <w:rFonts w:hint="eastAsia" w:ascii="宋体" w:hAnsi="宋体" w:eastAsia="宋体" w:cs="宋体"/>
          <w:color w:val="auto"/>
          <w:sz w:val="24"/>
          <w:szCs w:val="24"/>
          <w:highlight w:val="none"/>
          <w:lang w:val="en-US" w:eastAsia="zh-CN"/>
        </w:rPr>
        <w:t>竞争性磋商</w:t>
      </w:r>
    </w:p>
    <w:p w14:paraId="016AD98E">
      <w:pPr>
        <w:shd w:val="clea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工期：45日历天</w:t>
      </w:r>
    </w:p>
    <w:p w14:paraId="35592D31">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项目实施地点：</w:t>
      </w:r>
      <w:r>
        <w:rPr>
          <w:rFonts w:hint="eastAsia" w:ascii="宋体" w:hAnsi="宋体" w:eastAsia="宋体" w:cs="宋体"/>
          <w:color w:val="auto"/>
          <w:sz w:val="24"/>
          <w:szCs w:val="24"/>
          <w:highlight w:val="none"/>
          <w:lang w:val="en-US" w:eastAsia="zh-CN"/>
        </w:rPr>
        <w:t>田家寨镇张圪崂村</w:t>
      </w:r>
    </w:p>
    <w:p w14:paraId="25C9616B">
      <w:pPr>
        <w:pStyle w:val="27"/>
        <w:ind w:left="0" w:leftChars="0" w:firstLine="480" w:firstLineChars="200"/>
        <w:rPr>
          <w:rFonts w:hint="eastAsia"/>
          <w:color w:val="auto"/>
          <w:lang w:val="en-US" w:eastAsia="zh-CN"/>
        </w:rPr>
      </w:pPr>
      <w:r>
        <w:rPr>
          <w:rFonts w:hint="eastAsia"/>
          <w:color w:val="auto"/>
          <w:lang w:val="en-US" w:eastAsia="zh-CN"/>
        </w:rPr>
        <w:t>二、采购要求：</w:t>
      </w:r>
    </w:p>
    <w:p w14:paraId="75136E49">
      <w:pPr>
        <w:ind w:firstLine="480" w:firstLineChars="200"/>
        <w:rPr>
          <w:rFonts w:hint="eastAsia" w:ascii="宋体" w:hAnsi="宋体" w:eastAsia="宋体" w:cs="宋体"/>
          <w:color w:val="auto"/>
        </w:rPr>
      </w:pPr>
      <w:bookmarkStart w:id="437" w:name="_Toc5590"/>
      <w:r>
        <w:rPr>
          <w:rFonts w:hint="eastAsia" w:asciiTheme="majorEastAsia" w:hAnsiTheme="majorEastAsia" w:eastAsiaTheme="majorEastAsia" w:cstheme="majorEastAsia"/>
          <w:color w:val="auto"/>
          <w:sz w:val="24"/>
          <w:szCs w:val="24"/>
          <w:shd w:val="clear"/>
        </w:rPr>
        <w:t>采购内容：对田家寨镇张圪崂村张圪大型淤地坝进行提升改造，主要包括加高加固坝体，新建泄水建筑物。</w:t>
      </w:r>
      <w:r>
        <w:rPr>
          <w:rFonts w:hint="eastAsia" w:asciiTheme="majorEastAsia" w:hAnsiTheme="majorEastAsia" w:eastAsiaTheme="majorEastAsia" w:cstheme="majorEastAsia"/>
          <w:color w:val="auto"/>
          <w:sz w:val="24"/>
          <w:szCs w:val="24"/>
          <w:shd w:val="clear"/>
          <w:lang w:val="en-US" w:eastAsia="zh-CN"/>
        </w:rPr>
        <w:t>具体内容详见工程量清单。</w:t>
      </w:r>
      <w:r>
        <w:rPr>
          <w:rFonts w:hint="eastAsia" w:ascii="宋体" w:hAnsi="宋体" w:eastAsia="宋体" w:cs="宋体"/>
          <w:color w:val="auto"/>
          <w:shd w:val="clear"/>
        </w:rPr>
        <w:br w:type="page"/>
      </w:r>
    </w:p>
    <w:p w14:paraId="19CE9084">
      <w:pPr>
        <w:pStyle w:val="2"/>
        <w:numPr>
          <w:ilvl w:val="0"/>
          <w:numId w:val="0"/>
        </w:numPr>
        <w:spacing w:line="24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kern w:val="44"/>
          <w:sz w:val="36"/>
          <w:szCs w:val="24"/>
          <w:lang w:val="en-US" w:eastAsia="zh-CN" w:bidi="ar-SA"/>
          <w14:textFill>
            <w14:solidFill>
              <w14:schemeClr w14:val="tx1"/>
            </w14:solidFill>
          </w14:textFill>
        </w:rPr>
        <w:t>第六章</w:t>
      </w:r>
      <w:r>
        <w:rPr>
          <w:rFonts w:hint="eastAsia" w:ascii="宋体" w:hAnsi="宋体" w:cs="宋体"/>
          <w:b/>
          <w:color w:val="000000" w:themeColor="text1"/>
          <w:kern w:val="44"/>
          <w:sz w:val="36"/>
          <w:szCs w:val="24"/>
          <w:lang w:val="en-US" w:eastAsia="zh-CN" w:bidi="ar-SA"/>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工程量清单</w:t>
      </w:r>
    </w:p>
    <w:p w14:paraId="772883F1">
      <w:pPr>
        <w:pStyle w:val="3"/>
        <w:wordWrap/>
        <w:adjustRightInd/>
        <w:snapToGrid/>
        <w:spacing w:line="360" w:lineRule="auto"/>
        <w:textAlignment w:val="auto"/>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编制</w:t>
      </w:r>
      <w:r>
        <w:rPr>
          <w:rFonts w:hint="default" w:ascii="Times New Roman" w:hAnsi="Times New Roman" w:eastAsia="宋体" w:cs="Times New Roman"/>
          <w:b/>
          <w:color w:val="auto"/>
          <w:sz w:val="28"/>
          <w:szCs w:val="28"/>
          <w:highlight w:val="none"/>
          <w:lang w:val="en-US" w:eastAsia="zh-CN"/>
        </w:rPr>
        <w:t>原则和</w:t>
      </w:r>
      <w:r>
        <w:rPr>
          <w:rFonts w:hint="default" w:ascii="Times New Roman" w:hAnsi="Times New Roman" w:eastAsia="宋体" w:cs="Times New Roman"/>
          <w:b/>
          <w:color w:val="auto"/>
          <w:sz w:val="28"/>
          <w:szCs w:val="28"/>
          <w:highlight w:val="none"/>
        </w:rPr>
        <w:t>依据</w:t>
      </w:r>
    </w:p>
    <w:p w14:paraId="70663CF0">
      <w:pPr>
        <w:widowControl/>
        <w:wordWrap/>
        <w:adjustRightInd/>
        <w:snapToGrid/>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eastAsia="zh-CN"/>
        </w:rPr>
        <w:t>编制原则</w:t>
      </w:r>
    </w:p>
    <w:p w14:paraId="645AF7D6">
      <w:pPr>
        <w:widowControl/>
        <w:wordWrap/>
        <w:adjustRightInd/>
        <w:snapToGrid/>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本工程为中央水利发展资金、地方及社会资金投资的工程，投资编制规定、办法、标准执行《陕西省水利工程设计概(估)算编制规定》（陕发改项目〔2017〕1606号）（以下称“陕西省水利2017概算编制规定”）及国家现行相关取费标准、编制年价格水平进行编制。</w:t>
      </w:r>
    </w:p>
    <w:p w14:paraId="7B6A5E31">
      <w:pPr>
        <w:widowControl/>
        <w:wordWrap/>
        <w:adjustRightInd/>
        <w:snapToGrid/>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eastAsia="zh-CN"/>
        </w:rPr>
        <w:t>编制</w:t>
      </w:r>
      <w:r>
        <w:rPr>
          <w:rFonts w:hint="default" w:ascii="Times New Roman" w:hAnsi="Times New Roman" w:eastAsia="宋体" w:cs="Times New Roman"/>
          <w:color w:val="auto"/>
          <w:highlight w:val="none"/>
          <w:lang w:val="en-US" w:eastAsia="zh-CN"/>
        </w:rPr>
        <w:t>依据</w:t>
      </w:r>
    </w:p>
    <w:p w14:paraId="44D4218D">
      <w:pPr>
        <w:widowControl/>
        <w:wordWrap/>
        <w:adjustRightInd/>
        <w:snapToGrid/>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1）国家有关的法律、法规和水土保持行业的规程规范；</w:t>
      </w:r>
    </w:p>
    <w:p w14:paraId="2EDCD799">
      <w:pPr>
        <w:widowControl/>
        <w:wordWrap/>
        <w:adjustRightInd/>
        <w:snapToGrid/>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2）陕发改项目[2017]1606号文颁发的《陕西省水利工程设计概（估）算编制规定》；</w:t>
      </w:r>
    </w:p>
    <w:p w14:paraId="4996BC84">
      <w:pPr>
        <w:widowControl/>
        <w:wordWrap/>
        <w:adjustRightInd/>
        <w:snapToGrid/>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3）依据国家发改委、建设部关于印发《建设工程监理与相关服务收费管理规定》的通知发改价格【2007】670号文；</w:t>
      </w:r>
    </w:p>
    <w:p w14:paraId="2CC69612">
      <w:pPr>
        <w:widowControl/>
        <w:wordWrap/>
        <w:adjustRightInd/>
        <w:snapToGrid/>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4）陕发改项目[2017]1606号文颁发的《陕西省水利建筑工程工程概算定额》；</w:t>
      </w:r>
    </w:p>
    <w:p w14:paraId="17C5FD85">
      <w:pPr>
        <w:widowControl/>
        <w:wordWrap/>
        <w:adjustRightInd/>
        <w:snapToGrid/>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5）陕发改项目[2017]1606号文颁发的《陕西省水利工程施工机械台班费定额》；</w:t>
      </w:r>
    </w:p>
    <w:p w14:paraId="590EAFAC">
      <w:pPr>
        <w:widowControl/>
        <w:wordWrap/>
        <w:adjustRightInd/>
        <w:snapToGrid/>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6）水利部《水利工程营业税改征增值税计价依据调整办法》（办水总[2016]132号）；</w:t>
      </w:r>
    </w:p>
    <w:p w14:paraId="4C6059FE">
      <w:pPr>
        <w:widowControl/>
        <w:wordWrap/>
        <w:adjustRightInd/>
        <w:snapToGrid/>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7）《水利部办公厅关于调整水利工程计价依据增值税计算标准的通知》（办财务函〔2019〕448号）；</w:t>
      </w:r>
    </w:p>
    <w:p w14:paraId="54139B0C">
      <w:pPr>
        <w:widowControl/>
        <w:wordWrap/>
        <w:adjustRightInd/>
        <w:snapToGrid/>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8）关于印发《招标代理服务收费管理暂行办法》的通知计价格［2002］1980号</w:t>
      </w:r>
      <w:r>
        <w:rPr>
          <w:rFonts w:hint="default" w:ascii="Times New Roman" w:hAnsi="Times New Roman" w:eastAsia="宋体" w:cs="Times New Roman"/>
          <w:color w:val="auto"/>
          <w:highlight w:val="none"/>
          <w:lang w:eastAsia="zh-CN"/>
        </w:rPr>
        <w:t>；</w:t>
      </w:r>
    </w:p>
    <w:p w14:paraId="663ED247">
      <w:pPr>
        <w:widowControl/>
        <w:wordWrap/>
        <w:adjustRightInd/>
        <w:snapToGrid/>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9）关于印发《建设工程监理与相关服务收费管理规定》的通知发改价格〔2007〕670号</w:t>
      </w:r>
      <w:r>
        <w:rPr>
          <w:rFonts w:hint="default" w:ascii="Times New Roman" w:hAnsi="Times New Roman" w:eastAsia="宋体" w:cs="Times New Roman"/>
          <w:color w:val="auto"/>
          <w:highlight w:val="none"/>
          <w:lang w:eastAsia="zh-CN"/>
        </w:rPr>
        <w:t>；</w:t>
      </w:r>
    </w:p>
    <w:p w14:paraId="18107EB0">
      <w:pPr>
        <w:widowControl/>
        <w:wordWrap/>
        <w:adjustRightInd/>
        <w:snapToGrid/>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10）</w:t>
      </w:r>
      <w:r>
        <w:rPr>
          <w:rFonts w:hint="default" w:ascii="Times New Roman" w:hAnsi="Times New Roman" w:eastAsia="宋体" w:cs="Times New Roman"/>
          <w:color w:val="auto"/>
          <w:highlight w:val="none"/>
          <w:lang w:eastAsia="zh-CN"/>
        </w:rPr>
        <w:t>府谷县2022年第65期信息价</w:t>
      </w:r>
      <w:r>
        <w:rPr>
          <w:rFonts w:hint="default" w:ascii="Times New Roman" w:hAnsi="Times New Roman" w:cs="Times New Roman"/>
          <w:color w:val="auto"/>
          <w:highlight w:val="none"/>
          <w:lang w:eastAsia="zh-CN"/>
        </w:rPr>
        <w:t>；</w:t>
      </w:r>
    </w:p>
    <w:p w14:paraId="5CFCD9BE">
      <w:pPr>
        <w:widowControl/>
        <w:wordWrap/>
        <w:adjustRightInd/>
        <w:snapToGrid/>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11）工程设计资料和有关图纸。</w:t>
      </w:r>
    </w:p>
    <w:p w14:paraId="54445B78">
      <w:pPr>
        <w:widowControl/>
        <w:wordWrap/>
        <w:adjustRightInd/>
        <w:snapToGrid/>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12）预备费固定价4.63万元</w:t>
      </w:r>
    </w:p>
    <w:p w14:paraId="49EF3609">
      <w:pPr>
        <w:rPr>
          <w:rFonts w:hint="eastAsia" w:ascii="宋体" w:hAnsi="宋体" w:eastAsia="宋体" w:cs="宋体"/>
          <w:color w:val="auto"/>
          <w:highlight w:val="none"/>
        </w:rPr>
      </w:pPr>
    </w:p>
    <w:p w14:paraId="33B7CA21">
      <w:pPr>
        <w:rPr>
          <w:rFonts w:hint="eastAsia"/>
        </w:rPr>
      </w:pPr>
    </w:p>
    <w:p w14:paraId="54FB4689">
      <w:pPr>
        <w:numPr>
          <w:ilvl w:val="0"/>
          <w:numId w:val="0"/>
        </w:numPr>
        <w:rPr>
          <w:rFonts w:hint="eastAsia"/>
          <w:color w:val="auto"/>
        </w:rPr>
      </w:pPr>
    </w:p>
    <w:bookmarkEnd w:id="433"/>
    <w:bookmarkEnd w:id="434"/>
    <w:bookmarkEnd w:id="435"/>
    <w:bookmarkEnd w:id="436"/>
    <w:bookmarkEnd w:id="437"/>
    <w:p w14:paraId="4BDA8BF9">
      <w:pPr>
        <w:rPr>
          <w:rFonts w:hint="eastAsia" w:ascii="宋体" w:hAnsi="宋体" w:eastAsia="宋体" w:cs="宋体"/>
          <w:color w:val="auto"/>
          <w:lang w:eastAsia="zh-CN"/>
        </w:rPr>
      </w:pPr>
      <w:r>
        <w:rPr>
          <w:rFonts w:hint="eastAsia" w:ascii="宋体" w:hAnsi="宋体" w:eastAsia="宋体" w:cs="宋体"/>
          <w:color w:val="auto"/>
        </w:rPr>
        <w:br w:type="page"/>
      </w:r>
    </w:p>
    <w:tbl>
      <w:tblPr>
        <w:tblStyle w:val="22"/>
        <w:tblW w:w="893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7"/>
        <w:gridCol w:w="3685"/>
        <w:gridCol w:w="2269"/>
        <w:gridCol w:w="2097"/>
      </w:tblGrid>
      <w:tr w14:paraId="5D2C1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8938" w:type="dxa"/>
            <w:gridSpan w:val="4"/>
            <w:tcBorders>
              <w:top w:val="nil"/>
              <w:left w:val="nil"/>
              <w:bottom w:val="nil"/>
              <w:right w:val="nil"/>
            </w:tcBorders>
            <w:shd w:val="clear" w:color="auto" w:fill="auto"/>
            <w:noWrap/>
            <w:vAlign w:val="center"/>
          </w:tcPr>
          <w:p w14:paraId="32513D65">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lang w:val="en-US" w:eastAsia="zh-CN" w:bidi="ar"/>
              </w:rPr>
              <w:t>工程项目总价表</w:t>
            </w:r>
          </w:p>
        </w:tc>
      </w:tr>
      <w:tr w14:paraId="7396F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0" w:type="auto"/>
            <w:gridSpan w:val="3"/>
            <w:tcBorders>
              <w:top w:val="nil"/>
              <w:left w:val="nil"/>
              <w:bottom w:val="nil"/>
              <w:right w:val="nil"/>
            </w:tcBorders>
            <w:shd w:val="clear" w:color="auto" w:fill="auto"/>
            <w:noWrap/>
            <w:vAlign w:val="center"/>
          </w:tcPr>
          <w:p w14:paraId="391C23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合同编号：</w:t>
            </w:r>
          </w:p>
        </w:tc>
        <w:tc>
          <w:tcPr>
            <w:tcW w:w="0" w:type="auto"/>
            <w:tcBorders>
              <w:top w:val="nil"/>
              <w:left w:val="nil"/>
              <w:bottom w:val="nil"/>
              <w:right w:val="nil"/>
            </w:tcBorders>
            <w:shd w:val="clear" w:color="auto" w:fill="auto"/>
            <w:noWrap/>
            <w:vAlign w:val="bottom"/>
          </w:tcPr>
          <w:p w14:paraId="0DA09B94">
            <w:pPr>
              <w:rPr>
                <w:rFonts w:hint="eastAsia" w:ascii="Arial" w:hAnsi="Arial" w:cs="Arial"/>
                <w:i w:val="0"/>
                <w:iCs w:val="0"/>
                <w:color w:val="000000"/>
                <w:sz w:val="20"/>
                <w:szCs w:val="20"/>
                <w:u w:val="none"/>
              </w:rPr>
            </w:pPr>
          </w:p>
        </w:tc>
      </w:tr>
      <w:tr w14:paraId="2CC12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4764" w:type="dxa"/>
            <w:gridSpan w:val="2"/>
            <w:tcBorders>
              <w:top w:val="nil"/>
              <w:left w:val="nil"/>
              <w:bottom w:val="nil"/>
              <w:right w:val="nil"/>
            </w:tcBorders>
            <w:shd w:val="clear" w:color="auto" w:fill="auto"/>
            <w:vAlign w:val="center"/>
          </w:tcPr>
          <w:p w14:paraId="4F3C93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工程名称：田家寨镇张圪崂村张圪崂大型淤地坝提升改造工程</w:t>
            </w:r>
          </w:p>
        </w:tc>
        <w:tc>
          <w:tcPr>
            <w:tcW w:w="4174" w:type="dxa"/>
            <w:gridSpan w:val="2"/>
            <w:tcBorders>
              <w:top w:val="nil"/>
              <w:left w:val="nil"/>
              <w:bottom w:val="nil"/>
              <w:right w:val="nil"/>
            </w:tcBorders>
            <w:shd w:val="clear" w:color="auto" w:fill="auto"/>
            <w:vAlign w:val="center"/>
          </w:tcPr>
          <w:p w14:paraId="232B30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标段名称：</w:t>
            </w:r>
          </w:p>
        </w:tc>
      </w:tr>
      <w:tr w14:paraId="03EAB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D71E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37E2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E41A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金额(元)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8320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57EDA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6DF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BFE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工程措施投资</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5AAC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1AEBE">
            <w:pPr>
              <w:jc w:val="left"/>
              <w:rPr>
                <w:rFonts w:hint="eastAsia" w:ascii="宋体" w:hAnsi="宋体" w:eastAsia="宋体" w:cs="宋体"/>
                <w:i w:val="0"/>
                <w:iCs w:val="0"/>
                <w:color w:val="000000"/>
                <w:sz w:val="18"/>
                <w:szCs w:val="18"/>
                <w:u w:val="none"/>
              </w:rPr>
            </w:pPr>
          </w:p>
        </w:tc>
      </w:tr>
      <w:tr w14:paraId="45196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7B5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E58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林草措施投资</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7A27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C78D5">
            <w:pPr>
              <w:jc w:val="left"/>
              <w:rPr>
                <w:rFonts w:hint="eastAsia" w:ascii="宋体" w:hAnsi="宋体" w:eastAsia="宋体" w:cs="宋体"/>
                <w:i w:val="0"/>
                <w:iCs w:val="0"/>
                <w:color w:val="000000"/>
                <w:sz w:val="18"/>
                <w:szCs w:val="18"/>
                <w:u w:val="none"/>
              </w:rPr>
            </w:pPr>
          </w:p>
        </w:tc>
      </w:tr>
      <w:tr w14:paraId="579B9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092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C24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预备费</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A862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7B2E5">
            <w:pPr>
              <w:jc w:val="left"/>
              <w:rPr>
                <w:rFonts w:hint="eastAsia" w:ascii="宋体" w:hAnsi="宋体" w:eastAsia="宋体" w:cs="宋体"/>
                <w:i w:val="0"/>
                <w:iCs w:val="0"/>
                <w:color w:val="000000"/>
                <w:sz w:val="18"/>
                <w:szCs w:val="18"/>
                <w:u w:val="none"/>
              </w:rPr>
            </w:pPr>
          </w:p>
        </w:tc>
      </w:tr>
      <w:tr w14:paraId="1DDF6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882C4">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14CAA">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362E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D4590">
            <w:pPr>
              <w:jc w:val="left"/>
              <w:rPr>
                <w:rFonts w:hint="eastAsia" w:ascii="宋体" w:hAnsi="宋体" w:eastAsia="宋体" w:cs="宋体"/>
                <w:i w:val="0"/>
                <w:iCs w:val="0"/>
                <w:color w:val="000000"/>
                <w:sz w:val="18"/>
                <w:szCs w:val="18"/>
                <w:u w:val="none"/>
              </w:rPr>
            </w:pPr>
          </w:p>
        </w:tc>
      </w:tr>
      <w:tr w14:paraId="1789D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C0774">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1670B">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CDAD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03ACA">
            <w:pPr>
              <w:jc w:val="left"/>
              <w:rPr>
                <w:rFonts w:hint="eastAsia" w:ascii="宋体" w:hAnsi="宋体" w:eastAsia="宋体" w:cs="宋体"/>
                <w:i w:val="0"/>
                <w:iCs w:val="0"/>
                <w:color w:val="000000"/>
                <w:sz w:val="18"/>
                <w:szCs w:val="18"/>
                <w:u w:val="none"/>
              </w:rPr>
            </w:pPr>
          </w:p>
        </w:tc>
      </w:tr>
      <w:tr w14:paraId="0D018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DC3ED">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0ECC3">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38D6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CC7BF">
            <w:pPr>
              <w:jc w:val="left"/>
              <w:rPr>
                <w:rFonts w:hint="eastAsia" w:ascii="宋体" w:hAnsi="宋体" w:eastAsia="宋体" w:cs="宋体"/>
                <w:i w:val="0"/>
                <w:iCs w:val="0"/>
                <w:color w:val="000000"/>
                <w:sz w:val="18"/>
                <w:szCs w:val="18"/>
                <w:u w:val="none"/>
              </w:rPr>
            </w:pPr>
          </w:p>
        </w:tc>
      </w:tr>
      <w:tr w14:paraId="5DCE7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03BDC">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9C886">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5291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191A9">
            <w:pPr>
              <w:jc w:val="left"/>
              <w:rPr>
                <w:rFonts w:hint="eastAsia" w:ascii="宋体" w:hAnsi="宋体" w:eastAsia="宋体" w:cs="宋体"/>
                <w:i w:val="0"/>
                <w:iCs w:val="0"/>
                <w:color w:val="000000"/>
                <w:sz w:val="18"/>
                <w:szCs w:val="18"/>
                <w:u w:val="none"/>
              </w:rPr>
            </w:pPr>
          </w:p>
        </w:tc>
      </w:tr>
      <w:tr w14:paraId="6B833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E2103">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E47E0">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3471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7DC3B">
            <w:pPr>
              <w:jc w:val="left"/>
              <w:rPr>
                <w:rFonts w:hint="eastAsia" w:ascii="宋体" w:hAnsi="宋体" w:eastAsia="宋体" w:cs="宋体"/>
                <w:i w:val="0"/>
                <w:iCs w:val="0"/>
                <w:color w:val="000000"/>
                <w:sz w:val="18"/>
                <w:szCs w:val="18"/>
                <w:u w:val="none"/>
              </w:rPr>
            </w:pPr>
          </w:p>
        </w:tc>
      </w:tr>
      <w:tr w14:paraId="250A9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9D957">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41F34">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5A1B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D69E6">
            <w:pPr>
              <w:jc w:val="left"/>
              <w:rPr>
                <w:rFonts w:hint="eastAsia" w:ascii="宋体" w:hAnsi="宋体" w:eastAsia="宋体" w:cs="宋体"/>
                <w:i w:val="0"/>
                <w:iCs w:val="0"/>
                <w:color w:val="000000"/>
                <w:sz w:val="18"/>
                <w:szCs w:val="18"/>
                <w:u w:val="none"/>
              </w:rPr>
            </w:pPr>
          </w:p>
        </w:tc>
      </w:tr>
      <w:tr w14:paraId="1DCED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753D9">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56A55">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2F9C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F611A">
            <w:pPr>
              <w:jc w:val="left"/>
              <w:rPr>
                <w:rFonts w:hint="eastAsia" w:ascii="宋体" w:hAnsi="宋体" w:eastAsia="宋体" w:cs="宋体"/>
                <w:i w:val="0"/>
                <w:iCs w:val="0"/>
                <w:color w:val="000000"/>
                <w:sz w:val="18"/>
                <w:szCs w:val="18"/>
                <w:u w:val="none"/>
              </w:rPr>
            </w:pPr>
          </w:p>
        </w:tc>
      </w:tr>
      <w:tr w14:paraId="5AED9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65CBB">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AF167">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38A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D9319">
            <w:pPr>
              <w:jc w:val="left"/>
              <w:rPr>
                <w:rFonts w:hint="eastAsia" w:ascii="宋体" w:hAnsi="宋体" w:eastAsia="宋体" w:cs="宋体"/>
                <w:i w:val="0"/>
                <w:iCs w:val="0"/>
                <w:color w:val="000000"/>
                <w:sz w:val="18"/>
                <w:szCs w:val="18"/>
                <w:u w:val="none"/>
              </w:rPr>
            </w:pPr>
          </w:p>
        </w:tc>
      </w:tr>
      <w:tr w14:paraId="65F65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DA7F2">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F8447">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D4DA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E2231">
            <w:pPr>
              <w:jc w:val="left"/>
              <w:rPr>
                <w:rFonts w:hint="eastAsia" w:ascii="宋体" w:hAnsi="宋体" w:eastAsia="宋体" w:cs="宋体"/>
                <w:i w:val="0"/>
                <w:iCs w:val="0"/>
                <w:color w:val="000000"/>
                <w:sz w:val="18"/>
                <w:szCs w:val="18"/>
                <w:u w:val="none"/>
              </w:rPr>
            </w:pPr>
          </w:p>
        </w:tc>
      </w:tr>
      <w:tr w14:paraId="62C1D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4AB07">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CE6CC">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7594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78D2B">
            <w:pPr>
              <w:jc w:val="left"/>
              <w:rPr>
                <w:rFonts w:hint="eastAsia" w:ascii="宋体" w:hAnsi="宋体" w:eastAsia="宋体" w:cs="宋体"/>
                <w:i w:val="0"/>
                <w:iCs w:val="0"/>
                <w:color w:val="000000"/>
                <w:sz w:val="18"/>
                <w:szCs w:val="18"/>
                <w:u w:val="none"/>
              </w:rPr>
            </w:pPr>
          </w:p>
        </w:tc>
      </w:tr>
      <w:tr w14:paraId="51BC8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FAFCF">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8C282">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EDD0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8B8D8">
            <w:pPr>
              <w:jc w:val="left"/>
              <w:rPr>
                <w:rFonts w:hint="eastAsia" w:ascii="宋体" w:hAnsi="宋体" w:eastAsia="宋体" w:cs="宋体"/>
                <w:i w:val="0"/>
                <w:iCs w:val="0"/>
                <w:color w:val="000000"/>
                <w:sz w:val="18"/>
                <w:szCs w:val="18"/>
                <w:u w:val="none"/>
              </w:rPr>
            </w:pPr>
          </w:p>
        </w:tc>
      </w:tr>
      <w:tr w14:paraId="66777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8C4CF">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51815">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5DFF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F0912">
            <w:pPr>
              <w:jc w:val="left"/>
              <w:rPr>
                <w:rFonts w:hint="eastAsia" w:ascii="宋体" w:hAnsi="宋体" w:eastAsia="宋体" w:cs="宋体"/>
                <w:i w:val="0"/>
                <w:iCs w:val="0"/>
                <w:color w:val="000000"/>
                <w:sz w:val="18"/>
                <w:szCs w:val="18"/>
                <w:u w:val="none"/>
              </w:rPr>
            </w:pPr>
          </w:p>
        </w:tc>
      </w:tr>
      <w:tr w14:paraId="4DC50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A7949">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AAE01">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5736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9EFFB">
            <w:pPr>
              <w:jc w:val="left"/>
              <w:rPr>
                <w:rFonts w:hint="eastAsia" w:ascii="宋体" w:hAnsi="宋体" w:eastAsia="宋体" w:cs="宋体"/>
                <w:i w:val="0"/>
                <w:iCs w:val="0"/>
                <w:color w:val="000000"/>
                <w:sz w:val="18"/>
                <w:szCs w:val="18"/>
                <w:u w:val="none"/>
              </w:rPr>
            </w:pPr>
          </w:p>
        </w:tc>
      </w:tr>
      <w:tr w14:paraId="5F424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DD800">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8C07A">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0AAA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BC7BB">
            <w:pPr>
              <w:jc w:val="left"/>
              <w:rPr>
                <w:rFonts w:hint="eastAsia" w:ascii="宋体" w:hAnsi="宋体" w:eastAsia="宋体" w:cs="宋体"/>
                <w:i w:val="0"/>
                <w:iCs w:val="0"/>
                <w:color w:val="000000"/>
                <w:sz w:val="18"/>
                <w:szCs w:val="18"/>
                <w:u w:val="none"/>
              </w:rPr>
            </w:pPr>
          </w:p>
        </w:tc>
      </w:tr>
      <w:tr w14:paraId="28299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999DC">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B100D">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CEEF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7E46E">
            <w:pPr>
              <w:jc w:val="left"/>
              <w:rPr>
                <w:rFonts w:hint="eastAsia" w:ascii="宋体" w:hAnsi="宋体" w:eastAsia="宋体" w:cs="宋体"/>
                <w:i w:val="0"/>
                <w:iCs w:val="0"/>
                <w:color w:val="000000"/>
                <w:sz w:val="18"/>
                <w:szCs w:val="18"/>
                <w:u w:val="none"/>
              </w:rPr>
            </w:pPr>
          </w:p>
        </w:tc>
      </w:tr>
      <w:tr w14:paraId="274A9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0" w:type="auto"/>
            <w:gridSpan w:val="2"/>
            <w:tcBorders>
              <w:top w:val="nil"/>
              <w:left w:val="single" w:color="000000" w:sz="4" w:space="0"/>
              <w:bottom w:val="single" w:color="000000" w:sz="4" w:space="0"/>
              <w:right w:val="single" w:color="000000" w:sz="4" w:space="0"/>
            </w:tcBorders>
            <w:shd w:val="clear" w:color="auto" w:fill="auto"/>
            <w:noWrap/>
            <w:vAlign w:val="center"/>
          </w:tcPr>
          <w:p w14:paraId="5224F1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合计</w:t>
            </w:r>
          </w:p>
        </w:tc>
        <w:tc>
          <w:tcPr>
            <w:tcW w:w="0" w:type="auto"/>
            <w:tcBorders>
              <w:top w:val="nil"/>
              <w:left w:val="nil"/>
              <w:bottom w:val="single" w:color="000000" w:sz="4" w:space="0"/>
              <w:right w:val="single" w:color="000000" w:sz="4" w:space="0"/>
            </w:tcBorders>
            <w:shd w:val="clear" w:color="auto" w:fill="auto"/>
            <w:noWrap/>
            <w:vAlign w:val="center"/>
          </w:tcPr>
          <w:p w14:paraId="04F4F82B">
            <w:pPr>
              <w:jc w:val="right"/>
              <w:rPr>
                <w:rFonts w:hint="eastAsia" w:ascii="宋体" w:hAnsi="宋体" w:eastAsia="宋体" w:cs="宋体"/>
                <w:i w:val="0"/>
                <w:iCs w:val="0"/>
                <w:color w:val="000000"/>
                <w:sz w:val="18"/>
                <w:szCs w:val="18"/>
                <w:u w:val="none"/>
              </w:rPr>
            </w:pPr>
          </w:p>
        </w:tc>
        <w:tc>
          <w:tcPr>
            <w:tcW w:w="0" w:type="auto"/>
            <w:tcBorders>
              <w:top w:val="nil"/>
              <w:left w:val="nil"/>
              <w:bottom w:val="single" w:color="000000" w:sz="4" w:space="0"/>
              <w:right w:val="single" w:color="000000" w:sz="4" w:space="0"/>
            </w:tcBorders>
            <w:shd w:val="clear" w:color="auto" w:fill="auto"/>
            <w:noWrap/>
            <w:vAlign w:val="center"/>
          </w:tcPr>
          <w:p w14:paraId="6DD729DC">
            <w:pPr>
              <w:jc w:val="left"/>
              <w:rPr>
                <w:rFonts w:hint="eastAsia" w:ascii="宋体" w:hAnsi="宋体" w:eastAsia="宋体" w:cs="宋体"/>
                <w:i w:val="0"/>
                <w:iCs w:val="0"/>
                <w:color w:val="000000"/>
                <w:sz w:val="18"/>
                <w:szCs w:val="18"/>
                <w:u w:val="none"/>
              </w:rPr>
            </w:pPr>
          </w:p>
        </w:tc>
      </w:tr>
    </w:tbl>
    <w:p w14:paraId="10B7BC6B">
      <w:pPr>
        <w:rPr>
          <w:rFonts w:hint="default"/>
          <w:sz w:val="21"/>
          <w:szCs w:val="24"/>
        </w:rPr>
      </w:pPr>
    </w:p>
    <w:p w14:paraId="59667F07">
      <w:pPr>
        <w:rPr>
          <w:rFonts w:hint="eastAsia" w:ascii="宋体" w:hAnsi="宋体" w:eastAsia="宋体" w:cs="宋体"/>
          <w:color w:val="auto"/>
        </w:rPr>
      </w:pPr>
      <w:r>
        <w:rPr>
          <w:rFonts w:hint="eastAsia" w:ascii="宋体" w:hAnsi="宋体" w:eastAsia="宋体" w:cs="宋体"/>
          <w:color w:val="auto"/>
        </w:rPr>
        <w:br w:type="page"/>
      </w:r>
    </w:p>
    <w:tbl>
      <w:tblPr>
        <w:tblStyle w:val="22"/>
        <w:tblW w:w="91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86"/>
        <w:gridCol w:w="2743"/>
        <w:gridCol w:w="814"/>
        <w:gridCol w:w="1063"/>
        <w:gridCol w:w="1299"/>
        <w:gridCol w:w="1299"/>
        <w:gridCol w:w="617"/>
      </w:tblGrid>
      <w:tr w14:paraId="30492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9121" w:type="dxa"/>
            <w:gridSpan w:val="7"/>
            <w:tcBorders>
              <w:top w:val="nil"/>
              <w:left w:val="nil"/>
              <w:bottom w:val="nil"/>
              <w:right w:val="nil"/>
            </w:tcBorders>
            <w:shd w:val="clear" w:color="auto" w:fill="auto"/>
            <w:noWrap/>
            <w:vAlign w:val="center"/>
          </w:tcPr>
          <w:p w14:paraId="3F84C0A7">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lang w:val="en-US" w:eastAsia="zh-CN" w:bidi="ar"/>
              </w:rPr>
              <w:t>分组工程量清单报价表</w:t>
            </w:r>
          </w:p>
        </w:tc>
      </w:tr>
      <w:tr w14:paraId="74B32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0" w:type="auto"/>
            <w:gridSpan w:val="7"/>
            <w:tcBorders>
              <w:top w:val="nil"/>
              <w:left w:val="nil"/>
              <w:bottom w:val="nil"/>
              <w:right w:val="nil"/>
            </w:tcBorders>
            <w:shd w:val="clear" w:color="auto" w:fill="auto"/>
            <w:noWrap/>
            <w:vAlign w:val="center"/>
          </w:tcPr>
          <w:p w14:paraId="2D562F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合同编号：</w:t>
            </w:r>
          </w:p>
        </w:tc>
      </w:tr>
      <w:tr w14:paraId="31888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843" w:type="dxa"/>
            <w:gridSpan w:val="3"/>
            <w:tcBorders>
              <w:top w:val="nil"/>
              <w:left w:val="nil"/>
              <w:bottom w:val="nil"/>
              <w:right w:val="nil"/>
            </w:tcBorders>
            <w:shd w:val="clear" w:color="auto" w:fill="auto"/>
            <w:vAlign w:val="center"/>
          </w:tcPr>
          <w:p w14:paraId="494CC2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工程名称：田家寨镇张圪崂村张圪崂大型淤地坝提升改造工程</w:t>
            </w:r>
          </w:p>
        </w:tc>
        <w:tc>
          <w:tcPr>
            <w:tcW w:w="4278" w:type="dxa"/>
            <w:gridSpan w:val="4"/>
            <w:tcBorders>
              <w:top w:val="nil"/>
              <w:left w:val="nil"/>
              <w:bottom w:val="nil"/>
              <w:right w:val="nil"/>
            </w:tcBorders>
            <w:shd w:val="clear" w:color="auto" w:fill="auto"/>
            <w:vAlign w:val="center"/>
          </w:tcPr>
          <w:p w14:paraId="226D2A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标段名称：</w:t>
            </w:r>
          </w:p>
        </w:tc>
      </w:tr>
      <w:tr w14:paraId="3994E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F238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D934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F16C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E173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工程数量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8B38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单价（元）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B014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2349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04A42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0A8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0CA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工程措施投资</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63456">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0DE5D">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45A87">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BC20F">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670F3">
            <w:pPr>
              <w:jc w:val="left"/>
              <w:rPr>
                <w:rFonts w:hint="eastAsia" w:ascii="宋体" w:hAnsi="宋体" w:eastAsia="宋体" w:cs="宋体"/>
                <w:i w:val="0"/>
                <w:iCs w:val="0"/>
                <w:color w:val="000000"/>
                <w:sz w:val="18"/>
                <w:szCs w:val="18"/>
                <w:u w:val="none"/>
              </w:rPr>
            </w:pPr>
          </w:p>
        </w:tc>
      </w:tr>
      <w:tr w14:paraId="3EC95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55B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B29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溢洪道工程</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D7E0B">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15977">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52A35">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8CEC4">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94B7">
            <w:pPr>
              <w:jc w:val="left"/>
              <w:rPr>
                <w:rFonts w:hint="eastAsia" w:ascii="宋体" w:hAnsi="宋体" w:eastAsia="宋体" w:cs="宋体"/>
                <w:i w:val="0"/>
                <w:iCs w:val="0"/>
                <w:color w:val="000000"/>
                <w:sz w:val="18"/>
                <w:szCs w:val="18"/>
                <w:u w:val="none"/>
              </w:rPr>
            </w:pPr>
          </w:p>
        </w:tc>
      </w:tr>
      <w:tr w14:paraId="2D4F0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69C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8CF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进口段和溢流堰</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552FE">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8CEA0">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70CD0">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96DB3">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843C0">
            <w:pPr>
              <w:jc w:val="left"/>
              <w:rPr>
                <w:rFonts w:hint="eastAsia" w:ascii="宋体" w:hAnsi="宋体" w:eastAsia="宋体" w:cs="宋体"/>
                <w:i w:val="0"/>
                <w:iCs w:val="0"/>
                <w:color w:val="000000"/>
                <w:sz w:val="18"/>
                <w:szCs w:val="18"/>
                <w:u w:val="none"/>
              </w:rPr>
            </w:pPr>
          </w:p>
        </w:tc>
      </w:tr>
      <w:tr w14:paraId="34C61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C6A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1.1.1.1</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83D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土方开挖</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8B9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81E0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2021</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81C6F">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224F0">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908A0">
            <w:pPr>
              <w:jc w:val="left"/>
              <w:rPr>
                <w:rFonts w:hint="eastAsia" w:ascii="宋体" w:hAnsi="宋体" w:eastAsia="宋体" w:cs="宋体"/>
                <w:i w:val="0"/>
                <w:iCs w:val="0"/>
                <w:color w:val="000000"/>
                <w:sz w:val="18"/>
                <w:szCs w:val="18"/>
                <w:u w:val="none"/>
              </w:rPr>
            </w:pPr>
          </w:p>
        </w:tc>
      </w:tr>
      <w:tr w14:paraId="42A3D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FB8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1.1.1.2</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CDF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土方回填</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0F5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BF74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511</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19037">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9FADF">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B2A67">
            <w:pPr>
              <w:jc w:val="left"/>
              <w:rPr>
                <w:rFonts w:hint="eastAsia" w:ascii="宋体" w:hAnsi="宋体" w:eastAsia="宋体" w:cs="宋体"/>
                <w:i w:val="0"/>
                <w:iCs w:val="0"/>
                <w:color w:val="000000"/>
                <w:sz w:val="18"/>
                <w:szCs w:val="18"/>
                <w:u w:val="none"/>
              </w:rPr>
            </w:pPr>
          </w:p>
        </w:tc>
      </w:tr>
      <w:tr w14:paraId="04E8D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C6E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1.1.1.3</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CEC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C25砼溢洪道侧墙</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0D6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E625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22258">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CCD48">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982BA">
            <w:pPr>
              <w:jc w:val="left"/>
              <w:rPr>
                <w:rFonts w:hint="eastAsia" w:ascii="宋体" w:hAnsi="宋体" w:eastAsia="宋体" w:cs="宋体"/>
                <w:i w:val="0"/>
                <w:iCs w:val="0"/>
                <w:color w:val="000000"/>
                <w:sz w:val="18"/>
                <w:szCs w:val="18"/>
                <w:u w:val="none"/>
              </w:rPr>
            </w:pPr>
          </w:p>
        </w:tc>
      </w:tr>
      <w:tr w14:paraId="450AB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FDE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1.1.1.4</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00C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C25砼溢洪道底板</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7D2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858A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8B974">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FF627">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4611E">
            <w:pPr>
              <w:jc w:val="left"/>
              <w:rPr>
                <w:rFonts w:hint="eastAsia" w:ascii="宋体" w:hAnsi="宋体" w:eastAsia="宋体" w:cs="宋体"/>
                <w:i w:val="0"/>
                <w:iCs w:val="0"/>
                <w:color w:val="000000"/>
                <w:sz w:val="18"/>
                <w:szCs w:val="18"/>
                <w:u w:val="none"/>
              </w:rPr>
            </w:pPr>
          </w:p>
        </w:tc>
      </w:tr>
      <w:tr w14:paraId="5DBFA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F7C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1.1.1.5</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228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C25砼溢洪道齿墙</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F56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A1D4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19E0E">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FE19A">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74BE3">
            <w:pPr>
              <w:jc w:val="left"/>
              <w:rPr>
                <w:rFonts w:hint="eastAsia" w:ascii="宋体" w:hAnsi="宋体" w:eastAsia="宋体" w:cs="宋体"/>
                <w:i w:val="0"/>
                <w:iCs w:val="0"/>
                <w:color w:val="000000"/>
                <w:sz w:val="18"/>
                <w:szCs w:val="18"/>
                <w:u w:val="none"/>
              </w:rPr>
            </w:pPr>
          </w:p>
        </w:tc>
      </w:tr>
      <w:tr w14:paraId="29E95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30D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1.1.1.6</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AF30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C20砼垫层</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573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BE2D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5FC71">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B4614">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63FA7">
            <w:pPr>
              <w:jc w:val="left"/>
              <w:rPr>
                <w:rFonts w:hint="eastAsia" w:ascii="宋体" w:hAnsi="宋体" w:eastAsia="宋体" w:cs="宋体"/>
                <w:i w:val="0"/>
                <w:iCs w:val="0"/>
                <w:color w:val="000000"/>
                <w:sz w:val="18"/>
                <w:szCs w:val="18"/>
                <w:u w:val="none"/>
              </w:rPr>
            </w:pPr>
          </w:p>
        </w:tc>
      </w:tr>
      <w:tr w14:paraId="1FABF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83B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1.1.1.7</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615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钢筋制作与安装</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C7F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D0F9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12239">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76F9A">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41D2A">
            <w:pPr>
              <w:jc w:val="left"/>
              <w:rPr>
                <w:rFonts w:hint="eastAsia" w:ascii="宋体" w:hAnsi="宋体" w:eastAsia="宋体" w:cs="宋体"/>
                <w:i w:val="0"/>
                <w:iCs w:val="0"/>
                <w:color w:val="000000"/>
                <w:sz w:val="18"/>
                <w:szCs w:val="18"/>
                <w:u w:val="none"/>
              </w:rPr>
            </w:pPr>
          </w:p>
        </w:tc>
      </w:tr>
      <w:tr w14:paraId="1875B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45C4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1.1.1.8</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33B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普通平面模板支护</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C72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FAE5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502</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FB611">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A090B">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EA75A">
            <w:pPr>
              <w:jc w:val="left"/>
              <w:rPr>
                <w:rFonts w:hint="eastAsia" w:ascii="宋体" w:hAnsi="宋体" w:eastAsia="宋体" w:cs="宋体"/>
                <w:i w:val="0"/>
                <w:iCs w:val="0"/>
                <w:color w:val="000000"/>
                <w:sz w:val="18"/>
                <w:szCs w:val="18"/>
                <w:u w:val="none"/>
              </w:rPr>
            </w:pPr>
          </w:p>
        </w:tc>
      </w:tr>
      <w:tr w14:paraId="0B94D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149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1.1.1.9</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B1A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止水带</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F1B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0EEB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38007">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ED457">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51AF1">
            <w:pPr>
              <w:jc w:val="left"/>
              <w:rPr>
                <w:rFonts w:hint="eastAsia" w:ascii="宋体" w:hAnsi="宋体" w:eastAsia="宋体" w:cs="宋体"/>
                <w:i w:val="0"/>
                <w:iCs w:val="0"/>
                <w:color w:val="000000"/>
                <w:sz w:val="18"/>
                <w:szCs w:val="18"/>
                <w:u w:val="none"/>
              </w:rPr>
            </w:pPr>
          </w:p>
        </w:tc>
      </w:tr>
      <w:tr w14:paraId="450CF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2B0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1.1.1.10</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EE0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聚乙烯低发泡沫板</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D9C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BF22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7B4F4">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13010">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CB243">
            <w:pPr>
              <w:jc w:val="left"/>
              <w:rPr>
                <w:rFonts w:hint="eastAsia" w:ascii="宋体" w:hAnsi="宋体" w:eastAsia="宋体" w:cs="宋体"/>
                <w:i w:val="0"/>
                <w:iCs w:val="0"/>
                <w:color w:val="000000"/>
                <w:sz w:val="18"/>
                <w:szCs w:val="18"/>
                <w:u w:val="none"/>
              </w:rPr>
            </w:pPr>
          </w:p>
        </w:tc>
      </w:tr>
      <w:tr w14:paraId="2F0E6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865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1.1.1.11</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144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∅50PVC 排水管</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D84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F906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5FF9D">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0DF47">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65F68">
            <w:pPr>
              <w:jc w:val="left"/>
              <w:rPr>
                <w:rFonts w:hint="eastAsia" w:ascii="宋体" w:hAnsi="宋体" w:eastAsia="宋体" w:cs="宋体"/>
                <w:i w:val="0"/>
                <w:iCs w:val="0"/>
                <w:color w:val="000000"/>
                <w:sz w:val="18"/>
                <w:szCs w:val="18"/>
                <w:u w:val="none"/>
              </w:rPr>
            </w:pPr>
          </w:p>
        </w:tc>
      </w:tr>
      <w:tr w14:paraId="266B4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7DF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1.1.1.12</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1044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∅200PVC 软式透水管</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1B1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2085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AAB9F">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6104">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84A85">
            <w:pPr>
              <w:jc w:val="left"/>
              <w:rPr>
                <w:rFonts w:hint="eastAsia" w:ascii="宋体" w:hAnsi="宋体" w:eastAsia="宋体" w:cs="宋体"/>
                <w:i w:val="0"/>
                <w:iCs w:val="0"/>
                <w:color w:val="000000"/>
                <w:sz w:val="18"/>
                <w:szCs w:val="18"/>
                <w:u w:val="none"/>
              </w:rPr>
            </w:pPr>
          </w:p>
        </w:tc>
      </w:tr>
      <w:tr w14:paraId="05014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A81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F88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生产桥涵</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9872A">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686CD">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B287F">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3FD4A">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0BF98">
            <w:pPr>
              <w:jc w:val="left"/>
              <w:rPr>
                <w:rFonts w:hint="eastAsia" w:ascii="宋体" w:hAnsi="宋体" w:eastAsia="宋体" w:cs="宋体"/>
                <w:i w:val="0"/>
                <w:iCs w:val="0"/>
                <w:color w:val="000000"/>
                <w:sz w:val="18"/>
                <w:szCs w:val="18"/>
                <w:u w:val="none"/>
              </w:rPr>
            </w:pPr>
          </w:p>
        </w:tc>
      </w:tr>
      <w:tr w14:paraId="2B2C7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966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1.1.2.1</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AF7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土方开挖</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CDD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56BB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612</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6A843">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C902B">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64077">
            <w:pPr>
              <w:jc w:val="left"/>
              <w:rPr>
                <w:rFonts w:hint="eastAsia" w:ascii="宋体" w:hAnsi="宋体" w:eastAsia="宋体" w:cs="宋体"/>
                <w:i w:val="0"/>
                <w:iCs w:val="0"/>
                <w:color w:val="000000"/>
                <w:sz w:val="18"/>
                <w:szCs w:val="18"/>
                <w:u w:val="none"/>
              </w:rPr>
            </w:pPr>
          </w:p>
        </w:tc>
      </w:tr>
      <w:tr w14:paraId="2508C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9D6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1.1.2.2</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E66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土方回填</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1FC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A9B0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C5B83">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FBDF5">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C1C01">
            <w:pPr>
              <w:jc w:val="left"/>
              <w:rPr>
                <w:rFonts w:hint="eastAsia" w:ascii="宋体" w:hAnsi="宋体" w:eastAsia="宋体" w:cs="宋体"/>
                <w:i w:val="0"/>
                <w:iCs w:val="0"/>
                <w:color w:val="000000"/>
                <w:sz w:val="18"/>
                <w:szCs w:val="18"/>
                <w:u w:val="none"/>
              </w:rPr>
            </w:pPr>
          </w:p>
        </w:tc>
      </w:tr>
      <w:tr w14:paraId="7B2BA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FA2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1.1.2.3</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3A6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C25砼桥涵</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0CD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9FEA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F5BBA">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1B327">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E4203">
            <w:pPr>
              <w:jc w:val="left"/>
              <w:rPr>
                <w:rFonts w:hint="eastAsia" w:ascii="宋体" w:hAnsi="宋体" w:eastAsia="宋体" w:cs="宋体"/>
                <w:i w:val="0"/>
                <w:iCs w:val="0"/>
                <w:color w:val="000000"/>
                <w:sz w:val="18"/>
                <w:szCs w:val="18"/>
                <w:u w:val="none"/>
              </w:rPr>
            </w:pPr>
          </w:p>
        </w:tc>
      </w:tr>
      <w:tr w14:paraId="0EDF6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F24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1.1.2.4</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28D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C20砼垫层</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022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4556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CE47B">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85EDE">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92B84">
            <w:pPr>
              <w:jc w:val="left"/>
              <w:rPr>
                <w:rFonts w:hint="eastAsia" w:ascii="宋体" w:hAnsi="宋体" w:eastAsia="宋体" w:cs="宋体"/>
                <w:i w:val="0"/>
                <w:iCs w:val="0"/>
                <w:color w:val="000000"/>
                <w:sz w:val="18"/>
                <w:szCs w:val="18"/>
                <w:u w:val="none"/>
              </w:rPr>
            </w:pPr>
          </w:p>
        </w:tc>
      </w:tr>
      <w:tr w14:paraId="79D02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0F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1.1.2.5</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515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钢筋制作与安装</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DFA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4CE7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3.26</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4D96F">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32235">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60914">
            <w:pPr>
              <w:jc w:val="left"/>
              <w:rPr>
                <w:rFonts w:hint="eastAsia" w:ascii="宋体" w:hAnsi="宋体" w:eastAsia="宋体" w:cs="宋体"/>
                <w:i w:val="0"/>
                <w:iCs w:val="0"/>
                <w:color w:val="000000"/>
                <w:sz w:val="18"/>
                <w:szCs w:val="18"/>
                <w:u w:val="none"/>
              </w:rPr>
            </w:pPr>
          </w:p>
        </w:tc>
      </w:tr>
      <w:tr w14:paraId="6E73F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240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1.1.2.6</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E00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普通平面模板支护</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7EE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A94C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1D141">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9CDB2">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BFE1D">
            <w:pPr>
              <w:jc w:val="left"/>
              <w:rPr>
                <w:rFonts w:hint="eastAsia" w:ascii="宋体" w:hAnsi="宋体" w:eastAsia="宋体" w:cs="宋体"/>
                <w:i w:val="0"/>
                <w:iCs w:val="0"/>
                <w:color w:val="000000"/>
                <w:sz w:val="18"/>
                <w:szCs w:val="18"/>
                <w:u w:val="none"/>
              </w:rPr>
            </w:pPr>
          </w:p>
        </w:tc>
      </w:tr>
      <w:tr w14:paraId="2BD0D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F2D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507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泄槽段</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EE95B">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D0119">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88BAC">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E77FF">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FF5FE">
            <w:pPr>
              <w:jc w:val="left"/>
              <w:rPr>
                <w:rFonts w:hint="eastAsia" w:ascii="宋体" w:hAnsi="宋体" w:eastAsia="宋体" w:cs="宋体"/>
                <w:i w:val="0"/>
                <w:iCs w:val="0"/>
                <w:color w:val="000000"/>
                <w:sz w:val="18"/>
                <w:szCs w:val="18"/>
                <w:u w:val="none"/>
              </w:rPr>
            </w:pPr>
          </w:p>
        </w:tc>
      </w:tr>
      <w:tr w14:paraId="735B9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19F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1.1.3.1</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234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石方开挖</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954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2A71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1253</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A0BF5">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5DA89">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70524">
            <w:pPr>
              <w:jc w:val="left"/>
              <w:rPr>
                <w:rFonts w:hint="eastAsia" w:ascii="宋体" w:hAnsi="宋体" w:eastAsia="宋体" w:cs="宋体"/>
                <w:i w:val="0"/>
                <w:iCs w:val="0"/>
                <w:color w:val="000000"/>
                <w:sz w:val="18"/>
                <w:szCs w:val="18"/>
                <w:u w:val="none"/>
              </w:rPr>
            </w:pPr>
          </w:p>
        </w:tc>
      </w:tr>
      <w:tr w14:paraId="16DC0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037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1.1.3.2</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87E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土方开挖</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ACA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2055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2701</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6710B">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4F0E2">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E9919">
            <w:pPr>
              <w:jc w:val="left"/>
              <w:rPr>
                <w:rFonts w:hint="eastAsia" w:ascii="宋体" w:hAnsi="宋体" w:eastAsia="宋体" w:cs="宋体"/>
                <w:i w:val="0"/>
                <w:iCs w:val="0"/>
                <w:color w:val="000000"/>
                <w:sz w:val="18"/>
                <w:szCs w:val="18"/>
                <w:u w:val="none"/>
              </w:rPr>
            </w:pPr>
          </w:p>
        </w:tc>
      </w:tr>
      <w:tr w14:paraId="3CA8D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BAB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1.1.3.3</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011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土方回填</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5C9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D5AE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1064</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AD081">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0845F">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67334">
            <w:pPr>
              <w:jc w:val="left"/>
              <w:rPr>
                <w:rFonts w:hint="eastAsia" w:ascii="宋体" w:hAnsi="宋体" w:eastAsia="宋体" w:cs="宋体"/>
                <w:i w:val="0"/>
                <w:iCs w:val="0"/>
                <w:color w:val="000000"/>
                <w:sz w:val="18"/>
                <w:szCs w:val="18"/>
                <w:u w:val="none"/>
              </w:rPr>
            </w:pPr>
          </w:p>
        </w:tc>
      </w:tr>
      <w:tr w14:paraId="56E58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622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1.1.3.4</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3F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C25砼溢洪道侧墙</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8A6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2A2B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A99A4">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F0502">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51BEE">
            <w:pPr>
              <w:jc w:val="left"/>
              <w:rPr>
                <w:rFonts w:hint="eastAsia" w:ascii="宋体" w:hAnsi="宋体" w:eastAsia="宋体" w:cs="宋体"/>
                <w:i w:val="0"/>
                <w:iCs w:val="0"/>
                <w:color w:val="000000"/>
                <w:sz w:val="18"/>
                <w:szCs w:val="18"/>
                <w:u w:val="none"/>
              </w:rPr>
            </w:pPr>
          </w:p>
        </w:tc>
      </w:tr>
      <w:tr w14:paraId="56477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A9E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1.1.3.5</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49C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C25砼溢洪道底板</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C8B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4D81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CD429">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E2363">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072CD">
            <w:pPr>
              <w:jc w:val="left"/>
              <w:rPr>
                <w:rFonts w:hint="eastAsia" w:ascii="宋体" w:hAnsi="宋体" w:eastAsia="宋体" w:cs="宋体"/>
                <w:i w:val="0"/>
                <w:iCs w:val="0"/>
                <w:color w:val="000000"/>
                <w:sz w:val="18"/>
                <w:szCs w:val="18"/>
                <w:u w:val="none"/>
              </w:rPr>
            </w:pPr>
          </w:p>
        </w:tc>
      </w:tr>
      <w:tr w14:paraId="735C6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377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1.1.3.6</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32C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C25砼溢洪道齿墙</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0C9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9E1D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06837">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EDFAA">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0067A">
            <w:pPr>
              <w:jc w:val="left"/>
              <w:rPr>
                <w:rFonts w:hint="eastAsia" w:ascii="宋体" w:hAnsi="宋体" w:eastAsia="宋体" w:cs="宋体"/>
                <w:i w:val="0"/>
                <w:iCs w:val="0"/>
                <w:color w:val="000000"/>
                <w:sz w:val="18"/>
                <w:szCs w:val="18"/>
                <w:u w:val="none"/>
              </w:rPr>
            </w:pPr>
          </w:p>
        </w:tc>
      </w:tr>
      <w:tr w14:paraId="28898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4D7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1.1.3.7</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F5C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C20砼垫层</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9B8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22EB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EB03D">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186B1">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6E282">
            <w:pPr>
              <w:jc w:val="left"/>
              <w:rPr>
                <w:rFonts w:hint="eastAsia" w:ascii="宋体" w:hAnsi="宋体" w:eastAsia="宋体" w:cs="宋体"/>
                <w:i w:val="0"/>
                <w:iCs w:val="0"/>
                <w:color w:val="000000"/>
                <w:sz w:val="18"/>
                <w:szCs w:val="18"/>
                <w:u w:val="none"/>
              </w:rPr>
            </w:pPr>
          </w:p>
        </w:tc>
      </w:tr>
      <w:tr w14:paraId="6B370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5E7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1.1.3.8</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7B9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钢筋制作与安装</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BEE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3F91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15.34</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DE911">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4904D">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B4BD5">
            <w:pPr>
              <w:jc w:val="left"/>
              <w:rPr>
                <w:rFonts w:hint="eastAsia" w:ascii="宋体" w:hAnsi="宋体" w:eastAsia="宋体" w:cs="宋体"/>
                <w:i w:val="0"/>
                <w:iCs w:val="0"/>
                <w:color w:val="000000"/>
                <w:sz w:val="18"/>
                <w:szCs w:val="18"/>
                <w:u w:val="none"/>
              </w:rPr>
            </w:pPr>
          </w:p>
        </w:tc>
      </w:tr>
      <w:tr w14:paraId="39E83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50F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1.1.3.9</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46D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普通平面模板支护</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5C2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B290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483</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B3A5C">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BD10A">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3092C">
            <w:pPr>
              <w:jc w:val="left"/>
              <w:rPr>
                <w:rFonts w:hint="eastAsia" w:ascii="宋体" w:hAnsi="宋体" w:eastAsia="宋体" w:cs="宋体"/>
                <w:i w:val="0"/>
                <w:iCs w:val="0"/>
                <w:color w:val="000000"/>
                <w:sz w:val="18"/>
                <w:szCs w:val="18"/>
                <w:u w:val="none"/>
              </w:rPr>
            </w:pPr>
          </w:p>
        </w:tc>
      </w:tr>
      <w:tr w14:paraId="2D5C8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F43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1.1.3.10</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B82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止水带</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9B2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C4EB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139</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7DAAD">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A8A48">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55589">
            <w:pPr>
              <w:jc w:val="left"/>
              <w:rPr>
                <w:rFonts w:hint="eastAsia" w:ascii="宋体" w:hAnsi="宋体" w:eastAsia="宋体" w:cs="宋体"/>
                <w:i w:val="0"/>
                <w:iCs w:val="0"/>
                <w:color w:val="000000"/>
                <w:sz w:val="18"/>
                <w:szCs w:val="18"/>
                <w:u w:val="none"/>
              </w:rPr>
            </w:pPr>
          </w:p>
        </w:tc>
      </w:tr>
      <w:tr w14:paraId="4AB6D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1DD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1.1.3.11</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3A2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聚乙烯低发泡沫板</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E7F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CDE1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D6B62">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64B7C">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CEBA3">
            <w:pPr>
              <w:jc w:val="left"/>
              <w:rPr>
                <w:rFonts w:hint="eastAsia" w:ascii="宋体" w:hAnsi="宋体" w:eastAsia="宋体" w:cs="宋体"/>
                <w:i w:val="0"/>
                <w:iCs w:val="0"/>
                <w:color w:val="000000"/>
                <w:sz w:val="18"/>
                <w:szCs w:val="18"/>
                <w:u w:val="none"/>
              </w:rPr>
            </w:pPr>
          </w:p>
        </w:tc>
      </w:tr>
      <w:tr w14:paraId="7E238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055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1.1.3.12</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D6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∅50PVC 排水管</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1D6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0C55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0CBD9">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7F52D">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EED8F">
            <w:pPr>
              <w:jc w:val="left"/>
              <w:rPr>
                <w:rFonts w:hint="eastAsia" w:ascii="宋体" w:hAnsi="宋体" w:eastAsia="宋体" w:cs="宋体"/>
                <w:i w:val="0"/>
                <w:iCs w:val="0"/>
                <w:color w:val="000000"/>
                <w:sz w:val="18"/>
                <w:szCs w:val="18"/>
                <w:u w:val="none"/>
              </w:rPr>
            </w:pPr>
          </w:p>
        </w:tc>
      </w:tr>
      <w:tr w14:paraId="4CBB6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7E8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1.1.3.13</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E89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∅200PVC 软式透水管</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517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53E6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598</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8D0C8">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34870">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6E5C0">
            <w:pPr>
              <w:jc w:val="left"/>
              <w:rPr>
                <w:rFonts w:hint="eastAsia" w:ascii="宋体" w:hAnsi="宋体" w:eastAsia="宋体" w:cs="宋体"/>
                <w:i w:val="0"/>
                <w:iCs w:val="0"/>
                <w:color w:val="000000"/>
                <w:sz w:val="18"/>
                <w:szCs w:val="18"/>
                <w:u w:val="none"/>
              </w:rPr>
            </w:pPr>
          </w:p>
        </w:tc>
      </w:tr>
      <w:tr w14:paraId="66CE3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A8D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680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附属设施</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26B19">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F1443">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4AA39">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A9198">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7F6F5">
            <w:pPr>
              <w:jc w:val="left"/>
              <w:rPr>
                <w:rFonts w:hint="eastAsia" w:ascii="宋体" w:hAnsi="宋体" w:eastAsia="宋体" w:cs="宋体"/>
                <w:i w:val="0"/>
                <w:iCs w:val="0"/>
                <w:color w:val="000000"/>
                <w:sz w:val="18"/>
                <w:szCs w:val="18"/>
                <w:u w:val="none"/>
              </w:rPr>
            </w:pPr>
          </w:p>
        </w:tc>
      </w:tr>
      <w:tr w14:paraId="13F18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BE8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801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防汛道路工程</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8220F">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A9160">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FF48">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4EDB9">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E59F3">
            <w:pPr>
              <w:jc w:val="left"/>
              <w:rPr>
                <w:rFonts w:hint="eastAsia" w:ascii="宋体" w:hAnsi="宋体" w:eastAsia="宋体" w:cs="宋体"/>
                <w:i w:val="0"/>
                <w:iCs w:val="0"/>
                <w:color w:val="000000"/>
                <w:sz w:val="18"/>
                <w:szCs w:val="18"/>
                <w:u w:val="none"/>
              </w:rPr>
            </w:pPr>
          </w:p>
        </w:tc>
      </w:tr>
      <w:tr w14:paraId="74837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5AF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1.2.1.1</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88A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砖碴道路（0.16km）</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51B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9882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0.16</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0A47">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D6A6A">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ED115">
            <w:pPr>
              <w:jc w:val="left"/>
              <w:rPr>
                <w:rFonts w:hint="eastAsia" w:ascii="宋体" w:hAnsi="宋体" w:eastAsia="宋体" w:cs="宋体"/>
                <w:i w:val="0"/>
                <w:iCs w:val="0"/>
                <w:color w:val="000000"/>
                <w:sz w:val="18"/>
                <w:szCs w:val="18"/>
                <w:u w:val="none"/>
              </w:rPr>
            </w:pPr>
          </w:p>
        </w:tc>
      </w:tr>
      <w:tr w14:paraId="30652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DED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2B8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取土场及开挖边坡排水沟</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3BA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9972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763</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CBF3E">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A93C7">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8D7B0">
            <w:pPr>
              <w:jc w:val="left"/>
              <w:rPr>
                <w:rFonts w:hint="eastAsia" w:ascii="宋体" w:hAnsi="宋体" w:eastAsia="宋体" w:cs="宋体"/>
                <w:i w:val="0"/>
                <w:iCs w:val="0"/>
                <w:color w:val="000000"/>
                <w:sz w:val="18"/>
                <w:szCs w:val="18"/>
                <w:u w:val="none"/>
              </w:rPr>
            </w:pPr>
          </w:p>
        </w:tc>
      </w:tr>
      <w:tr w14:paraId="1AA93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9E5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1.2.2.1</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711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人工开挖排水沟土方</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EC2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B69E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175</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43E4A">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5E924">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97EA2">
            <w:pPr>
              <w:jc w:val="left"/>
              <w:rPr>
                <w:rFonts w:hint="eastAsia" w:ascii="宋体" w:hAnsi="宋体" w:eastAsia="宋体" w:cs="宋体"/>
                <w:i w:val="0"/>
                <w:iCs w:val="0"/>
                <w:color w:val="000000"/>
                <w:sz w:val="18"/>
                <w:szCs w:val="18"/>
                <w:u w:val="none"/>
              </w:rPr>
            </w:pPr>
          </w:p>
        </w:tc>
      </w:tr>
      <w:tr w14:paraId="53D89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9C6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1.2.2.2</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6CE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土方回填</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466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82F4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3378D">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54828">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E4755">
            <w:pPr>
              <w:jc w:val="left"/>
              <w:rPr>
                <w:rFonts w:hint="eastAsia" w:ascii="宋体" w:hAnsi="宋体" w:eastAsia="宋体" w:cs="宋体"/>
                <w:i w:val="0"/>
                <w:iCs w:val="0"/>
                <w:color w:val="000000"/>
                <w:sz w:val="18"/>
                <w:szCs w:val="18"/>
                <w:u w:val="none"/>
              </w:rPr>
            </w:pPr>
          </w:p>
        </w:tc>
      </w:tr>
      <w:tr w14:paraId="6D11C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DF2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1.2.2.3</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EE7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M7.5浆砌砖(332m)</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118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54F6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259</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D083C">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24A44">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E7879">
            <w:pPr>
              <w:jc w:val="left"/>
              <w:rPr>
                <w:rFonts w:hint="eastAsia" w:ascii="宋体" w:hAnsi="宋体" w:eastAsia="宋体" w:cs="宋体"/>
                <w:i w:val="0"/>
                <w:iCs w:val="0"/>
                <w:color w:val="000000"/>
                <w:sz w:val="18"/>
                <w:szCs w:val="18"/>
                <w:u w:val="none"/>
              </w:rPr>
            </w:pPr>
          </w:p>
        </w:tc>
      </w:tr>
      <w:tr w14:paraId="64583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798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61E3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其他施工临时工程</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B48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8942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445D0">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7072A">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4806E">
            <w:pPr>
              <w:jc w:val="left"/>
              <w:rPr>
                <w:rFonts w:hint="eastAsia" w:ascii="宋体" w:hAnsi="宋体" w:eastAsia="宋体" w:cs="宋体"/>
                <w:i w:val="0"/>
                <w:iCs w:val="0"/>
                <w:color w:val="000000"/>
                <w:sz w:val="18"/>
                <w:szCs w:val="18"/>
                <w:u w:val="none"/>
              </w:rPr>
            </w:pPr>
          </w:p>
        </w:tc>
      </w:tr>
      <w:tr w14:paraId="597F6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928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84B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林草措施投资</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1C40D">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2E4A4">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0CAF3">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B2981">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34153">
            <w:pPr>
              <w:jc w:val="left"/>
              <w:rPr>
                <w:rFonts w:hint="eastAsia" w:ascii="宋体" w:hAnsi="宋体" w:eastAsia="宋体" w:cs="宋体"/>
                <w:i w:val="0"/>
                <w:iCs w:val="0"/>
                <w:color w:val="000000"/>
                <w:sz w:val="18"/>
                <w:szCs w:val="18"/>
                <w:u w:val="none"/>
              </w:rPr>
            </w:pPr>
          </w:p>
        </w:tc>
      </w:tr>
      <w:tr w14:paraId="65C8C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D9B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E98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坝顶及坝坡植被恢复</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B1566">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ECADD">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196C7">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EA85B">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8315A">
            <w:pPr>
              <w:jc w:val="left"/>
              <w:rPr>
                <w:rFonts w:hint="eastAsia" w:ascii="宋体" w:hAnsi="宋体" w:eastAsia="宋体" w:cs="宋体"/>
                <w:i w:val="0"/>
                <w:iCs w:val="0"/>
                <w:color w:val="000000"/>
                <w:sz w:val="18"/>
                <w:szCs w:val="18"/>
                <w:u w:val="none"/>
              </w:rPr>
            </w:pPr>
          </w:p>
        </w:tc>
      </w:tr>
      <w:tr w14:paraId="1404C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477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C5E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栽（种）植</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8461C">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DDD25">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F7D9E">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A4932">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D2FAD">
            <w:pPr>
              <w:jc w:val="left"/>
              <w:rPr>
                <w:rFonts w:hint="eastAsia" w:ascii="宋体" w:hAnsi="宋体" w:eastAsia="宋体" w:cs="宋体"/>
                <w:i w:val="0"/>
                <w:iCs w:val="0"/>
                <w:color w:val="000000"/>
                <w:sz w:val="18"/>
                <w:szCs w:val="18"/>
                <w:u w:val="none"/>
              </w:rPr>
            </w:pPr>
          </w:p>
        </w:tc>
      </w:tr>
      <w:tr w14:paraId="5846C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05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2.1.1.1</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FC5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栽植紫花苜蓿</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DFF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4AD8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A1859">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02D8F">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922BD">
            <w:pPr>
              <w:jc w:val="left"/>
              <w:rPr>
                <w:rFonts w:hint="eastAsia" w:ascii="宋体" w:hAnsi="宋体" w:eastAsia="宋体" w:cs="宋体"/>
                <w:i w:val="0"/>
                <w:iCs w:val="0"/>
                <w:color w:val="000000"/>
                <w:sz w:val="18"/>
                <w:szCs w:val="18"/>
                <w:u w:val="none"/>
              </w:rPr>
            </w:pPr>
          </w:p>
        </w:tc>
      </w:tr>
      <w:tr w14:paraId="3D4F0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321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2.1.1.2</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03C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植苗造林(紫穗槐，d≥0.3cm)</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7AB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株</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9AF3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2604</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FFF2E">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F99CA">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EF8A2">
            <w:pPr>
              <w:jc w:val="left"/>
              <w:rPr>
                <w:rFonts w:hint="eastAsia" w:ascii="宋体" w:hAnsi="宋体" w:eastAsia="宋体" w:cs="宋体"/>
                <w:i w:val="0"/>
                <w:iCs w:val="0"/>
                <w:color w:val="000000"/>
                <w:sz w:val="18"/>
                <w:szCs w:val="18"/>
                <w:u w:val="none"/>
              </w:rPr>
            </w:pPr>
          </w:p>
        </w:tc>
      </w:tr>
      <w:tr w14:paraId="32130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D71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7B3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苗木及种子</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82C33">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F0D53">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A4ACA">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A4666">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6A538">
            <w:pPr>
              <w:jc w:val="left"/>
              <w:rPr>
                <w:rFonts w:hint="eastAsia" w:ascii="宋体" w:hAnsi="宋体" w:eastAsia="宋体" w:cs="宋体"/>
                <w:i w:val="0"/>
                <w:iCs w:val="0"/>
                <w:color w:val="000000"/>
                <w:sz w:val="18"/>
                <w:szCs w:val="18"/>
                <w:u w:val="none"/>
              </w:rPr>
            </w:pPr>
          </w:p>
        </w:tc>
      </w:tr>
      <w:tr w14:paraId="38BA5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547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2.1.2.1</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44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紫花苜蓿籽</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25E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kg</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EC61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20449">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2DFFD">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F81D8">
            <w:pPr>
              <w:jc w:val="left"/>
              <w:rPr>
                <w:rFonts w:hint="eastAsia" w:ascii="宋体" w:hAnsi="宋体" w:eastAsia="宋体" w:cs="宋体"/>
                <w:i w:val="0"/>
                <w:iCs w:val="0"/>
                <w:color w:val="000000"/>
                <w:sz w:val="18"/>
                <w:szCs w:val="18"/>
                <w:u w:val="none"/>
              </w:rPr>
            </w:pPr>
          </w:p>
        </w:tc>
      </w:tr>
      <w:tr w14:paraId="140FF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FAB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2.1.2.2</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B80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紫穗槐（d≥0.3cm一穴两株）</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D50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株</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4BC3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2734</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05B92">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BC166">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FD003">
            <w:pPr>
              <w:jc w:val="left"/>
              <w:rPr>
                <w:rFonts w:hint="eastAsia" w:ascii="宋体" w:hAnsi="宋体" w:eastAsia="宋体" w:cs="宋体"/>
                <w:i w:val="0"/>
                <w:iCs w:val="0"/>
                <w:color w:val="000000"/>
                <w:sz w:val="18"/>
                <w:szCs w:val="18"/>
                <w:u w:val="none"/>
              </w:rPr>
            </w:pPr>
          </w:p>
        </w:tc>
      </w:tr>
      <w:tr w14:paraId="188D9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A83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184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取土场及开挖边坡植物措施</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946B7">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C3DAD">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F83EB">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20FD0">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89494">
            <w:pPr>
              <w:jc w:val="left"/>
              <w:rPr>
                <w:rFonts w:hint="eastAsia" w:ascii="宋体" w:hAnsi="宋体" w:eastAsia="宋体" w:cs="宋体"/>
                <w:i w:val="0"/>
                <w:iCs w:val="0"/>
                <w:color w:val="000000"/>
                <w:sz w:val="18"/>
                <w:szCs w:val="18"/>
                <w:u w:val="none"/>
              </w:rPr>
            </w:pPr>
          </w:p>
        </w:tc>
      </w:tr>
      <w:tr w14:paraId="36040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512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CBA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栽（种）植</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9A652">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9F0C5">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66AD6">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7F3FA">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4FF98">
            <w:pPr>
              <w:jc w:val="left"/>
              <w:rPr>
                <w:rFonts w:hint="eastAsia" w:ascii="宋体" w:hAnsi="宋体" w:eastAsia="宋体" w:cs="宋体"/>
                <w:i w:val="0"/>
                <w:iCs w:val="0"/>
                <w:color w:val="000000"/>
                <w:sz w:val="18"/>
                <w:szCs w:val="18"/>
                <w:u w:val="none"/>
              </w:rPr>
            </w:pPr>
          </w:p>
        </w:tc>
      </w:tr>
      <w:tr w14:paraId="1D0A5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19E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2.2.1.1</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B7B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穴播造林（柠条）</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1C4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1887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76C26">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CB1A1">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ED98F">
            <w:pPr>
              <w:jc w:val="left"/>
              <w:rPr>
                <w:rFonts w:hint="eastAsia" w:ascii="宋体" w:hAnsi="宋体" w:eastAsia="宋体" w:cs="宋体"/>
                <w:i w:val="0"/>
                <w:iCs w:val="0"/>
                <w:color w:val="000000"/>
                <w:sz w:val="18"/>
                <w:szCs w:val="18"/>
                <w:u w:val="none"/>
              </w:rPr>
            </w:pPr>
          </w:p>
        </w:tc>
      </w:tr>
      <w:tr w14:paraId="4B6CC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C1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A98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苗木及种子</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A44EB">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EA896">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E0145">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B0596">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37FCE">
            <w:pPr>
              <w:jc w:val="left"/>
              <w:rPr>
                <w:rFonts w:hint="eastAsia" w:ascii="宋体" w:hAnsi="宋体" w:eastAsia="宋体" w:cs="宋体"/>
                <w:i w:val="0"/>
                <w:iCs w:val="0"/>
                <w:color w:val="000000"/>
                <w:sz w:val="18"/>
                <w:szCs w:val="18"/>
                <w:u w:val="none"/>
              </w:rPr>
            </w:pPr>
          </w:p>
        </w:tc>
      </w:tr>
      <w:tr w14:paraId="7AD1C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BFE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289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柠条籽</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1F6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kg</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001C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5DED3">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7F851">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A7D05">
            <w:pPr>
              <w:jc w:val="left"/>
              <w:rPr>
                <w:rFonts w:hint="eastAsia" w:ascii="宋体" w:hAnsi="宋体" w:eastAsia="宋体" w:cs="宋体"/>
                <w:i w:val="0"/>
                <w:iCs w:val="0"/>
                <w:color w:val="000000"/>
                <w:sz w:val="18"/>
                <w:szCs w:val="18"/>
                <w:u w:val="none"/>
              </w:rPr>
            </w:pPr>
          </w:p>
        </w:tc>
      </w:tr>
      <w:tr w14:paraId="6DD5B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7B6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50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防汛道路植物措施</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12B39">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EF61E">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58C98">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99D41">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CCCAE">
            <w:pPr>
              <w:jc w:val="left"/>
              <w:rPr>
                <w:rFonts w:hint="eastAsia" w:ascii="宋体" w:hAnsi="宋体" w:eastAsia="宋体" w:cs="宋体"/>
                <w:i w:val="0"/>
                <w:iCs w:val="0"/>
                <w:color w:val="000000"/>
                <w:sz w:val="18"/>
                <w:szCs w:val="18"/>
                <w:u w:val="none"/>
              </w:rPr>
            </w:pPr>
          </w:p>
        </w:tc>
      </w:tr>
      <w:tr w14:paraId="0F3AD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B75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2.3.1</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EC5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栽（种）植</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C197">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7FF11">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083A6">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4BCB0">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FD057">
            <w:pPr>
              <w:jc w:val="left"/>
              <w:rPr>
                <w:rFonts w:hint="eastAsia" w:ascii="宋体" w:hAnsi="宋体" w:eastAsia="宋体" w:cs="宋体"/>
                <w:i w:val="0"/>
                <w:iCs w:val="0"/>
                <w:color w:val="000000"/>
                <w:sz w:val="18"/>
                <w:szCs w:val="18"/>
                <w:u w:val="none"/>
              </w:rPr>
            </w:pPr>
          </w:p>
        </w:tc>
      </w:tr>
      <w:tr w14:paraId="1A523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059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2.3.1.1</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B57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植苗造林（侧柏）</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90E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株</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98C1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E2DA8">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4C023">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A80B3">
            <w:pPr>
              <w:jc w:val="left"/>
              <w:rPr>
                <w:rFonts w:hint="eastAsia" w:ascii="宋体" w:hAnsi="宋体" w:eastAsia="宋体" w:cs="宋体"/>
                <w:i w:val="0"/>
                <w:iCs w:val="0"/>
                <w:color w:val="000000"/>
                <w:sz w:val="18"/>
                <w:szCs w:val="18"/>
                <w:u w:val="none"/>
              </w:rPr>
            </w:pPr>
          </w:p>
        </w:tc>
      </w:tr>
      <w:tr w14:paraId="5B902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3B1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2.3.2</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489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苗木及种子</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AE642">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A2D48">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5402C">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87C72">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FF70B">
            <w:pPr>
              <w:jc w:val="left"/>
              <w:rPr>
                <w:rFonts w:hint="eastAsia" w:ascii="宋体" w:hAnsi="宋体" w:eastAsia="宋体" w:cs="宋体"/>
                <w:i w:val="0"/>
                <w:iCs w:val="0"/>
                <w:color w:val="000000"/>
                <w:sz w:val="18"/>
                <w:szCs w:val="18"/>
                <w:u w:val="none"/>
              </w:rPr>
            </w:pPr>
          </w:p>
        </w:tc>
      </w:tr>
      <w:tr w14:paraId="182FF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806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2.3.2.1</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236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侧柏(H≥1.5m，G≥0.35m)</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B3D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株</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B287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9906B">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B9C2F">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8C1CD">
            <w:pPr>
              <w:jc w:val="left"/>
              <w:rPr>
                <w:rFonts w:hint="eastAsia" w:ascii="宋体" w:hAnsi="宋体" w:eastAsia="宋体" w:cs="宋体"/>
                <w:i w:val="0"/>
                <w:iCs w:val="0"/>
                <w:color w:val="000000"/>
                <w:sz w:val="18"/>
                <w:szCs w:val="18"/>
                <w:u w:val="none"/>
              </w:rPr>
            </w:pPr>
          </w:p>
        </w:tc>
      </w:tr>
      <w:tr w14:paraId="23D87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1"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9B2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F7F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预备费</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1D9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864C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07F7E">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5B08D">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639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以采购文件要求的价格报，不得随意改变</w:t>
            </w:r>
          </w:p>
        </w:tc>
      </w:tr>
    </w:tbl>
    <w:p w14:paraId="1C1929E3">
      <w:pPr>
        <w:rPr>
          <w:rFonts w:hint="eastAsia" w:ascii="宋体" w:hAnsi="宋体" w:eastAsia="宋体" w:cs="宋体"/>
          <w:color w:val="auto"/>
        </w:rPr>
      </w:pPr>
      <w:r>
        <w:rPr>
          <w:rFonts w:hint="eastAsia" w:ascii="宋体" w:hAnsi="宋体" w:eastAsia="宋体" w:cs="宋体"/>
          <w:color w:val="auto"/>
        </w:rPr>
        <w:br w:type="page"/>
      </w:r>
    </w:p>
    <w:p w14:paraId="3FAF9F71">
      <w:pPr>
        <w:rPr>
          <w:rFonts w:hint="eastAsia" w:ascii="宋体" w:hAnsi="宋体" w:eastAsia="宋体" w:cs="宋体"/>
          <w:color w:val="auto"/>
        </w:rPr>
      </w:pPr>
    </w:p>
    <w:p w14:paraId="3E48080F">
      <w:pPr>
        <w:pStyle w:val="2"/>
        <w:rPr>
          <w:rFonts w:hint="eastAsia" w:ascii="宋体" w:hAnsi="宋体" w:eastAsia="宋体" w:cs="宋体"/>
          <w:color w:val="auto"/>
        </w:rPr>
      </w:pPr>
      <w:r>
        <w:rPr>
          <w:rFonts w:hint="eastAsia" w:ascii="宋体" w:hAnsi="宋体" w:eastAsia="宋体" w:cs="宋体"/>
          <w:color w:val="auto"/>
        </w:rPr>
        <w:t>第</w:t>
      </w:r>
      <w:r>
        <w:rPr>
          <w:rFonts w:hint="eastAsia" w:ascii="宋体" w:hAnsi="宋体" w:cs="宋体"/>
          <w:color w:val="auto"/>
          <w:lang w:val="en-US" w:eastAsia="zh-CN"/>
        </w:rPr>
        <w:t>七</w:t>
      </w:r>
      <w:r>
        <w:rPr>
          <w:rFonts w:hint="eastAsia" w:ascii="宋体" w:hAnsi="宋体" w:eastAsia="宋体" w:cs="宋体"/>
          <w:color w:val="auto"/>
        </w:rPr>
        <w:t>章  竞争性磋商响应文件参考格式</w:t>
      </w:r>
    </w:p>
    <w:p w14:paraId="146C42EC">
      <w:pPr>
        <w:adjustRightInd w:val="0"/>
        <w:snapToGrid w:val="0"/>
        <w:spacing w:line="360" w:lineRule="auto"/>
        <w:ind w:right="600" w:firstLine="1606" w:firstLineChars="500"/>
        <w:rPr>
          <w:rFonts w:hint="eastAsia" w:ascii="宋体" w:hAnsi="宋体" w:eastAsia="宋体" w:cs="宋体"/>
          <w:b/>
          <w:color w:val="auto"/>
          <w:sz w:val="32"/>
          <w:szCs w:val="32"/>
        </w:rPr>
      </w:pPr>
    </w:p>
    <w:p w14:paraId="05BB7807">
      <w:pPr>
        <w:adjustRightInd w:val="0"/>
        <w:snapToGrid w:val="0"/>
        <w:spacing w:line="360" w:lineRule="auto"/>
        <w:ind w:right="600" w:firstLine="2570" w:firstLineChars="800"/>
        <w:rPr>
          <w:rFonts w:hint="eastAsia" w:ascii="宋体" w:hAnsi="宋体" w:eastAsia="宋体" w:cs="宋体"/>
          <w:b/>
          <w:color w:val="auto"/>
          <w:sz w:val="32"/>
          <w:szCs w:val="32"/>
        </w:rPr>
      </w:pPr>
      <w:r>
        <w:rPr>
          <w:rFonts w:hint="eastAsia" w:ascii="宋体" w:hAnsi="宋体" w:eastAsia="宋体" w:cs="宋体"/>
          <w:b/>
          <w:color w:val="auto"/>
          <w:sz w:val="32"/>
          <w:szCs w:val="32"/>
        </w:rPr>
        <w:t>竞争性磋商响应文件编制说明</w:t>
      </w:r>
    </w:p>
    <w:p w14:paraId="3D14C2C8">
      <w:pPr>
        <w:spacing w:line="360" w:lineRule="auto"/>
        <w:rPr>
          <w:rFonts w:hint="eastAsia" w:ascii="宋体" w:hAnsi="宋体" w:eastAsia="宋体" w:cs="宋体"/>
          <w:color w:val="auto"/>
          <w:sz w:val="24"/>
        </w:rPr>
      </w:pPr>
    </w:p>
    <w:p w14:paraId="796AC767">
      <w:pPr>
        <w:spacing w:line="480" w:lineRule="auto"/>
        <w:ind w:left="120" w:leftChars="50" w:firstLine="360" w:firstLineChars="150"/>
        <w:rPr>
          <w:rFonts w:hint="eastAsia" w:ascii="宋体" w:hAnsi="宋体" w:eastAsia="宋体" w:cs="宋体"/>
          <w:color w:val="auto"/>
          <w:sz w:val="24"/>
        </w:rPr>
      </w:pPr>
      <w:r>
        <w:rPr>
          <w:rFonts w:hint="eastAsia" w:ascii="宋体" w:hAnsi="宋体" w:eastAsia="宋体" w:cs="宋体"/>
          <w:color w:val="auto"/>
          <w:sz w:val="24"/>
        </w:rPr>
        <w:t>1.提供的竞争性磋商响应文件格式，起到样式作用，编制竞争性磋商响应文件前，请详细阅读竞争性磋商文件，理解文件中的每一项要求。</w:t>
      </w:r>
    </w:p>
    <w:p w14:paraId="4246B8FF">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2.竞争性磋商响应文件应包含此格式但并不限于此格式。其他未提供格式的文件和资料由供应商自行设计编制格式填写。</w:t>
      </w:r>
    </w:p>
    <w:p w14:paraId="2F3443D6">
      <w:pPr>
        <w:spacing w:line="480" w:lineRule="auto"/>
        <w:ind w:firstLine="482" w:firstLineChars="201"/>
        <w:rPr>
          <w:rFonts w:hint="eastAsia" w:ascii="宋体" w:hAnsi="宋体" w:eastAsia="宋体" w:cs="宋体"/>
          <w:color w:val="auto"/>
          <w:sz w:val="24"/>
        </w:rPr>
      </w:pPr>
      <w:r>
        <w:rPr>
          <w:rFonts w:hint="eastAsia" w:ascii="宋体" w:hAnsi="宋体" w:eastAsia="宋体" w:cs="宋体"/>
          <w:color w:val="auto"/>
          <w:sz w:val="24"/>
        </w:rPr>
        <w:t>3.全部编制完成，按文件要求加盖公章、签字，竞争性磋商响应文件正、副本应分别装订成册。</w:t>
      </w:r>
    </w:p>
    <w:p w14:paraId="410F1059">
      <w:pPr>
        <w:spacing w:line="360" w:lineRule="atLeast"/>
        <w:rPr>
          <w:rFonts w:hint="eastAsia" w:ascii="宋体" w:hAnsi="宋体" w:eastAsia="宋体" w:cs="宋体"/>
          <w:color w:val="auto"/>
          <w:sz w:val="21"/>
          <w:szCs w:val="21"/>
        </w:rPr>
      </w:pPr>
    </w:p>
    <w:p w14:paraId="109FB33A">
      <w:pPr>
        <w:spacing w:line="360" w:lineRule="atLeast"/>
        <w:jc w:val="right"/>
        <w:rPr>
          <w:rFonts w:hint="eastAsia" w:ascii="宋体" w:hAnsi="宋体" w:eastAsia="宋体" w:cs="宋体"/>
          <w:b/>
          <w:color w:val="auto"/>
          <w:sz w:val="21"/>
          <w:szCs w:val="21"/>
        </w:rPr>
      </w:pPr>
    </w:p>
    <w:p w14:paraId="3BE9BD10">
      <w:pPr>
        <w:spacing w:line="360" w:lineRule="atLeast"/>
        <w:jc w:val="right"/>
        <w:rPr>
          <w:rFonts w:hint="eastAsia" w:ascii="宋体" w:hAnsi="宋体" w:eastAsia="宋体" w:cs="宋体"/>
          <w:b/>
          <w:color w:val="auto"/>
          <w:sz w:val="21"/>
          <w:szCs w:val="21"/>
        </w:rPr>
      </w:pPr>
    </w:p>
    <w:p w14:paraId="6E81E603">
      <w:pPr>
        <w:spacing w:line="360" w:lineRule="atLeast"/>
        <w:jc w:val="right"/>
        <w:rPr>
          <w:rFonts w:hint="eastAsia" w:ascii="宋体" w:hAnsi="宋体" w:eastAsia="宋体" w:cs="宋体"/>
          <w:b/>
          <w:color w:val="auto"/>
          <w:sz w:val="21"/>
          <w:szCs w:val="21"/>
        </w:rPr>
      </w:pPr>
    </w:p>
    <w:p w14:paraId="0D0731D2">
      <w:pPr>
        <w:spacing w:line="360" w:lineRule="atLeast"/>
        <w:jc w:val="right"/>
        <w:rPr>
          <w:rFonts w:hint="eastAsia" w:ascii="宋体" w:hAnsi="宋体" w:eastAsia="宋体" w:cs="宋体"/>
          <w:b/>
          <w:color w:val="auto"/>
          <w:sz w:val="21"/>
          <w:szCs w:val="21"/>
        </w:rPr>
      </w:pPr>
    </w:p>
    <w:p w14:paraId="4324B122">
      <w:pPr>
        <w:spacing w:line="360" w:lineRule="atLeast"/>
        <w:jc w:val="right"/>
        <w:rPr>
          <w:rFonts w:hint="eastAsia" w:ascii="宋体" w:hAnsi="宋体" w:eastAsia="宋体" w:cs="宋体"/>
          <w:b/>
          <w:color w:val="auto"/>
          <w:sz w:val="21"/>
          <w:szCs w:val="21"/>
        </w:rPr>
      </w:pPr>
    </w:p>
    <w:p w14:paraId="5B2CF945">
      <w:pPr>
        <w:spacing w:line="360" w:lineRule="atLeast"/>
        <w:jc w:val="right"/>
        <w:rPr>
          <w:rFonts w:hint="eastAsia" w:ascii="宋体" w:hAnsi="宋体" w:eastAsia="宋体" w:cs="宋体"/>
          <w:b/>
          <w:color w:val="auto"/>
          <w:sz w:val="21"/>
          <w:szCs w:val="21"/>
        </w:rPr>
      </w:pPr>
    </w:p>
    <w:p w14:paraId="661602FD">
      <w:pPr>
        <w:spacing w:line="360" w:lineRule="atLeast"/>
        <w:jc w:val="right"/>
        <w:rPr>
          <w:rFonts w:hint="eastAsia" w:ascii="宋体" w:hAnsi="宋体" w:eastAsia="宋体" w:cs="宋体"/>
          <w:b/>
          <w:color w:val="auto"/>
          <w:sz w:val="21"/>
          <w:szCs w:val="21"/>
        </w:rPr>
      </w:pPr>
    </w:p>
    <w:p w14:paraId="4B794BF5">
      <w:pPr>
        <w:spacing w:line="360" w:lineRule="atLeast"/>
        <w:jc w:val="right"/>
        <w:rPr>
          <w:rFonts w:hint="eastAsia" w:ascii="宋体" w:hAnsi="宋体" w:eastAsia="宋体" w:cs="宋体"/>
          <w:b/>
          <w:color w:val="auto"/>
          <w:sz w:val="21"/>
          <w:szCs w:val="21"/>
        </w:rPr>
      </w:pPr>
    </w:p>
    <w:p w14:paraId="2980F339">
      <w:pPr>
        <w:spacing w:line="360" w:lineRule="atLeast"/>
        <w:jc w:val="right"/>
        <w:rPr>
          <w:rFonts w:hint="eastAsia" w:ascii="宋体" w:hAnsi="宋体" w:eastAsia="宋体" w:cs="宋体"/>
          <w:b/>
          <w:color w:val="auto"/>
          <w:sz w:val="21"/>
          <w:szCs w:val="21"/>
        </w:rPr>
      </w:pPr>
    </w:p>
    <w:p w14:paraId="3CF1A125">
      <w:pPr>
        <w:spacing w:line="360" w:lineRule="atLeast"/>
        <w:jc w:val="right"/>
        <w:rPr>
          <w:rFonts w:hint="eastAsia" w:ascii="宋体" w:hAnsi="宋体" w:eastAsia="宋体" w:cs="宋体"/>
          <w:b/>
          <w:color w:val="auto"/>
          <w:sz w:val="21"/>
          <w:szCs w:val="21"/>
        </w:rPr>
      </w:pPr>
    </w:p>
    <w:p w14:paraId="74586543">
      <w:pPr>
        <w:spacing w:line="360" w:lineRule="atLeast"/>
        <w:jc w:val="right"/>
        <w:rPr>
          <w:rFonts w:hint="eastAsia" w:ascii="宋体" w:hAnsi="宋体" w:eastAsia="宋体" w:cs="宋体"/>
          <w:b/>
          <w:color w:val="auto"/>
          <w:sz w:val="21"/>
          <w:szCs w:val="21"/>
        </w:rPr>
      </w:pPr>
    </w:p>
    <w:p w14:paraId="5BA88506">
      <w:pPr>
        <w:spacing w:line="360" w:lineRule="atLeast"/>
        <w:jc w:val="right"/>
        <w:rPr>
          <w:rFonts w:hint="eastAsia" w:ascii="宋体" w:hAnsi="宋体" w:eastAsia="宋体" w:cs="宋体"/>
          <w:b/>
          <w:color w:val="auto"/>
          <w:sz w:val="21"/>
          <w:szCs w:val="21"/>
        </w:rPr>
      </w:pPr>
    </w:p>
    <w:p w14:paraId="4BF3FA47">
      <w:pPr>
        <w:spacing w:line="360" w:lineRule="atLeast"/>
        <w:jc w:val="right"/>
        <w:rPr>
          <w:rFonts w:hint="eastAsia" w:ascii="宋体" w:hAnsi="宋体" w:eastAsia="宋体" w:cs="宋体"/>
          <w:b/>
          <w:color w:val="auto"/>
          <w:sz w:val="21"/>
          <w:szCs w:val="21"/>
        </w:rPr>
      </w:pPr>
    </w:p>
    <w:p w14:paraId="29525823">
      <w:pPr>
        <w:spacing w:line="360" w:lineRule="atLeast"/>
        <w:jc w:val="right"/>
        <w:rPr>
          <w:rFonts w:hint="eastAsia" w:ascii="宋体" w:hAnsi="宋体" w:eastAsia="宋体" w:cs="宋体"/>
          <w:b/>
          <w:color w:val="auto"/>
          <w:sz w:val="21"/>
          <w:szCs w:val="21"/>
        </w:rPr>
      </w:pPr>
    </w:p>
    <w:p w14:paraId="482F8FFE">
      <w:pPr>
        <w:spacing w:line="360" w:lineRule="atLeast"/>
        <w:jc w:val="right"/>
        <w:rPr>
          <w:rFonts w:hint="eastAsia" w:ascii="宋体" w:hAnsi="宋体" w:eastAsia="宋体" w:cs="宋体"/>
          <w:b/>
          <w:color w:val="auto"/>
          <w:sz w:val="21"/>
          <w:szCs w:val="21"/>
        </w:rPr>
      </w:pPr>
    </w:p>
    <w:p w14:paraId="6C810E8E">
      <w:pPr>
        <w:spacing w:line="360" w:lineRule="atLeast"/>
        <w:jc w:val="right"/>
        <w:rPr>
          <w:rFonts w:hint="eastAsia" w:ascii="宋体" w:hAnsi="宋体" w:eastAsia="宋体" w:cs="宋体"/>
          <w:b/>
          <w:color w:val="auto"/>
          <w:sz w:val="21"/>
          <w:szCs w:val="21"/>
        </w:rPr>
      </w:pPr>
    </w:p>
    <w:p w14:paraId="4A3532B7">
      <w:pPr>
        <w:spacing w:line="360" w:lineRule="atLeast"/>
        <w:jc w:val="right"/>
        <w:rPr>
          <w:rFonts w:hint="eastAsia" w:ascii="宋体" w:hAnsi="宋体" w:eastAsia="宋体" w:cs="宋体"/>
          <w:b/>
          <w:color w:val="auto"/>
          <w:sz w:val="21"/>
          <w:szCs w:val="21"/>
        </w:rPr>
      </w:pPr>
    </w:p>
    <w:p w14:paraId="7935BDC5">
      <w:pPr>
        <w:spacing w:line="360" w:lineRule="atLeast"/>
        <w:jc w:val="right"/>
        <w:rPr>
          <w:rFonts w:hint="eastAsia" w:ascii="宋体" w:hAnsi="宋体" w:eastAsia="宋体" w:cs="宋体"/>
          <w:b/>
          <w:color w:val="auto"/>
          <w:sz w:val="21"/>
          <w:szCs w:val="21"/>
        </w:rPr>
      </w:pPr>
    </w:p>
    <w:p w14:paraId="48B90182">
      <w:pPr>
        <w:spacing w:line="360" w:lineRule="atLeast"/>
        <w:jc w:val="both"/>
        <w:rPr>
          <w:rFonts w:hint="eastAsia" w:ascii="宋体" w:hAnsi="宋体" w:eastAsia="宋体" w:cs="宋体"/>
          <w:b/>
          <w:color w:val="auto"/>
          <w:sz w:val="21"/>
          <w:szCs w:val="21"/>
        </w:rPr>
      </w:pPr>
    </w:p>
    <w:p w14:paraId="5F7344B7">
      <w:pPr>
        <w:spacing w:line="360" w:lineRule="atLeast"/>
        <w:jc w:val="left"/>
        <w:rPr>
          <w:rFonts w:hint="eastAsia" w:ascii="宋体" w:hAnsi="宋体" w:eastAsia="宋体" w:cs="宋体"/>
          <w:color w:val="auto"/>
          <w:sz w:val="21"/>
          <w:szCs w:val="21"/>
        </w:rPr>
      </w:pPr>
      <w:r>
        <w:rPr>
          <w:rFonts w:hint="eastAsia" w:ascii="宋体" w:hAnsi="宋体" w:eastAsia="宋体" w:cs="宋体"/>
          <w:b/>
          <w:color w:val="auto"/>
          <w:sz w:val="28"/>
          <w:szCs w:val="28"/>
          <w:lang w:eastAsia="zh-CN"/>
        </w:rPr>
        <w:t>项目</w:t>
      </w:r>
      <w:r>
        <w:rPr>
          <w:rFonts w:hint="eastAsia" w:ascii="宋体" w:hAnsi="宋体" w:eastAsia="宋体" w:cs="宋体"/>
          <w:b/>
          <w:color w:val="auto"/>
          <w:sz w:val="28"/>
          <w:szCs w:val="28"/>
        </w:rPr>
        <w:t>编号：</w:t>
      </w:r>
      <w:r>
        <w:rPr>
          <w:rFonts w:hint="eastAsia" w:ascii="宋体" w:hAnsi="宋体" w:eastAsia="宋体" w:cs="宋体"/>
          <w:b/>
          <w:bCs/>
          <w:color w:val="auto"/>
          <w:kern w:val="0"/>
          <w:sz w:val="28"/>
          <w:szCs w:val="28"/>
          <w:lang w:val="en-US" w:eastAsia="zh-CN"/>
        </w:rPr>
        <w:t xml:space="preserve">           </w:t>
      </w:r>
      <w:r>
        <w:rPr>
          <w:rFonts w:hint="eastAsia" w:ascii="宋体" w:hAnsi="宋体" w:eastAsia="宋体" w:cs="宋体"/>
          <w:b/>
          <w:color w:val="auto"/>
          <w:sz w:val="28"/>
          <w:szCs w:val="28"/>
        </w:rPr>
        <w:t xml:space="preserve"> </w:t>
      </w:r>
      <w:r>
        <w:rPr>
          <w:rFonts w:hint="eastAsia" w:ascii="宋体" w:hAnsi="宋体" w:eastAsia="宋体" w:cs="宋体"/>
          <w:b/>
          <w:color w:val="auto"/>
          <w:sz w:val="28"/>
          <w:szCs w:val="28"/>
          <w:lang w:val="en-US" w:eastAsia="zh-CN"/>
        </w:rPr>
        <w:t xml:space="preserve">                           </w:t>
      </w:r>
      <w:r>
        <w:rPr>
          <w:rFonts w:hint="eastAsia" w:ascii="宋体" w:hAnsi="宋体" w:eastAsia="宋体" w:cs="宋体"/>
          <w:b/>
          <w:color w:val="auto"/>
          <w:sz w:val="21"/>
          <w:szCs w:val="21"/>
        </w:rPr>
        <w:t>（正本或副本）</w:t>
      </w:r>
    </w:p>
    <w:p w14:paraId="0096AA2E">
      <w:pPr>
        <w:jc w:val="center"/>
        <w:rPr>
          <w:rFonts w:hint="eastAsia" w:ascii="宋体" w:hAnsi="宋体" w:eastAsia="宋体" w:cs="宋体"/>
          <w:color w:val="auto"/>
          <w:sz w:val="21"/>
          <w:szCs w:val="21"/>
        </w:rPr>
      </w:pPr>
    </w:p>
    <w:p w14:paraId="6352049D">
      <w:pPr>
        <w:pStyle w:val="27"/>
        <w:ind w:left="0" w:leftChars="0" w:firstLine="0" w:firstLineChars="0"/>
        <w:rPr>
          <w:rFonts w:hint="eastAsia" w:ascii="宋体" w:hAnsi="宋体" w:eastAsia="宋体" w:cs="宋体"/>
          <w:b/>
          <w:bCs/>
          <w:color w:val="auto"/>
          <w:kern w:val="2"/>
          <w:sz w:val="48"/>
          <w:szCs w:val="48"/>
          <w:lang w:val="en-US" w:eastAsia="zh-CN" w:bidi="ar-SA"/>
        </w:rPr>
      </w:pPr>
    </w:p>
    <w:p w14:paraId="7CBDF1A0">
      <w:pPr>
        <w:jc w:val="center"/>
        <w:rPr>
          <w:rFonts w:hint="eastAsia" w:ascii="宋体" w:hAnsi="宋体" w:eastAsia="宋体" w:cs="宋体"/>
          <w:b/>
          <w:bCs/>
          <w:color w:val="auto"/>
          <w:sz w:val="48"/>
          <w:szCs w:val="48"/>
        </w:rPr>
      </w:pPr>
      <w:r>
        <w:rPr>
          <w:rFonts w:hint="eastAsia" w:ascii="宋体" w:hAnsi="宋体" w:eastAsia="宋体" w:cs="宋体"/>
          <w:b/>
          <w:bCs/>
          <w:color w:val="auto"/>
          <w:kern w:val="2"/>
          <w:sz w:val="56"/>
          <w:szCs w:val="56"/>
          <w:lang w:val="en-US" w:eastAsia="zh-CN" w:bidi="ar-SA"/>
        </w:rPr>
        <w:t>田家寨镇张圪崂村张圪崂大型淤地坝提升改造工程</w:t>
      </w:r>
    </w:p>
    <w:p w14:paraId="4C25478E">
      <w:pPr>
        <w:jc w:val="center"/>
        <w:rPr>
          <w:rFonts w:hint="eastAsia" w:ascii="宋体" w:hAnsi="宋体" w:eastAsia="宋体" w:cs="宋体"/>
          <w:b/>
          <w:bCs/>
          <w:color w:val="auto"/>
          <w:sz w:val="48"/>
          <w:szCs w:val="48"/>
        </w:rPr>
      </w:pPr>
    </w:p>
    <w:p w14:paraId="3601152E">
      <w:pPr>
        <w:jc w:val="center"/>
        <w:rPr>
          <w:rFonts w:hint="eastAsia" w:ascii="宋体" w:hAnsi="宋体" w:eastAsia="宋体" w:cs="宋体"/>
          <w:b/>
          <w:bCs/>
          <w:color w:val="auto"/>
          <w:sz w:val="48"/>
          <w:szCs w:val="48"/>
        </w:rPr>
      </w:pPr>
      <w:r>
        <w:rPr>
          <w:rFonts w:hint="eastAsia" w:ascii="宋体" w:hAnsi="宋体" w:eastAsia="宋体" w:cs="宋体"/>
          <w:b/>
          <w:bCs/>
          <w:color w:val="auto"/>
          <w:sz w:val="48"/>
          <w:szCs w:val="48"/>
        </w:rPr>
        <w:t>磋商响应文件</w:t>
      </w:r>
    </w:p>
    <w:p w14:paraId="4596B4E7">
      <w:pPr>
        <w:jc w:val="center"/>
        <w:rPr>
          <w:rFonts w:hint="eastAsia" w:ascii="宋体" w:hAnsi="宋体" w:eastAsia="宋体" w:cs="宋体"/>
          <w:color w:val="auto"/>
          <w:sz w:val="21"/>
          <w:szCs w:val="21"/>
        </w:rPr>
      </w:pPr>
    </w:p>
    <w:p w14:paraId="473B2049">
      <w:pPr>
        <w:spacing w:line="360" w:lineRule="atLeast"/>
        <w:rPr>
          <w:rFonts w:hint="eastAsia" w:ascii="宋体" w:hAnsi="宋体" w:eastAsia="宋体" w:cs="宋体"/>
          <w:color w:val="auto"/>
          <w:sz w:val="32"/>
          <w:szCs w:val="32"/>
        </w:rPr>
      </w:pPr>
    </w:p>
    <w:p w14:paraId="7FA0D57B">
      <w:pPr>
        <w:pStyle w:val="27"/>
        <w:rPr>
          <w:rFonts w:hint="eastAsia" w:ascii="宋体" w:hAnsi="宋体" w:eastAsia="宋体" w:cs="宋体"/>
          <w:color w:val="auto"/>
          <w:sz w:val="32"/>
          <w:szCs w:val="32"/>
        </w:rPr>
      </w:pPr>
    </w:p>
    <w:p w14:paraId="632F76E8">
      <w:pPr>
        <w:pStyle w:val="27"/>
        <w:rPr>
          <w:rFonts w:hint="eastAsia" w:ascii="宋体" w:hAnsi="宋体" w:eastAsia="宋体" w:cs="宋体"/>
          <w:color w:val="auto"/>
          <w:sz w:val="32"/>
          <w:szCs w:val="32"/>
        </w:rPr>
      </w:pPr>
    </w:p>
    <w:p w14:paraId="4962E28B">
      <w:pPr>
        <w:pStyle w:val="27"/>
        <w:rPr>
          <w:rFonts w:hint="eastAsia" w:ascii="宋体" w:hAnsi="宋体" w:eastAsia="宋体" w:cs="宋体"/>
          <w:color w:val="auto"/>
          <w:sz w:val="32"/>
          <w:szCs w:val="32"/>
        </w:rPr>
      </w:pPr>
    </w:p>
    <w:p w14:paraId="33688047">
      <w:pPr>
        <w:pStyle w:val="27"/>
        <w:rPr>
          <w:rFonts w:hint="eastAsia" w:ascii="宋体" w:hAnsi="宋体" w:eastAsia="宋体" w:cs="宋体"/>
          <w:color w:val="auto"/>
          <w:sz w:val="32"/>
          <w:szCs w:val="32"/>
        </w:rPr>
      </w:pPr>
    </w:p>
    <w:p w14:paraId="5CBD15E9">
      <w:pPr>
        <w:pStyle w:val="27"/>
        <w:rPr>
          <w:rFonts w:hint="eastAsia" w:ascii="宋体" w:hAnsi="宋体" w:eastAsia="宋体" w:cs="宋体"/>
          <w:color w:val="auto"/>
          <w:sz w:val="32"/>
          <w:szCs w:val="32"/>
        </w:rPr>
      </w:pPr>
    </w:p>
    <w:p w14:paraId="5FF3A625">
      <w:pPr>
        <w:spacing w:before="120" w:beforeLines="50" w:after="120" w:afterLines="50"/>
        <w:ind w:firstLine="711" w:firstLineChars="295"/>
        <w:rPr>
          <w:rFonts w:hint="eastAsia" w:ascii="宋体" w:hAnsi="宋体" w:eastAsia="宋体" w:cs="宋体"/>
          <w:b/>
          <w:color w:val="auto"/>
          <w:sz w:val="24"/>
          <w:szCs w:val="24"/>
        </w:rPr>
      </w:pPr>
      <w:r>
        <w:rPr>
          <w:rFonts w:hint="eastAsia" w:ascii="宋体" w:hAnsi="宋体" w:eastAsia="宋体" w:cs="宋体"/>
          <w:b/>
          <w:color w:val="auto"/>
          <w:sz w:val="24"/>
          <w:szCs w:val="24"/>
        </w:rPr>
        <w:t>供   应   商：</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color w:val="auto"/>
          <w:sz w:val="24"/>
          <w:szCs w:val="24"/>
        </w:rPr>
        <w:t>（盖章）</w:t>
      </w:r>
    </w:p>
    <w:p w14:paraId="2673D196">
      <w:pPr>
        <w:spacing w:before="120" w:beforeLines="50" w:after="120" w:afterLines="50"/>
        <w:ind w:firstLine="711" w:firstLineChars="295"/>
        <w:rPr>
          <w:rFonts w:hint="eastAsia" w:ascii="宋体" w:hAnsi="宋体" w:eastAsia="宋体" w:cs="宋体"/>
          <w:b/>
          <w:color w:val="auto"/>
          <w:sz w:val="24"/>
          <w:szCs w:val="24"/>
        </w:rPr>
      </w:pPr>
    </w:p>
    <w:p w14:paraId="4CE6A858">
      <w:pPr>
        <w:spacing w:before="120" w:beforeLines="50" w:after="120" w:afterLines="50"/>
        <w:ind w:firstLine="711" w:firstLineChars="295"/>
        <w:rPr>
          <w:rFonts w:hint="eastAsia" w:ascii="宋体" w:hAnsi="宋体" w:eastAsia="宋体" w:cs="宋体"/>
          <w:b/>
          <w:color w:val="auto"/>
          <w:sz w:val="24"/>
          <w:szCs w:val="24"/>
          <w:u w:val="thick"/>
        </w:rPr>
      </w:pPr>
      <w:r>
        <w:rPr>
          <w:rFonts w:hint="eastAsia" w:ascii="宋体" w:hAnsi="宋体" w:eastAsia="宋体" w:cs="宋体"/>
          <w:b/>
          <w:color w:val="auto"/>
          <w:sz w:val="24"/>
          <w:szCs w:val="24"/>
        </w:rPr>
        <w:t>法定代表人或或被授权代表：</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（签字或盖章）</w:t>
      </w:r>
    </w:p>
    <w:p w14:paraId="0788956B">
      <w:pPr>
        <w:spacing w:before="120" w:beforeLines="50" w:after="120" w:afterLines="50"/>
        <w:rPr>
          <w:rFonts w:hint="eastAsia" w:ascii="宋体" w:hAnsi="宋体" w:eastAsia="宋体" w:cs="宋体"/>
          <w:b/>
          <w:color w:val="auto"/>
          <w:sz w:val="24"/>
          <w:szCs w:val="24"/>
        </w:rPr>
      </w:pPr>
    </w:p>
    <w:p w14:paraId="3F0F5C44">
      <w:pPr>
        <w:rPr>
          <w:rFonts w:hint="eastAsia" w:ascii="宋体" w:hAnsi="宋体" w:eastAsia="宋体" w:cs="宋体"/>
          <w:color w:val="auto"/>
          <w:sz w:val="22"/>
          <w:szCs w:val="22"/>
        </w:rPr>
      </w:pPr>
      <w:r>
        <w:rPr>
          <w:rFonts w:hint="eastAsia" w:ascii="宋体" w:hAnsi="宋体" w:eastAsia="宋体" w:cs="宋体"/>
          <w:b/>
          <w:color w:val="auto"/>
          <w:sz w:val="24"/>
          <w:szCs w:val="24"/>
        </w:rPr>
        <w:t xml:space="preserve">      日        期：</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 xml:space="preserve"> 年</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u w:val="single"/>
        </w:rPr>
        <w:t xml:space="preserve">       </w:t>
      </w:r>
      <w:r>
        <w:rPr>
          <w:rFonts w:hint="eastAsia" w:ascii="宋体" w:hAnsi="宋体" w:eastAsia="宋体" w:cs="宋体"/>
          <w:b/>
          <w:color w:val="auto"/>
          <w:sz w:val="24"/>
          <w:szCs w:val="24"/>
        </w:rPr>
        <w:t>日</w:t>
      </w:r>
    </w:p>
    <w:p w14:paraId="317C7635">
      <w:pPr>
        <w:rPr>
          <w:rFonts w:hint="eastAsia" w:ascii="宋体" w:hAnsi="宋体" w:eastAsia="宋体" w:cs="宋体"/>
          <w:b/>
          <w:color w:val="auto"/>
          <w:sz w:val="21"/>
          <w:szCs w:val="21"/>
        </w:rPr>
      </w:pPr>
      <w:r>
        <w:rPr>
          <w:rFonts w:hint="eastAsia" w:ascii="宋体" w:hAnsi="宋体" w:eastAsia="宋体" w:cs="宋体"/>
          <w:b/>
          <w:color w:val="auto"/>
          <w:sz w:val="21"/>
          <w:szCs w:val="21"/>
        </w:rPr>
        <w:br w:type="page"/>
      </w:r>
    </w:p>
    <w:p w14:paraId="7131DC5C">
      <w:pPr>
        <w:pageBreakBefore w:val="0"/>
        <w:bidi w:val="0"/>
        <w:spacing w:line="600" w:lineRule="exact"/>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目 录</w:t>
      </w:r>
    </w:p>
    <w:p w14:paraId="57CB69C8">
      <w:pPr>
        <w:pStyle w:val="3"/>
        <w:pageBreakBefore w:val="0"/>
        <w:numPr>
          <w:ilvl w:val="0"/>
          <w:numId w:val="0"/>
        </w:numPr>
        <w:bidi w:val="0"/>
        <w:spacing w:line="600" w:lineRule="exact"/>
        <w:jc w:val="left"/>
        <w:outlineLvl w:val="0"/>
        <w:rPr>
          <w:rFonts w:hint="eastAsia" w:ascii="宋体" w:hAnsi="宋体" w:eastAsia="宋体" w:cs="宋体"/>
          <w:b/>
          <w:bCs w:val="0"/>
          <w:color w:val="auto"/>
          <w:sz w:val="20"/>
          <w:szCs w:val="20"/>
        </w:rPr>
      </w:pPr>
      <w:bookmarkStart w:id="438" w:name="_Toc31328"/>
      <w:bookmarkStart w:id="439" w:name="_Toc9466"/>
      <w:bookmarkStart w:id="440" w:name="_Toc16896"/>
      <w:r>
        <w:rPr>
          <w:rFonts w:hint="eastAsia" w:ascii="宋体" w:hAnsi="宋体" w:eastAsia="宋体" w:cs="宋体"/>
          <w:b/>
          <w:bCs w:val="0"/>
          <w:color w:val="auto"/>
          <w:sz w:val="20"/>
          <w:szCs w:val="20"/>
          <w:lang w:val="en-US" w:eastAsia="zh-CN"/>
        </w:rPr>
        <w:t xml:space="preserve">第一章   </w:t>
      </w:r>
      <w:r>
        <w:rPr>
          <w:rFonts w:hint="eastAsia" w:ascii="宋体" w:hAnsi="宋体" w:eastAsia="宋体" w:cs="宋体"/>
          <w:b/>
          <w:bCs w:val="0"/>
          <w:color w:val="auto"/>
          <w:sz w:val="20"/>
          <w:szCs w:val="20"/>
        </w:rPr>
        <w:t>磋商响应函</w:t>
      </w:r>
      <w:bookmarkEnd w:id="438"/>
      <w:bookmarkEnd w:id="439"/>
      <w:bookmarkEnd w:id="440"/>
    </w:p>
    <w:p w14:paraId="15FF54DC">
      <w:pPr>
        <w:pStyle w:val="3"/>
        <w:pageBreakBefore w:val="0"/>
        <w:numPr>
          <w:ilvl w:val="0"/>
          <w:numId w:val="0"/>
        </w:numPr>
        <w:bidi w:val="0"/>
        <w:spacing w:line="600" w:lineRule="exact"/>
        <w:jc w:val="left"/>
        <w:outlineLvl w:val="0"/>
        <w:rPr>
          <w:rFonts w:hint="eastAsia" w:ascii="宋体" w:hAnsi="宋体" w:eastAsia="宋体" w:cs="宋体"/>
          <w:b/>
          <w:bCs w:val="0"/>
          <w:color w:val="auto"/>
          <w:sz w:val="20"/>
          <w:szCs w:val="20"/>
          <w:lang w:val="en-US" w:eastAsia="zh-CN"/>
        </w:rPr>
      </w:pPr>
      <w:bookmarkStart w:id="441" w:name="_Toc17309"/>
      <w:bookmarkStart w:id="442" w:name="_Toc24896"/>
      <w:bookmarkStart w:id="443" w:name="_Toc17760"/>
      <w:r>
        <w:rPr>
          <w:rFonts w:hint="eastAsia" w:ascii="宋体" w:hAnsi="宋体" w:eastAsia="宋体" w:cs="宋体"/>
          <w:b/>
          <w:bCs w:val="0"/>
          <w:color w:val="auto"/>
          <w:sz w:val="20"/>
          <w:szCs w:val="20"/>
          <w:lang w:val="en-US" w:eastAsia="zh-CN"/>
        </w:rPr>
        <w:t>第二章   报价一览表</w:t>
      </w:r>
      <w:bookmarkEnd w:id="441"/>
      <w:bookmarkEnd w:id="442"/>
      <w:bookmarkEnd w:id="443"/>
    </w:p>
    <w:p w14:paraId="0ED58698">
      <w:pPr>
        <w:pageBreakBefore w:val="0"/>
        <w:bidi w:val="0"/>
        <w:spacing w:line="600" w:lineRule="exact"/>
        <w:jc w:val="left"/>
        <w:rPr>
          <w:rFonts w:hint="eastAsia" w:ascii="宋体" w:hAnsi="宋体" w:eastAsia="宋体" w:cs="宋体"/>
          <w:b/>
          <w:bCs w:val="0"/>
          <w:color w:val="auto"/>
          <w:sz w:val="20"/>
          <w:szCs w:val="20"/>
          <w:lang w:val="en-US"/>
        </w:rPr>
      </w:pPr>
      <w:r>
        <w:rPr>
          <w:rFonts w:hint="eastAsia" w:ascii="宋体" w:hAnsi="宋体" w:eastAsia="宋体" w:cs="宋体"/>
          <w:b/>
          <w:bCs w:val="0"/>
          <w:color w:val="auto"/>
          <w:sz w:val="20"/>
          <w:szCs w:val="20"/>
          <w:lang w:eastAsia="zh-CN"/>
        </w:rPr>
        <w:t>第三</w:t>
      </w:r>
      <w:r>
        <w:rPr>
          <w:rFonts w:hint="eastAsia" w:ascii="宋体" w:hAnsi="宋体" w:eastAsia="宋体" w:cs="宋体"/>
          <w:b/>
          <w:bCs w:val="0"/>
          <w:color w:val="auto"/>
          <w:sz w:val="20"/>
          <w:szCs w:val="20"/>
          <w:lang w:val="en-US" w:eastAsia="zh-CN"/>
        </w:rPr>
        <w:t xml:space="preserve">章 </w:t>
      </w:r>
      <w:r>
        <w:rPr>
          <w:rFonts w:hint="eastAsia" w:ascii="宋体" w:hAnsi="宋体" w:eastAsia="宋体" w:cs="宋体"/>
          <w:b/>
          <w:bCs w:val="0"/>
          <w:color w:val="auto"/>
          <w:sz w:val="20"/>
          <w:szCs w:val="20"/>
          <w:lang w:eastAsia="zh-CN"/>
        </w:rPr>
        <w:t xml:space="preserve">  </w:t>
      </w:r>
      <w:r>
        <w:rPr>
          <w:rFonts w:hint="eastAsia" w:ascii="宋体" w:hAnsi="宋体" w:eastAsia="宋体" w:cs="宋体"/>
          <w:b/>
          <w:bCs w:val="0"/>
          <w:color w:val="auto"/>
          <w:sz w:val="20"/>
          <w:szCs w:val="20"/>
          <w:lang w:val="en-US" w:eastAsia="zh-CN"/>
        </w:rPr>
        <w:t>投标预算</w:t>
      </w:r>
    </w:p>
    <w:p w14:paraId="7A02EE12">
      <w:pPr>
        <w:pageBreakBefore w:val="0"/>
        <w:bidi w:val="0"/>
        <w:spacing w:line="600" w:lineRule="exact"/>
        <w:jc w:val="left"/>
        <w:rPr>
          <w:rFonts w:hint="eastAsia" w:ascii="宋体" w:hAnsi="宋体" w:eastAsia="宋体" w:cs="宋体"/>
          <w:b/>
          <w:bCs w:val="0"/>
          <w:color w:val="auto"/>
          <w:sz w:val="20"/>
          <w:szCs w:val="20"/>
        </w:rPr>
      </w:pPr>
      <w:r>
        <w:rPr>
          <w:rFonts w:hint="eastAsia" w:ascii="宋体" w:hAnsi="宋体" w:eastAsia="宋体" w:cs="宋体"/>
          <w:b/>
          <w:bCs w:val="0"/>
          <w:color w:val="auto"/>
          <w:sz w:val="20"/>
          <w:szCs w:val="20"/>
        </w:rPr>
        <w:t>第</w:t>
      </w:r>
      <w:r>
        <w:rPr>
          <w:rFonts w:hint="eastAsia" w:ascii="宋体" w:hAnsi="宋体" w:eastAsia="宋体" w:cs="宋体"/>
          <w:b/>
          <w:bCs w:val="0"/>
          <w:color w:val="auto"/>
          <w:sz w:val="20"/>
          <w:szCs w:val="20"/>
          <w:lang w:eastAsia="zh-CN"/>
        </w:rPr>
        <w:t>四</w:t>
      </w:r>
      <w:r>
        <w:rPr>
          <w:rFonts w:hint="eastAsia" w:ascii="宋体" w:hAnsi="宋体" w:eastAsia="宋体" w:cs="宋体"/>
          <w:b/>
          <w:bCs w:val="0"/>
          <w:color w:val="auto"/>
          <w:sz w:val="20"/>
          <w:szCs w:val="20"/>
          <w:lang w:val="en-US" w:eastAsia="zh-CN"/>
        </w:rPr>
        <w:t>章</w:t>
      </w:r>
      <w:r>
        <w:rPr>
          <w:rFonts w:hint="eastAsia" w:ascii="宋体" w:hAnsi="宋体" w:eastAsia="宋体" w:cs="宋体"/>
          <w:b/>
          <w:bCs w:val="0"/>
          <w:color w:val="auto"/>
          <w:sz w:val="20"/>
          <w:szCs w:val="20"/>
        </w:rPr>
        <w:t xml:space="preserve"> </w:t>
      </w:r>
      <w:r>
        <w:rPr>
          <w:rFonts w:hint="eastAsia" w:ascii="宋体" w:hAnsi="宋体" w:eastAsia="宋体" w:cs="宋体"/>
          <w:b/>
          <w:bCs w:val="0"/>
          <w:color w:val="auto"/>
          <w:sz w:val="20"/>
          <w:szCs w:val="20"/>
          <w:lang w:val="en-US" w:eastAsia="zh-CN"/>
        </w:rPr>
        <w:t xml:space="preserve"> </w:t>
      </w:r>
      <w:r>
        <w:rPr>
          <w:rFonts w:hint="eastAsia" w:ascii="宋体" w:hAnsi="宋体" w:eastAsia="宋体" w:cs="宋体"/>
          <w:b/>
          <w:bCs w:val="0"/>
          <w:color w:val="auto"/>
          <w:sz w:val="20"/>
          <w:szCs w:val="20"/>
        </w:rPr>
        <w:t xml:space="preserve"> 法定代表人证明书及授权书  </w:t>
      </w:r>
    </w:p>
    <w:p w14:paraId="686D9298">
      <w:pPr>
        <w:pStyle w:val="3"/>
        <w:pageBreakBefore w:val="0"/>
        <w:bidi w:val="0"/>
        <w:spacing w:line="600" w:lineRule="exact"/>
        <w:jc w:val="left"/>
        <w:outlineLvl w:val="0"/>
        <w:rPr>
          <w:rFonts w:hint="eastAsia" w:ascii="宋体" w:hAnsi="宋体" w:eastAsia="宋体" w:cs="宋体"/>
          <w:b/>
          <w:bCs w:val="0"/>
          <w:color w:val="auto"/>
          <w:sz w:val="20"/>
          <w:szCs w:val="20"/>
          <w:lang w:val="en-US" w:eastAsia="zh-CN"/>
        </w:rPr>
      </w:pPr>
      <w:bookmarkStart w:id="444" w:name="_Toc24539"/>
      <w:bookmarkStart w:id="445" w:name="_Toc3628"/>
      <w:bookmarkStart w:id="446" w:name="_Toc25402"/>
      <w:r>
        <w:rPr>
          <w:rFonts w:hint="eastAsia" w:ascii="宋体" w:hAnsi="宋体" w:eastAsia="宋体" w:cs="宋体"/>
          <w:b/>
          <w:bCs w:val="0"/>
          <w:color w:val="auto"/>
          <w:sz w:val="20"/>
          <w:szCs w:val="20"/>
          <w:lang w:val="en-US" w:eastAsia="zh-CN"/>
        </w:rPr>
        <w:t>第五章   资格证明文件</w:t>
      </w:r>
      <w:bookmarkEnd w:id="444"/>
      <w:bookmarkEnd w:id="445"/>
      <w:bookmarkEnd w:id="446"/>
    </w:p>
    <w:p w14:paraId="06442E9F">
      <w:pPr>
        <w:pStyle w:val="3"/>
        <w:bidi w:val="0"/>
        <w:jc w:val="left"/>
        <w:outlineLvl w:val="9"/>
        <w:rPr>
          <w:rFonts w:hint="eastAsia" w:ascii="宋体" w:hAnsi="宋体" w:eastAsia="宋体" w:cs="宋体"/>
          <w:b/>
          <w:bCs w:val="0"/>
          <w:color w:val="auto"/>
          <w:sz w:val="20"/>
          <w:szCs w:val="20"/>
          <w:lang w:val="en-US" w:eastAsia="zh-CN"/>
        </w:rPr>
      </w:pPr>
      <w:r>
        <w:rPr>
          <w:rFonts w:hint="eastAsia" w:ascii="宋体" w:hAnsi="宋体" w:eastAsia="宋体" w:cs="宋体"/>
          <w:b/>
          <w:bCs w:val="0"/>
          <w:color w:val="auto"/>
          <w:sz w:val="20"/>
          <w:szCs w:val="20"/>
          <w:lang w:val="en-US" w:eastAsia="zh-CN"/>
        </w:rPr>
        <w:t xml:space="preserve"> </w:t>
      </w:r>
    </w:p>
    <w:p w14:paraId="12A5B2A8">
      <w:pPr>
        <w:pStyle w:val="3"/>
        <w:bidi w:val="0"/>
        <w:jc w:val="left"/>
        <w:outlineLvl w:val="0"/>
        <w:rPr>
          <w:rFonts w:hint="eastAsia" w:ascii="宋体" w:hAnsi="宋体" w:eastAsia="宋体" w:cs="宋体"/>
          <w:b/>
          <w:bCs w:val="0"/>
          <w:color w:val="auto"/>
          <w:sz w:val="20"/>
          <w:szCs w:val="20"/>
        </w:rPr>
      </w:pPr>
      <w:bookmarkStart w:id="447" w:name="_Toc25134"/>
      <w:bookmarkStart w:id="448" w:name="_Toc32417"/>
      <w:bookmarkStart w:id="449" w:name="_Toc32238"/>
      <w:r>
        <w:rPr>
          <w:rFonts w:hint="eastAsia" w:ascii="宋体" w:hAnsi="宋体" w:eastAsia="宋体" w:cs="宋体"/>
          <w:b/>
          <w:bCs w:val="0"/>
          <w:color w:val="auto"/>
          <w:sz w:val="20"/>
          <w:szCs w:val="20"/>
        </w:rPr>
        <w:t>第</w:t>
      </w:r>
      <w:r>
        <w:rPr>
          <w:rFonts w:hint="eastAsia" w:ascii="宋体" w:hAnsi="宋体" w:eastAsia="宋体" w:cs="宋体"/>
          <w:b/>
          <w:bCs w:val="0"/>
          <w:color w:val="auto"/>
          <w:sz w:val="20"/>
          <w:szCs w:val="20"/>
          <w:lang w:val="en-US" w:eastAsia="zh-CN"/>
        </w:rPr>
        <w:t>六章</w:t>
      </w:r>
      <w:r>
        <w:rPr>
          <w:rFonts w:hint="eastAsia" w:ascii="宋体" w:hAnsi="宋体" w:eastAsia="宋体" w:cs="宋体"/>
          <w:b/>
          <w:bCs w:val="0"/>
          <w:color w:val="auto"/>
          <w:sz w:val="20"/>
          <w:szCs w:val="20"/>
        </w:rPr>
        <w:t xml:space="preserve"> </w:t>
      </w:r>
      <w:r>
        <w:rPr>
          <w:rFonts w:hint="eastAsia" w:ascii="宋体" w:hAnsi="宋体" w:eastAsia="宋体" w:cs="宋体"/>
          <w:b/>
          <w:bCs w:val="0"/>
          <w:color w:val="auto"/>
          <w:sz w:val="20"/>
          <w:szCs w:val="20"/>
          <w:lang w:val="en-US" w:eastAsia="zh-CN"/>
        </w:rPr>
        <w:t xml:space="preserve">  </w:t>
      </w:r>
      <w:r>
        <w:rPr>
          <w:rFonts w:hint="eastAsia" w:ascii="宋体" w:hAnsi="宋体" w:eastAsia="宋体" w:cs="宋体"/>
          <w:b/>
          <w:bCs w:val="0"/>
          <w:color w:val="auto"/>
          <w:sz w:val="20"/>
          <w:szCs w:val="20"/>
          <w:lang w:eastAsia="zh-CN"/>
        </w:rPr>
        <w:t>供应商</w:t>
      </w:r>
      <w:r>
        <w:rPr>
          <w:rFonts w:hint="eastAsia" w:ascii="宋体" w:hAnsi="宋体" w:eastAsia="宋体" w:cs="宋体"/>
          <w:b/>
          <w:bCs w:val="0"/>
          <w:color w:val="auto"/>
          <w:sz w:val="20"/>
          <w:szCs w:val="20"/>
        </w:rPr>
        <w:t>基本情况表</w:t>
      </w:r>
      <w:bookmarkEnd w:id="447"/>
      <w:bookmarkEnd w:id="448"/>
      <w:bookmarkEnd w:id="449"/>
    </w:p>
    <w:p w14:paraId="317EB199">
      <w:pPr>
        <w:pStyle w:val="3"/>
        <w:pageBreakBefore w:val="0"/>
        <w:bidi w:val="0"/>
        <w:spacing w:line="600" w:lineRule="exact"/>
        <w:jc w:val="left"/>
        <w:outlineLvl w:val="0"/>
        <w:rPr>
          <w:rFonts w:hint="eastAsia" w:ascii="宋体" w:hAnsi="宋体" w:eastAsia="宋体" w:cs="宋体"/>
          <w:b/>
          <w:bCs w:val="0"/>
          <w:color w:val="auto"/>
          <w:kern w:val="2"/>
          <w:sz w:val="20"/>
          <w:szCs w:val="20"/>
          <w:lang w:val="en-US" w:eastAsia="zh-CN" w:bidi="ar-SA"/>
        </w:rPr>
      </w:pPr>
      <w:bookmarkStart w:id="450" w:name="_Toc12867"/>
      <w:bookmarkStart w:id="451" w:name="_Toc10870"/>
      <w:bookmarkStart w:id="452" w:name="_Toc31555"/>
      <w:r>
        <w:rPr>
          <w:rFonts w:hint="eastAsia" w:ascii="宋体" w:hAnsi="宋体" w:eastAsia="宋体" w:cs="宋体"/>
          <w:b/>
          <w:bCs w:val="0"/>
          <w:color w:val="auto"/>
          <w:kern w:val="2"/>
          <w:sz w:val="20"/>
          <w:szCs w:val="20"/>
          <w:lang w:val="en-US" w:eastAsia="zh-CN" w:bidi="ar-SA"/>
        </w:rPr>
        <w:t>第七章   供应商参加政府采购活动承诺书</w:t>
      </w:r>
      <w:bookmarkEnd w:id="450"/>
      <w:bookmarkEnd w:id="451"/>
      <w:bookmarkEnd w:id="452"/>
      <w:r>
        <w:rPr>
          <w:rFonts w:hint="eastAsia" w:ascii="宋体" w:hAnsi="宋体" w:eastAsia="宋体" w:cs="宋体"/>
          <w:b/>
          <w:bCs w:val="0"/>
          <w:color w:val="auto"/>
          <w:kern w:val="2"/>
          <w:sz w:val="20"/>
          <w:szCs w:val="20"/>
          <w:lang w:val="en-US" w:eastAsia="zh-CN" w:bidi="ar-SA"/>
        </w:rPr>
        <w:t xml:space="preserve"> </w:t>
      </w:r>
    </w:p>
    <w:p w14:paraId="6247390B">
      <w:pPr>
        <w:pStyle w:val="3"/>
        <w:pageBreakBefore w:val="0"/>
        <w:bidi w:val="0"/>
        <w:spacing w:line="600" w:lineRule="exact"/>
        <w:jc w:val="left"/>
        <w:outlineLvl w:val="0"/>
        <w:rPr>
          <w:rFonts w:hint="eastAsia" w:ascii="宋体" w:hAnsi="宋体" w:eastAsia="宋体" w:cs="宋体"/>
          <w:b/>
          <w:bCs w:val="0"/>
          <w:color w:val="auto"/>
          <w:kern w:val="2"/>
          <w:sz w:val="20"/>
          <w:szCs w:val="20"/>
          <w:lang w:val="en-US" w:eastAsia="zh-CN" w:bidi="ar-SA"/>
        </w:rPr>
      </w:pPr>
      <w:bookmarkStart w:id="453" w:name="_Toc11465"/>
      <w:bookmarkStart w:id="454" w:name="_Toc2127"/>
      <w:bookmarkStart w:id="455" w:name="_Toc22050"/>
      <w:r>
        <w:rPr>
          <w:rFonts w:hint="eastAsia" w:ascii="宋体" w:hAnsi="宋体" w:eastAsia="宋体" w:cs="宋体"/>
          <w:b/>
          <w:bCs w:val="0"/>
          <w:color w:val="auto"/>
          <w:kern w:val="2"/>
          <w:sz w:val="20"/>
          <w:szCs w:val="20"/>
          <w:lang w:val="en-US" w:eastAsia="zh-CN" w:bidi="ar-SA"/>
        </w:rPr>
        <w:t>第八章   施工组织方案</w:t>
      </w:r>
      <w:bookmarkEnd w:id="453"/>
      <w:bookmarkEnd w:id="454"/>
      <w:bookmarkEnd w:id="455"/>
    </w:p>
    <w:p w14:paraId="59177AC9">
      <w:pPr>
        <w:bidi w:val="0"/>
        <w:jc w:val="left"/>
        <w:rPr>
          <w:rFonts w:hint="eastAsia" w:ascii="宋体" w:hAnsi="宋体" w:eastAsia="宋体" w:cs="宋体"/>
          <w:b/>
          <w:bCs w:val="0"/>
          <w:color w:val="auto"/>
          <w:sz w:val="20"/>
          <w:szCs w:val="20"/>
        </w:rPr>
      </w:pPr>
    </w:p>
    <w:p w14:paraId="7C0973CC">
      <w:pPr>
        <w:bidi w:val="0"/>
        <w:jc w:val="left"/>
        <w:rPr>
          <w:rFonts w:hint="eastAsia" w:ascii="宋体" w:hAnsi="宋体" w:eastAsia="宋体" w:cs="宋体"/>
          <w:b/>
          <w:bCs w:val="0"/>
          <w:color w:val="auto"/>
          <w:sz w:val="20"/>
          <w:szCs w:val="20"/>
        </w:rPr>
      </w:pPr>
      <w:r>
        <w:rPr>
          <w:rFonts w:hint="eastAsia" w:ascii="宋体" w:hAnsi="宋体" w:eastAsia="宋体" w:cs="宋体"/>
          <w:b/>
          <w:bCs w:val="0"/>
          <w:color w:val="auto"/>
          <w:kern w:val="2"/>
          <w:sz w:val="20"/>
          <w:szCs w:val="20"/>
          <w:lang w:val="en-US" w:eastAsia="zh-CN" w:bidi="ar-SA"/>
        </w:rPr>
        <w:t>第九章   供应商认为需要提供的其他资料</w:t>
      </w:r>
    </w:p>
    <w:p w14:paraId="2EC9ADAF">
      <w:pPr>
        <w:rPr>
          <w:rFonts w:hint="eastAsia" w:ascii="宋体" w:hAnsi="宋体" w:eastAsia="宋体" w:cs="宋体"/>
          <w:b/>
          <w:color w:val="auto"/>
          <w:kern w:val="2"/>
          <w:sz w:val="28"/>
          <w:szCs w:val="28"/>
          <w:lang w:val="en-US" w:eastAsia="zh-CN" w:bidi="ar-SA"/>
        </w:rPr>
      </w:pPr>
      <w:r>
        <w:rPr>
          <w:rFonts w:hint="eastAsia" w:ascii="宋体" w:hAnsi="宋体" w:eastAsia="宋体" w:cs="宋体"/>
          <w:b/>
          <w:color w:val="auto"/>
          <w:kern w:val="2"/>
          <w:sz w:val="28"/>
          <w:szCs w:val="28"/>
          <w:lang w:val="en-US" w:eastAsia="zh-CN" w:bidi="ar-SA"/>
        </w:rPr>
        <w:br w:type="page"/>
      </w:r>
    </w:p>
    <w:p w14:paraId="4BF2E676">
      <w:pPr>
        <w:bidi w:val="0"/>
        <w:jc w:val="center"/>
        <w:rPr>
          <w:rFonts w:hint="eastAsia" w:ascii="宋体" w:hAnsi="宋体" w:eastAsia="宋体" w:cs="宋体"/>
          <w:color w:val="auto"/>
          <w:sz w:val="22"/>
          <w:szCs w:val="22"/>
        </w:rPr>
      </w:pPr>
      <w:r>
        <w:rPr>
          <w:rFonts w:hint="eastAsia" w:ascii="宋体" w:hAnsi="宋体" w:eastAsia="宋体" w:cs="宋体"/>
          <w:b/>
          <w:color w:val="auto"/>
          <w:kern w:val="2"/>
          <w:sz w:val="28"/>
          <w:szCs w:val="28"/>
          <w:lang w:val="en-US" w:eastAsia="zh-CN" w:bidi="ar-SA"/>
        </w:rPr>
        <w:t>第一章  磋商响应函</w:t>
      </w:r>
    </w:p>
    <w:p w14:paraId="23CCE5B7">
      <w:pPr>
        <w:pageBreakBefore w:val="0"/>
        <w:kinsoku w:val="0"/>
        <w:bidi w:val="0"/>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u w:val="single"/>
          <w:lang w:val="en-US" w:eastAsia="zh-CN"/>
        </w:rPr>
        <w:t xml:space="preserve">          </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lang w:val="en-US" w:eastAsia="zh-CN"/>
        </w:rPr>
        <w:t>采购人名称</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rPr>
        <w:t>：</w:t>
      </w:r>
    </w:p>
    <w:p w14:paraId="6A761AA1">
      <w:pPr>
        <w:pageBreakBefore w:val="0"/>
        <w:kinsoku w:val="0"/>
        <w:bidi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lang w:val="en-US" w:eastAsia="zh-CN"/>
        </w:rPr>
        <w:t>1.</w:t>
      </w:r>
      <w:r>
        <w:rPr>
          <w:rFonts w:hint="eastAsia" w:ascii="宋体" w:hAnsi="宋体" w:eastAsia="宋体" w:cs="宋体"/>
          <w:color w:val="auto"/>
          <w:sz w:val="22"/>
          <w:szCs w:val="22"/>
        </w:rPr>
        <w:t>我单位收到贵公司</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lang w:val="en-US" w:eastAsia="zh-CN"/>
        </w:rPr>
        <w:t>项目名称、项目编号</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rPr>
        <w:t>磋商文件，经详细研究，决定参加本次磋商活动。</w:t>
      </w:r>
      <w:r>
        <w:rPr>
          <w:rFonts w:hint="eastAsia" w:ascii="宋体" w:hAnsi="宋体" w:eastAsia="宋体" w:cs="宋体"/>
          <w:color w:val="auto"/>
          <w:sz w:val="22"/>
          <w:szCs w:val="22"/>
          <w:highlight w:val="none"/>
        </w:rPr>
        <w:t>我方愿以大写</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人民币，小写￥</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元的磋商报价承包上述工程的施工、竣工，并承担任何质量缺陷保修责任。</w:t>
      </w:r>
      <w:r>
        <w:rPr>
          <w:rFonts w:hint="eastAsia" w:ascii="宋体" w:hAnsi="宋体" w:eastAsia="宋体" w:cs="宋体"/>
          <w:color w:val="auto"/>
          <w:sz w:val="22"/>
          <w:szCs w:val="22"/>
        </w:rPr>
        <w:t>为此，我方郑重声明以下几点，并愿负法律责任。</w:t>
      </w:r>
    </w:p>
    <w:p w14:paraId="07B42E42">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2．我方已详细审核全部竞争性磋商文件。</w:t>
      </w:r>
    </w:p>
    <w:p w14:paraId="65FF7CA9">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3．我方保证上述磋商报价不低于我单位工程施工的成本价。</w:t>
      </w:r>
    </w:p>
    <w:p w14:paraId="66E965D5">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4．若我方中标，我方保证按工期</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日历天内完成本工程</w:t>
      </w:r>
      <w:r>
        <w:rPr>
          <w:rFonts w:hint="eastAsia" w:ascii="宋体" w:hAnsi="宋体" w:eastAsia="宋体" w:cs="宋体"/>
          <w:color w:val="auto"/>
          <w:sz w:val="22"/>
          <w:szCs w:val="22"/>
          <w:highlight w:val="none"/>
          <w:lang w:eastAsia="zh-CN"/>
        </w:rPr>
        <w:t>。</w:t>
      </w:r>
    </w:p>
    <w:p w14:paraId="6191DB6E">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5．本工程</w:t>
      </w:r>
      <w:r>
        <w:rPr>
          <w:rFonts w:hint="eastAsia" w:ascii="宋体" w:hAnsi="宋体" w:eastAsia="宋体" w:cs="宋体"/>
          <w:color w:val="auto"/>
          <w:sz w:val="22"/>
          <w:szCs w:val="22"/>
          <w:highlight w:val="none"/>
          <w:lang w:eastAsia="zh-CN"/>
        </w:rPr>
        <w:t>项目</w:t>
      </w:r>
      <w:r>
        <w:rPr>
          <w:rFonts w:hint="eastAsia" w:ascii="宋体" w:hAnsi="宋体" w:eastAsia="宋体" w:cs="宋体"/>
          <w:color w:val="auto"/>
          <w:sz w:val="22"/>
          <w:szCs w:val="22"/>
          <w:highlight w:val="none"/>
          <w:lang w:val="en-US" w:eastAsia="zh-CN"/>
        </w:rPr>
        <w:t>负责人</w:t>
      </w:r>
      <w:r>
        <w:rPr>
          <w:rFonts w:hint="eastAsia" w:ascii="宋体" w:hAnsi="宋体" w:eastAsia="宋体" w:cs="宋体"/>
          <w:color w:val="auto"/>
          <w:sz w:val="22"/>
          <w:szCs w:val="22"/>
          <w:highlight w:val="none"/>
        </w:rPr>
        <w:t>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w:t>
      </w:r>
    </w:p>
    <w:p w14:paraId="6EE0A2B5">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6．若我方中标，我方保证达到安全文明施工达到文明工地标准。</w:t>
      </w:r>
    </w:p>
    <w:p w14:paraId="099A19A0">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7．我方同意所提交的竞争性磋商响应文件在竞争性磋商文件的磋商须知中规定的磋商有效期内有效，在此期间内如果中标，我方将受此约束。</w:t>
      </w:r>
    </w:p>
    <w:p w14:paraId="2850749E">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8．在合同协议书正式签署生效之前，你方的竞争性磋商文件、答疑纪要、成交人通知书和本竞争性磋商响应文件将构成我们约束双方之间共同遵守的文件，对双方具有约束力。</w:t>
      </w:r>
    </w:p>
    <w:p w14:paraId="77E0C4CA">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w:t>
      </w:r>
      <w:r>
        <w:rPr>
          <w:rFonts w:hint="eastAsia" w:ascii="宋体" w:hAnsi="宋体" w:eastAsia="宋体" w:cs="宋体"/>
          <w:color w:val="auto"/>
          <w:kern w:val="2"/>
          <w:sz w:val="22"/>
          <w:szCs w:val="22"/>
          <w:highlight w:val="none"/>
          <w:lang w:val="en-US" w:eastAsia="zh-CN" w:bidi="ar-SA"/>
        </w:rPr>
        <w:t>我方提交响应文件正本</w:t>
      </w:r>
      <w:r>
        <w:rPr>
          <w:rFonts w:hint="eastAsia" w:ascii="宋体" w:hAnsi="宋体" w:eastAsia="宋体" w:cs="宋体"/>
          <w:color w:val="auto"/>
          <w:kern w:val="2"/>
          <w:sz w:val="22"/>
          <w:szCs w:val="22"/>
          <w:highlight w:val="none"/>
          <w:u w:val="single"/>
          <w:lang w:val="en-US" w:eastAsia="zh-CN" w:bidi="ar-SA"/>
        </w:rPr>
        <w:t xml:space="preserve">    </w:t>
      </w:r>
      <w:r>
        <w:rPr>
          <w:rFonts w:hint="eastAsia" w:ascii="宋体" w:hAnsi="宋体" w:eastAsia="宋体" w:cs="宋体"/>
          <w:color w:val="auto"/>
          <w:kern w:val="2"/>
          <w:sz w:val="22"/>
          <w:szCs w:val="22"/>
          <w:highlight w:val="none"/>
          <w:lang w:val="en-US" w:eastAsia="zh-CN" w:bidi="ar-SA"/>
        </w:rPr>
        <w:t>份、副本</w:t>
      </w:r>
      <w:r>
        <w:rPr>
          <w:rFonts w:hint="eastAsia" w:ascii="宋体" w:hAnsi="宋体" w:eastAsia="宋体" w:cs="宋体"/>
          <w:color w:val="auto"/>
          <w:kern w:val="2"/>
          <w:sz w:val="22"/>
          <w:szCs w:val="22"/>
          <w:highlight w:val="none"/>
          <w:u w:val="single"/>
          <w:lang w:val="en-US" w:eastAsia="zh-CN" w:bidi="ar-SA"/>
        </w:rPr>
        <w:t xml:space="preserve">    </w:t>
      </w:r>
      <w:r>
        <w:rPr>
          <w:rFonts w:hint="eastAsia" w:ascii="宋体" w:hAnsi="宋体" w:eastAsia="宋体" w:cs="宋体"/>
          <w:color w:val="auto"/>
          <w:kern w:val="2"/>
          <w:sz w:val="22"/>
          <w:szCs w:val="22"/>
          <w:highlight w:val="none"/>
          <w:lang w:val="en-US" w:eastAsia="zh-CN" w:bidi="ar-SA"/>
        </w:rPr>
        <w:t>份、电子版</w:t>
      </w:r>
      <w:r>
        <w:rPr>
          <w:rFonts w:hint="eastAsia" w:ascii="宋体" w:hAnsi="宋体" w:eastAsia="宋体" w:cs="宋体"/>
          <w:color w:val="auto"/>
          <w:kern w:val="2"/>
          <w:sz w:val="22"/>
          <w:szCs w:val="22"/>
          <w:highlight w:val="none"/>
          <w:u w:val="single"/>
          <w:lang w:val="en-US" w:eastAsia="zh-CN" w:bidi="ar-SA"/>
        </w:rPr>
        <w:t xml:space="preserve">    </w:t>
      </w:r>
      <w:r>
        <w:rPr>
          <w:rFonts w:hint="eastAsia" w:ascii="宋体" w:hAnsi="宋体" w:eastAsia="宋体" w:cs="宋体"/>
          <w:color w:val="auto"/>
          <w:kern w:val="2"/>
          <w:sz w:val="22"/>
          <w:szCs w:val="22"/>
          <w:highlight w:val="none"/>
          <w:lang w:val="en-US" w:eastAsia="zh-CN" w:bidi="ar-SA"/>
        </w:rPr>
        <w:t>份,并保证响应文件提供的数据和材料是真实、准确的。否则，愿承担《政府采购法》第七十七条规定的法律责任</w:t>
      </w:r>
      <w:r>
        <w:rPr>
          <w:rFonts w:hint="eastAsia" w:ascii="宋体" w:hAnsi="宋体" w:eastAsia="宋体" w:cs="宋体"/>
          <w:color w:val="auto"/>
          <w:sz w:val="22"/>
          <w:szCs w:val="22"/>
          <w:highlight w:val="none"/>
        </w:rPr>
        <w:t>。</w:t>
      </w:r>
    </w:p>
    <w:p w14:paraId="26B6A981">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kern w:val="2"/>
          <w:sz w:val="22"/>
          <w:szCs w:val="22"/>
          <w:highlight w:val="none"/>
          <w:lang w:val="en-US" w:eastAsia="zh-CN" w:bidi="ar-SA"/>
        </w:rPr>
        <w:t>10.我方理解你方不负担我们的任何磋商费用，我方不要求你方对未中标原因</w:t>
      </w:r>
      <w:r>
        <w:rPr>
          <w:rFonts w:hint="eastAsia" w:ascii="宋体" w:hAnsi="宋体" w:eastAsia="宋体" w:cs="宋体"/>
          <w:color w:val="auto"/>
          <w:sz w:val="22"/>
          <w:szCs w:val="22"/>
          <w:highlight w:val="none"/>
        </w:rPr>
        <w:t>作任何解释，也不退回竞争性磋商响应文件。</w:t>
      </w:r>
    </w:p>
    <w:p w14:paraId="484364AD">
      <w:pPr>
        <w:pageBreakBefore w:val="0"/>
        <w:bidi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kern w:val="2"/>
          <w:sz w:val="22"/>
          <w:szCs w:val="22"/>
          <w:highlight w:val="none"/>
          <w:lang w:val="en-US" w:eastAsia="zh-CN" w:bidi="ar-SA"/>
        </w:rPr>
        <w:t>11．</w:t>
      </w:r>
      <w:r>
        <w:rPr>
          <w:rFonts w:hint="eastAsia" w:ascii="宋体" w:hAnsi="宋体" w:eastAsia="宋体" w:cs="宋体"/>
          <w:color w:val="auto"/>
          <w:sz w:val="22"/>
          <w:szCs w:val="22"/>
          <w:highlight w:val="none"/>
        </w:rPr>
        <w:t>我方完全接受并响应竞争性磋商文件、答疑文件、评审办法、采购控制限价等关于本项目相关文件的要求，严格遵守采购过程的时间安排、程序安排等细节，对此无任何异议。</w:t>
      </w:r>
    </w:p>
    <w:p w14:paraId="59F13C84">
      <w:pPr>
        <w:pageBreakBefore w:val="0"/>
        <w:kinsoku w:val="0"/>
        <w:bidi w:val="0"/>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rPr>
        <w:t>同意提供贵方要求的与本次磋商有关的任何证明资料。</w:t>
      </w:r>
    </w:p>
    <w:p w14:paraId="2E59AF45">
      <w:pPr>
        <w:pageBreakBefore w:val="0"/>
        <w:kinsoku w:val="0"/>
        <w:bidi w:val="0"/>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13.</w:t>
      </w:r>
      <w:r>
        <w:rPr>
          <w:rFonts w:hint="eastAsia" w:ascii="宋体" w:hAnsi="宋体" w:eastAsia="宋体" w:cs="宋体"/>
          <w:color w:val="auto"/>
          <w:sz w:val="22"/>
          <w:szCs w:val="22"/>
        </w:rPr>
        <w:t>所有关于本次磋商的函电，请按下列地址、方式联系：</w:t>
      </w:r>
    </w:p>
    <w:p w14:paraId="25A92143">
      <w:pPr>
        <w:pageBreakBefore w:val="0"/>
        <w:kinsoku w:val="0"/>
        <w:bidi w:val="0"/>
        <w:spacing w:line="360" w:lineRule="auto"/>
        <w:ind w:firstLine="570"/>
        <w:rPr>
          <w:rFonts w:hint="eastAsia" w:ascii="宋体" w:hAnsi="宋体" w:eastAsia="宋体" w:cs="宋体"/>
          <w:color w:val="auto"/>
          <w:sz w:val="22"/>
          <w:szCs w:val="22"/>
          <w:lang w:eastAsia="zh-CN"/>
        </w:rPr>
      </w:pPr>
    </w:p>
    <w:p w14:paraId="18A520E7">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开户银行：</w:t>
      </w:r>
      <w:r>
        <w:rPr>
          <w:rFonts w:hint="eastAsia" w:ascii="宋体" w:hAnsi="宋体" w:eastAsia="宋体" w:cs="宋体"/>
          <w:color w:val="auto"/>
          <w:sz w:val="22"/>
          <w:szCs w:val="22"/>
          <w:u w:val="single"/>
          <w:lang w:val="en-US" w:eastAsia="zh-CN"/>
        </w:rPr>
        <w:t xml:space="preserve">                                  </w:t>
      </w:r>
    </w:p>
    <w:p w14:paraId="50D7AC65">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帐    号：</w:t>
      </w:r>
      <w:r>
        <w:rPr>
          <w:rFonts w:hint="eastAsia" w:ascii="宋体" w:hAnsi="宋体" w:eastAsia="宋体" w:cs="宋体"/>
          <w:color w:val="auto"/>
          <w:sz w:val="22"/>
          <w:szCs w:val="22"/>
          <w:u w:val="single"/>
          <w:lang w:val="en-US" w:eastAsia="zh-CN"/>
        </w:rPr>
        <w:t xml:space="preserve">                                  </w:t>
      </w:r>
    </w:p>
    <w:p w14:paraId="1862B427">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电    话：</w:t>
      </w:r>
      <w:r>
        <w:rPr>
          <w:rFonts w:hint="eastAsia" w:ascii="宋体" w:hAnsi="宋体" w:eastAsia="宋体" w:cs="宋体"/>
          <w:color w:val="auto"/>
          <w:sz w:val="22"/>
          <w:szCs w:val="22"/>
          <w:u w:val="single"/>
          <w:lang w:val="en-US" w:eastAsia="zh-CN"/>
        </w:rPr>
        <w:t xml:space="preserve">                                  </w:t>
      </w:r>
    </w:p>
    <w:p w14:paraId="0EEF09D8">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传    真：</w:t>
      </w:r>
      <w:r>
        <w:rPr>
          <w:rFonts w:hint="eastAsia" w:ascii="宋体" w:hAnsi="宋体" w:eastAsia="宋体" w:cs="宋体"/>
          <w:color w:val="auto"/>
          <w:sz w:val="22"/>
          <w:szCs w:val="22"/>
          <w:u w:val="single"/>
          <w:lang w:val="en-US" w:eastAsia="zh-CN"/>
        </w:rPr>
        <w:t xml:space="preserve">                                  </w:t>
      </w:r>
    </w:p>
    <w:p w14:paraId="7D0BCC30">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邮    编：</w:t>
      </w:r>
      <w:r>
        <w:rPr>
          <w:rFonts w:hint="eastAsia" w:ascii="宋体" w:hAnsi="宋体" w:eastAsia="宋体" w:cs="宋体"/>
          <w:color w:val="auto"/>
          <w:sz w:val="22"/>
          <w:szCs w:val="22"/>
          <w:u w:val="single"/>
          <w:lang w:val="en-US" w:eastAsia="zh-CN"/>
        </w:rPr>
        <w:t xml:space="preserve">                                  </w:t>
      </w:r>
    </w:p>
    <w:p w14:paraId="189EC9C7">
      <w:pPr>
        <w:pageBreakBefore w:val="0"/>
        <w:kinsoku w:val="0"/>
        <w:bidi w:val="0"/>
        <w:spacing w:line="360" w:lineRule="auto"/>
        <w:ind w:firstLine="570"/>
        <w:rPr>
          <w:rFonts w:hint="eastAsia" w:ascii="宋体" w:hAnsi="宋体" w:eastAsia="宋体" w:cs="宋体"/>
          <w:color w:val="auto"/>
          <w:sz w:val="22"/>
          <w:szCs w:val="22"/>
        </w:rPr>
      </w:pPr>
      <w:r>
        <w:rPr>
          <w:rFonts w:hint="eastAsia" w:ascii="宋体" w:hAnsi="宋体" w:eastAsia="宋体" w:cs="宋体"/>
          <w:color w:val="auto"/>
          <w:sz w:val="22"/>
          <w:szCs w:val="22"/>
        </w:rPr>
        <w:t>供应商全称（公章）</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single"/>
          <w:lang w:val="en-US" w:eastAsia="zh-CN"/>
        </w:rPr>
        <w:t xml:space="preserve">                      </w:t>
      </w:r>
      <w:r>
        <w:rPr>
          <w:rFonts w:hint="eastAsia" w:ascii="宋体" w:hAnsi="宋体" w:eastAsia="宋体" w:cs="宋体"/>
          <w:color w:val="auto"/>
          <w:sz w:val="22"/>
          <w:szCs w:val="22"/>
          <w:u w:val="single"/>
        </w:rPr>
        <w:t xml:space="preserve">   </w:t>
      </w:r>
    </w:p>
    <w:p w14:paraId="38E69541">
      <w:pPr>
        <w:pageBreakBefore w:val="0"/>
        <w:kinsoku w:val="0"/>
        <w:bidi w:val="0"/>
        <w:spacing w:line="360" w:lineRule="auto"/>
        <w:ind w:firstLine="570"/>
        <w:rPr>
          <w:rFonts w:hint="eastAsia" w:ascii="宋体" w:hAnsi="宋体" w:eastAsia="宋体" w:cs="宋体"/>
          <w:color w:val="auto"/>
          <w:sz w:val="22"/>
          <w:szCs w:val="22"/>
          <w:u w:val="single"/>
        </w:rPr>
      </w:pPr>
      <w:r>
        <w:rPr>
          <w:rFonts w:hint="eastAsia" w:ascii="宋体" w:hAnsi="宋体" w:eastAsia="宋体" w:cs="宋体"/>
          <w:color w:val="auto"/>
          <w:sz w:val="22"/>
          <w:szCs w:val="22"/>
        </w:rPr>
        <w:t>法定代表人</w:t>
      </w:r>
      <w:r>
        <w:rPr>
          <w:rFonts w:hint="eastAsia" w:ascii="宋体" w:hAnsi="宋体" w:eastAsia="宋体" w:cs="宋体"/>
          <w:color w:val="auto"/>
          <w:sz w:val="22"/>
          <w:szCs w:val="22"/>
          <w:lang w:val="en-US" w:eastAsia="zh-CN"/>
        </w:rPr>
        <w:t>或</w:t>
      </w:r>
      <w:r>
        <w:rPr>
          <w:rFonts w:hint="eastAsia" w:ascii="宋体" w:hAnsi="宋体" w:eastAsia="宋体" w:cs="宋体"/>
          <w:color w:val="auto"/>
          <w:sz w:val="22"/>
          <w:szCs w:val="22"/>
        </w:rPr>
        <w:t>被授权人（签字）：</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single"/>
          <w:lang w:val="en-US" w:eastAsia="zh-CN"/>
        </w:rPr>
        <w:t xml:space="preserve">   </w:t>
      </w:r>
      <w:r>
        <w:rPr>
          <w:rFonts w:hint="eastAsia" w:ascii="宋体" w:hAnsi="宋体" w:eastAsia="宋体" w:cs="宋体"/>
          <w:color w:val="auto"/>
          <w:sz w:val="22"/>
          <w:szCs w:val="22"/>
          <w:u w:val="single"/>
        </w:rPr>
        <w:t xml:space="preserve">      </w:t>
      </w:r>
    </w:p>
    <w:p w14:paraId="65DE8AA1">
      <w:pPr>
        <w:pageBreakBefore w:val="0"/>
        <w:kinsoku w:val="0"/>
        <w:bidi w:val="0"/>
        <w:spacing w:line="360" w:lineRule="auto"/>
        <w:ind w:firstLine="660" w:firstLineChars="300"/>
        <w:jc w:val="right"/>
        <w:rPr>
          <w:rFonts w:hint="eastAsia" w:ascii="宋体" w:hAnsi="宋体" w:eastAsia="宋体" w:cs="宋体"/>
          <w:color w:val="auto"/>
          <w:sz w:val="22"/>
          <w:szCs w:val="22"/>
        </w:rPr>
      </w:pPr>
      <w:r>
        <w:rPr>
          <w:rFonts w:hint="eastAsia" w:ascii="宋体" w:hAnsi="宋体" w:eastAsia="宋体" w:cs="宋体"/>
          <w:color w:val="auto"/>
          <w:sz w:val="22"/>
          <w:szCs w:val="22"/>
        </w:rPr>
        <w:t>年   月   日</w:t>
      </w:r>
    </w:p>
    <w:p w14:paraId="4F6A64D4">
      <w:pPr>
        <w:pStyle w:val="3"/>
        <w:bidi w:val="0"/>
        <w:outlineLvl w:val="0"/>
        <w:rPr>
          <w:rFonts w:hint="eastAsia" w:ascii="宋体" w:hAnsi="宋体" w:eastAsia="宋体" w:cs="宋体"/>
          <w:color w:val="auto"/>
        </w:rPr>
      </w:pPr>
      <w:r>
        <w:rPr>
          <w:rFonts w:hint="eastAsia" w:ascii="宋体" w:hAnsi="宋体" w:eastAsia="宋体" w:cs="宋体"/>
          <w:color w:val="auto"/>
          <w:sz w:val="28"/>
          <w:szCs w:val="28"/>
          <w:lang w:eastAsia="zh-CN"/>
        </w:rPr>
        <w:br w:type="page"/>
      </w:r>
      <w:bookmarkStart w:id="456" w:name="_Toc29572"/>
      <w:bookmarkStart w:id="457" w:name="_Toc2501"/>
      <w:bookmarkStart w:id="458" w:name="_Toc19224"/>
      <w:bookmarkStart w:id="459" w:name="_Toc22166"/>
      <w:r>
        <w:rPr>
          <w:rFonts w:hint="eastAsia" w:ascii="宋体" w:hAnsi="宋体" w:eastAsia="宋体" w:cs="宋体"/>
          <w:color w:val="auto"/>
          <w:lang w:eastAsia="zh-CN"/>
        </w:rPr>
        <w:t>第二</w:t>
      </w:r>
      <w:r>
        <w:rPr>
          <w:rFonts w:hint="eastAsia" w:ascii="宋体" w:hAnsi="宋体" w:eastAsia="宋体" w:cs="宋体"/>
          <w:color w:val="auto"/>
          <w:lang w:val="en-US" w:eastAsia="zh-CN"/>
        </w:rPr>
        <w:t xml:space="preserve">章  </w:t>
      </w:r>
      <w:r>
        <w:rPr>
          <w:rFonts w:hint="eastAsia" w:ascii="宋体" w:hAnsi="宋体" w:eastAsia="宋体" w:cs="宋体"/>
          <w:color w:val="auto"/>
          <w:lang w:eastAsia="zh-CN"/>
        </w:rPr>
        <w:t>报价一览表（第一次）</w:t>
      </w:r>
      <w:bookmarkEnd w:id="456"/>
      <w:bookmarkEnd w:id="457"/>
      <w:bookmarkEnd w:id="458"/>
      <w:bookmarkEnd w:id="459"/>
    </w:p>
    <w:p w14:paraId="13007307">
      <w:pPr>
        <w:pageBreakBefore w:val="0"/>
        <w:kinsoku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 xml:space="preserve">项目名称：                                                       </w:t>
      </w:r>
    </w:p>
    <w:p w14:paraId="5627BDCF">
      <w:pPr>
        <w:pageBreakBefore w:val="0"/>
        <w:kinsoku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 xml:space="preserve">项目编号：                                                       </w:t>
      </w:r>
    </w:p>
    <w:tbl>
      <w:tblPr>
        <w:tblStyle w:val="22"/>
        <w:tblW w:w="49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0"/>
        <w:gridCol w:w="2515"/>
        <w:gridCol w:w="1891"/>
        <w:gridCol w:w="1711"/>
        <w:gridCol w:w="1535"/>
      </w:tblGrid>
      <w:tr w14:paraId="1C67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jc w:val="center"/>
        </w:trPr>
        <w:tc>
          <w:tcPr>
            <w:tcW w:w="957" w:type="pct"/>
            <w:tcBorders>
              <w:tl2br w:val="single" w:color="auto" w:sz="4" w:space="0"/>
            </w:tcBorders>
            <w:noWrap w:val="0"/>
            <w:vAlign w:val="center"/>
          </w:tcPr>
          <w:p w14:paraId="34013D83">
            <w:pPr>
              <w:pageBreakBefore w:val="0"/>
              <w:kinsoku w:val="0"/>
              <w:bidi w:val="0"/>
              <w:spacing w:line="600" w:lineRule="exact"/>
              <w:ind w:firstLine="480" w:firstLineChars="200"/>
              <w:jc w:val="center"/>
              <w:rPr>
                <w:rFonts w:hint="eastAsia" w:ascii="宋体" w:hAnsi="宋体" w:eastAsia="宋体" w:cs="宋体"/>
                <w:color w:val="auto"/>
                <w:sz w:val="24"/>
              </w:rPr>
            </w:pPr>
            <w:r>
              <w:rPr>
                <w:rFonts w:hint="eastAsia" w:ascii="宋体" w:hAnsi="宋体" w:eastAsia="宋体" w:cs="宋体"/>
                <w:color w:val="auto"/>
                <w:sz w:val="24"/>
              </w:rPr>
              <w:t>报价内容</w:t>
            </w:r>
          </w:p>
          <w:p w14:paraId="1E2D0A35">
            <w:pPr>
              <w:pageBreakBefore w:val="0"/>
              <w:kinsoku w:val="0"/>
              <w:bidi w:val="0"/>
              <w:spacing w:line="600" w:lineRule="exact"/>
              <w:jc w:val="center"/>
              <w:rPr>
                <w:rFonts w:hint="eastAsia" w:ascii="宋体" w:hAnsi="宋体" w:eastAsia="宋体" w:cs="宋体"/>
                <w:color w:val="auto"/>
                <w:sz w:val="24"/>
              </w:rPr>
            </w:pPr>
          </w:p>
          <w:p w14:paraId="3921DDE1">
            <w:pPr>
              <w:pageBreakBefore w:val="0"/>
              <w:kinsoku w:val="0"/>
              <w:bidi w:val="0"/>
              <w:spacing w:line="600" w:lineRule="exact"/>
              <w:jc w:val="both"/>
              <w:rPr>
                <w:rFonts w:hint="eastAsia" w:ascii="宋体" w:hAnsi="宋体" w:eastAsia="宋体" w:cs="宋体"/>
                <w:color w:val="auto"/>
                <w:sz w:val="24"/>
              </w:rPr>
            </w:pPr>
            <w:r>
              <w:rPr>
                <w:rFonts w:hint="eastAsia" w:ascii="宋体" w:hAnsi="宋体" w:eastAsia="宋体" w:cs="宋体"/>
                <w:color w:val="auto"/>
                <w:sz w:val="24"/>
                <w:lang w:val="en-US" w:eastAsia="zh-CN"/>
              </w:rPr>
              <w:t>磋商</w:t>
            </w:r>
            <w:r>
              <w:rPr>
                <w:rFonts w:hint="eastAsia" w:ascii="宋体" w:hAnsi="宋体" w:eastAsia="宋体" w:cs="宋体"/>
                <w:color w:val="auto"/>
                <w:sz w:val="24"/>
              </w:rPr>
              <w:t>内容</w:t>
            </w:r>
          </w:p>
        </w:tc>
        <w:tc>
          <w:tcPr>
            <w:tcW w:w="1329" w:type="pct"/>
            <w:noWrap w:val="0"/>
            <w:vAlign w:val="center"/>
          </w:tcPr>
          <w:p w14:paraId="7342045B">
            <w:pPr>
              <w:pageBreakBefore w:val="0"/>
              <w:kinsoku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lang w:eastAsia="zh-CN"/>
              </w:rPr>
              <w:t>磋商</w:t>
            </w:r>
            <w:r>
              <w:rPr>
                <w:rFonts w:hint="eastAsia" w:ascii="宋体" w:hAnsi="宋体" w:eastAsia="宋体" w:cs="宋体"/>
                <w:color w:val="auto"/>
                <w:sz w:val="24"/>
              </w:rPr>
              <w:t>报价</w:t>
            </w:r>
          </w:p>
        </w:tc>
        <w:tc>
          <w:tcPr>
            <w:tcW w:w="999" w:type="pct"/>
            <w:noWrap w:val="0"/>
            <w:vAlign w:val="center"/>
          </w:tcPr>
          <w:p w14:paraId="779056F6">
            <w:pPr>
              <w:pageBreakBefore w:val="0"/>
              <w:kinsoku w:val="0"/>
              <w:bidi w:val="0"/>
              <w:spacing w:line="600" w:lineRule="exact"/>
              <w:jc w:val="center"/>
              <w:rPr>
                <w:rFonts w:hint="eastAsia" w:ascii="宋体" w:hAnsi="宋体" w:eastAsia="宋体" w:cs="宋体"/>
                <w:color w:val="auto"/>
                <w:sz w:val="24"/>
              </w:rPr>
            </w:pPr>
          </w:p>
          <w:p w14:paraId="6839EF46">
            <w:pPr>
              <w:pageBreakBefore w:val="0"/>
              <w:kinsoku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工期</w:t>
            </w:r>
          </w:p>
          <w:p w14:paraId="49132521">
            <w:pPr>
              <w:pageBreakBefore w:val="0"/>
              <w:kinsoku w:val="0"/>
              <w:bidi w:val="0"/>
              <w:spacing w:line="600" w:lineRule="exact"/>
              <w:jc w:val="center"/>
              <w:rPr>
                <w:rFonts w:hint="eastAsia" w:ascii="宋体" w:hAnsi="宋体" w:eastAsia="宋体" w:cs="宋体"/>
                <w:color w:val="auto"/>
                <w:sz w:val="24"/>
              </w:rPr>
            </w:pPr>
          </w:p>
        </w:tc>
        <w:tc>
          <w:tcPr>
            <w:tcW w:w="904" w:type="pct"/>
            <w:noWrap w:val="0"/>
            <w:vAlign w:val="center"/>
          </w:tcPr>
          <w:p w14:paraId="314B9FA6">
            <w:pPr>
              <w:pageBreakBefore w:val="0"/>
              <w:kinsoku w:val="0"/>
              <w:bidi w:val="0"/>
              <w:spacing w:line="6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rPr>
              <w:t>质量</w:t>
            </w:r>
            <w:r>
              <w:rPr>
                <w:rFonts w:hint="eastAsia" w:ascii="宋体" w:hAnsi="宋体" w:eastAsia="宋体" w:cs="宋体"/>
                <w:color w:val="auto"/>
                <w:sz w:val="24"/>
                <w:lang w:val="en-US" w:eastAsia="zh-CN"/>
              </w:rPr>
              <w:t>要求</w:t>
            </w:r>
          </w:p>
        </w:tc>
        <w:tc>
          <w:tcPr>
            <w:tcW w:w="810" w:type="pct"/>
            <w:noWrap w:val="0"/>
            <w:vAlign w:val="center"/>
          </w:tcPr>
          <w:p w14:paraId="5A03F50B">
            <w:pPr>
              <w:pageBreakBefore w:val="0"/>
              <w:kinsoku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备注</w:t>
            </w:r>
          </w:p>
        </w:tc>
      </w:tr>
      <w:tr w14:paraId="1005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jc w:val="center"/>
        </w:trPr>
        <w:tc>
          <w:tcPr>
            <w:tcW w:w="957" w:type="pct"/>
            <w:noWrap w:val="0"/>
            <w:vAlign w:val="center"/>
          </w:tcPr>
          <w:p w14:paraId="19D42BE6">
            <w:pPr>
              <w:bidi w:val="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 </w:t>
            </w:r>
          </w:p>
        </w:tc>
        <w:tc>
          <w:tcPr>
            <w:tcW w:w="1329" w:type="pct"/>
            <w:noWrap w:val="0"/>
            <w:vAlign w:val="center"/>
          </w:tcPr>
          <w:p w14:paraId="2682E833">
            <w:pPr>
              <w:bidi w:val="0"/>
              <w:jc w:val="center"/>
              <w:rPr>
                <w:rFonts w:hint="eastAsia" w:ascii="宋体" w:hAnsi="宋体" w:eastAsia="宋体" w:cs="宋体"/>
                <w:color w:val="auto"/>
              </w:rPr>
            </w:pPr>
          </w:p>
        </w:tc>
        <w:tc>
          <w:tcPr>
            <w:tcW w:w="999" w:type="pct"/>
            <w:noWrap w:val="0"/>
            <w:vAlign w:val="center"/>
          </w:tcPr>
          <w:p w14:paraId="11939F6D">
            <w:pPr>
              <w:bidi w:val="0"/>
              <w:jc w:val="center"/>
              <w:rPr>
                <w:rFonts w:hint="eastAsia" w:ascii="宋体" w:hAnsi="宋体" w:eastAsia="宋体" w:cs="宋体"/>
                <w:color w:val="auto"/>
              </w:rPr>
            </w:pPr>
          </w:p>
        </w:tc>
        <w:tc>
          <w:tcPr>
            <w:tcW w:w="904" w:type="pct"/>
            <w:noWrap w:val="0"/>
            <w:vAlign w:val="center"/>
          </w:tcPr>
          <w:p w14:paraId="4CA8C011">
            <w:pPr>
              <w:bidi w:val="0"/>
              <w:jc w:val="center"/>
              <w:rPr>
                <w:rFonts w:hint="eastAsia" w:ascii="宋体" w:hAnsi="宋体" w:eastAsia="宋体" w:cs="宋体"/>
                <w:color w:val="auto"/>
              </w:rPr>
            </w:pPr>
          </w:p>
        </w:tc>
        <w:tc>
          <w:tcPr>
            <w:tcW w:w="810" w:type="pct"/>
            <w:noWrap w:val="0"/>
            <w:vAlign w:val="center"/>
          </w:tcPr>
          <w:p w14:paraId="304CCF92">
            <w:pPr>
              <w:bidi w:val="0"/>
              <w:jc w:val="center"/>
              <w:rPr>
                <w:rFonts w:hint="eastAsia" w:ascii="宋体" w:hAnsi="宋体" w:eastAsia="宋体" w:cs="宋体"/>
                <w:color w:val="auto"/>
              </w:rPr>
            </w:pPr>
          </w:p>
        </w:tc>
      </w:tr>
      <w:tr w14:paraId="7082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000" w:type="pct"/>
            <w:gridSpan w:val="5"/>
            <w:noWrap w:val="0"/>
            <w:vAlign w:val="center"/>
          </w:tcPr>
          <w:p w14:paraId="6DA64EC1">
            <w:pPr>
              <w:bidi w:val="0"/>
              <w:jc w:val="both"/>
              <w:rPr>
                <w:rFonts w:hint="eastAsia" w:ascii="宋体" w:hAnsi="宋体" w:eastAsia="宋体" w:cs="宋体"/>
                <w:color w:val="auto"/>
              </w:rPr>
            </w:pPr>
            <w:r>
              <w:rPr>
                <w:rFonts w:hint="eastAsia" w:ascii="宋体" w:hAnsi="宋体" w:eastAsia="宋体" w:cs="宋体"/>
                <w:color w:val="auto"/>
              </w:rPr>
              <w:t xml:space="preserve">人民币（大写）                             </w:t>
            </w:r>
            <w:r>
              <w:rPr>
                <w:rFonts w:hint="eastAsia" w:ascii="宋体" w:hAnsi="宋体" w:eastAsia="宋体" w:cs="宋体"/>
                <w:color w:val="auto"/>
                <w:lang w:val="en-US" w:eastAsia="zh-CN"/>
              </w:rPr>
              <w:t xml:space="preserve">          </w:t>
            </w:r>
            <w:r>
              <w:rPr>
                <w:rFonts w:hint="eastAsia" w:ascii="宋体" w:hAnsi="宋体" w:eastAsia="宋体" w:cs="宋体"/>
                <w:color w:val="auto"/>
              </w:rPr>
              <w:t xml:space="preserve">¥       </w:t>
            </w:r>
            <w:r>
              <w:rPr>
                <w:rFonts w:hint="eastAsia" w:ascii="宋体" w:hAnsi="宋体" w:eastAsia="宋体" w:cs="宋体"/>
                <w:color w:val="auto"/>
                <w:lang w:val="en-US" w:eastAsia="zh-CN"/>
              </w:rPr>
              <w:t xml:space="preserve">   </w:t>
            </w:r>
            <w:r>
              <w:rPr>
                <w:rFonts w:hint="eastAsia" w:ascii="宋体" w:hAnsi="宋体" w:eastAsia="宋体" w:cs="宋体"/>
                <w:color w:val="auto"/>
              </w:rPr>
              <w:t>元</w:t>
            </w:r>
          </w:p>
        </w:tc>
      </w:tr>
      <w:tr w14:paraId="140E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000" w:type="pct"/>
            <w:gridSpan w:val="5"/>
            <w:noWrap w:val="0"/>
            <w:vAlign w:val="center"/>
          </w:tcPr>
          <w:p w14:paraId="2396E70A">
            <w:pPr>
              <w:bidi w:val="0"/>
              <w:jc w:val="both"/>
              <w:rPr>
                <w:rFonts w:hint="eastAsia" w:ascii="宋体" w:hAnsi="宋体" w:eastAsia="宋体" w:cs="宋体"/>
                <w:color w:val="auto"/>
              </w:rPr>
            </w:pPr>
            <w:r>
              <w:rPr>
                <w:rFonts w:hint="eastAsia" w:ascii="宋体" w:hAnsi="宋体" w:eastAsia="宋体" w:cs="宋体"/>
                <w:color w:val="auto"/>
                <w:lang w:val="en-US" w:eastAsia="zh-CN"/>
              </w:rPr>
              <w:t>备注：表内报价内容以元为单位，保留小数点后两位。</w:t>
            </w:r>
          </w:p>
        </w:tc>
      </w:tr>
    </w:tbl>
    <w:p w14:paraId="638D0AE0">
      <w:pPr>
        <w:pageBreakBefore w:val="0"/>
        <w:bidi w:val="0"/>
        <w:spacing w:line="600" w:lineRule="exact"/>
        <w:ind w:firstLine="480" w:firstLineChars="200"/>
        <w:rPr>
          <w:rFonts w:hint="eastAsia" w:ascii="宋体" w:hAnsi="宋体" w:eastAsia="宋体" w:cs="宋体"/>
          <w:color w:val="auto"/>
          <w:sz w:val="24"/>
        </w:rPr>
      </w:pPr>
    </w:p>
    <w:p w14:paraId="3C59BC8A">
      <w:pPr>
        <w:pageBreakBefore w:val="0"/>
        <w:kinsoku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供应商全称（公章）：</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6D21790F">
      <w:pPr>
        <w:pageBreakBefore w:val="0"/>
        <w:kinsoku w:val="0"/>
        <w:bidi w:val="0"/>
        <w:spacing w:line="600" w:lineRule="exact"/>
        <w:rPr>
          <w:rFonts w:hint="eastAsia" w:ascii="宋体" w:hAnsi="宋体" w:eastAsia="宋体" w:cs="宋体"/>
          <w:color w:val="auto"/>
          <w:sz w:val="24"/>
        </w:rPr>
      </w:pPr>
    </w:p>
    <w:p w14:paraId="4F25605A">
      <w:pPr>
        <w:pageBreakBefore w:val="0"/>
        <w:kinsoku w:val="0"/>
        <w:bidi w:val="0"/>
        <w:spacing w:line="600" w:lineRule="exact"/>
        <w:rPr>
          <w:rFonts w:hint="eastAsia" w:ascii="宋体" w:hAnsi="宋体" w:eastAsia="宋体" w:cs="宋体"/>
          <w:b/>
          <w:bCs/>
          <w:color w:val="auto"/>
          <w:kern w:val="44"/>
          <w:sz w:val="32"/>
          <w:szCs w:val="44"/>
          <w:lang w:val="en-US" w:eastAsia="zh-CN"/>
        </w:rPr>
      </w:pPr>
      <w:r>
        <w:rPr>
          <w:rFonts w:hint="eastAsia" w:ascii="宋体" w:hAnsi="宋体" w:eastAsia="宋体" w:cs="宋体"/>
          <w:color w:val="auto"/>
          <w:sz w:val="24"/>
        </w:rPr>
        <w:t>法定代表人</w:t>
      </w:r>
      <w:r>
        <w:rPr>
          <w:rFonts w:hint="eastAsia" w:ascii="宋体" w:hAnsi="宋体" w:eastAsia="宋体" w:cs="宋体"/>
          <w:color w:val="auto"/>
          <w:sz w:val="24"/>
          <w:lang w:val="en-US" w:eastAsia="zh-CN"/>
        </w:rPr>
        <w:t>或</w:t>
      </w:r>
      <w:r>
        <w:rPr>
          <w:rFonts w:hint="eastAsia" w:ascii="宋体" w:hAnsi="宋体" w:eastAsia="宋体" w:cs="宋体"/>
          <w:color w:val="auto"/>
          <w:sz w:val="24"/>
        </w:rPr>
        <w:t>被授权人（签字）：</w:t>
      </w:r>
      <w:r>
        <w:rPr>
          <w:rFonts w:hint="eastAsia" w:ascii="宋体" w:hAnsi="宋体" w:eastAsia="宋体" w:cs="宋体"/>
          <w:color w:val="auto"/>
          <w:sz w:val="24"/>
          <w:u w:val="single"/>
          <w:lang w:val="en-US" w:eastAsia="zh-CN"/>
        </w:rPr>
        <w:t xml:space="preserve">              </w:t>
      </w:r>
    </w:p>
    <w:p w14:paraId="01215769">
      <w:pPr>
        <w:pageBreakBefore w:val="0"/>
        <w:bidi w:val="0"/>
        <w:spacing w:line="600" w:lineRule="exact"/>
        <w:ind w:firstLine="480" w:firstLineChars="200"/>
        <w:jc w:val="center"/>
        <w:rPr>
          <w:rFonts w:hint="eastAsia" w:ascii="宋体" w:hAnsi="宋体" w:eastAsia="宋体" w:cs="宋体"/>
          <w:b/>
          <w:bCs/>
          <w:color w:val="auto"/>
          <w:kern w:val="44"/>
          <w:sz w:val="32"/>
          <w:szCs w:val="44"/>
        </w:rPr>
      </w:pP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 xml:space="preserve">   年   月   日</w:t>
      </w:r>
    </w:p>
    <w:p w14:paraId="021613B2">
      <w:pPr>
        <w:pageBreakBefore w:val="0"/>
        <w:bidi w:val="0"/>
        <w:spacing w:line="600" w:lineRule="exact"/>
        <w:ind w:firstLine="643" w:firstLineChars="200"/>
        <w:jc w:val="center"/>
        <w:rPr>
          <w:rFonts w:hint="eastAsia" w:ascii="宋体" w:hAnsi="宋体" w:eastAsia="宋体" w:cs="宋体"/>
          <w:b/>
          <w:bCs/>
          <w:color w:val="auto"/>
          <w:kern w:val="44"/>
          <w:sz w:val="32"/>
          <w:szCs w:val="44"/>
        </w:rPr>
      </w:pPr>
    </w:p>
    <w:p w14:paraId="489859B6">
      <w:pPr>
        <w:pageBreakBefore w:val="0"/>
        <w:bidi w:val="0"/>
        <w:spacing w:line="600" w:lineRule="exact"/>
        <w:ind w:firstLine="643" w:firstLineChars="200"/>
        <w:jc w:val="center"/>
        <w:rPr>
          <w:rFonts w:hint="eastAsia" w:ascii="宋体" w:hAnsi="宋体" w:eastAsia="宋体" w:cs="宋体"/>
          <w:b/>
          <w:bCs/>
          <w:color w:val="auto"/>
          <w:kern w:val="44"/>
          <w:sz w:val="32"/>
          <w:szCs w:val="44"/>
        </w:rPr>
      </w:pPr>
    </w:p>
    <w:p w14:paraId="71303F54">
      <w:pPr>
        <w:pStyle w:val="3"/>
        <w:bidi w:val="0"/>
        <w:outlineLvl w:val="0"/>
        <w:rPr>
          <w:rFonts w:hint="eastAsia" w:ascii="宋体" w:hAnsi="宋体" w:eastAsia="宋体" w:cs="宋体"/>
          <w:color w:val="auto"/>
          <w:lang w:val="en-US" w:eastAsia="zh-CN"/>
        </w:rPr>
      </w:pPr>
      <w:r>
        <w:rPr>
          <w:rFonts w:hint="eastAsia" w:ascii="宋体" w:hAnsi="宋体" w:eastAsia="宋体" w:cs="宋体"/>
          <w:color w:val="auto"/>
          <w:lang w:eastAsia="zh-CN"/>
        </w:rPr>
        <w:br w:type="page"/>
      </w:r>
      <w:bookmarkStart w:id="460" w:name="_Toc4525"/>
      <w:bookmarkStart w:id="461" w:name="_Toc15963"/>
      <w:bookmarkStart w:id="462" w:name="_Toc26953"/>
      <w:r>
        <w:rPr>
          <w:rFonts w:hint="eastAsia" w:ascii="宋体" w:hAnsi="宋体" w:eastAsia="宋体" w:cs="宋体"/>
          <w:color w:val="auto"/>
          <w:lang w:eastAsia="zh-CN"/>
        </w:rPr>
        <w:t>第三</w:t>
      </w:r>
      <w:r>
        <w:rPr>
          <w:rFonts w:hint="eastAsia" w:ascii="宋体" w:hAnsi="宋体" w:eastAsia="宋体" w:cs="宋体"/>
          <w:color w:val="auto"/>
          <w:lang w:val="en-US" w:eastAsia="zh-CN"/>
        </w:rPr>
        <w:t>章</w:t>
      </w:r>
      <w:r>
        <w:rPr>
          <w:rFonts w:hint="eastAsia" w:ascii="宋体" w:hAnsi="宋体" w:eastAsia="宋体" w:cs="宋体"/>
          <w:color w:val="auto"/>
          <w:lang w:eastAsia="zh-CN"/>
        </w:rPr>
        <w:t xml:space="preserve">  </w:t>
      </w:r>
      <w:bookmarkEnd w:id="460"/>
      <w:r>
        <w:rPr>
          <w:rFonts w:hint="eastAsia" w:ascii="宋体" w:hAnsi="宋体" w:eastAsia="宋体" w:cs="宋体"/>
          <w:color w:val="auto"/>
          <w:lang w:val="en-US" w:eastAsia="zh-CN"/>
        </w:rPr>
        <w:t>投标预算</w:t>
      </w:r>
      <w:bookmarkEnd w:id="461"/>
      <w:bookmarkEnd w:id="462"/>
    </w:p>
    <w:p w14:paraId="00E40892">
      <w:pPr>
        <w:pageBreakBefore w:val="0"/>
        <w:bidi w:val="0"/>
        <w:spacing w:line="600" w:lineRule="exact"/>
        <w:ind w:firstLine="480" w:firstLineChars="200"/>
        <w:rPr>
          <w:rFonts w:hint="eastAsia" w:ascii="宋体" w:hAnsi="宋体" w:eastAsia="宋体" w:cs="宋体"/>
          <w:color w:val="auto"/>
          <w:szCs w:val="21"/>
        </w:rPr>
      </w:pPr>
      <w:r>
        <w:rPr>
          <w:rFonts w:hint="eastAsia" w:ascii="宋体" w:hAnsi="宋体" w:eastAsia="宋体" w:cs="宋体"/>
          <w:color w:val="auto"/>
          <w:szCs w:val="21"/>
        </w:rPr>
        <w:t>以</w:t>
      </w:r>
      <w:r>
        <w:rPr>
          <w:rFonts w:hint="eastAsia" w:ascii="宋体" w:hAnsi="宋体" w:eastAsia="宋体" w:cs="宋体"/>
          <w:color w:val="auto"/>
          <w:szCs w:val="21"/>
          <w:lang w:val="en-US" w:eastAsia="zh-CN"/>
        </w:rPr>
        <w:t>工程量清单</w:t>
      </w:r>
      <w:r>
        <w:rPr>
          <w:rFonts w:hint="eastAsia" w:ascii="宋体" w:hAnsi="宋体" w:eastAsia="宋体" w:cs="宋体"/>
          <w:color w:val="auto"/>
          <w:szCs w:val="21"/>
        </w:rPr>
        <w:t>内容为准。</w:t>
      </w:r>
    </w:p>
    <w:p w14:paraId="148A426F">
      <w:pPr>
        <w:pageBreakBefore w:val="0"/>
        <w:bidi w:val="0"/>
        <w:spacing w:line="600" w:lineRule="exact"/>
        <w:ind w:firstLine="480" w:firstLineChars="200"/>
        <w:rPr>
          <w:rFonts w:hint="eastAsia" w:ascii="宋体" w:hAnsi="宋体" w:eastAsia="宋体" w:cs="宋体"/>
          <w:color w:val="auto"/>
          <w:szCs w:val="21"/>
        </w:rPr>
      </w:pPr>
    </w:p>
    <w:p w14:paraId="5CB0D5A3">
      <w:pPr>
        <w:pageBreakBefore w:val="0"/>
        <w:bidi w:val="0"/>
        <w:spacing w:line="600" w:lineRule="exact"/>
        <w:ind w:firstLine="480" w:firstLineChars="200"/>
        <w:rPr>
          <w:rFonts w:hint="eastAsia" w:ascii="宋体" w:hAnsi="宋体" w:eastAsia="宋体" w:cs="宋体"/>
          <w:color w:val="auto"/>
          <w:szCs w:val="21"/>
        </w:rPr>
      </w:pPr>
    </w:p>
    <w:p w14:paraId="74F10B54">
      <w:pPr>
        <w:pageBreakBefore w:val="0"/>
        <w:bidi w:val="0"/>
        <w:spacing w:line="600" w:lineRule="exact"/>
        <w:ind w:firstLine="480" w:firstLineChars="200"/>
        <w:rPr>
          <w:rFonts w:hint="eastAsia" w:ascii="宋体" w:hAnsi="宋体" w:eastAsia="宋体" w:cs="宋体"/>
          <w:color w:val="auto"/>
          <w:szCs w:val="21"/>
        </w:rPr>
      </w:pPr>
    </w:p>
    <w:p w14:paraId="4B5C2870">
      <w:pPr>
        <w:pageBreakBefore w:val="0"/>
        <w:bidi w:val="0"/>
        <w:spacing w:line="600" w:lineRule="exact"/>
        <w:ind w:firstLine="480" w:firstLineChars="200"/>
        <w:rPr>
          <w:rFonts w:hint="eastAsia" w:ascii="宋体" w:hAnsi="宋体" w:eastAsia="宋体" w:cs="宋体"/>
          <w:color w:val="auto"/>
          <w:szCs w:val="21"/>
        </w:rPr>
      </w:pPr>
    </w:p>
    <w:p w14:paraId="6EB8AFFD">
      <w:pPr>
        <w:pageBreakBefore w:val="0"/>
        <w:bidi w:val="0"/>
        <w:spacing w:line="600" w:lineRule="exact"/>
        <w:ind w:firstLine="480" w:firstLineChars="200"/>
        <w:rPr>
          <w:rFonts w:hint="eastAsia" w:ascii="宋体" w:hAnsi="宋体" w:eastAsia="宋体" w:cs="宋体"/>
          <w:color w:val="auto"/>
          <w:szCs w:val="21"/>
        </w:rPr>
      </w:pPr>
    </w:p>
    <w:p w14:paraId="6104F2B3">
      <w:pPr>
        <w:pageBreakBefore w:val="0"/>
        <w:bidi w:val="0"/>
        <w:spacing w:line="600" w:lineRule="exact"/>
        <w:ind w:firstLine="480" w:firstLineChars="200"/>
        <w:rPr>
          <w:rFonts w:hint="eastAsia" w:ascii="宋体" w:hAnsi="宋体" w:eastAsia="宋体" w:cs="宋体"/>
          <w:color w:val="auto"/>
          <w:szCs w:val="21"/>
        </w:rPr>
      </w:pPr>
    </w:p>
    <w:p w14:paraId="1BE7885A">
      <w:pPr>
        <w:pageBreakBefore w:val="0"/>
        <w:bidi w:val="0"/>
        <w:spacing w:line="600" w:lineRule="exact"/>
        <w:jc w:val="center"/>
        <w:rPr>
          <w:rFonts w:hint="eastAsia" w:ascii="宋体" w:hAnsi="宋体" w:eastAsia="宋体" w:cs="宋体"/>
          <w:b/>
          <w:color w:val="auto"/>
          <w:szCs w:val="21"/>
        </w:rPr>
      </w:pPr>
    </w:p>
    <w:p w14:paraId="5A534F08">
      <w:pPr>
        <w:pageBreakBefore w:val="0"/>
        <w:bidi w:val="0"/>
        <w:spacing w:line="600" w:lineRule="exact"/>
        <w:jc w:val="center"/>
        <w:rPr>
          <w:rFonts w:hint="eastAsia" w:ascii="宋体" w:hAnsi="宋体" w:eastAsia="宋体" w:cs="宋体"/>
          <w:b/>
          <w:color w:val="auto"/>
          <w:szCs w:val="21"/>
        </w:rPr>
      </w:pPr>
    </w:p>
    <w:p w14:paraId="20A080B8">
      <w:pPr>
        <w:pageBreakBefore w:val="0"/>
        <w:bidi w:val="0"/>
        <w:spacing w:line="600" w:lineRule="exact"/>
        <w:jc w:val="center"/>
        <w:rPr>
          <w:rFonts w:hint="eastAsia" w:ascii="宋体" w:hAnsi="宋体" w:eastAsia="宋体" w:cs="宋体"/>
          <w:b/>
          <w:color w:val="auto"/>
          <w:szCs w:val="21"/>
        </w:rPr>
      </w:pPr>
    </w:p>
    <w:p w14:paraId="24163BE2">
      <w:pPr>
        <w:pageBreakBefore w:val="0"/>
        <w:bidi w:val="0"/>
        <w:spacing w:line="600" w:lineRule="exact"/>
        <w:jc w:val="center"/>
        <w:rPr>
          <w:rFonts w:hint="eastAsia" w:ascii="宋体" w:hAnsi="宋体" w:eastAsia="宋体" w:cs="宋体"/>
          <w:b/>
          <w:color w:val="auto"/>
          <w:szCs w:val="21"/>
        </w:rPr>
      </w:pPr>
    </w:p>
    <w:p w14:paraId="41964E48">
      <w:pPr>
        <w:pageBreakBefore w:val="0"/>
        <w:bidi w:val="0"/>
        <w:spacing w:line="600" w:lineRule="exact"/>
        <w:jc w:val="center"/>
        <w:rPr>
          <w:rFonts w:hint="eastAsia" w:ascii="宋体" w:hAnsi="宋体" w:eastAsia="宋体" w:cs="宋体"/>
          <w:b/>
          <w:color w:val="auto"/>
          <w:szCs w:val="21"/>
        </w:rPr>
      </w:pPr>
    </w:p>
    <w:p w14:paraId="0C1051A0">
      <w:pPr>
        <w:pageBreakBefore w:val="0"/>
        <w:bidi w:val="0"/>
        <w:spacing w:line="600" w:lineRule="exact"/>
        <w:jc w:val="center"/>
        <w:rPr>
          <w:rFonts w:hint="eastAsia" w:ascii="宋体" w:hAnsi="宋体" w:eastAsia="宋体" w:cs="宋体"/>
          <w:b/>
          <w:color w:val="auto"/>
          <w:szCs w:val="21"/>
        </w:rPr>
      </w:pPr>
    </w:p>
    <w:p w14:paraId="4126DA4C">
      <w:pPr>
        <w:pageBreakBefore w:val="0"/>
        <w:bidi w:val="0"/>
        <w:spacing w:line="600" w:lineRule="exact"/>
        <w:jc w:val="center"/>
        <w:rPr>
          <w:rFonts w:hint="eastAsia" w:ascii="宋体" w:hAnsi="宋体" w:eastAsia="宋体" w:cs="宋体"/>
          <w:b/>
          <w:color w:val="auto"/>
          <w:szCs w:val="21"/>
        </w:rPr>
      </w:pPr>
    </w:p>
    <w:p w14:paraId="6D2A7F03">
      <w:pPr>
        <w:pStyle w:val="4"/>
        <w:pageBreakBefore w:val="0"/>
        <w:bidi w:val="0"/>
        <w:spacing w:line="600" w:lineRule="exact"/>
        <w:outlineLvl w:val="9"/>
        <w:rPr>
          <w:rFonts w:hint="eastAsia" w:ascii="宋体" w:hAnsi="宋体" w:eastAsia="宋体" w:cs="宋体"/>
          <w:color w:val="auto"/>
        </w:rPr>
      </w:pPr>
    </w:p>
    <w:p w14:paraId="11B40022">
      <w:pPr>
        <w:rPr>
          <w:rFonts w:hint="eastAsia" w:ascii="宋体" w:hAnsi="宋体" w:eastAsia="宋体" w:cs="宋体"/>
          <w:color w:val="auto"/>
        </w:rPr>
      </w:pPr>
    </w:p>
    <w:p w14:paraId="143BDDA7">
      <w:pPr>
        <w:pageBreakBefore w:val="0"/>
        <w:bidi w:val="0"/>
        <w:spacing w:line="600" w:lineRule="exact"/>
        <w:rPr>
          <w:rFonts w:hint="eastAsia" w:ascii="宋体" w:hAnsi="宋体" w:eastAsia="宋体" w:cs="宋体"/>
          <w:color w:val="auto"/>
        </w:rPr>
      </w:pPr>
    </w:p>
    <w:p w14:paraId="1FA46143">
      <w:pPr>
        <w:pageBreakBefore w:val="0"/>
        <w:bidi w:val="0"/>
        <w:spacing w:line="600" w:lineRule="exact"/>
        <w:rPr>
          <w:rFonts w:hint="eastAsia" w:ascii="宋体" w:hAnsi="宋体" w:eastAsia="宋体" w:cs="宋体"/>
          <w:color w:val="auto"/>
        </w:rPr>
      </w:pPr>
    </w:p>
    <w:p w14:paraId="4D99B9F9">
      <w:pPr>
        <w:pageBreakBefore w:val="0"/>
        <w:bidi w:val="0"/>
        <w:spacing w:line="600" w:lineRule="exact"/>
        <w:rPr>
          <w:rFonts w:hint="eastAsia" w:ascii="宋体" w:hAnsi="宋体" w:eastAsia="宋体" w:cs="宋体"/>
          <w:color w:val="auto"/>
        </w:rPr>
      </w:pPr>
    </w:p>
    <w:p w14:paraId="7C5DC30E">
      <w:pPr>
        <w:pageBreakBefore w:val="0"/>
        <w:bidi w:val="0"/>
        <w:spacing w:line="600" w:lineRule="exact"/>
        <w:rPr>
          <w:rFonts w:hint="eastAsia" w:ascii="宋体" w:hAnsi="宋体" w:eastAsia="宋体" w:cs="宋体"/>
          <w:color w:val="auto"/>
        </w:rPr>
      </w:pPr>
    </w:p>
    <w:p w14:paraId="5D48C5D3">
      <w:pPr>
        <w:pStyle w:val="3"/>
        <w:bidi w:val="0"/>
        <w:outlineLvl w:val="0"/>
        <w:rPr>
          <w:rFonts w:hint="eastAsia" w:ascii="宋体" w:hAnsi="宋体" w:eastAsia="宋体" w:cs="宋体"/>
          <w:color w:val="auto"/>
        </w:rPr>
      </w:pPr>
      <w:bookmarkStart w:id="463" w:name="_Toc314237640"/>
      <w:bookmarkStart w:id="464" w:name="_Toc15790"/>
      <w:bookmarkStart w:id="465" w:name="_Toc21122"/>
      <w:r>
        <w:rPr>
          <w:rFonts w:hint="eastAsia" w:ascii="宋体" w:hAnsi="宋体" w:eastAsia="宋体" w:cs="宋体"/>
          <w:color w:val="auto"/>
        </w:rPr>
        <w:br w:type="page"/>
      </w:r>
      <w:bookmarkStart w:id="466" w:name="_Toc11929"/>
      <w:bookmarkStart w:id="467" w:name="_Toc5555"/>
      <w:bookmarkStart w:id="468" w:name="_Toc6095"/>
      <w:bookmarkStart w:id="469" w:name="_Toc9085"/>
      <w:r>
        <w:rPr>
          <w:rFonts w:hint="eastAsia" w:ascii="宋体" w:hAnsi="宋体" w:eastAsia="宋体" w:cs="宋体"/>
          <w:color w:val="auto"/>
        </w:rPr>
        <w:t>第</w:t>
      </w:r>
      <w:r>
        <w:rPr>
          <w:rFonts w:hint="eastAsia" w:ascii="宋体" w:hAnsi="宋体" w:eastAsia="宋体" w:cs="宋体"/>
          <w:color w:val="auto"/>
          <w:lang w:eastAsia="zh-CN"/>
        </w:rPr>
        <w:t>四</w:t>
      </w:r>
      <w:r>
        <w:rPr>
          <w:rFonts w:hint="eastAsia" w:ascii="宋体" w:hAnsi="宋体" w:eastAsia="宋体" w:cs="宋体"/>
          <w:color w:val="auto"/>
          <w:lang w:val="en-US" w:eastAsia="zh-CN"/>
        </w:rPr>
        <w:t>章</w:t>
      </w:r>
      <w:r>
        <w:rPr>
          <w:rFonts w:hint="eastAsia" w:ascii="宋体" w:hAnsi="宋体" w:eastAsia="宋体" w:cs="宋体"/>
          <w:color w:val="auto"/>
        </w:rPr>
        <w:t xml:space="preserve">  法定代表人证明书及授权书</w:t>
      </w:r>
      <w:bookmarkEnd w:id="466"/>
      <w:bookmarkEnd w:id="467"/>
      <w:bookmarkEnd w:id="468"/>
      <w:bookmarkEnd w:id="469"/>
      <w:r>
        <w:rPr>
          <w:rFonts w:hint="eastAsia" w:ascii="宋体" w:hAnsi="宋体" w:eastAsia="宋体" w:cs="宋体"/>
          <w:color w:val="auto"/>
        </w:rPr>
        <w:t xml:space="preserve">   </w:t>
      </w:r>
    </w:p>
    <w:p w14:paraId="721B6D4A">
      <w:pPr>
        <w:bidi w:val="0"/>
        <w:jc w:val="center"/>
        <w:rPr>
          <w:rFonts w:hint="eastAsia" w:ascii="宋体" w:hAnsi="宋体" w:eastAsia="宋体" w:cs="宋体"/>
          <w:b/>
          <w:bCs/>
          <w:color w:val="auto"/>
        </w:rPr>
      </w:pPr>
      <w:bookmarkStart w:id="470" w:name="_Toc5779"/>
    </w:p>
    <w:p w14:paraId="60C190DA">
      <w:pPr>
        <w:bidi w:val="0"/>
        <w:jc w:val="center"/>
        <w:rPr>
          <w:rFonts w:hint="eastAsia" w:ascii="宋体" w:hAnsi="宋体" w:eastAsia="宋体" w:cs="宋体"/>
          <w:b/>
          <w:bCs/>
          <w:color w:val="auto"/>
        </w:rPr>
      </w:pPr>
      <w:r>
        <w:rPr>
          <w:rFonts w:hint="eastAsia" w:ascii="宋体" w:hAnsi="宋体" w:eastAsia="宋体" w:cs="宋体"/>
          <w:b/>
          <w:bCs/>
          <w:color w:val="auto"/>
        </w:rPr>
        <w:t>一、法定代表人证明书</w:t>
      </w:r>
      <w:bookmarkEnd w:id="470"/>
    </w:p>
    <w:p w14:paraId="0B57CFC3">
      <w:pPr>
        <w:bidi w:val="0"/>
        <w:jc w:val="center"/>
        <w:rPr>
          <w:rFonts w:hint="eastAsia" w:ascii="宋体" w:hAnsi="宋体" w:eastAsia="宋体" w:cs="宋体"/>
          <w:b/>
          <w:bCs/>
          <w:color w:val="auto"/>
        </w:rPr>
      </w:pPr>
    </w:p>
    <w:p w14:paraId="10EEC92A">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供应商名</w:t>
      </w:r>
      <w:r>
        <w:rPr>
          <w:rFonts w:hint="eastAsia" w:ascii="宋体" w:hAnsi="宋体" w:eastAsia="宋体" w:cs="宋体"/>
          <w:color w:val="auto"/>
          <w:sz w:val="24"/>
        </w:rPr>
        <w:t>称：</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6BE0EF52">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p>
    <w:p w14:paraId="6C3E500F">
      <w:pPr>
        <w:pageBreakBefore w:val="0"/>
        <w:autoSpaceDE w:val="0"/>
        <w:autoSpaceDN w:val="0"/>
        <w:bidi w:val="0"/>
        <w:adjustRightInd w:val="0"/>
        <w:spacing w:line="60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p>
    <w:p w14:paraId="01764496">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0D437E03">
      <w:pPr>
        <w:pageBreakBefore w:val="0"/>
        <w:autoSpaceDE w:val="0"/>
        <w:autoSpaceDN w:val="0"/>
        <w:bidi w:val="0"/>
        <w:adjustRightInd w:val="0"/>
        <w:spacing w:line="60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p>
    <w:p w14:paraId="1EB40E3F">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签字</w:t>
      </w:r>
      <w:r>
        <w:rPr>
          <w:rFonts w:hint="eastAsia" w:ascii="宋体" w:hAnsi="宋体" w:eastAsia="宋体" w:cs="宋体"/>
          <w:color w:val="auto"/>
          <w:sz w:val="24"/>
          <w:lang w:eastAsia="zh-CN"/>
        </w:rPr>
        <w:t>）</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职务：</w:t>
      </w:r>
      <w:r>
        <w:rPr>
          <w:rFonts w:hint="eastAsia" w:ascii="宋体" w:hAnsi="宋体" w:eastAsia="宋体" w:cs="宋体"/>
          <w:color w:val="auto"/>
          <w:sz w:val="24"/>
          <w:u w:val="single"/>
        </w:rPr>
        <w:t xml:space="preserve">       </w:t>
      </w:r>
    </w:p>
    <w:p w14:paraId="63B0BF55">
      <w:pPr>
        <w:pageBreakBefore w:val="0"/>
        <w:autoSpaceDE w:val="0"/>
        <w:autoSpaceDN w:val="0"/>
        <w:bidi w:val="0"/>
        <w:adjustRightInd w:val="0"/>
        <w:spacing w:line="60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14:paraId="1057F592">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系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名称）的法定代表人。</w:t>
      </w:r>
    </w:p>
    <w:p w14:paraId="3C845B50">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特此证明。</w:t>
      </w:r>
    </w:p>
    <w:p w14:paraId="0A33608D">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p>
    <w:p w14:paraId="61DADA45">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（盖章）</w:t>
      </w:r>
    </w:p>
    <w:p w14:paraId="2708DFD6">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p>
    <w:p w14:paraId="4BA3A036">
      <w:pPr>
        <w:pageBreakBefore w:val="0"/>
        <w:autoSpaceDE w:val="0"/>
        <w:autoSpaceDN w:val="0"/>
        <w:bidi w:val="0"/>
        <w:adjustRightInd w:val="0"/>
        <w:spacing w:line="600" w:lineRule="exact"/>
        <w:ind w:firstLine="480" w:firstLineChars="200"/>
        <w:rPr>
          <w:rFonts w:hint="eastAsia" w:ascii="宋体" w:hAnsi="宋体" w:eastAsia="宋体" w:cs="宋体"/>
          <w:snapToGrid w:val="0"/>
          <w:color w:val="auto"/>
          <w:kern w:val="0"/>
          <w:szCs w:val="21"/>
        </w:rPr>
      </w:pPr>
      <w:r>
        <w:rPr>
          <w:rFonts w:hint="eastAsia" w:ascii="宋体" w:hAnsi="宋体" w:eastAsia="宋体" w:cs="宋体"/>
          <w:color w:val="auto"/>
          <w:sz w:val="24"/>
        </w:rPr>
        <w:t>年    月    日</w:t>
      </w:r>
    </w:p>
    <w:p w14:paraId="229B4CF0">
      <w:pPr>
        <w:adjustRightInd w:val="0"/>
        <w:snapToGrid w:val="0"/>
        <w:spacing w:line="500" w:lineRule="exact"/>
        <w:ind w:right="-20"/>
        <w:jc w:val="left"/>
        <w:rPr>
          <w:rFonts w:hint="eastAsia" w:ascii="宋体" w:hAnsi="宋体" w:eastAsia="宋体" w:cs="宋体"/>
          <w:snapToGrid w:val="0"/>
          <w:color w:val="auto"/>
          <w:kern w:val="0"/>
          <w:szCs w:val="21"/>
        </w:rPr>
      </w:pPr>
    </w:p>
    <w:p w14:paraId="1E3C0B4A">
      <w:pPr>
        <w:adjustRightInd w:val="0"/>
        <w:snapToGrid w:val="0"/>
        <w:spacing w:line="500" w:lineRule="exact"/>
        <w:ind w:right="-20"/>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注：附法定代表人身份证（或法人代表证）复印件。</w:t>
      </w:r>
    </w:p>
    <w:p w14:paraId="16170635">
      <w:pPr>
        <w:rPr>
          <w:rFonts w:hint="eastAsia" w:ascii="宋体" w:hAnsi="宋体" w:eastAsia="宋体" w:cs="宋体"/>
          <w:color w:val="auto"/>
        </w:rPr>
      </w:pPr>
    </w:p>
    <w:p w14:paraId="737B0003">
      <w:pPr>
        <w:spacing w:line="360" w:lineRule="auto"/>
        <w:rPr>
          <w:rFonts w:hint="eastAsia" w:ascii="宋体" w:hAnsi="宋体" w:eastAsia="宋体" w:cs="宋体"/>
          <w:color w:val="auto"/>
          <w:sz w:val="24"/>
        </w:rPr>
      </w:pPr>
    </w:p>
    <w:p w14:paraId="082E0CC0">
      <w:pPr>
        <w:pageBreakBefore w:val="0"/>
        <w:bidi w:val="0"/>
        <w:spacing w:line="600" w:lineRule="exact"/>
        <w:rPr>
          <w:rFonts w:hint="eastAsia" w:ascii="宋体" w:hAnsi="宋体" w:eastAsia="宋体" w:cs="宋体"/>
          <w:color w:val="auto"/>
        </w:rPr>
      </w:pPr>
    </w:p>
    <w:p w14:paraId="07F7E1CC">
      <w:pPr>
        <w:bidi w:val="0"/>
        <w:jc w:val="center"/>
        <w:rPr>
          <w:rFonts w:hint="eastAsia" w:ascii="宋体" w:hAnsi="宋体" w:eastAsia="宋体" w:cs="宋体"/>
          <w:b/>
          <w:bCs/>
          <w:color w:val="auto"/>
        </w:rPr>
      </w:pPr>
      <w:r>
        <w:rPr>
          <w:rFonts w:hint="eastAsia" w:ascii="宋体" w:hAnsi="宋体" w:eastAsia="宋体" w:cs="宋体"/>
          <w:b/>
          <w:bCs/>
          <w:color w:val="auto"/>
        </w:rPr>
        <w:br w:type="page"/>
      </w:r>
      <w:r>
        <w:rPr>
          <w:rFonts w:hint="eastAsia" w:ascii="宋体" w:hAnsi="宋体" w:eastAsia="宋体" w:cs="宋体"/>
          <w:b/>
          <w:bCs/>
          <w:color w:val="auto"/>
        </w:rPr>
        <w:t>二、法定代表人授权书</w:t>
      </w:r>
      <w:bookmarkEnd w:id="463"/>
      <w:bookmarkEnd w:id="464"/>
      <w:bookmarkEnd w:id="465"/>
    </w:p>
    <w:p w14:paraId="20EDDB9C">
      <w:pPr>
        <w:keepNext w:val="0"/>
        <w:keepLines w:val="0"/>
        <w:pageBreakBefore w:val="0"/>
        <w:widowControl w:val="0"/>
        <w:kinsoku/>
        <w:wordWrap/>
        <w:overflowPunct/>
        <w:topLinePunct w:val="0"/>
        <w:autoSpaceDE w:val="0"/>
        <w:autoSpaceDN w:val="0"/>
        <w:bidi w:val="0"/>
        <w:adjustRightInd w:val="0"/>
        <w:snapToGrid/>
        <w:spacing w:line="520" w:lineRule="exact"/>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府谷县田家寨镇人民政府</w:t>
      </w:r>
      <w:r>
        <w:rPr>
          <w:rFonts w:hint="eastAsia" w:ascii="宋体" w:hAnsi="宋体" w:eastAsia="宋体" w:cs="宋体"/>
          <w:color w:val="auto"/>
          <w:sz w:val="24"/>
        </w:rPr>
        <w:t>：</w:t>
      </w:r>
    </w:p>
    <w:p w14:paraId="3003EACC">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注册于</w:t>
      </w:r>
      <w:r>
        <w:rPr>
          <w:rFonts w:hint="eastAsia" w:ascii="宋体" w:hAnsi="宋体" w:eastAsia="宋体" w:cs="宋体"/>
          <w:color w:val="auto"/>
          <w:sz w:val="24"/>
          <w:u w:val="single"/>
        </w:rPr>
        <w:t xml:space="preserve">            </w:t>
      </w:r>
      <w:r>
        <w:rPr>
          <w:rFonts w:hint="eastAsia" w:ascii="宋体" w:hAnsi="宋体" w:eastAsia="宋体" w:cs="宋体"/>
          <w:color w:val="auto"/>
          <w:sz w:val="24"/>
        </w:rPr>
        <w:t>（工商行政管理局名称）之</w:t>
      </w:r>
      <w:r>
        <w:rPr>
          <w:rFonts w:hint="eastAsia" w:ascii="宋体" w:hAnsi="宋体" w:eastAsia="宋体" w:cs="宋体"/>
          <w:color w:val="auto"/>
          <w:sz w:val="24"/>
          <w:u w:val="single"/>
        </w:rPr>
        <w:t xml:space="preserve">            </w:t>
      </w:r>
      <w:r>
        <w:rPr>
          <w:rFonts w:hint="eastAsia" w:ascii="宋体" w:hAnsi="宋体" w:eastAsia="宋体" w:cs="宋体"/>
          <w:color w:val="auto"/>
          <w:sz w:val="24"/>
        </w:rPr>
        <w:t>（供应商全称）法人代表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（姓名、职务）授权 </w:t>
      </w:r>
      <w:r>
        <w:rPr>
          <w:rFonts w:hint="eastAsia" w:ascii="宋体" w:hAnsi="宋体" w:eastAsia="宋体" w:cs="宋体"/>
          <w:color w:val="auto"/>
          <w:sz w:val="24"/>
          <w:u w:val="single"/>
        </w:rPr>
        <w:t xml:space="preserve">              </w:t>
      </w:r>
      <w:r>
        <w:rPr>
          <w:rFonts w:hint="eastAsia" w:ascii="宋体" w:hAnsi="宋体" w:eastAsia="宋体" w:cs="宋体"/>
          <w:color w:val="auto"/>
          <w:sz w:val="24"/>
        </w:rPr>
        <w:t>（被授权人姓名、职务）为本公司的合法代理人，就本项目的采购活动及合同的执行和完成，以本公司的名义处理一切与之有关的事宜。</w:t>
      </w:r>
    </w:p>
    <w:p w14:paraId="7A1BB210">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u w:val="single"/>
        </w:rPr>
      </w:pPr>
      <w:r>
        <w:rPr>
          <w:rFonts w:hint="eastAsia" w:ascii="宋体" w:hAnsi="宋体" w:eastAsia="宋体" w:cs="宋体"/>
          <w:color w:val="auto"/>
          <w:sz w:val="24"/>
        </w:rPr>
        <w:t>附：全权代表签字：</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p>
    <w:p w14:paraId="02C08E61">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u w:val="single"/>
        </w:rPr>
      </w:pPr>
      <w:r>
        <w:rPr>
          <w:rFonts w:hint="eastAsia" w:ascii="宋体" w:hAnsi="宋体" w:eastAsia="宋体" w:cs="宋体"/>
          <w:color w:val="auto"/>
          <w:sz w:val="24"/>
        </w:rPr>
        <w:t>职    务：</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身份证号码：</w:t>
      </w:r>
      <w:r>
        <w:rPr>
          <w:rFonts w:hint="eastAsia" w:ascii="宋体" w:hAnsi="宋体" w:eastAsia="宋体" w:cs="宋体"/>
          <w:color w:val="auto"/>
          <w:sz w:val="24"/>
          <w:u w:val="single"/>
        </w:rPr>
        <w:t xml:space="preserve">                  </w:t>
      </w:r>
    </w:p>
    <w:p w14:paraId="64A63A46">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通讯地址：</w:t>
      </w:r>
      <w:r>
        <w:rPr>
          <w:rFonts w:hint="eastAsia" w:ascii="宋体" w:hAnsi="宋体" w:eastAsia="宋体" w:cs="宋体"/>
          <w:color w:val="auto"/>
          <w:sz w:val="24"/>
          <w:u w:val="single"/>
        </w:rPr>
        <w:t xml:space="preserve">                                               </w:t>
      </w:r>
    </w:p>
    <w:p w14:paraId="026E47D1">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u w:val="single"/>
        </w:rPr>
      </w:pPr>
      <w:r>
        <w:rPr>
          <w:rFonts w:hint="eastAsia" w:ascii="宋体" w:hAnsi="宋体" w:eastAsia="宋体" w:cs="宋体"/>
          <w:color w:val="auto"/>
          <w:sz w:val="24"/>
        </w:rPr>
        <w:t>邮政编码：</w:t>
      </w:r>
      <w:r>
        <w:rPr>
          <w:rFonts w:hint="eastAsia" w:ascii="宋体" w:hAnsi="宋体" w:eastAsia="宋体" w:cs="宋体"/>
          <w:color w:val="auto"/>
          <w:sz w:val="24"/>
          <w:u w:val="single"/>
        </w:rPr>
        <w:t xml:space="preserve">                                               </w:t>
      </w:r>
    </w:p>
    <w:p w14:paraId="2C98CD65">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电    话：</w:t>
      </w:r>
      <w:r>
        <w:rPr>
          <w:rFonts w:hint="eastAsia" w:ascii="宋体" w:hAnsi="宋体" w:eastAsia="宋体" w:cs="宋体"/>
          <w:color w:val="auto"/>
          <w:sz w:val="24"/>
          <w:u w:val="single"/>
        </w:rPr>
        <w:t xml:space="preserve">                       </w:t>
      </w:r>
      <w:r>
        <w:rPr>
          <w:rFonts w:hint="eastAsia" w:ascii="宋体" w:hAnsi="宋体" w:eastAsia="宋体" w:cs="宋体"/>
          <w:color w:val="auto"/>
          <w:sz w:val="24"/>
        </w:rPr>
        <w:t>传 真：</w:t>
      </w:r>
      <w:r>
        <w:rPr>
          <w:rFonts w:hint="eastAsia" w:ascii="宋体" w:hAnsi="宋体" w:eastAsia="宋体" w:cs="宋体"/>
          <w:color w:val="auto"/>
          <w:sz w:val="24"/>
          <w:u w:val="single"/>
        </w:rPr>
        <w:t xml:space="preserve">                 </w:t>
      </w:r>
    </w:p>
    <w:p w14:paraId="36912370">
      <w:pPr>
        <w:keepNext w:val="0"/>
        <w:keepLines w:val="0"/>
        <w:pageBreakBefore w:val="0"/>
        <w:widowControl w:val="0"/>
        <w:kinsoku/>
        <w:wordWrap/>
        <w:overflowPunct/>
        <w:topLinePunct w:val="0"/>
        <w:autoSpaceDE w:val="0"/>
        <w:autoSpaceDN w:val="0"/>
        <w:bidi w:val="0"/>
        <w:adjustRightInd w:val="0"/>
        <w:snapToGrid/>
        <w:spacing w:line="520" w:lineRule="exact"/>
        <w:ind w:firstLine="360" w:firstLineChars="150"/>
        <w:textAlignment w:val="auto"/>
        <w:outlineLvl w:val="0"/>
        <w:rPr>
          <w:rFonts w:hint="eastAsia" w:ascii="宋体" w:hAnsi="宋体" w:eastAsia="宋体" w:cs="宋体"/>
          <w:color w:val="auto"/>
          <w:sz w:val="24"/>
        </w:rPr>
      </w:pPr>
      <w:bookmarkStart w:id="471" w:name="_Toc7499"/>
      <w:bookmarkStart w:id="472" w:name="_Toc24153"/>
      <w:bookmarkStart w:id="473" w:name="_Toc13500"/>
      <w:bookmarkStart w:id="474" w:name="_Toc9206"/>
      <w:r>
        <w:rPr>
          <w:rFonts w:hint="eastAsia" w:ascii="宋体" w:hAnsi="宋体" w:eastAsia="宋体" w:cs="宋体"/>
          <w:color w:val="auto"/>
          <w:sz w:val="24"/>
        </w:rPr>
        <w:t>（法定代表人参加时，仅提供身份证及其复印件）</w:t>
      </w:r>
      <w:bookmarkEnd w:id="471"/>
      <w:bookmarkEnd w:id="472"/>
      <w:bookmarkEnd w:id="473"/>
      <w:bookmarkEnd w:id="474"/>
    </w:p>
    <w:p w14:paraId="5D9B76C9">
      <w:pPr>
        <w:keepNext w:val="0"/>
        <w:keepLines w:val="0"/>
        <w:pageBreakBefore w:val="0"/>
        <w:widowControl w:val="0"/>
        <w:shd w:val="clear"/>
        <w:kinsoku/>
        <w:wordWrap/>
        <w:overflowPunct/>
        <w:topLinePunct w:val="0"/>
        <w:autoSpaceDE w:val="0"/>
        <w:autoSpaceDN w:val="0"/>
        <w:bidi w:val="0"/>
        <w:adjustRightInd w:val="0"/>
        <w:snapToGrid/>
        <w:spacing w:line="520" w:lineRule="exact"/>
        <w:ind w:firstLine="480" w:firstLineChars="200"/>
        <w:textAlignment w:val="auto"/>
        <w:rPr>
          <w:rFonts w:hint="eastAsia" w:ascii="宋体" w:hAnsi="宋体" w:eastAsia="宋体" w:cs="宋体"/>
          <w:color w:val="auto"/>
          <w:sz w:val="24"/>
          <w:lang w:eastAsia="zh-CN"/>
        </w:rPr>
      </w:pPr>
      <w:r>
        <w:rPr>
          <w:rFonts w:hint="eastAsia" w:ascii="宋体" w:hAnsi="宋体" w:eastAsia="宋体" w:cs="宋体"/>
          <w:color w:val="auto"/>
          <w:sz w:val="24"/>
        </w:rPr>
        <w:t>代理人身份证复印</w:t>
      </w:r>
    </w:p>
    <w:tbl>
      <w:tblPr>
        <w:tblStyle w:val="22"/>
        <w:tblW w:w="0" w:type="auto"/>
        <w:jc w:val="center"/>
        <w:tblLayout w:type="fixed"/>
        <w:tblCellMar>
          <w:top w:w="0" w:type="dxa"/>
          <w:left w:w="108" w:type="dxa"/>
          <w:bottom w:w="0" w:type="dxa"/>
          <w:right w:w="108" w:type="dxa"/>
        </w:tblCellMar>
      </w:tblPr>
      <w:tblGrid>
        <w:gridCol w:w="4149"/>
        <w:gridCol w:w="4541"/>
      </w:tblGrid>
      <w:tr w14:paraId="30168414">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14:paraId="3C8D22E7">
            <w:pPr>
              <w:pageBreakBefore w:val="0"/>
              <w:autoSpaceDE w:val="0"/>
              <w:autoSpaceDN w:val="0"/>
              <w:bidi w:val="0"/>
              <w:adjustRightInd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14:paraId="3D4A404C">
            <w:pPr>
              <w:pageBreakBefore w:val="0"/>
              <w:autoSpaceDE w:val="0"/>
              <w:autoSpaceDN w:val="0"/>
              <w:bidi w:val="0"/>
              <w:adjustRightInd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全权代理人身份证复印件</w:t>
            </w:r>
          </w:p>
        </w:tc>
      </w:tr>
    </w:tbl>
    <w:p w14:paraId="7837363E">
      <w:pPr>
        <w:pageBreakBefore w:val="0"/>
        <w:autoSpaceDE w:val="0"/>
        <w:autoSpaceDN w:val="0"/>
        <w:bidi w:val="0"/>
        <w:adjustRightInd w:val="0"/>
        <w:spacing w:line="600" w:lineRule="exact"/>
        <w:ind w:firstLine="640"/>
        <w:jc w:val="right"/>
        <w:rPr>
          <w:rFonts w:hint="eastAsia" w:ascii="宋体" w:hAnsi="宋体" w:eastAsia="宋体" w:cs="宋体"/>
          <w:color w:val="auto"/>
          <w:sz w:val="24"/>
        </w:rPr>
      </w:pPr>
      <w:r>
        <w:rPr>
          <w:rFonts w:hint="eastAsia" w:ascii="宋体" w:hAnsi="宋体" w:eastAsia="宋体" w:cs="宋体"/>
          <w:color w:val="auto"/>
          <w:sz w:val="24"/>
        </w:rPr>
        <w:t>本授权有效期（与竞争性磋商文件有效期一致）</w:t>
      </w:r>
    </w:p>
    <w:p w14:paraId="1D0544F6">
      <w:pPr>
        <w:pageBreakBefore w:val="0"/>
        <w:wordWrap w:val="0"/>
        <w:autoSpaceDE w:val="0"/>
        <w:autoSpaceDN w:val="0"/>
        <w:bidi w:val="0"/>
        <w:adjustRightInd w:val="0"/>
        <w:spacing w:line="600" w:lineRule="exact"/>
        <w:jc w:val="both"/>
        <w:rPr>
          <w:rFonts w:hint="eastAsia" w:ascii="宋体" w:hAnsi="宋体" w:eastAsia="宋体" w:cs="宋体"/>
          <w:color w:val="auto"/>
        </w:rPr>
      </w:pPr>
      <w:r>
        <w:rPr>
          <w:rFonts w:hint="eastAsia" w:ascii="宋体" w:hAnsi="宋体" w:eastAsia="宋体" w:cs="宋体"/>
          <w:color w:val="auto"/>
          <w:sz w:val="24"/>
        </w:rPr>
        <w:t>供应商名称（公章）：</w:t>
      </w:r>
    </w:p>
    <w:p w14:paraId="3500C202">
      <w:pPr>
        <w:pageBreakBefore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 xml:space="preserve">法定代表人（签字盖章）： </w:t>
      </w:r>
    </w:p>
    <w:p w14:paraId="0367B15F">
      <w:pPr>
        <w:pageBreakBefore w:val="0"/>
        <w:autoSpaceDE w:val="0"/>
        <w:autoSpaceDN w:val="0"/>
        <w:bidi w:val="0"/>
        <w:adjustRightInd w:val="0"/>
        <w:spacing w:line="600" w:lineRule="exact"/>
        <w:rPr>
          <w:rFonts w:hint="eastAsia" w:ascii="宋体" w:hAnsi="宋体" w:eastAsia="宋体" w:cs="宋体"/>
          <w:color w:val="auto"/>
          <w:sz w:val="24"/>
        </w:rPr>
      </w:pPr>
      <w:r>
        <w:rPr>
          <w:rFonts w:hint="eastAsia" w:ascii="宋体" w:hAnsi="宋体" w:eastAsia="宋体" w:cs="宋体"/>
          <w:color w:val="auto"/>
          <w:sz w:val="24"/>
        </w:rPr>
        <w:t>年    月    日</w:t>
      </w:r>
    </w:p>
    <w:p w14:paraId="7DE438E6">
      <w:pPr>
        <w:bidi w:val="0"/>
        <w:rPr>
          <w:rFonts w:hint="eastAsia" w:ascii="宋体" w:hAnsi="宋体" w:eastAsia="宋体" w:cs="宋体"/>
          <w:color w:val="auto"/>
          <w:lang w:val="en-US" w:eastAsia="zh-CN"/>
        </w:rPr>
      </w:pPr>
    </w:p>
    <w:p w14:paraId="53D15263">
      <w:pPr>
        <w:pStyle w:val="3"/>
        <w:numPr>
          <w:ilvl w:val="0"/>
          <w:numId w:val="4"/>
        </w:numPr>
        <w:bidi w:val="0"/>
        <w:outlineLvl w:val="0"/>
        <w:rPr>
          <w:rFonts w:hint="eastAsia" w:ascii="宋体" w:hAnsi="宋体" w:eastAsia="宋体" w:cs="宋体"/>
          <w:color w:val="auto"/>
          <w:lang w:val="en-US" w:eastAsia="zh-CN"/>
        </w:rPr>
      </w:pPr>
      <w:r>
        <w:rPr>
          <w:rFonts w:hint="eastAsia" w:ascii="宋体" w:hAnsi="宋体" w:eastAsia="宋体" w:cs="宋体"/>
          <w:color w:val="auto"/>
          <w:lang w:val="en-US" w:eastAsia="zh-CN"/>
        </w:rPr>
        <w:br w:type="page"/>
      </w:r>
      <w:bookmarkStart w:id="475" w:name="_Toc15259"/>
      <w:r>
        <w:rPr>
          <w:rFonts w:hint="eastAsia" w:ascii="宋体" w:hAnsi="宋体" w:eastAsia="宋体" w:cs="宋体"/>
          <w:color w:val="auto"/>
          <w:lang w:val="en-US" w:eastAsia="zh-CN"/>
        </w:rPr>
        <w:t xml:space="preserve"> </w:t>
      </w:r>
      <w:bookmarkStart w:id="476" w:name="_Toc29167"/>
      <w:bookmarkStart w:id="477" w:name="_Toc1491"/>
      <w:bookmarkStart w:id="478" w:name="_Toc30021"/>
      <w:r>
        <w:rPr>
          <w:rFonts w:hint="eastAsia" w:ascii="宋体" w:hAnsi="宋体" w:eastAsia="宋体" w:cs="宋体"/>
          <w:color w:val="auto"/>
          <w:lang w:val="en-US" w:eastAsia="zh-CN"/>
        </w:rPr>
        <w:t>资格证明文件</w:t>
      </w:r>
      <w:bookmarkEnd w:id="476"/>
      <w:bookmarkEnd w:id="477"/>
      <w:bookmarkEnd w:id="478"/>
    </w:p>
    <w:p w14:paraId="2351F111">
      <w:pPr>
        <w:adjustRightInd w:val="0"/>
        <w:snapToGrid w:val="0"/>
        <w:spacing w:line="500" w:lineRule="exact"/>
        <w:ind w:right="-20"/>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lang w:val="en-US" w:eastAsia="zh-CN"/>
        </w:rPr>
        <w:t>一、满足《中华人民共和国政府采购法》第二十二条规定，提供承诺书；</w:t>
      </w:r>
    </w:p>
    <w:p w14:paraId="555BF045">
      <w:pPr>
        <w:shd w:val="clear"/>
        <w:adjustRightInd w:val="0"/>
        <w:snapToGrid w:val="0"/>
        <w:spacing w:line="500" w:lineRule="exact"/>
        <w:ind w:right="-20"/>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lang w:val="en-US" w:eastAsia="zh-CN"/>
        </w:rPr>
        <w:t>二、</w:t>
      </w:r>
      <w:r>
        <w:rPr>
          <w:rFonts w:hint="eastAsia" w:ascii="宋体" w:hAnsi="宋体" w:eastAsia="宋体" w:cs="宋体"/>
          <w:snapToGrid w:val="0"/>
          <w:color w:val="auto"/>
          <w:kern w:val="0"/>
          <w:szCs w:val="21"/>
        </w:rPr>
        <w:t>本项目的特定资格要求：</w:t>
      </w:r>
    </w:p>
    <w:p w14:paraId="485A778D">
      <w:pPr>
        <w:pStyle w:val="1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bookmarkStart w:id="479" w:name="_Toc25999"/>
      <w:bookmarkStart w:id="480" w:name="_Toc13084"/>
      <w:bookmarkStart w:id="481" w:name="_Toc24323"/>
      <w:bookmarkStart w:id="482" w:name="_Toc30778"/>
      <w:r>
        <w:rPr>
          <w:rFonts w:hint="eastAsia" w:asciiTheme="majorEastAsia" w:hAnsiTheme="majorEastAsia" w:eastAsiaTheme="majorEastAsia" w:cstheme="majorEastAsia"/>
          <w:color w:val="auto"/>
          <w:kern w:val="2"/>
          <w:sz w:val="24"/>
          <w:szCs w:val="24"/>
          <w:shd w:val="clear"/>
          <w:lang w:val="en-US" w:eastAsia="zh-CN" w:bidi="ar-SA"/>
        </w:rPr>
        <w:t>1、</w:t>
      </w:r>
      <w:r>
        <w:rPr>
          <w:rFonts w:hint="eastAsia" w:asciiTheme="majorEastAsia" w:hAnsiTheme="majorEastAsia" w:eastAsiaTheme="majorEastAsia" w:cstheme="majorEastAsia"/>
          <w:color w:val="auto"/>
          <w:sz w:val="24"/>
          <w:szCs w:val="24"/>
          <w:shd w:val="clear"/>
          <w:lang w:eastAsia="zh-CN"/>
        </w:rPr>
        <w:t>供应商具有独立承担民事责任能力的法人、其他组织或自然人，并出具合法有效的营业执照副本（附营业执照</w:t>
      </w:r>
      <w:r>
        <w:rPr>
          <w:rFonts w:hint="eastAsia" w:asciiTheme="majorEastAsia" w:hAnsiTheme="majorEastAsia" w:eastAsiaTheme="majorEastAsia" w:cstheme="majorEastAsia"/>
          <w:color w:val="auto"/>
          <w:sz w:val="24"/>
          <w:szCs w:val="24"/>
          <w:shd w:val="clear"/>
          <w:lang w:val="en-US" w:eastAsia="zh-CN"/>
        </w:rPr>
        <w:t>的2024年</w:t>
      </w:r>
      <w:r>
        <w:rPr>
          <w:rFonts w:hint="eastAsia" w:asciiTheme="majorEastAsia" w:hAnsiTheme="majorEastAsia" w:eastAsiaTheme="majorEastAsia" w:cstheme="majorEastAsia"/>
          <w:color w:val="auto"/>
          <w:sz w:val="24"/>
          <w:szCs w:val="24"/>
          <w:shd w:val="clear"/>
          <w:lang w:eastAsia="zh-CN"/>
        </w:rPr>
        <w:t>企业年度报告书）</w:t>
      </w:r>
      <w:r>
        <w:rPr>
          <w:rFonts w:hint="eastAsia" w:asciiTheme="majorEastAsia" w:hAnsiTheme="majorEastAsia" w:eastAsiaTheme="majorEastAsia" w:cstheme="majorEastAsia"/>
          <w:color w:val="auto"/>
          <w:sz w:val="24"/>
          <w:szCs w:val="24"/>
          <w:lang w:eastAsia="zh-CN"/>
        </w:rPr>
        <w:t>或事业单位法人证书等国家规定的相关证明，自然人参与的提供其身份证明；</w:t>
      </w:r>
    </w:p>
    <w:p w14:paraId="3A304A7B">
      <w:pPr>
        <w:pStyle w:val="1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kern w:val="2"/>
          <w:sz w:val="24"/>
          <w:szCs w:val="24"/>
          <w:lang w:val="en-US" w:eastAsia="zh-CN" w:bidi="ar-SA"/>
        </w:rPr>
        <w:t>2、</w:t>
      </w:r>
      <w:r>
        <w:rPr>
          <w:rFonts w:hint="eastAsia" w:ascii="宋体" w:hAnsi="宋体" w:eastAsia="宋体" w:cs="宋体"/>
          <w:color w:val="auto"/>
          <w:sz w:val="24"/>
          <w:szCs w:val="24"/>
          <w:highlight w:val="none"/>
          <w:lang w:val="en-US" w:eastAsia="zh-CN"/>
        </w:rPr>
        <w:t>本项目要求投标人需具备建设行政主管部门颁发的</w:t>
      </w:r>
      <w:r>
        <w:rPr>
          <w:rFonts w:hint="eastAsia" w:hAnsi="宋体" w:eastAsia="宋体" w:cs="宋体"/>
          <w:color w:val="auto"/>
          <w:sz w:val="24"/>
          <w:szCs w:val="24"/>
          <w:highlight w:val="none"/>
          <w:lang w:val="en-US" w:eastAsia="zh-CN"/>
        </w:rPr>
        <w:t>水利水电工程</w:t>
      </w:r>
      <w:r>
        <w:rPr>
          <w:rFonts w:hint="eastAsia" w:ascii="宋体" w:hAnsi="宋体" w:eastAsia="宋体" w:cs="宋体"/>
          <w:color w:val="auto"/>
          <w:sz w:val="24"/>
          <w:szCs w:val="24"/>
          <w:highlight w:val="none"/>
          <w:lang w:val="en-US" w:eastAsia="zh-CN"/>
        </w:rPr>
        <w:t>施工总承包三级及其以上资质的独立企业法人，并具备有效的安全生产许可证，并在人员、设备、资金等方面有相应的施工能力。</w:t>
      </w:r>
    </w:p>
    <w:p w14:paraId="6ADF6F68">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9"/>
        <w:rPr>
          <w:rFonts w:hint="eastAsia" w:asciiTheme="majorEastAsia" w:hAnsiTheme="majorEastAsia" w:eastAsiaTheme="majorEastAsia" w:cstheme="majorEastAsia"/>
          <w:color w:val="auto"/>
          <w:sz w:val="24"/>
          <w:szCs w:val="24"/>
          <w:lang w:val="en-US" w:eastAsia="zh-CN"/>
        </w:rPr>
      </w:pPr>
      <w:r>
        <w:rPr>
          <w:rFonts w:hint="eastAsia" w:ascii="宋体" w:hAnsi="宋体" w:eastAsia="宋体" w:cs="宋体"/>
          <w:color w:val="auto"/>
          <w:sz w:val="24"/>
          <w:szCs w:val="24"/>
          <w:highlight w:val="none"/>
          <w:lang w:val="en-US" w:eastAsia="zh-CN"/>
        </w:rPr>
        <w:t>3、拟派项目负责人需具备水利水电工程专业二级及以上注册建造师证书和有效的安全生产考核合格证书（水安B证），以及2025年8月、9月或10月份至少一个月的社保经办机构出具的本企业社保缴纳证明材料（五险一金其中一项即可，应可查询），且未担任其他在建工程的项目负责人；</w:t>
      </w:r>
    </w:p>
    <w:p w14:paraId="5DE66423">
      <w:pPr>
        <w:pStyle w:val="12"/>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val="en-US" w:eastAsia="zh-CN"/>
        </w:rPr>
        <w:t>4、</w:t>
      </w:r>
      <w:r>
        <w:rPr>
          <w:rFonts w:hint="eastAsia" w:asciiTheme="majorEastAsia" w:hAnsiTheme="majorEastAsia" w:eastAsiaTheme="majorEastAsia" w:cstheme="majorEastAsia"/>
          <w:color w:val="auto"/>
          <w:sz w:val="24"/>
          <w:szCs w:val="24"/>
        </w:rPr>
        <w:t>财务状况报告：财务状况良好，提供</w:t>
      </w:r>
      <w:r>
        <w:rPr>
          <w:rFonts w:hint="eastAsia" w:asciiTheme="majorEastAsia" w:hAnsiTheme="majorEastAsia" w:eastAsiaTheme="majorEastAsia" w:cstheme="majorEastAsia"/>
          <w:color w:val="auto"/>
          <w:sz w:val="24"/>
          <w:szCs w:val="24"/>
          <w:lang w:val="en-US" w:eastAsia="zh-CN"/>
        </w:rPr>
        <w:t>2024年</w:t>
      </w:r>
      <w:r>
        <w:rPr>
          <w:rFonts w:hint="eastAsia" w:asciiTheme="majorEastAsia" w:hAnsiTheme="majorEastAsia" w:eastAsiaTheme="majorEastAsia" w:cstheme="majorEastAsia"/>
          <w:color w:val="auto"/>
          <w:sz w:val="24"/>
          <w:szCs w:val="24"/>
        </w:rPr>
        <w:t>度财务审计报告（公司成立不足一年的需提供基本存款账户开户银行出具的资信证明）；</w:t>
      </w:r>
    </w:p>
    <w:p w14:paraId="1FDE4DF6">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rPr>
        <w:t>税收缴纳证明：</w:t>
      </w:r>
      <w:r>
        <w:rPr>
          <w:rFonts w:hint="eastAsia" w:asciiTheme="majorEastAsia" w:hAnsiTheme="majorEastAsia" w:eastAsiaTheme="majorEastAsia" w:cstheme="majorEastAsia"/>
          <w:color w:val="auto"/>
          <w:sz w:val="24"/>
          <w:szCs w:val="24"/>
          <w:lang w:eastAsia="zh-CN"/>
        </w:rPr>
        <w:t>提供202</w:t>
      </w: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lang w:eastAsia="zh-CN"/>
        </w:rPr>
        <w:t>年1月至投标截止时间已缴纳的至少一个月的纳税证明或完税证明，依法免税的单位应提供相关证明材料</w:t>
      </w:r>
      <w:r>
        <w:rPr>
          <w:rFonts w:hint="eastAsia" w:asciiTheme="majorEastAsia" w:hAnsiTheme="majorEastAsia" w:eastAsiaTheme="majorEastAsia" w:cstheme="majorEastAsia"/>
          <w:color w:val="auto"/>
          <w:sz w:val="24"/>
          <w:szCs w:val="24"/>
        </w:rPr>
        <w:t>；</w:t>
      </w:r>
    </w:p>
    <w:p w14:paraId="615600E5">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6、社会保障资金缴纳证明：提供2025年1月至投标截止时间已缴纳的至少一个月的社会保障资金缴存单据或社保机构开具的社会保险参保缴费情况证明。依法不需要缴纳社会保障资金的供应商应提供相关文件证明；</w:t>
      </w:r>
    </w:p>
    <w:p w14:paraId="105978AA">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7、信用要求：投标供应商在中国政府采购网（www.ccgp.gov.cn）中未被列入政府采购严重违法失信行为记录名单；投标供应商、法定代表人及拟派本项目的项目负责人在“信用中国”网站（https://www.creditchina.gov.cn/）中未被列入失信被执行人名单，投标供应商提供企业完整信用报告，投标供应商、法定代表人及拟派本项目的项目负责人提供网页查询截图加盖企业原色印章（截图及报告生成时间段为磋商公告发出至递交响应文件截止时间内,未被列入失信被执行人名单截图可在其“中国执行信息公开网”网站（http://zxgk.court.gov.cn）中全国范围内查询）。</w:t>
      </w:r>
    </w:p>
    <w:p w14:paraId="1462739B">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8、书面声明：参加本次政府采购活动前三年内在经营活动中没有重大违法记录的声明函；</w:t>
      </w:r>
    </w:p>
    <w:p w14:paraId="341300BF">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9、本项目不接受联合体磋商。各供应商单位负责人为同一人或者存在直接控股、管理关系的不同供应商，不得参加同一合同项下的政府采购活动。违反规定的，其投标均无效；</w:t>
      </w:r>
    </w:p>
    <w:p w14:paraId="00BB193C">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10、提供榆林市政府采购工程类项目供应商信用承诺书原件及信用中国（陕西榆林）主动承诺网页截图；</w:t>
      </w:r>
    </w:p>
    <w:p w14:paraId="0A6DF329">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11、磋商保证金：用投标信用承诺书代替（提供投标信用承诺书原件及信用中国（陕西榆林）主动承诺网页截图）</w:t>
      </w:r>
    </w:p>
    <w:p w14:paraId="59F10D4F">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12、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10AAF2F2">
      <w:pPr>
        <w:spacing w:line="360" w:lineRule="auto"/>
        <w:ind w:firstLine="480" w:firstLineChars="2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13、拟投入项目管理人员情况应配备合理，</w:t>
      </w:r>
      <w:r>
        <w:rPr>
          <w:rFonts w:hint="eastAsia" w:ascii="宋体" w:hAnsi="宋体" w:eastAsia="宋体" w:cs="宋体"/>
          <w:sz w:val="24"/>
          <w:szCs w:val="24"/>
          <w:lang w:val="en-US" w:eastAsia="zh-CN"/>
        </w:rPr>
        <w:t>配备包括但不限于：</w:t>
      </w:r>
      <w:r>
        <w:rPr>
          <w:rFonts w:hint="eastAsia" w:asciiTheme="majorEastAsia" w:hAnsiTheme="majorEastAsia" w:eastAsiaTheme="majorEastAsia" w:cstheme="majorEastAsia"/>
          <w:color w:val="auto"/>
          <w:kern w:val="2"/>
          <w:sz w:val="24"/>
          <w:szCs w:val="24"/>
          <w:lang w:val="en-US" w:eastAsia="zh-CN" w:bidi="ar-SA"/>
        </w:rPr>
        <w:t>技术负责人、安全员、质量员、材料员、施工员；</w:t>
      </w:r>
    </w:p>
    <w:p w14:paraId="4FA59E33">
      <w:pPr>
        <w:spacing w:line="360" w:lineRule="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 xml:space="preserve">1）质量员、材料员、施工员应持有岗位证书及身份证复印件； </w:t>
      </w:r>
    </w:p>
    <w:p w14:paraId="30BF7690">
      <w:pPr>
        <w:spacing w:line="360" w:lineRule="auto"/>
        <w:rPr>
          <w:rFonts w:hint="eastAsia" w:ascii="宋体" w:hAnsi="宋体" w:eastAsia="宋体" w:cs="宋体"/>
          <w:sz w:val="24"/>
          <w:szCs w:val="24"/>
          <w:lang w:val="en-US" w:eastAsia="zh-CN"/>
        </w:rPr>
      </w:pPr>
      <w:r>
        <w:rPr>
          <w:rFonts w:hint="eastAsia" w:asciiTheme="majorEastAsia" w:hAnsiTheme="majorEastAsia" w:eastAsiaTheme="majorEastAsia" w:cstheme="majorEastAsia"/>
          <w:color w:val="auto"/>
          <w:kern w:val="2"/>
          <w:sz w:val="24"/>
          <w:szCs w:val="24"/>
          <w:lang w:val="en-US" w:eastAsia="zh-CN" w:bidi="ar-SA"/>
        </w:rPr>
        <w:t>2）</w:t>
      </w:r>
      <w:r>
        <w:rPr>
          <w:rFonts w:hint="eastAsia" w:ascii="宋体" w:hAnsi="宋体" w:eastAsia="宋体" w:cs="宋体"/>
          <w:sz w:val="24"/>
          <w:szCs w:val="24"/>
          <w:lang w:val="en-US" w:eastAsia="zh-CN"/>
        </w:rPr>
        <w:t>技术负责人提供水利水电工程相关专业中级及以上职称证书；</w:t>
      </w:r>
    </w:p>
    <w:p w14:paraId="06AC5C8B">
      <w:pPr>
        <w:spacing w:line="360" w:lineRule="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3）安全员应持有有效的安全生产考核合格证书（水安C证）及身份证复印件；</w:t>
      </w:r>
    </w:p>
    <w:p w14:paraId="0D0DEA1D">
      <w:pPr>
        <w:adjustRightInd w:val="0"/>
        <w:snapToGrid w:val="0"/>
        <w:spacing w:line="500" w:lineRule="exact"/>
        <w:ind w:left="0" w:leftChars="0" w:right="-20" w:firstLine="480" w:firstLineChars="200"/>
        <w:jc w:val="left"/>
        <w:rPr>
          <w:rFonts w:hint="eastAsia" w:ascii="宋体" w:hAnsi="宋体" w:eastAsia="宋体" w:cs="宋体"/>
          <w:snapToGrid w:val="0"/>
          <w:color w:val="auto"/>
          <w:kern w:val="0"/>
          <w:szCs w:val="21"/>
          <w:lang w:val="en-US" w:eastAsia="zh-CN"/>
        </w:rPr>
      </w:pPr>
    </w:p>
    <w:p w14:paraId="5AED837B">
      <w:pPr>
        <w:adjustRightInd w:val="0"/>
        <w:snapToGrid w:val="0"/>
        <w:spacing w:line="500" w:lineRule="exact"/>
        <w:ind w:left="0" w:leftChars="0" w:right="-20" w:firstLine="480" w:firstLineChars="200"/>
        <w:jc w:val="left"/>
        <w:rPr>
          <w:rFonts w:hint="eastAsia" w:ascii="宋体" w:hAnsi="宋体" w:eastAsia="宋体" w:cs="宋体"/>
          <w:snapToGrid w:val="0"/>
          <w:color w:val="auto"/>
          <w:kern w:val="0"/>
          <w:szCs w:val="21"/>
          <w:lang w:val="en-US" w:eastAsia="zh-CN"/>
        </w:rPr>
      </w:pPr>
    </w:p>
    <w:p w14:paraId="23C8274D">
      <w:pPr>
        <w:pStyle w:val="27"/>
        <w:rPr>
          <w:rFonts w:hint="eastAsia" w:ascii="宋体" w:hAnsi="宋体" w:eastAsia="宋体" w:cs="宋体"/>
          <w:b/>
          <w:bCs/>
          <w:color w:val="auto"/>
          <w:sz w:val="28"/>
          <w:szCs w:val="28"/>
          <w:highlight w:val="none"/>
          <w:lang w:val="en-US" w:eastAsia="zh-CN"/>
        </w:rPr>
      </w:pPr>
    </w:p>
    <w:p w14:paraId="18F58FFD">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0F27D0B1">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42FBDF68">
      <w:pPr>
        <w:pStyle w:val="27"/>
        <w:rPr>
          <w:rFonts w:hint="eastAsia" w:ascii="宋体" w:hAnsi="宋体" w:eastAsia="宋体" w:cs="宋体"/>
          <w:b/>
          <w:bCs/>
          <w:color w:val="auto"/>
          <w:sz w:val="28"/>
          <w:szCs w:val="28"/>
          <w:highlight w:val="none"/>
          <w:lang w:val="en-US" w:eastAsia="zh-CN"/>
        </w:rPr>
      </w:pPr>
    </w:p>
    <w:p w14:paraId="1A2841E9">
      <w:pPr>
        <w:rPr>
          <w:rFonts w:hint="eastAsia" w:ascii="宋体" w:hAnsi="宋体" w:eastAsia="宋体" w:cs="宋体"/>
          <w:color w:val="auto"/>
          <w:lang w:val="en-US" w:eastAsia="zh-CN"/>
        </w:rPr>
      </w:pPr>
    </w:p>
    <w:p w14:paraId="66D50BB2">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53B4F07D">
      <w:pPr>
        <w:pStyle w:val="27"/>
        <w:rPr>
          <w:rFonts w:hint="eastAsia" w:ascii="宋体" w:hAnsi="宋体" w:eastAsia="宋体" w:cs="宋体"/>
          <w:b/>
          <w:bCs/>
          <w:color w:val="auto"/>
          <w:sz w:val="28"/>
          <w:szCs w:val="28"/>
          <w:highlight w:val="none"/>
          <w:lang w:val="en-US" w:eastAsia="zh-CN"/>
        </w:rPr>
      </w:pPr>
    </w:p>
    <w:p w14:paraId="5C4DCBDD">
      <w:pPr>
        <w:rPr>
          <w:rFonts w:hint="eastAsia" w:ascii="宋体" w:hAnsi="宋体" w:eastAsia="宋体" w:cs="宋体"/>
          <w:b/>
          <w:bCs/>
          <w:color w:val="auto"/>
          <w:sz w:val="28"/>
          <w:szCs w:val="28"/>
          <w:highlight w:val="none"/>
          <w:lang w:val="en-US" w:eastAsia="zh-CN"/>
        </w:rPr>
      </w:pPr>
    </w:p>
    <w:p w14:paraId="572BFBA0">
      <w:pPr>
        <w:pStyle w:val="27"/>
        <w:rPr>
          <w:rFonts w:hint="eastAsia" w:ascii="宋体" w:hAnsi="宋体" w:eastAsia="宋体" w:cs="宋体"/>
          <w:color w:val="auto"/>
          <w:lang w:val="en-US" w:eastAsia="zh-CN"/>
        </w:rPr>
      </w:pPr>
    </w:p>
    <w:p w14:paraId="48491D2B">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320ABFCF">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55FA59BC">
      <w:pPr>
        <w:pStyle w:val="27"/>
        <w:ind w:left="0" w:leftChars="0" w:firstLine="0" w:firstLineChars="0"/>
        <w:rPr>
          <w:rFonts w:hint="eastAsia" w:ascii="宋体" w:hAnsi="宋体" w:eastAsia="宋体" w:cs="宋体"/>
          <w:b/>
          <w:bCs/>
          <w:color w:val="auto"/>
          <w:sz w:val="28"/>
          <w:szCs w:val="28"/>
          <w:highlight w:val="none"/>
          <w:lang w:val="en-US" w:eastAsia="zh-CN"/>
        </w:rPr>
      </w:pPr>
    </w:p>
    <w:bookmarkEnd w:id="479"/>
    <w:bookmarkEnd w:id="480"/>
    <w:bookmarkEnd w:id="481"/>
    <w:bookmarkEnd w:id="482"/>
    <w:p w14:paraId="12E4C80C">
      <w:pPr>
        <w:pStyle w:val="32"/>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附件</w:t>
      </w:r>
      <w:r>
        <w:rPr>
          <w:rFonts w:hint="eastAsia" w:ascii="宋体" w:hAnsi="宋体" w:eastAsia="宋体" w:cs="宋体"/>
          <w:b/>
          <w:color w:val="auto"/>
          <w:sz w:val="24"/>
          <w:highlight w:val="none"/>
          <w:lang w:val="en-US" w:eastAsia="zh-CN"/>
        </w:rPr>
        <w:t>1</w:t>
      </w:r>
    </w:p>
    <w:p w14:paraId="56BA216C">
      <w:pPr>
        <w:widowControl/>
        <w:adjustRightInd w:val="0"/>
        <w:snapToGrid w:val="0"/>
        <w:spacing w:after="200" w:line="360" w:lineRule="auto"/>
        <w:ind w:left="0" w:leftChars="0" w:firstLine="0" w:firstLineChars="0"/>
        <w:jc w:val="center"/>
        <w:rPr>
          <w:rFonts w:hint="eastAsia" w:ascii="宋体" w:hAnsi="宋体" w:eastAsia="宋体" w:cs="宋体"/>
          <w:b/>
          <w:color w:val="auto"/>
          <w:kern w:val="0"/>
          <w:sz w:val="30"/>
          <w:szCs w:val="30"/>
          <w:highlight w:val="none"/>
          <w:lang w:eastAsia="zh-CN"/>
        </w:rPr>
      </w:pPr>
      <w:r>
        <w:rPr>
          <w:rFonts w:hint="eastAsia" w:ascii="宋体" w:hAnsi="宋体" w:eastAsia="宋体" w:cs="宋体"/>
          <w:b/>
          <w:color w:val="auto"/>
          <w:kern w:val="0"/>
          <w:sz w:val="30"/>
          <w:szCs w:val="30"/>
          <w:highlight w:val="none"/>
        </w:rPr>
        <w:t>《中华人民共和国政府采购法》第二十二条承诺</w:t>
      </w:r>
      <w:r>
        <w:rPr>
          <w:rFonts w:hint="eastAsia" w:ascii="宋体" w:hAnsi="宋体" w:eastAsia="宋体" w:cs="宋体"/>
          <w:b/>
          <w:color w:val="auto"/>
          <w:kern w:val="0"/>
          <w:sz w:val="30"/>
          <w:szCs w:val="30"/>
          <w:highlight w:val="none"/>
          <w:lang w:eastAsia="zh-CN"/>
        </w:rPr>
        <w:t>书</w:t>
      </w:r>
    </w:p>
    <w:p w14:paraId="1A3726D2">
      <w:pPr>
        <w:pStyle w:val="5"/>
        <w:numPr>
          <w:ilvl w:val="3"/>
          <w:numId w:val="0"/>
        </w:numPr>
        <w:tabs>
          <w:tab w:val="left" w:pos="864"/>
          <w:tab w:val="clear" w:pos="504"/>
          <w:tab w:val="clear" w:pos="604"/>
        </w:tabs>
        <w:ind w:left="0" w:leftChars="0" w:firstLine="482" w:firstLineChars="200"/>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eastAsia="宋体" w:cs="宋体"/>
          <w:b/>
          <w:color w:val="auto"/>
          <w:sz w:val="24"/>
          <w:szCs w:val="24"/>
          <w:highlight w:val="none"/>
          <w:u w:val="single"/>
          <w:lang w:val="en-US" w:eastAsia="zh-CN"/>
        </w:rPr>
        <w:t xml:space="preserve">        （采购人）         </w:t>
      </w:r>
    </w:p>
    <w:p w14:paraId="2305AA24">
      <w:pPr>
        <w:rPr>
          <w:rFonts w:hint="eastAsia" w:ascii="宋体" w:hAnsi="宋体" w:eastAsia="宋体" w:cs="宋体"/>
          <w:color w:val="auto"/>
          <w:lang w:val="zh-CN" w:eastAsia="zh-CN"/>
        </w:rPr>
      </w:pPr>
    </w:p>
    <w:p w14:paraId="4D6457AD">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14:paraId="6BEFFD1A">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14:paraId="0E173EBA">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14:paraId="2E48E764">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14:paraId="4C478FBF">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14:paraId="41563359">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14:paraId="406C7CD0">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14:paraId="596FC1D3">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14:paraId="6260FDE7">
      <w:pPr>
        <w:pStyle w:val="7"/>
        <w:ind w:firstLine="480"/>
        <w:rPr>
          <w:rFonts w:hint="eastAsia" w:ascii="宋体" w:hAnsi="宋体" w:eastAsia="宋体" w:cs="宋体"/>
          <w:color w:val="auto"/>
          <w:sz w:val="24"/>
          <w:highlight w:val="none"/>
          <w:lang w:val="zh-CN"/>
        </w:rPr>
      </w:pPr>
    </w:p>
    <w:p w14:paraId="5927E545">
      <w:pPr>
        <w:ind w:firstLine="3590" w:firstLineChars="1496"/>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p>
    <w:p w14:paraId="23C53FE6">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磋商</w:t>
      </w:r>
      <w:r>
        <w:rPr>
          <w:rFonts w:hint="eastAsia" w:ascii="宋体" w:hAnsi="宋体" w:eastAsia="宋体" w:cs="宋体"/>
          <w:color w:val="auto"/>
          <w:sz w:val="24"/>
        </w:rPr>
        <w:t>供应商全称（公章）：</w:t>
      </w:r>
      <w:r>
        <w:rPr>
          <w:rFonts w:hint="eastAsia" w:ascii="宋体" w:hAnsi="宋体" w:eastAsia="宋体" w:cs="宋体"/>
          <w:color w:val="auto"/>
          <w:sz w:val="24"/>
          <w:u w:val="single"/>
          <w:lang w:val="en-US" w:eastAsia="zh-CN"/>
        </w:rPr>
        <w:t xml:space="preserve">                                     </w:t>
      </w:r>
    </w:p>
    <w:p w14:paraId="027E16E4">
      <w:pPr>
        <w:spacing w:line="500" w:lineRule="exact"/>
        <w:ind w:firstLine="570"/>
        <w:textAlignment w:val="baseline"/>
        <w:rPr>
          <w:rFonts w:hint="eastAsia" w:ascii="宋体" w:hAnsi="宋体" w:eastAsia="宋体" w:cs="宋体"/>
          <w:color w:val="auto"/>
          <w:sz w:val="24"/>
        </w:rPr>
      </w:pPr>
    </w:p>
    <w:p w14:paraId="0B58181F">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w:t>
      </w:r>
      <w:r>
        <w:rPr>
          <w:rFonts w:hint="eastAsia" w:ascii="宋体" w:hAnsi="宋体" w:eastAsia="宋体" w:cs="宋体"/>
          <w:color w:val="auto"/>
          <w:sz w:val="24"/>
          <w:lang w:val="en-US" w:eastAsia="zh-CN"/>
        </w:rPr>
        <w:t>或</w:t>
      </w:r>
      <w:r>
        <w:rPr>
          <w:rFonts w:hint="eastAsia" w:ascii="宋体" w:hAnsi="宋体" w:eastAsia="宋体" w:cs="宋体"/>
          <w:color w:val="auto"/>
          <w:sz w:val="24"/>
        </w:rPr>
        <w:t>盖章）：</w:t>
      </w:r>
      <w:r>
        <w:rPr>
          <w:rFonts w:hint="eastAsia" w:ascii="宋体" w:hAnsi="宋体" w:eastAsia="宋体" w:cs="宋体"/>
          <w:color w:val="auto"/>
          <w:sz w:val="24"/>
          <w:u w:val="single"/>
          <w:lang w:val="en-US" w:eastAsia="zh-CN"/>
        </w:rPr>
        <w:t xml:space="preserve">                         </w:t>
      </w:r>
    </w:p>
    <w:p w14:paraId="4993B19E">
      <w:pPr>
        <w:pStyle w:val="27"/>
        <w:textAlignment w:val="baseline"/>
        <w:rPr>
          <w:rFonts w:hint="eastAsia" w:ascii="宋体" w:hAnsi="宋体" w:eastAsia="宋体" w:cs="宋体"/>
          <w:color w:val="auto"/>
        </w:rPr>
      </w:pPr>
    </w:p>
    <w:p w14:paraId="7CBC7648">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14:paraId="5481DB36">
      <w:pPr>
        <w:pStyle w:val="27"/>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14:paraId="53E28676">
      <w:pPr>
        <w:pStyle w:val="27"/>
        <w:ind w:left="0" w:leftChars="0" w:firstLine="0" w:firstLineChars="0"/>
        <w:rPr>
          <w:rFonts w:hint="eastAsia" w:ascii="宋体" w:hAnsi="宋体" w:eastAsia="宋体" w:cs="宋体"/>
          <w:bCs/>
          <w:color w:val="auto"/>
          <w:sz w:val="24"/>
          <w:szCs w:val="24"/>
          <w:highlight w:val="none"/>
        </w:rPr>
      </w:pPr>
    </w:p>
    <w:p w14:paraId="797EC7B8">
      <w:pPr>
        <w:pStyle w:val="27"/>
        <w:ind w:left="0" w:leftChars="0" w:firstLine="0" w:firstLineChars="0"/>
        <w:rPr>
          <w:rFonts w:hint="eastAsia" w:ascii="宋体" w:hAnsi="宋体" w:eastAsia="宋体" w:cs="宋体"/>
          <w:bCs/>
          <w:color w:val="auto"/>
          <w:sz w:val="24"/>
          <w:szCs w:val="24"/>
          <w:highlight w:val="none"/>
        </w:rPr>
      </w:pPr>
    </w:p>
    <w:p w14:paraId="5FD706AE">
      <w:pPr>
        <w:pStyle w:val="27"/>
        <w:ind w:left="0" w:leftChars="0" w:firstLine="0" w:firstLineChars="0"/>
        <w:rPr>
          <w:rFonts w:hint="eastAsia" w:ascii="宋体" w:hAnsi="宋体" w:eastAsia="宋体" w:cs="宋体"/>
          <w:bCs/>
          <w:color w:val="auto"/>
          <w:sz w:val="24"/>
          <w:szCs w:val="24"/>
          <w:highlight w:val="none"/>
        </w:rPr>
      </w:pPr>
    </w:p>
    <w:p w14:paraId="27551DE4">
      <w:pPr>
        <w:pStyle w:val="27"/>
        <w:ind w:left="0" w:leftChars="0" w:firstLine="0" w:firstLineChars="0"/>
        <w:rPr>
          <w:rFonts w:hint="eastAsia" w:ascii="宋体" w:hAnsi="宋体" w:eastAsia="宋体" w:cs="宋体"/>
          <w:bCs/>
          <w:color w:val="auto"/>
          <w:sz w:val="24"/>
          <w:szCs w:val="24"/>
          <w:highlight w:val="none"/>
        </w:rPr>
      </w:pPr>
    </w:p>
    <w:p w14:paraId="00F6CBB6">
      <w:pPr>
        <w:rPr>
          <w:rFonts w:hint="eastAsia" w:ascii="宋体" w:hAnsi="宋体" w:eastAsia="宋体" w:cs="宋体"/>
          <w:color w:val="auto"/>
        </w:rPr>
      </w:pPr>
    </w:p>
    <w:p w14:paraId="6E85008D">
      <w:pPr>
        <w:pStyle w:val="27"/>
        <w:ind w:left="0" w:leftChars="0" w:firstLine="0" w:firstLineChars="0"/>
        <w:rPr>
          <w:rFonts w:hint="eastAsia" w:ascii="宋体" w:hAnsi="宋体" w:eastAsia="宋体" w:cs="宋体"/>
          <w:bCs/>
          <w:color w:val="auto"/>
          <w:sz w:val="24"/>
          <w:szCs w:val="24"/>
          <w:highlight w:val="none"/>
        </w:rPr>
      </w:pPr>
    </w:p>
    <w:p w14:paraId="0C7826A0">
      <w:pPr>
        <w:pStyle w:val="27"/>
        <w:ind w:left="0" w:leftChars="0" w:firstLine="0" w:firstLineChars="0"/>
        <w:rPr>
          <w:rFonts w:hint="eastAsia" w:ascii="宋体" w:hAnsi="宋体" w:eastAsia="宋体" w:cs="宋体"/>
          <w:bCs/>
          <w:color w:val="auto"/>
          <w:sz w:val="24"/>
          <w:szCs w:val="24"/>
          <w:highlight w:val="none"/>
        </w:rPr>
      </w:pPr>
    </w:p>
    <w:p w14:paraId="7A01A480">
      <w:pPr>
        <w:pStyle w:val="27"/>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14:paraId="5B91EE59">
      <w:pPr>
        <w:pStyle w:val="13"/>
        <w:rPr>
          <w:rFonts w:hint="eastAsia" w:ascii="宋体" w:hAnsi="宋体" w:eastAsia="宋体" w:cs="宋体"/>
          <w:color w:val="auto"/>
        </w:rPr>
      </w:pPr>
    </w:p>
    <w:p w14:paraId="33F16A93">
      <w:pPr>
        <w:numPr>
          <w:ilvl w:val="0"/>
          <w:numId w:val="0"/>
        </w:numPr>
        <w:jc w:val="center"/>
        <w:outlineLvl w:val="0"/>
        <w:rPr>
          <w:rFonts w:hint="eastAsia" w:ascii="宋体" w:hAnsi="宋体" w:eastAsia="宋体" w:cs="宋体"/>
          <w:b/>
          <w:color w:val="auto"/>
          <w:sz w:val="28"/>
          <w:szCs w:val="28"/>
          <w:lang w:val="en-US" w:eastAsia="zh-CN"/>
        </w:rPr>
      </w:pPr>
      <w:bookmarkStart w:id="483" w:name="_Toc7380"/>
      <w:bookmarkStart w:id="484" w:name="_Toc29740"/>
      <w:bookmarkStart w:id="485" w:name="_Toc1881"/>
      <w:bookmarkStart w:id="486" w:name="_Toc6898"/>
      <w:r>
        <w:rPr>
          <w:rFonts w:hint="eastAsia" w:ascii="宋体" w:hAnsi="宋体" w:eastAsia="宋体" w:cs="宋体"/>
          <w:b/>
          <w:color w:val="auto"/>
          <w:sz w:val="28"/>
          <w:szCs w:val="28"/>
          <w:lang w:val="en-US" w:eastAsia="zh-CN"/>
        </w:rPr>
        <w:t>项目负责人无在建项目承诺书</w:t>
      </w:r>
      <w:bookmarkEnd w:id="483"/>
      <w:bookmarkEnd w:id="484"/>
      <w:bookmarkEnd w:id="485"/>
      <w:bookmarkEnd w:id="486"/>
    </w:p>
    <w:p w14:paraId="41E758D1">
      <w:pPr>
        <w:jc w:val="center"/>
        <w:rPr>
          <w:rFonts w:hint="eastAsia" w:ascii="宋体" w:hAnsi="宋体" w:eastAsia="宋体" w:cs="宋体"/>
          <w:color w:val="auto"/>
          <w:sz w:val="32"/>
          <w:szCs w:val="32"/>
        </w:rPr>
      </w:pPr>
    </w:p>
    <w:p w14:paraId="3863587E">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人名称）：</w:t>
      </w:r>
    </w:p>
    <w:p w14:paraId="45D883FB">
      <w:pPr>
        <w:rPr>
          <w:rFonts w:hint="eastAsia" w:ascii="宋体" w:hAnsi="宋体" w:eastAsia="宋体" w:cs="宋体"/>
          <w:color w:val="auto"/>
          <w:sz w:val="24"/>
          <w:szCs w:val="24"/>
        </w:rPr>
      </w:pPr>
    </w:p>
    <w:p w14:paraId="58ADE21B">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14:paraId="211FF3A3">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14:paraId="7789BBA5">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208F64AD">
      <w:pPr>
        <w:ind w:firstLine="480" w:firstLineChars="200"/>
        <w:rPr>
          <w:rFonts w:hint="eastAsia" w:ascii="宋体" w:hAnsi="宋体" w:eastAsia="宋体" w:cs="宋体"/>
          <w:color w:val="auto"/>
          <w:sz w:val="24"/>
          <w:szCs w:val="24"/>
        </w:rPr>
      </w:pPr>
    </w:p>
    <w:p w14:paraId="38A95433">
      <w:pPr>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szCs w:val="24"/>
          <w:lang w:val="en-US" w:eastAsia="zh-CN"/>
        </w:rPr>
        <w:t xml:space="preserve"> </w:t>
      </w:r>
    </w:p>
    <w:p w14:paraId="0F6C637C">
      <w:pPr>
        <w:ind w:firstLine="480" w:firstLineChars="200"/>
        <w:rPr>
          <w:rFonts w:hint="eastAsia" w:ascii="宋体" w:hAnsi="宋体" w:eastAsia="宋体" w:cs="宋体"/>
          <w:color w:val="auto"/>
          <w:sz w:val="24"/>
          <w:highlight w:val="none"/>
        </w:rPr>
      </w:pPr>
    </w:p>
    <w:p w14:paraId="1686EB93">
      <w:pPr>
        <w:ind w:firstLine="480" w:firstLineChars="200"/>
        <w:rPr>
          <w:rFonts w:hint="eastAsia" w:ascii="宋体" w:hAnsi="宋体" w:eastAsia="宋体" w:cs="宋体"/>
          <w:color w:val="auto"/>
          <w:sz w:val="24"/>
          <w:highlight w:val="none"/>
        </w:rPr>
      </w:pPr>
    </w:p>
    <w:p w14:paraId="39EA82D5">
      <w:pPr>
        <w:ind w:firstLine="480" w:firstLineChars="200"/>
        <w:rPr>
          <w:rFonts w:hint="eastAsia" w:ascii="宋体" w:hAnsi="宋体" w:eastAsia="宋体" w:cs="宋体"/>
          <w:color w:val="auto"/>
          <w:sz w:val="24"/>
          <w:highlight w:val="none"/>
        </w:rPr>
      </w:pPr>
    </w:p>
    <w:p w14:paraId="0559CBBE">
      <w:pPr>
        <w:ind w:firstLine="480" w:firstLineChars="200"/>
        <w:rPr>
          <w:rFonts w:hint="eastAsia" w:ascii="宋体" w:hAnsi="宋体" w:eastAsia="宋体" w:cs="宋体"/>
          <w:color w:val="auto"/>
          <w:sz w:val="24"/>
          <w:highlight w:val="none"/>
        </w:rPr>
      </w:pPr>
    </w:p>
    <w:p w14:paraId="284F2DED">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14:paraId="61CB55C1">
      <w:pPr>
        <w:wordWrap w:val="0"/>
        <w:ind w:firstLine="480" w:firstLineChars="200"/>
        <w:jc w:val="right"/>
        <w:rPr>
          <w:rFonts w:hint="eastAsia" w:ascii="宋体" w:hAnsi="宋体" w:eastAsia="宋体" w:cs="宋体"/>
          <w:color w:val="auto"/>
          <w:sz w:val="24"/>
          <w:highlight w:val="none"/>
        </w:rPr>
      </w:pPr>
    </w:p>
    <w:p w14:paraId="1EAC90F7">
      <w:pPr>
        <w:ind w:firstLine="480" w:firstLineChars="200"/>
        <w:jc w:val="right"/>
        <w:rPr>
          <w:rFonts w:hint="eastAsia" w:ascii="宋体" w:hAnsi="宋体" w:eastAsia="宋体" w:cs="宋体"/>
          <w:color w:val="auto"/>
          <w:sz w:val="24"/>
          <w:highlight w:val="none"/>
        </w:rPr>
      </w:pPr>
    </w:p>
    <w:p w14:paraId="41B068A8">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14:paraId="6D99A6CD">
      <w:pPr>
        <w:ind w:firstLine="480" w:firstLineChars="200"/>
        <w:jc w:val="right"/>
        <w:rPr>
          <w:rFonts w:hint="eastAsia" w:ascii="宋体" w:hAnsi="宋体" w:eastAsia="宋体" w:cs="宋体"/>
          <w:color w:val="auto"/>
          <w:sz w:val="24"/>
          <w:highlight w:val="none"/>
        </w:rPr>
      </w:pPr>
    </w:p>
    <w:p w14:paraId="6CAC5ED6">
      <w:pPr>
        <w:ind w:firstLine="480" w:firstLineChars="200"/>
        <w:jc w:val="right"/>
        <w:rPr>
          <w:rFonts w:hint="eastAsia" w:ascii="宋体" w:hAnsi="宋体" w:eastAsia="宋体" w:cs="宋体"/>
          <w:color w:val="auto"/>
          <w:sz w:val="24"/>
          <w:highlight w:val="none"/>
          <w:u w:val="single"/>
        </w:rPr>
      </w:pPr>
    </w:p>
    <w:p w14:paraId="01F0BDA0">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4D565651">
      <w:pPr>
        <w:jc w:val="center"/>
        <w:rPr>
          <w:rFonts w:hint="eastAsia" w:ascii="宋体" w:hAnsi="宋体" w:eastAsia="宋体" w:cs="宋体"/>
          <w:b/>
          <w:color w:val="auto"/>
          <w:sz w:val="24"/>
          <w:highlight w:val="none"/>
        </w:rPr>
      </w:pPr>
    </w:p>
    <w:p w14:paraId="504BE91F">
      <w:pPr>
        <w:rPr>
          <w:rFonts w:hint="eastAsia" w:ascii="宋体" w:hAnsi="宋体" w:eastAsia="宋体" w:cs="宋体"/>
          <w:b/>
          <w:color w:val="auto"/>
          <w:sz w:val="24"/>
          <w:highlight w:val="none"/>
        </w:rPr>
      </w:pPr>
    </w:p>
    <w:p w14:paraId="7F2391EA">
      <w:pPr>
        <w:rPr>
          <w:rFonts w:hint="eastAsia" w:ascii="宋体" w:hAnsi="宋体" w:eastAsia="宋体" w:cs="宋体"/>
          <w:b/>
          <w:color w:val="auto"/>
          <w:sz w:val="24"/>
          <w:highlight w:val="none"/>
        </w:rPr>
      </w:pPr>
    </w:p>
    <w:p w14:paraId="1EF6605F">
      <w:pPr>
        <w:pStyle w:val="32"/>
        <w:jc w:val="left"/>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3</w:t>
      </w:r>
    </w:p>
    <w:p w14:paraId="4A47984E">
      <w:pPr>
        <w:pStyle w:val="32"/>
        <w:jc w:val="center"/>
        <w:rPr>
          <w:rFonts w:hint="eastAsia" w:ascii="宋体" w:hAnsi="宋体" w:eastAsia="宋体" w:cs="宋体"/>
          <w:color w:val="auto"/>
        </w:rPr>
      </w:pPr>
      <w:r>
        <w:rPr>
          <w:rFonts w:hint="eastAsia" w:ascii="宋体" w:hAnsi="宋体" w:eastAsia="宋体" w:cs="宋体"/>
          <w:color w:val="auto"/>
        </w:rPr>
        <w:t>供应商书面声明函</w:t>
      </w:r>
    </w:p>
    <w:p w14:paraId="2040885D">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14:paraId="7B13FDDB">
      <w:pPr>
        <w:spacing w:line="500" w:lineRule="exact"/>
        <w:ind w:right="11" w:firstLine="480" w:firstLineChars="200"/>
        <w:rPr>
          <w:rFonts w:hint="eastAsia" w:ascii="宋体" w:hAnsi="宋体" w:eastAsia="宋体" w:cs="宋体"/>
          <w:color w:val="auto"/>
          <w:sz w:val="24"/>
          <w:highlight w:val="none"/>
        </w:rPr>
      </w:pPr>
    </w:p>
    <w:p w14:paraId="2221F7A3">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14:paraId="04D306A0">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14:paraId="361CD54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（填“未被列入”或“被列入”）失信被执行人名单。</w:t>
      </w:r>
    </w:p>
    <w:p w14:paraId="05F392C7">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（填“未被列入”或“被列入”）重大税收违法案件当事人名单。</w:t>
      </w:r>
    </w:p>
    <w:p w14:paraId="20B79CC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（填“未被列入”或“被列入”）政府采购严重违法失信行为记录名单。</w:t>
      </w:r>
    </w:p>
    <w:p w14:paraId="798C659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14:paraId="788B7D6A">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14:paraId="357769E4">
      <w:pPr>
        <w:spacing w:line="500" w:lineRule="exact"/>
        <w:ind w:firstLine="480" w:firstLineChars="200"/>
        <w:rPr>
          <w:rFonts w:hint="eastAsia" w:ascii="宋体" w:hAnsi="宋体" w:eastAsia="宋体" w:cs="宋体"/>
          <w:color w:val="auto"/>
          <w:sz w:val="24"/>
          <w:szCs w:val="24"/>
        </w:rPr>
      </w:pPr>
    </w:p>
    <w:p w14:paraId="00CE6613">
      <w:pPr>
        <w:spacing w:line="336" w:lineRule="auto"/>
        <w:jc w:val="both"/>
        <w:rPr>
          <w:rFonts w:hint="eastAsia" w:ascii="宋体" w:hAnsi="宋体" w:eastAsia="宋体" w:cs="宋体"/>
          <w:color w:val="auto"/>
          <w:kern w:val="0"/>
          <w:sz w:val="24"/>
          <w:szCs w:val="24"/>
          <w:lang w:val="zh-CN"/>
        </w:rPr>
      </w:pPr>
    </w:p>
    <w:p w14:paraId="65F748CD">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14:paraId="2951DA96">
      <w:pPr>
        <w:wordWrap w:val="0"/>
        <w:ind w:firstLine="480" w:firstLineChars="200"/>
        <w:jc w:val="right"/>
        <w:rPr>
          <w:rFonts w:hint="eastAsia" w:ascii="宋体" w:hAnsi="宋体" w:eastAsia="宋体" w:cs="宋体"/>
          <w:color w:val="auto"/>
          <w:sz w:val="24"/>
          <w:highlight w:val="none"/>
        </w:rPr>
      </w:pPr>
    </w:p>
    <w:p w14:paraId="441A7C3F">
      <w:pPr>
        <w:ind w:firstLine="480" w:firstLineChars="200"/>
        <w:jc w:val="right"/>
        <w:rPr>
          <w:rFonts w:hint="eastAsia" w:ascii="宋体" w:hAnsi="宋体" w:eastAsia="宋体" w:cs="宋体"/>
          <w:color w:val="auto"/>
          <w:sz w:val="24"/>
          <w:highlight w:val="none"/>
        </w:rPr>
      </w:pPr>
    </w:p>
    <w:p w14:paraId="4166012E">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14:paraId="182D54E7">
      <w:pPr>
        <w:ind w:firstLine="480" w:firstLineChars="200"/>
        <w:jc w:val="right"/>
        <w:rPr>
          <w:rFonts w:hint="eastAsia" w:ascii="宋体" w:hAnsi="宋体" w:eastAsia="宋体" w:cs="宋体"/>
          <w:color w:val="auto"/>
          <w:sz w:val="24"/>
          <w:highlight w:val="none"/>
        </w:rPr>
      </w:pPr>
    </w:p>
    <w:p w14:paraId="73DBD021">
      <w:pPr>
        <w:ind w:firstLine="480" w:firstLineChars="200"/>
        <w:jc w:val="right"/>
        <w:rPr>
          <w:rFonts w:hint="eastAsia" w:ascii="宋体" w:hAnsi="宋体" w:eastAsia="宋体" w:cs="宋体"/>
          <w:color w:val="auto"/>
          <w:sz w:val="24"/>
          <w:highlight w:val="none"/>
          <w:u w:val="single"/>
        </w:rPr>
      </w:pPr>
    </w:p>
    <w:p w14:paraId="3A283B55">
      <w:pPr>
        <w:pStyle w:val="5"/>
        <w:numPr>
          <w:ilvl w:val="3"/>
          <w:numId w:val="0"/>
        </w:numPr>
        <w:ind w:left="375" w:leftChars="0" w:hanging="375" w:firstLineChars="0"/>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14:paraId="1DED055C">
      <w:pPr>
        <w:pStyle w:val="27"/>
        <w:rPr>
          <w:rFonts w:hint="eastAsia" w:ascii="宋体" w:hAnsi="宋体" w:eastAsia="宋体" w:cs="宋体"/>
          <w:b/>
          <w:color w:val="auto"/>
          <w:sz w:val="24"/>
          <w:highlight w:val="none"/>
        </w:rPr>
        <w:sectPr>
          <w:footerReference r:id="rId5" w:type="default"/>
          <w:pgSz w:w="11911" w:h="16843"/>
          <w:pgMar w:top="1304" w:right="1304" w:bottom="1304" w:left="1304" w:header="720" w:footer="720" w:gutter="0"/>
          <w:pgNumType w:fmt="decimal"/>
          <w:cols w:space="720" w:num="1"/>
          <w:rtlGutter w:val="0"/>
          <w:docGrid w:linePitch="312" w:charSpace="0"/>
        </w:sectPr>
      </w:pPr>
    </w:p>
    <w:p w14:paraId="6C01D9F7">
      <w:pPr>
        <w:pStyle w:val="32"/>
        <w:jc w:val="left"/>
        <w:rPr>
          <w:rFonts w:hint="eastAsia" w:ascii="宋体" w:hAnsi="宋体" w:eastAsia="宋体" w:cs="宋体"/>
          <w:b/>
          <w:color w:val="auto"/>
          <w:sz w:val="30"/>
          <w:szCs w:val="30"/>
          <w:highlight w:val="none"/>
          <w:lang w:val="en-US" w:eastAsia="zh-CN"/>
        </w:rPr>
      </w:pPr>
      <w:bookmarkStart w:id="487" w:name="_Toc26915"/>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4</w:t>
      </w:r>
    </w:p>
    <w:p w14:paraId="0C7856F7">
      <w:pPr>
        <w:pStyle w:val="7"/>
        <w:ind w:left="0" w:leftChars="0" w:firstLine="2711" w:firstLineChars="900"/>
        <w:jc w:val="both"/>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供应商企业关系关联承诺书</w:t>
      </w:r>
    </w:p>
    <w:p w14:paraId="15E96F7C">
      <w:pPr>
        <w:pStyle w:val="7"/>
        <w:ind w:left="0" w:leftChars="0" w:firstLine="0" w:firstLineChars="0"/>
        <w:jc w:val="center"/>
        <w:rPr>
          <w:rFonts w:hint="eastAsia" w:ascii="宋体" w:hAnsi="宋体" w:eastAsia="宋体" w:cs="宋体"/>
          <w:b/>
          <w:color w:val="auto"/>
          <w:kern w:val="0"/>
          <w:sz w:val="30"/>
          <w:szCs w:val="30"/>
          <w:highlight w:val="none"/>
        </w:rPr>
      </w:pPr>
    </w:p>
    <w:p w14:paraId="4B82C768">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14:paraId="1A5572AF">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中，不存在与其它供应商负责人为同一人，有控股、管理等关联关系承诺。</w:t>
      </w:r>
    </w:p>
    <w:p w14:paraId="7132FF6D">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14:paraId="0A70F6B9">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4096188">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21779B8F">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14:paraId="315C1F85">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37F4A7AA">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14:paraId="0EFA28B0">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14:paraId="3BD13BDC">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14:paraId="58D10D7B">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14:paraId="64366135">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14:paraId="69C0EBEF">
      <w:pPr>
        <w:autoSpaceDE w:val="0"/>
        <w:autoSpaceDN w:val="0"/>
        <w:adjustRightInd w:val="0"/>
        <w:spacing w:line="480" w:lineRule="auto"/>
        <w:rPr>
          <w:rFonts w:hint="eastAsia" w:ascii="宋体" w:hAnsi="宋体" w:eastAsia="宋体" w:cs="宋体"/>
          <w:color w:val="auto"/>
          <w:sz w:val="24"/>
          <w:szCs w:val="24"/>
          <w:highlight w:val="none"/>
        </w:rPr>
      </w:pPr>
    </w:p>
    <w:p w14:paraId="4CD3DE27">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磋商</w:t>
      </w:r>
      <w:r>
        <w:rPr>
          <w:rFonts w:hint="eastAsia" w:ascii="宋体" w:hAnsi="宋体" w:eastAsia="宋体" w:cs="宋体"/>
          <w:color w:val="auto"/>
          <w:sz w:val="24"/>
        </w:rPr>
        <w:t>供应商全称（公章）：</w:t>
      </w:r>
      <w:r>
        <w:rPr>
          <w:rFonts w:hint="eastAsia" w:ascii="宋体" w:hAnsi="宋体" w:eastAsia="宋体" w:cs="宋体"/>
          <w:color w:val="auto"/>
          <w:sz w:val="24"/>
          <w:u w:val="single"/>
          <w:lang w:val="en-US" w:eastAsia="zh-CN"/>
        </w:rPr>
        <w:t xml:space="preserve">                                     </w:t>
      </w:r>
    </w:p>
    <w:p w14:paraId="39C802D3">
      <w:pPr>
        <w:spacing w:line="500" w:lineRule="exact"/>
        <w:ind w:firstLine="570"/>
        <w:textAlignment w:val="baseline"/>
        <w:rPr>
          <w:rFonts w:hint="eastAsia" w:ascii="宋体" w:hAnsi="宋体" w:eastAsia="宋体" w:cs="宋体"/>
          <w:color w:val="auto"/>
          <w:sz w:val="24"/>
        </w:rPr>
      </w:pPr>
    </w:p>
    <w:p w14:paraId="0372DD56">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14:paraId="31C3E29C">
      <w:pPr>
        <w:pStyle w:val="27"/>
        <w:textAlignment w:val="baseline"/>
        <w:rPr>
          <w:rFonts w:hint="eastAsia" w:ascii="宋体" w:hAnsi="宋体" w:eastAsia="宋体" w:cs="宋体"/>
          <w:color w:val="auto"/>
        </w:rPr>
      </w:pPr>
    </w:p>
    <w:p w14:paraId="7F3808A7">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bookmarkEnd w:id="487"/>
    <w:p w14:paraId="63705B31">
      <w:pPr>
        <w:numPr>
          <w:ilvl w:val="0"/>
          <w:numId w:val="0"/>
        </w:numPr>
        <w:spacing w:line="500" w:lineRule="exact"/>
        <w:jc w:val="left"/>
        <w:rPr>
          <w:rFonts w:hint="eastAsia" w:ascii="宋体" w:hAnsi="宋体" w:eastAsia="宋体" w:cs="宋体"/>
          <w:b/>
          <w:color w:val="auto"/>
          <w:sz w:val="24"/>
          <w:highlight w:val="none"/>
          <w:lang w:eastAsia="zh-CN"/>
        </w:rPr>
      </w:pPr>
    </w:p>
    <w:p w14:paraId="3A81CDFF">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14:paraId="60C983C0">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5</w:t>
      </w:r>
    </w:p>
    <w:p w14:paraId="5807E3EC">
      <w:pPr>
        <w:spacing w:line="500" w:lineRule="exact"/>
        <w:jc w:val="center"/>
        <w:rPr>
          <w:rFonts w:hint="eastAsia" w:ascii="宋体" w:hAnsi="宋体" w:eastAsia="宋体" w:cs="宋体"/>
          <w:color w:val="auto"/>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w:t>
      </w:r>
      <w:r>
        <w:rPr>
          <w:rFonts w:hint="eastAsia" w:ascii="宋体" w:hAnsi="宋体" w:eastAsia="宋体" w:cs="宋体"/>
          <w:b/>
          <w:color w:val="auto"/>
          <w:sz w:val="28"/>
          <w:szCs w:val="28"/>
          <w:lang w:eastAsia="zh-CN"/>
        </w:rPr>
        <w:t>）</w:t>
      </w:r>
    </w:p>
    <w:p w14:paraId="00570A2E">
      <w:pPr>
        <w:keepNext w:val="0"/>
        <w:keepLines w:val="0"/>
        <w:widowControl/>
        <w:suppressLineNumbers w:val="0"/>
        <w:ind w:firstLine="480" w:firstLineChars="200"/>
        <w:jc w:val="left"/>
        <w:rPr>
          <w:rFonts w:hint="eastAsia" w:ascii="宋体" w:hAnsi="宋体" w:eastAsia="宋体" w:cs="宋体"/>
          <w:color w:val="auto"/>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14:paraId="351DD3DB">
      <w:pPr>
        <w:pStyle w:val="20"/>
        <w:numPr>
          <w:ilvl w:val="0"/>
          <w:numId w:val="5"/>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14:paraId="5E346566">
      <w:pPr>
        <w:pStyle w:val="20"/>
        <w:numPr>
          <w:ilvl w:val="0"/>
          <w:numId w:val="5"/>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14:paraId="4C526F70">
      <w:pPr>
        <w:pStyle w:val="20"/>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7FAF0987">
      <w:pPr>
        <w:pStyle w:val="20"/>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2E950AED">
      <w:pPr>
        <w:pStyle w:val="20"/>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14:paraId="4ECEC5AF">
      <w:pPr>
        <w:pStyle w:val="20"/>
        <w:numPr>
          <w:ilvl w:val="0"/>
          <w:numId w:val="0"/>
        </w:numPr>
        <w:spacing w:line="500" w:lineRule="exact"/>
        <w:ind w:leftChars="100" w:firstLine="6480" w:firstLineChars="2700"/>
        <w:rPr>
          <w:rFonts w:hint="eastAsia" w:ascii="宋体" w:hAnsi="宋体" w:eastAsia="宋体" w:cs="宋体"/>
          <w:color w:val="auto"/>
          <w:sz w:val="24"/>
          <w:szCs w:val="24"/>
        </w:rPr>
      </w:pPr>
    </w:p>
    <w:p w14:paraId="1316D1E9">
      <w:pPr>
        <w:pStyle w:val="20"/>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14:paraId="6DAB68CF">
      <w:pPr>
        <w:pStyle w:val="20"/>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14:paraId="6F286A10">
      <w:pPr>
        <w:tabs>
          <w:tab w:val="left" w:pos="5670"/>
        </w:tabs>
        <w:spacing w:line="500" w:lineRule="exact"/>
        <w:ind w:firstLine="566"/>
        <w:rPr>
          <w:rFonts w:hint="eastAsia" w:ascii="宋体" w:hAnsi="宋体" w:eastAsia="宋体" w:cs="宋体"/>
          <w:color w:val="auto"/>
          <w:sz w:val="24"/>
          <w:szCs w:val="24"/>
        </w:rPr>
      </w:pPr>
    </w:p>
    <w:p w14:paraId="21D77522">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14:paraId="2A55430D">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549E20FB">
      <w:pPr>
        <w:pStyle w:val="3"/>
        <w:outlineLvl w:val="9"/>
        <w:rPr>
          <w:rFonts w:hint="eastAsia" w:ascii="宋体" w:hAnsi="宋体" w:eastAsia="宋体" w:cs="宋体"/>
          <w:color w:val="auto"/>
          <w:sz w:val="28"/>
          <w:szCs w:val="28"/>
        </w:rPr>
      </w:pPr>
    </w:p>
    <w:p w14:paraId="531FAB25">
      <w:pPr>
        <w:numPr>
          <w:ilvl w:val="0"/>
          <w:numId w:val="0"/>
        </w:numPr>
        <w:spacing w:line="500" w:lineRule="exact"/>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14:paraId="3F39FA3D">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6</w:t>
      </w:r>
    </w:p>
    <w:p w14:paraId="11F8FA65">
      <w:pPr>
        <w:pStyle w:val="3"/>
        <w:numPr>
          <w:ilvl w:val="0"/>
          <w:numId w:val="0"/>
        </w:numPr>
        <w:ind w:leftChars="0"/>
        <w:jc w:val="both"/>
        <w:outlineLvl w:val="9"/>
        <w:rPr>
          <w:rFonts w:hint="eastAsia" w:ascii="宋体" w:hAnsi="宋体" w:eastAsia="宋体" w:cs="宋体"/>
          <w:color w:val="auto"/>
          <w:sz w:val="24"/>
          <w:szCs w:val="24"/>
          <w:lang w:val="en-US" w:eastAsia="zh-CN"/>
        </w:rPr>
      </w:pPr>
    </w:p>
    <w:p w14:paraId="24480070">
      <w:pPr>
        <w:pStyle w:val="4"/>
        <w:bidi w:val="0"/>
        <w:jc w:val="center"/>
        <w:rPr>
          <w:rFonts w:hint="eastAsia" w:ascii="宋体" w:hAnsi="宋体" w:eastAsia="宋体" w:cs="宋体"/>
          <w:b/>
          <w:bCs w:val="0"/>
          <w:color w:val="auto"/>
          <w:kern w:val="2"/>
          <w:sz w:val="28"/>
          <w:szCs w:val="28"/>
          <w:lang w:val="en-US" w:eastAsia="zh-CN" w:bidi="ar-SA"/>
        </w:rPr>
      </w:pPr>
      <w:r>
        <w:rPr>
          <w:rFonts w:hint="eastAsia" w:ascii="宋体" w:hAnsi="宋体" w:eastAsia="宋体" w:cs="宋体"/>
          <w:b/>
          <w:bCs w:val="0"/>
          <w:color w:val="auto"/>
          <w:kern w:val="2"/>
          <w:sz w:val="28"/>
          <w:szCs w:val="28"/>
          <w:lang w:val="en-US" w:eastAsia="zh-CN" w:bidi="ar-SA"/>
        </w:rPr>
        <w:t>具有履行合同所必需的设备和专业技术能力的承诺函</w:t>
      </w:r>
    </w:p>
    <w:p w14:paraId="5B849EAF">
      <w:pPr>
        <w:spacing w:line="480" w:lineRule="auto"/>
        <w:rPr>
          <w:rFonts w:hint="eastAsia" w:ascii="宋体" w:hAnsi="宋体" w:eastAsia="宋体" w:cs="宋体"/>
          <w:b/>
          <w:color w:val="auto"/>
          <w:sz w:val="24"/>
          <w:szCs w:val="24"/>
          <w:highlight w:val="none"/>
        </w:rPr>
      </w:pPr>
    </w:p>
    <w:p w14:paraId="41920C33">
      <w:pPr>
        <w:spacing w:line="480" w:lineRule="auto"/>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cs="宋体"/>
          <w:b/>
          <w:color w:val="auto"/>
          <w:sz w:val="24"/>
          <w:szCs w:val="24"/>
          <w:highlight w:val="none"/>
          <w:lang w:eastAsia="zh-CN"/>
        </w:rPr>
        <w:t>府谷县田家寨镇人民政府</w:t>
      </w:r>
    </w:p>
    <w:p w14:paraId="07F9190A">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rPr>
        <w:t>我公司在完全理解本项目的</w:t>
      </w:r>
      <w:r>
        <w:rPr>
          <w:rFonts w:hint="eastAsia" w:ascii="宋体" w:hAnsi="宋体" w:eastAsia="宋体" w:cs="宋体"/>
          <w:color w:val="auto"/>
          <w:sz w:val="24"/>
          <w:szCs w:val="24"/>
          <w:lang w:eastAsia="zh-CN"/>
        </w:rPr>
        <w:t>商务及</w:t>
      </w:r>
      <w:r>
        <w:rPr>
          <w:rFonts w:hint="eastAsia" w:ascii="宋体" w:hAnsi="宋体" w:eastAsia="宋体" w:cs="宋体"/>
          <w:color w:val="auto"/>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14:paraId="7156938D">
      <w:pPr>
        <w:spacing w:line="480" w:lineRule="auto"/>
        <w:ind w:firstLine="480"/>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color w:val="auto"/>
          <w:sz w:val="24"/>
          <w:szCs w:val="24"/>
        </w:rPr>
        <w:t>本公司对上述承诺的真实性负责。如有虚假,我公司同意按我方合同违约处理,并依法承担相应法律责任。</w:t>
      </w:r>
    </w:p>
    <w:p w14:paraId="59429C47">
      <w:pPr>
        <w:spacing w:line="360" w:lineRule="auto"/>
        <w:ind w:firstLine="480"/>
        <w:rPr>
          <w:rFonts w:hint="eastAsia" w:ascii="宋体" w:hAnsi="宋体" w:eastAsia="宋体" w:cs="宋体"/>
          <w:color w:val="auto"/>
          <w:kern w:val="0"/>
          <w:sz w:val="24"/>
          <w:szCs w:val="24"/>
          <w:highlight w:val="none"/>
          <w:lang w:val="en-US" w:eastAsia="zh-CN" w:bidi="ar-SA"/>
        </w:rPr>
      </w:pPr>
    </w:p>
    <w:p w14:paraId="5820C9F0">
      <w:pPr>
        <w:pStyle w:val="27"/>
        <w:rPr>
          <w:rFonts w:hint="eastAsia" w:ascii="宋体" w:hAnsi="宋体" w:eastAsia="宋体" w:cs="宋体"/>
          <w:color w:val="auto"/>
          <w:kern w:val="0"/>
          <w:sz w:val="24"/>
          <w:szCs w:val="24"/>
          <w:highlight w:val="none"/>
          <w:lang w:val="en-US" w:eastAsia="zh-CN" w:bidi="ar-SA"/>
        </w:rPr>
      </w:pPr>
    </w:p>
    <w:p w14:paraId="39F6A887">
      <w:pPr>
        <w:pStyle w:val="27"/>
        <w:rPr>
          <w:rFonts w:hint="eastAsia" w:ascii="宋体" w:hAnsi="宋体" w:eastAsia="宋体" w:cs="宋体"/>
          <w:color w:val="auto"/>
          <w:kern w:val="0"/>
          <w:sz w:val="24"/>
          <w:szCs w:val="24"/>
          <w:highlight w:val="none"/>
          <w:lang w:val="en-US" w:eastAsia="zh-CN" w:bidi="ar-SA"/>
        </w:rPr>
      </w:pPr>
    </w:p>
    <w:p w14:paraId="40E81005">
      <w:pPr>
        <w:spacing w:line="500" w:lineRule="exact"/>
        <w:ind w:firstLine="57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全称（公章）：</w:t>
      </w:r>
      <w:r>
        <w:rPr>
          <w:rFonts w:hint="eastAsia" w:ascii="宋体" w:hAnsi="宋体" w:eastAsia="宋体" w:cs="宋体"/>
          <w:color w:val="auto"/>
          <w:sz w:val="24"/>
          <w:szCs w:val="24"/>
          <w:u w:val="single"/>
          <w:lang w:val="en-US" w:eastAsia="zh-CN"/>
        </w:rPr>
        <w:t xml:space="preserve">                                         </w:t>
      </w:r>
    </w:p>
    <w:p w14:paraId="3BD1AE47">
      <w:pPr>
        <w:spacing w:line="500" w:lineRule="exact"/>
        <w:ind w:firstLine="570"/>
        <w:textAlignment w:val="baseline"/>
        <w:rPr>
          <w:rFonts w:hint="eastAsia" w:ascii="宋体" w:hAnsi="宋体" w:eastAsia="宋体" w:cs="宋体"/>
          <w:color w:val="auto"/>
          <w:sz w:val="24"/>
          <w:szCs w:val="24"/>
        </w:rPr>
      </w:pPr>
    </w:p>
    <w:p w14:paraId="78ABE75D">
      <w:pPr>
        <w:spacing w:line="500" w:lineRule="exact"/>
        <w:ind w:firstLine="570"/>
        <w:textAlignment w:val="baseline"/>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法定代表人或</w:t>
      </w:r>
      <w:r>
        <w:rPr>
          <w:rFonts w:hint="eastAsia" w:ascii="宋体" w:hAnsi="宋体" w:eastAsia="宋体" w:cs="宋体"/>
          <w:color w:val="auto"/>
          <w:sz w:val="24"/>
          <w:szCs w:val="24"/>
          <w:lang w:eastAsia="zh-CN"/>
        </w:rPr>
        <w:t>被授权人</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签字或盖章</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14:paraId="11927417">
      <w:pPr>
        <w:pStyle w:val="27"/>
        <w:textAlignment w:val="baseline"/>
        <w:rPr>
          <w:rFonts w:hint="eastAsia" w:ascii="宋体" w:hAnsi="宋体" w:eastAsia="宋体" w:cs="宋体"/>
          <w:color w:val="auto"/>
          <w:sz w:val="24"/>
          <w:szCs w:val="24"/>
        </w:rPr>
      </w:pPr>
    </w:p>
    <w:p w14:paraId="72D74F39">
      <w:pPr>
        <w:spacing w:line="500" w:lineRule="exact"/>
        <w:ind w:firstLine="57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609DACCB">
      <w:pPr>
        <w:numPr>
          <w:ilvl w:val="0"/>
          <w:numId w:val="0"/>
        </w:numPr>
        <w:spacing w:line="500" w:lineRule="exact"/>
        <w:jc w:val="left"/>
        <w:rPr>
          <w:rFonts w:hint="eastAsia" w:ascii="宋体" w:hAnsi="宋体" w:eastAsia="宋体" w:cs="宋体"/>
          <w:b/>
          <w:color w:val="auto"/>
          <w:sz w:val="24"/>
          <w:highlight w:val="none"/>
          <w:lang w:eastAsia="zh-CN"/>
        </w:rPr>
      </w:pPr>
    </w:p>
    <w:p w14:paraId="7708C2B0">
      <w:pPr>
        <w:numPr>
          <w:ilvl w:val="0"/>
          <w:numId w:val="0"/>
        </w:numPr>
        <w:spacing w:line="500" w:lineRule="exact"/>
        <w:jc w:val="left"/>
        <w:rPr>
          <w:rFonts w:hint="eastAsia" w:ascii="宋体" w:hAnsi="宋体" w:eastAsia="宋体" w:cs="宋体"/>
          <w:b/>
          <w:color w:val="auto"/>
          <w:sz w:val="24"/>
          <w:highlight w:val="none"/>
          <w:lang w:eastAsia="zh-CN"/>
        </w:rPr>
      </w:pPr>
    </w:p>
    <w:p w14:paraId="6A39CC77">
      <w:pPr>
        <w:numPr>
          <w:ilvl w:val="0"/>
          <w:numId w:val="0"/>
        </w:numPr>
        <w:spacing w:line="500" w:lineRule="exact"/>
        <w:jc w:val="left"/>
        <w:rPr>
          <w:rFonts w:hint="eastAsia" w:ascii="宋体" w:hAnsi="宋体" w:eastAsia="宋体" w:cs="宋体"/>
          <w:b/>
          <w:color w:val="auto"/>
          <w:sz w:val="24"/>
          <w:highlight w:val="none"/>
          <w:lang w:eastAsia="zh-CN"/>
        </w:rPr>
      </w:pPr>
    </w:p>
    <w:p w14:paraId="7E102D61">
      <w:pPr>
        <w:numPr>
          <w:ilvl w:val="0"/>
          <w:numId w:val="0"/>
        </w:numPr>
        <w:spacing w:line="500" w:lineRule="exact"/>
        <w:jc w:val="left"/>
        <w:rPr>
          <w:rFonts w:hint="eastAsia" w:ascii="宋体" w:hAnsi="宋体" w:eastAsia="宋体" w:cs="宋体"/>
          <w:b/>
          <w:color w:val="auto"/>
          <w:sz w:val="24"/>
          <w:highlight w:val="none"/>
          <w:lang w:eastAsia="zh-CN"/>
        </w:rPr>
      </w:pPr>
    </w:p>
    <w:p w14:paraId="41B7ED56">
      <w:pPr>
        <w:numPr>
          <w:ilvl w:val="0"/>
          <w:numId w:val="0"/>
        </w:numPr>
        <w:spacing w:line="500" w:lineRule="exact"/>
        <w:jc w:val="left"/>
        <w:rPr>
          <w:rFonts w:hint="eastAsia" w:ascii="宋体" w:hAnsi="宋体" w:eastAsia="宋体" w:cs="宋体"/>
          <w:b/>
          <w:color w:val="auto"/>
          <w:sz w:val="24"/>
          <w:highlight w:val="none"/>
          <w:lang w:eastAsia="zh-CN"/>
        </w:rPr>
      </w:pPr>
    </w:p>
    <w:p w14:paraId="6653B5BF">
      <w:pPr>
        <w:numPr>
          <w:ilvl w:val="0"/>
          <w:numId w:val="0"/>
        </w:numPr>
        <w:spacing w:line="500" w:lineRule="exact"/>
        <w:jc w:val="left"/>
        <w:rPr>
          <w:rFonts w:hint="eastAsia" w:ascii="宋体" w:hAnsi="宋体" w:eastAsia="宋体" w:cs="宋体"/>
          <w:b/>
          <w:color w:val="auto"/>
          <w:sz w:val="24"/>
          <w:highlight w:val="none"/>
          <w:lang w:eastAsia="zh-CN"/>
        </w:rPr>
      </w:pPr>
    </w:p>
    <w:p w14:paraId="2AD36DC2">
      <w:pPr>
        <w:numPr>
          <w:ilvl w:val="0"/>
          <w:numId w:val="0"/>
        </w:numPr>
        <w:spacing w:line="500" w:lineRule="exact"/>
        <w:jc w:val="left"/>
        <w:rPr>
          <w:rFonts w:hint="eastAsia" w:ascii="宋体" w:hAnsi="宋体" w:eastAsia="宋体" w:cs="宋体"/>
          <w:b/>
          <w:color w:val="auto"/>
          <w:sz w:val="24"/>
          <w:highlight w:val="none"/>
          <w:lang w:eastAsia="zh-CN"/>
        </w:rPr>
      </w:pPr>
    </w:p>
    <w:p w14:paraId="715C60A7">
      <w:pPr>
        <w:numPr>
          <w:ilvl w:val="0"/>
          <w:numId w:val="0"/>
        </w:numPr>
        <w:spacing w:line="500" w:lineRule="exact"/>
        <w:jc w:val="left"/>
        <w:rPr>
          <w:rFonts w:hint="eastAsia" w:ascii="宋体" w:hAnsi="宋体" w:eastAsia="宋体" w:cs="宋体"/>
          <w:b/>
          <w:color w:val="auto"/>
          <w:sz w:val="24"/>
          <w:highlight w:val="none"/>
          <w:lang w:eastAsia="zh-CN"/>
        </w:rPr>
      </w:pPr>
    </w:p>
    <w:p w14:paraId="13BC11E2">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7</w:t>
      </w:r>
    </w:p>
    <w:p w14:paraId="568BBEC9">
      <w:pPr>
        <w:pStyle w:val="17"/>
        <w:bidi w:val="0"/>
        <w:ind w:left="0" w:leftChars="0" w:firstLine="0" w:firstLineChars="0"/>
        <w:jc w:val="center"/>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榆林市政府采购</w:t>
      </w:r>
      <w:r>
        <w:rPr>
          <w:rFonts w:hint="eastAsia" w:ascii="宋体" w:hAnsi="宋体" w:eastAsia="宋体" w:cs="宋体"/>
          <w:b/>
          <w:bCs/>
          <w:color w:val="auto"/>
          <w:sz w:val="28"/>
          <w:szCs w:val="28"/>
          <w:lang w:val="en-US" w:eastAsia="zh-CN" w:bidi="ar-SA"/>
        </w:rPr>
        <w:sym w:font="Wingdings" w:char="00FE"/>
      </w:r>
      <w:r>
        <w:rPr>
          <w:rFonts w:hint="eastAsia" w:ascii="宋体" w:hAnsi="宋体" w:eastAsia="宋体" w:cs="宋体"/>
          <w:b/>
          <w:bCs/>
          <w:color w:val="auto"/>
          <w:sz w:val="28"/>
          <w:szCs w:val="28"/>
          <w:lang w:val="en-US" w:eastAsia="zh-CN" w:bidi="ar-SA"/>
        </w:rPr>
        <w:t>工程类</w:t>
      </w:r>
      <w:r>
        <w:rPr>
          <w:rFonts w:hint="eastAsia" w:ascii="宋体" w:hAnsi="宋体" w:eastAsia="宋体" w:cs="宋体"/>
          <w:b/>
          <w:bCs/>
          <w:color w:val="auto"/>
          <w:sz w:val="28"/>
          <w:szCs w:val="28"/>
          <w:lang w:val="en-US" w:eastAsia="zh-CN" w:bidi="ar-SA"/>
        </w:rPr>
        <w:sym w:font="Wingdings" w:char="00A8"/>
      </w:r>
      <w:r>
        <w:rPr>
          <w:rFonts w:hint="eastAsia" w:ascii="宋体" w:hAnsi="宋体" w:eastAsia="宋体" w:cs="宋体"/>
          <w:b/>
          <w:bCs/>
          <w:color w:val="auto"/>
          <w:sz w:val="28"/>
          <w:szCs w:val="28"/>
          <w:lang w:val="en-US" w:eastAsia="zh-CN" w:bidi="ar-SA"/>
        </w:rPr>
        <w:t>货物类</w:t>
      </w:r>
      <w:r>
        <w:rPr>
          <w:rFonts w:hint="eastAsia" w:ascii="宋体" w:hAnsi="宋体" w:eastAsia="宋体" w:cs="宋体"/>
          <w:b/>
          <w:bCs/>
          <w:color w:val="auto"/>
          <w:sz w:val="28"/>
          <w:szCs w:val="28"/>
          <w:lang w:val="en-US" w:eastAsia="zh-CN" w:bidi="ar-SA"/>
        </w:rPr>
        <w:sym w:font="Wingdings" w:char="00A8"/>
      </w:r>
      <w:r>
        <w:rPr>
          <w:rFonts w:hint="eastAsia" w:ascii="宋体" w:hAnsi="宋体" w:eastAsia="宋体" w:cs="宋体"/>
          <w:b/>
          <w:bCs/>
          <w:color w:val="auto"/>
          <w:sz w:val="28"/>
          <w:szCs w:val="28"/>
          <w:lang w:val="en-US" w:eastAsia="zh-CN" w:bidi="ar-SA"/>
        </w:rPr>
        <w:t>服务类项目供应商</w:t>
      </w:r>
    </w:p>
    <w:p w14:paraId="75F675C9">
      <w:pPr>
        <w:pStyle w:val="17"/>
        <w:bidi w:val="0"/>
        <w:ind w:left="0" w:leftChars="0" w:firstLine="0" w:firstLineChars="0"/>
        <w:jc w:val="center"/>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信用承诺书</w:t>
      </w:r>
    </w:p>
    <w:p w14:paraId="7328634B">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14:paraId="67265D9D">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14:paraId="122887AC">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2B832303">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14:paraId="7E21463C">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14:paraId="22A5267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14:paraId="5865EF4D">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14:paraId="26BA875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14:paraId="63D175E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55B1678F">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14:paraId="6ACC29EE">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091811B3">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02C68DDD">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65D08406">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13E0DE4C">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14:paraId="5C3B9079">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BF4A5A3">
      <w:pPr>
        <w:overflowPunct w:val="0"/>
        <w:topLinePunct/>
        <w:spacing w:line="500" w:lineRule="exact"/>
        <w:ind w:firstLine="480" w:firstLineChars="200"/>
        <w:jc w:val="left"/>
        <w:rPr>
          <w:rFonts w:hint="eastAsia" w:ascii="宋体" w:hAnsi="宋体" w:eastAsia="宋体" w:cs="宋体"/>
          <w:color w:val="auto"/>
          <w:sz w:val="24"/>
          <w:szCs w:val="24"/>
        </w:rPr>
      </w:pPr>
    </w:p>
    <w:p w14:paraId="5378BF42">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14:paraId="1415BA26">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14:paraId="5D2B05A4">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法定代表人（负责人）身份证号：</w:t>
      </w:r>
      <w:r>
        <w:rPr>
          <w:rFonts w:hint="eastAsia" w:ascii="宋体" w:hAnsi="宋体" w:eastAsia="宋体" w:cs="宋体"/>
          <w:color w:val="auto"/>
          <w:sz w:val="24"/>
          <w:szCs w:val="24"/>
          <w:u w:val="single"/>
          <w:lang w:val="en-US" w:eastAsia="zh-CN"/>
        </w:rPr>
        <w:t xml:space="preserve">                       </w:t>
      </w:r>
    </w:p>
    <w:p w14:paraId="1B00F591">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14:paraId="60DBC97F">
      <w:pPr>
        <w:pStyle w:val="20"/>
        <w:ind w:firstLine="186"/>
        <w:rPr>
          <w:rFonts w:hint="eastAsia" w:ascii="宋体" w:hAnsi="宋体" w:eastAsia="宋体" w:cs="宋体"/>
          <w:color w:val="auto"/>
        </w:rPr>
      </w:pPr>
    </w:p>
    <w:p w14:paraId="13F2E523">
      <w:pPr>
        <w:ind w:firstLine="480"/>
        <w:rPr>
          <w:rFonts w:hint="eastAsia" w:ascii="宋体" w:hAnsi="宋体" w:eastAsia="宋体" w:cs="宋体"/>
          <w:b/>
          <w:color w:val="auto"/>
          <w:kern w:val="0"/>
        </w:rPr>
      </w:pPr>
    </w:p>
    <w:p w14:paraId="61EACA20">
      <w:pPr>
        <w:ind w:firstLine="480"/>
        <w:rPr>
          <w:rFonts w:hint="eastAsia" w:ascii="宋体" w:hAnsi="宋体" w:eastAsia="宋体" w:cs="宋体"/>
          <w:color w:val="auto"/>
          <w:kern w:val="0"/>
        </w:rPr>
      </w:pPr>
      <w:r>
        <w:rPr>
          <w:rFonts w:hint="eastAsia" w:ascii="宋体" w:hAnsi="宋体" w:eastAsia="宋体" w:cs="宋体"/>
          <w:b/>
          <w:color w:val="auto"/>
          <w:kern w:val="0"/>
        </w:rPr>
        <w:t>备注</w:t>
      </w:r>
      <w:r>
        <w:rPr>
          <w:rFonts w:hint="eastAsia" w:ascii="宋体" w:hAnsi="宋体" w:eastAsia="宋体" w:cs="宋体"/>
          <w:color w:val="auto"/>
          <w:kern w:val="0"/>
        </w:rPr>
        <w:t>：</w:t>
      </w:r>
    </w:p>
    <w:p w14:paraId="22830A8C">
      <w:pPr>
        <w:ind w:firstLine="520" w:firstLineChars="217"/>
        <w:rPr>
          <w:rFonts w:hint="eastAsia" w:ascii="宋体" w:hAnsi="宋体" w:eastAsia="宋体" w:cs="宋体"/>
          <w:color w:val="auto"/>
          <w:kern w:val="0"/>
          <w:sz w:val="24"/>
          <w:szCs w:val="15"/>
        </w:rPr>
      </w:pPr>
      <w:r>
        <w:rPr>
          <w:rFonts w:hint="eastAsia" w:ascii="宋体" w:hAnsi="宋体" w:eastAsia="宋体" w:cs="宋体"/>
          <w:color w:val="auto"/>
          <w:kern w:val="0"/>
          <w:sz w:val="24"/>
          <w:szCs w:val="15"/>
        </w:rPr>
        <w:t>1、承诺有效期限自承诺之日起1年；</w:t>
      </w:r>
    </w:p>
    <w:p w14:paraId="563DE7E2">
      <w:pPr>
        <w:ind w:firstLine="520" w:firstLineChars="217"/>
        <w:rPr>
          <w:rFonts w:hint="eastAsia" w:ascii="宋体" w:hAnsi="宋体" w:eastAsia="宋体" w:cs="宋体"/>
          <w:color w:val="auto"/>
          <w:kern w:val="0"/>
          <w:sz w:val="24"/>
          <w:szCs w:val="15"/>
        </w:rPr>
      </w:pPr>
      <w:r>
        <w:rPr>
          <w:rFonts w:hint="eastAsia" w:ascii="宋体" w:hAnsi="宋体" w:eastAsia="宋体" w:cs="宋体"/>
          <w:color w:val="auto"/>
          <w:kern w:val="0"/>
          <w:sz w:val="24"/>
          <w:szCs w:val="15"/>
          <w:lang w:val="en-US" w:eastAsia="zh-CN"/>
        </w:rPr>
        <w:t>2</w:t>
      </w:r>
      <w:r>
        <w:rPr>
          <w:rFonts w:hint="eastAsia" w:ascii="宋体" w:hAnsi="宋体" w:eastAsia="宋体" w:cs="宋体"/>
          <w:color w:val="auto"/>
          <w:kern w:val="0"/>
          <w:sz w:val="24"/>
          <w:szCs w:val="15"/>
        </w:rPr>
        <w:t>、法定代表人或负责人、主体名称发生变更的应当重新做出承诺。</w:t>
      </w:r>
    </w:p>
    <w:p w14:paraId="61E66823">
      <w:pPr>
        <w:keepNext w:val="0"/>
        <w:keepLines w:val="0"/>
        <w:widowControl/>
        <w:suppressLineNumbers w:val="0"/>
        <w:ind w:firstLine="480" w:firstLineChars="20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3、附信用中国（陕西榆林）网上承诺截图，承诺必须上传以上附件,否则投标无效；</w:t>
      </w:r>
    </w:p>
    <w:p w14:paraId="37E94129">
      <w:pPr>
        <w:pStyle w:val="27"/>
        <w:ind w:left="0" w:leftChars="0" w:firstLine="0" w:firstLineChars="0"/>
        <w:rPr>
          <w:rFonts w:hint="eastAsia" w:ascii="宋体" w:hAnsi="宋体" w:eastAsia="宋体" w:cs="宋体"/>
          <w:color w:val="auto"/>
        </w:rPr>
      </w:pPr>
    </w:p>
    <w:p w14:paraId="4815F029">
      <w:pPr>
        <w:ind w:firstLine="520" w:firstLineChars="217"/>
        <w:rPr>
          <w:rFonts w:hint="eastAsia" w:ascii="宋体" w:hAnsi="宋体" w:eastAsia="宋体" w:cs="宋体"/>
          <w:color w:val="auto"/>
          <w:kern w:val="0"/>
          <w:sz w:val="24"/>
          <w:szCs w:val="15"/>
        </w:rPr>
        <w:sectPr>
          <w:headerReference r:id="rId6" w:type="default"/>
          <w:footerReference r:id="rId7" w:type="default"/>
          <w:pgSz w:w="11911" w:h="16843"/>
          <w:pgMar w:top="1304" w:right="1304" w:bottom="1304" w:left="1304" w:header="720" w:footer="720" w:gutter="0"/>
          <w:pgNumType w:fmt="decimal"/>
          <w:cols w:space="720" w:num="1"/>
          <w:rtlGutter w:val="0"/>
          <w:docGrid w:linePitch="312" w:charSpace="0"/>
        </w:sectPr>
      </w:pPr>
    </w:p>
    <w:p w14:paraId="6A5CB0DE">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8</w:t>
      </w:r>
    </w:p>
    <w:p w14:paraId="7630BF2C">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14:paraId="1C00D3C9">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14:paraId="2348D26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14:paraId="25E60133">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14:paraId="21673AD4">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14:paraId="47F7B96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14:paraId="1A35761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14:paraId="6AD130E6">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3800545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36286A4D">
      <w:pPr>
        <w:widowControl/>
        <w:adjustRightInd w:val="0"/>
        <w:snapToGrid w:val="0"/>
        <w:spacing w:line="500" w:lineRule="exact"/>
        <w:ind w:firstLine="480"/>
        <w:jc w:val="left"/>
        <w:rPr>
          <w:rFonts w:hint="eastAsia" w:ascii="宋体" w:hAnsi="宋体" w:eastAsia="宋体" w:cs="宋体"/>
          <w:color w:val="auto"/>
          <w:sz w:val="24"/>
        </w:rPr>
      </w:pPr>
    </w:p>
    <w:p w14:paraId="76CE5BB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14:paraId="36182FC6">
      <w:pPr>
        <w:widowControl/>
        <w:adjustRightInd w:val="0"/>
        <w:snapToGrid w:val="0"/>
        <w:spacing w:line="500" w:lineRule="exact"/>
        <w:ind w:firstLine="480"/>
        <w:jc w:val="left"/>
        <w:rPr>
          <w:rFonts w:hint="eastAsia" w:ascii="宋体" w:hAnsi="宋体" w:eastAsia="宋体" w:cs="宋体"/>
          <w:color w:val="auto"/>
          <w:sz w:val="24"/>
        </w:rPr>
      </w:pPr>
    </w:p>
    <w:p w14:paraId="6E5499E0">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14:paraId="09086C43">
      <w:pPr>
        <w:adjustRightInd w:val="0"/>
        <w:snapToGrid w:val="0"/>
        <w:spacing w:line="500" w:lineRule="exact"/>
        <w:rPr>
          <w:rFonts w:hint="eastAsia" w:ascii="宋体" w:hAnsi="宋体" w:eastAsia="宋体" w:cs="宋体"/>
          <w:b/>
          <w:color w:val="auto"/>
          <w:kern w:val="0"/>
          <w:sz w:val="24"/>
        </w:rPr>
      </w:pPr>
    </w:p>
    <w:p w14:paraId="754D0C68">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ascii="宋体" w:hAnsi="宋体" w:eastAsia="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14:paraId="1A474264">
      <w:pPr>
        <w:keepNext w:val="0"/>
        <w:keepLines w:val="0"/>
        <w:widowControl/>
        <w:suppressLineNumbers w:val="0"/>
        <w:ind w:firstLine="723" w:firstLineChars="300"/>
        <w:jc w:val="left"/>
        <w:rPr>
          <w:rFonts w:hint="eastAsia" w:ascii="宋体" w:hAnsi="宋体" w:eastAsia="宋体" w:cs="宋体"/>
          <w:color w:val="auto"/>
        </w:rPr>
      </w:pPr>
      <w:r>
        <w:rPr>
          <w:rFonts w:hint="eastAsia" w:ascii="宋体" w:hAnsi="宋体" w:eastAsia="宋体" w:cs="宋体"/>
          <w:b/>
          <w:bCs/>
          <w:color w:val="auto"/>
          <w:kern w:val="0"/>
          <w:sz w:val="24"/>
          <w:szCs w:val="24"/>
          <w:lang w:val="en-US" w:eastAsia="zh-CN" w:bidi="ar"/>
        </w:rPr>
        <w:t>2、附信用中国（陕西榆林）网上承诺截图，承诺必须上传以上附件,否则投标无效。</w:t>
      </w:r>
    </w:p>
    <w:p w14:paraId="77B909E1">
      <w:pPr>
        <w:ind w:firstLine="520" w:firstLineChars="217"/>
        <w:rPr>
          <w:rFonts w:hint="eastAsia" w:ascii="宋体" w:hAnsi="宋体" w:eastAsia="宋体" w:cs="宋体"/>
          <w:color w:val="auto"/>
          <w:kern w:val="0"/>
        </w:rPr>
      </w:pPr>
    </w:p>
    <w:p w14:paraId="74F0E1FA">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488" w:name="_Toc11449"/>
      <w:bookmarkStart w:id="489" w:name="_Toc6447"/>
      <w:bookmarkStart w:id="490" w:name="_Toc30095"/>
      <w:bookmarkStart w:id="491" w:name="_Toc363474034"/>
      <w:bookmarkStart w:id="492" w:name="_Toc403077657"/>
    </w:p>
    <w:p w14:paraId="3E32A871">
      <w:pPr>
        <w:numPr>
          <w:ilvl w:val="0"/>
          <w:numId w:val="0"/>
        </w:numPr>
        <w:spacing w:line="500" w:lineRule="exact"/>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14:paraId="3D1A0BD7">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4C5DF409">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50F8ADFF">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1E03010B">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14:paraId="5DAE4479">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10F71CD">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79BB2C0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1297B3D2">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14:paraId="79D00F12">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6BC40CEE">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14:paraId="5F94BC9C">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14:paraId="21F47705">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488"/>
      <w:bookmarkEnd w:id="489"/>
      <w:bookmarkEnd w:id="490"/>
      <w:bookmarkEnd w:id="491"/>
      <w:bookmarkEnd w:id="492"/>
    </w:p>
    <w:p w14:paraId="6479A7B2">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kern w:val="0"/>
          <w:sz w:val="24"/>
          <w:szCs w:val="24"/>
          <w:lang w:val="en-US" w:eastAsia="zh-CN" w:bidi="ar"/>
        </w:rPr>
        <w:t>2、附信用中国（陕西榆林）网上承诺截图，承诺必须上传以上附件,否则投标无效。</w:t>
      </w:r>
    </w:p>
    <w:p w14:paraId="39E753A7">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14:paraId="13873513">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14:paraId="0878F54A">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14:paraId="0D7A0D3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14:paraId="2CA422E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17DA6DCA">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3F7C4FE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14:paraId="2476FDDD">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5EF0F8A8">
      <w:pPr>
        <w:widowControl/>
        <w:adjustRightInd w:val="0"/>
        <w:snapToGrid w:val="0"/>
        <w:spacing w:line="500" w:lineRule="exact"/>
        <w:jc w:val="left"/>
        <w:rPr>
          <w:rFonts w:hint="eastAsia" w:ascii="宋体" w:hAnsi="宋体" w:eastAsia="宋体" w:cs="宋体"/>
          <w:color w:val="auto"/>
          <w:sz w:val="24"/>
        </w:rPr>
      </w:pPr>
    </w:p>
    <w:p w14:paraId="5E7D1EA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14:paraId="66B76AA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14:paraId="42D66654">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14:paraId="3AAD702E">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14:paraId="26E4ACEE">
      <w:pPr>
        <w:pStyle w:val="20"/>
        <w:ind w:left="0" w:leftChars="0" w:firstLine="0" w:firstLineChars="0"/>
        <w:rPr>
          <w:rFonts w:hint="eastAsia" w:ascii="宋体" w:hAnsi="宋体" w:eastAsia="宋体" w:cs="宋体"/>
          <w:color w:val="auto"/>
        </w:rPr>
      </w:pPr>
    </w:p>
    <w:p w14:paraId="15CE2C67">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14:paraId="78F4D779">
      <w:pPr>
        <w:keepNext w:val="0"/>
        <w:keepLines w:val="0"/>
        <w:widowControl/>
        <w:suppressLineNumbers w:val="0"/>
        <w:ind w:firstLine="482" w:firstLineChars="200"/>
        <w:jc w:val="left"/>
        <w:rPr>
          <w:rFonts w:hint="eastAsia" w:ascii="宋体" w:hAnsi="宋体" w:eastAsia="宋体" w:cs="宋体"/>
          <w:color w:val="auto"/>
        </w:rPr>
      </w:pPr>
      <w:r>
        <w:rPr>
          <w:rFonts w:hint="eastAsia" w:ascii="宋体" w:hAnsi="宋体" w:eastAsia="宋体" w:cs="宋体"/>
          <w:b/>
          <w:bCs/>
          <w:color w:val="auto"/>
          <w:kern w:val="0"/>
          <w:sz w:val="24"/>
          <w:szCs w:val="24"/>
          <w:lang w:val="en-US" w:eastAsia="zh-CN" w:bidi="ar"/>
        </w:rPr>
        <w:t>2、附信用中国（陕西榆林）网上承诺截图，承诺必须上传以上附件,否则投标无效。</w:t>
      </w:r>
    </w:p>
    <w:p w14:paraId="048E4510">
      <w:pPr>
        <w:pStyle w:val="20"/>
        <w:ind w:left="0" w:leftChars="0" w:firstLine="0" w:firstLineChars="0"/>
        <w:rPr>
          <w:rFonts w:hint="eastAsia" w:ascii="宋体" w:hAnsi="宋体" w:eastAsia="宋体" w:cs="宋体"/>
          <w:color w:val="auto"/>
          <w:sz w:val="24"/>
          <w:szCs w:val="24"/>
        </w:rPr>
      </w:pPr>
    </w:p>
    <w:p w14:paraId="5CA970E0">
      <w:pPr>
        <w:pStyle w:val="3"/>
        <w:bidi w:val="0"/>
        <w:outlineLvl w:val="0"/>
        <w:rPr>
          <w:rFonts w:hint="eastAsia" w:ascii="宋体" w:hAnsi="宋体" w:eastAsia="宋体" w:cs="宋体"/>
          <w:color w:val="auto"/>
        </w:rPr>
      </w:pPr>
      <w:bookmarkStart w:id="493" w:name="_Toc11955"/>
      <w:r>
        <w:rPr>
          <w:rFonts w:hint="eastAsia" w:ascii="宋体" w:hAnsi="宋体" w:eastAsia="宋体" w:cs="宋体"/>
          <w:bCs w:val="0"/>
          <w:color w:val="auto"/>
        </w:rPr>
        <w:t>第</w:t>
      </w:r>
      <w:r>
        <w:rPr>
          <w:rFonts w:hint="eastAsia" w:ascii="宋体" w:hAnsi="宋体" w:eastAsia="宋体" w:cs="宋体"/>
          <w:bCs w:val="0"/>
          <w:color w:val="auto"/>
          <w:lang w:val="en-US" w:eastAsia="zh-CN"/>
        </w:rPr>
        <w:t>六章</w:t>
      </w:r>
      <w:r>
        <w:rPr>
          <w:rFonts w:hint="eastAsia" w:ascii="宋体" w:hAnsi="宋体" w:eastAsia="宋体" w:cs="宋体"/>
          <w:bCs w:val="0"/>
          <w:color w:val="auto"/>
        </w:rPr>
        <w:t xml:space="preserve"> </w:t>
      </w:r>
      <w:r>
        <w:rPr>
          <w:rFonts w:hint="eastAsia" w:ascii="宋体" w:hAnsi="宋体" w:eastAsia="宋体" w:cs="宋体"/>
          <w:color w:val="auto"/>
          <w:lang w:eastAsia="zh-CN"/>
        </w:rPr>
        <w:t>供应商</w:t>
      </w:r>
      <w:r>
        <w:rPr>
          <w:rFonts w:hint="eastAsia" w:ascii="宋体" w:hAnsi="宋体" w:eastAsia="宋体" w:cs="宋体"/>
          <w:color w:val="auto"/>
        </w:rPr>
        <w:t>基本情况表</w:t>
      </w:r>
      <w:bookmarkEnd w:id="475"/>
      <w:bookmarkEnd w:id="493"/>
    </w:p>
    <w:tbl>
      <w:tblPr>
        <w:tblStyle w:val="2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256"/>
        <w:gridCol w:w="1252"/>
        <w:gridCol w:w="1892"/>
        <w:gridCol w:w="8"/>
      </w:tblGrid>
      <w:tr w14:paraId="66AE15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double" w:color="auto" w:sz="4" w:space="0"/>
              <w:left w:val="double" w:color="auto" w:sz="4" w:space="0"/>
              <w:bottom w:val="single" w:color="auto" w:sz="6" w:space="0"/>
              <w:right w:val="single" w:color="auto" w:sz="6" w:space="0"/>
            </w:tcBorders>
            <w:noWrap w:val="0"/>
            <w:vAlign w:val="center"/>
          </w:tcPr>
          <w:p w14:paraId="6C8FCF2B">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供应商名称</w:t>
            </w:r>
          </w:p>
        </w:tc>
        <w:tc>
          <w:tcPr>
            <w:tcW w:w="3486" w:type="dxa"/>
            <w:gridSpan w:val="5"/>
            <w:tcBorders>
              <w:top w:val="double" w:color="auto" w:sz="4" w:space="0"/>
              <w:left w:val="single" w:color="auto" w:sz="6" w:space="0"/>
              <w:bottom w:val="single" w:color="auto" w:sz="6" w:space="0"/>
              <w:right w:val="single" w:color="auto" w:sz="6" w:space="0"/>
            </w:tcBorders>
            <w:noWrap w:val="0"/>
            <w:vAlign w:val="center"/>
          </w:tcPr>
          <w:p w14:paraId="097A6D7B">
            <w:pPr>
              <w:topLinePunct/>
              <w:spacing w:line="440" w:lineRule="exact"/>
              <w:ind w:right="26" w:rightChars="11"/>
              <w:jc w:val="center"/>
              <w:rPr>
                <w:rFonts w:hint="eastAsia" w:ascii="宋体" w:hAnsi="宋体" w:eastAsia="宋体" w:cs="宋体"/>
                <w:color w:val="auto"/>
                <w:sz w:val="22"/>
                <w:szCs w:val="22"/>
                <w:highlight w:val="none"/>
              </w:rPr>
            </w:pPr>
          </w:p>
        </w:tc>
        <w:tc>
          <w:tcPr>
            <w:tcW w:w="1508" w:type="dxa"/>
            <w:gridSpan w:val="2"/>
            <w:tcBorders>
              <w:top w:val="double" w:color="auto" w:sz="4" w:space="0"/>
              <w:left w:val="single" w:color="auto" w:sz="6" w:space="0"/>
              <w:bottom w:val="single" w:color="auto" w:sz="6" w:space="0"/>
              <w:right w:val="single" w:color="auto" w:sz="6" w:space="0"/>
            </w:tcBorders>
            <w:noWrap w:val="0"/>
            <w:vAlign w:val="center"/>
          </w:tcPr>
          <w:p w14:paraId="43ACD4CF">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1900" w:type="dxa"/>
            <w:gridSpan w:val="2"/>
            <w:tcBorders>
              <w:top w:val="double" w:color="auto" w:sz="4" w:space="0"/>
              <w:left w:val="single" w:color="auto" w:sz="6" w:space="0"/>
              <w:bottom w:val="single" w:color="auto" w:sz="6" w:space="0"/>
              <w:right w:val="double" w:color="auto" w:sz="4" w:space="0"/>
            </w:tcBorders>
            <w:noWrap w:val="0"/>
            <w:vAlign w:val="center"/>
          </w:tcPr>
          <w:p w14:paraId="507D828D">
            <w:pPr>
              <w:topLinePunct/>
              <w:spacing w:line="440" w:lineRule="exact"/>
              <w:ind w:right="26" w:rightChars="11"/>
              <w:jc w:val="center"/>
              <w:rPr>
                <w:rFonts w:hint="eastAsia" w:ascii="宋体" w:hAnsi="宋体" w:eastAsia="宋体" w:cs="宋体"/>
                <w:color w:val="auto"/>
                <w:sz w:val="22"/>
                <w:szCs w:val="22"/>
                <w:highlight w:val="none"/>
              </w:rPr>
            </w:pPr>
          </w:p>
        </w:tc>
      </w:tr>
      <w:tr w14:paraId="102E9A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14:paraId="348CDF97">
            <w:pPr>
              <w:topLinePunct/>
              <w:spacing w:line="440" w:lineRule="exact"/>
              <w:ind w:right="26"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14:paraId="58AC4800">
            <w:pPr>
              <w:topLinePunct/>
              <w:spacing w:line="440" w:lineRule="exact"/>
              <w:ind w:right="26" w:rightChars="11"/>
              <w:jc w:val="center"/>
              <w:rPr>
                <w:rFonts w:hint="eastAsia" w:ascii="宋体" w:hAnsi="宋体" w:eastAsia="宋体" w:cs="宋体"/>
                <w:color w:val="auto"/>
                <w:sz w:val="22"/>
                <w:szCs w:val="22"/>
                <w:highlight w:val="none"/>
              </w:rPr>
            </w:pPr>
          </w:p>
        </w:tc>
        <w:tc>
          <w:tcPr>
            <w:tcW w:w="1508" w:type="dxa"/>
            <w:gridSpan w:val="2"/>
            <w:tcBorders>
              <w:top w:val="single" w:color="auto" w:sz="6" w:space="0"/>
              <w:left w:val="single" w:color="auto" w:sz="6" w:space="0"/>
              <w:bottom w:val="single" w:color="auto" w:sz="6" w:space="0"/>
              <w:right w:val="single" w:color="auto" w:sz="6" w:space="0"/>
            </w:tcBorders>
            <w:noWrap w:val="0"/>
            <w:vAlign w:val="center"/>
          </w:tcPr>
          <w:p w14:paraId="3E83FA4A">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1892" w:type="dxa"/>
            <w:tcBorders>
              <w:top w:val="single" w:color="auto" w:sz="6" w:space="0"/>
              <w:left w:val="single" w:color="auto" w:sz="6" w:space="0"/>
              <w:bottom w:val="single" w:color="auto" w:sz="6" w:space="0"/>
              <w:right w:val="double" w:color="auto" w:sz="4" w:space="0"/>
            </w:tcBorders>
            <w:noWrap w:val="0"/>
            <w:vAlign w:val="center"/>
          </w:tcPr>
          <w:p w14:paraId="1FC641BD">
            <w:pPr>
              <w:topLinePunct/>
              <w:spacing w:line="440" w:lineRule="exact"/>
              <w:ind w:right="26" w:rightChars="11"/>
              <w:jc w:val="center"/>
              <w:rPr>
                <w:rFonts w:hint="eastAsia" w:ascii="宋体" w:hAnsi="宋体" w:eastAsia="宋体" w:cs="宋体"/>
                <w:color w:val="auto"/>
                <w:sz w:val="22"/>
                <w:szCs w:val="22"/>
                <w:highlight w:val="none"/>
              </w:rPr>
            </w:pPr>
          </w:p>
        </w:tc>
      </w:tr>
      <w:tr w14:paraId="3DF229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14:paraId="2039EF96">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14:paraId="6E3194A1">
            <w:pPr>
              <w:topLinePunct/>
              <w:spacing w:line="440" w:lineRule="exact"/>
              <w:ind w:right="26" w:rightChars="11"/>
              <w:jc w:val="center"/>
              <w:rPr>
                <w:rFonts w:hint="eastAsia" w:ascii="宋体" w:hAnsi="宋体" w:eastAsia="宋体" w:cs="宋体"/>
                <w:color w:val="auto"/>
                <w:sz w:val="22"/>
                <w:szCs w:val="22"/>
                <w:highlight w:val="none"/>
              </w:rPr>
            </w:pPr>
          </w:p>
        </w:tc>
        <w:tc>
          <w:tcPr>
            <w:tcW w:w="1508" w:type="dxa"/>
            <w:gridSpan w:val="2"/>
            <w:tcBorders>
              <w:top w:val="single" w:color="auto" w:sz="6" w:space="0"/>
              <w:left w:val="single" w:color="auto" w:sz="6" w:space="0"/>
              <w:bottom w:val="single" w:color="auto" w:sz="6" w:space="0"/>
              <w:right w:val="single" w:color="auto" w:sz="6" w:space="0"/>
            </w:tcBorders>
            <w:noWrap w:val="0"/>
            <w:vAlign w:val="center"/>
          </w:tcPr>
          <w:p w14:paraId="6D8C55CA">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1892" w:type="dxa"/>
            <w:tcBorders>
              <w:top w:val="single" w:color="auto" w:sz="6" w:space="0"/>
              <w:left w:val="single" w:color="auto" w:sz="6" w:space="0"/>
              <w:bottom w:val="single" w:color="auto" w:sz="6" w:space="0"/>
              <w:right w:val="double" w:color="auto" w:sz="4" w:space="0"/>
            </w:tcBorders>
            <w:noWrap w:val="0"/>
            <w:vAlign w:val="center"/>
          </w:tcPr>
          <w:p w14:paraId="6F821C7E">
            <w:pPr>
              <w:topLinePunct/>
              <w:spacing w:line="440" w:lineRule="exact"/>
              <w:ind w:right="26" w:rightChars="11"/>
              <w:jc w:val="center"/>
              <w:rPr>
                <w:rFonts w:hint="eastAsia" w:ascii="宋体" w:hAnsi="宋体" w:eastAsia="宋体" w:cs="宋体"/>
                <w:color w:val="auto"/>
                <w:sz w:val="22"/>
                <w:szCs w:val="22"/>
                <w:highlight w:val="none"/>
              </w:rPr>
            </w:pPr>
          </w:p>
        </w:tc>
      </w:tr>
      <w:tr w14:paraId="495770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14:paraId="2D9CD107">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14:paraId="4B75C61E">
            <w:pPr>
              <w:topLinePunct/>
              <w:spacing w:line="440" w:lineRule="exact"/>
              <w:ind w:right="26" w:rightChars="11"/>
              <w:jc w:val="center"/>
              <w:rPr>
                <w:rFonts w:hint="eastAsia" w:ascii="宋体" w:hAnsi="宋体" w:eastAsia="宋体" w:cs="宋体"/>
                <w:color w:val="auto"/>
                <w:sz w:val="22"/>
                <w:szCs w:val="22"/>
                <w:highlight w:val="none"/>
              </w:rPr>
            </w:pPr>
          </w:p>
        </w:tc>
        <w:tc>
          <w:tcPr>
            <w:tcW w:w="1508" w:type="dxa"/>
            <w:gridSpan w:val="2"/>
            <w:tcBorders>
              <w:top w:val="single" w:color="auto" w:sz="6" w:space="0"/>
              <w:left w:val="single" w:color="auto" w:sz="6" w:space="0"/>
              <w:bottom w:val="single" w:color="auto" w:sz="6" w:space="0"/>
              <w:right w:val="single" w:color="auto" w:sz="6" w:space="0"/>
            </w:tcBorders>
            <w:noWrap w:val="0"/>
            <w:vAlign w:val="center"/>
          </w:tcPr>
          <w:p w14:paraId="4FBA559D">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1892" w:type="dxa"/>
            <w:tcBorders>
              <w:top w:val="single" w:color="auto" w:sz="6" w:space="0"/>
              <w:left w:val="single" w:color="auto" w:sz="6" w:space="0"/>
              <w:bottom w:val="single" w:color="auto" w:sz="6" w:space="0"/>
              <w:right w:val="double" w:color="auto" w:sz="4" w:space="0"/>
            </w:tcBorders>
            <w:noWrap w:val="0"/>
            <w:vAlign w:val="center"/>
          </w:tcPr>
          <w:p w14:paraId="5D760AEB">
            <w:pPr>
              <w:topLinePunct/>
              <w:spacing w:line="440" w:lineRule="exact"/>
              <w:ind w:right="26" w:rightChars="11"/>
              <w:jc w:val="center"/>
              <w:rPr>
                <w:rFonts w:hint="eastAsia" w:ascii="宋体" w:hAnsi="宋体" w:eastAsia="宋体" w:cs="宋体"/>
                <w:color w:val="auto"/>
                <w:sz w:val="22"/>
                <w:szCs w:val="22"/>
                <w:highlight w:val="none"/>
              </w:rPr>
            </w:pPr>
          </w:p>
        </w:tc>
      </w:tr>
      <w:tr w14:paraId="7705A6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6" w:space="0"/>
              <w:left w:val="double" w:color="auto" w:sz="4" w:space="0"/>
              <w:bottom w:val="single" w:color="auto" w:sz="6" w:space="0"/>
              <w:right w:val="single" w:color="auto" w:sz="6" w:space="0"/>
            </w:tcBorders>
            <w:noWrap w:val="0"/>
            <w:vAlign w:val="center"/>
          </w:tcPr>
          <w:p w14:paraId="260B658D">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14:paraId="160F7FB4">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14:paraId="15AC1FCD">
            <w:pPr>
              <w:topLinePunct/>
              <w:spacing w:line="440" w:lineRule="exact"/>
              <w:ind w:right="26"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14:paraId="2C33DEA3">
            <w:pPr>
              <w:topLinePunct/>
              <w:spacing w:line="440" w:lineRule="exact"/>
              <w:ind w:right="26"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14:paraId="7587D480">
            <w:pPr>
              <w:topLinePunct/>
              <w:spacing w:line="440" w:lineRule="exact"/>
              <w:ind w:right="26" w:rightChars="11" w:firstLine="110" w:firstLineChars="50"/>
              <w:jc w:val="center"/>
              <w:rPr>
                <w:rFonts w:hint="eastAsia" w:ascii="宋体" w:hAnsi="宋体" w:eastAsia="宋体" w:cs="宋体"/>
                <w:color w:val="auto"/>
                <w:sz w:val="22"/>
                <w:szCs w:val="22"/>
                <w:highlight w:val="none"/>
              </w:rPr>
            </w:pPr>
          </w:p>
        </w:tc>
      </w:tr>
      <w:tr w14:paraId="35DAE7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14:paraId="3B9F37B0">
            <w:pPr>
              <w:topLinePunct/>
              <w:spacing w:line="440" w:lineRule="exact"/>
              <w:ind w:right="26"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14:paraId="6CDF93C9">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14:paraId="5C390C33">
            <w:pPr>
              <w:topLinePunct/>
              <w:spacing w:line="440" w:lineRule="exact"/>
              <w:ind w:right="26"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14:paraId="1591BE8D">
            <w:pPr>
              <w:topLinePunct/>
              <w:spacing w:line="440" w:lineRule="exact"/>
              <w:ind w:right="26"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408" w:type="dxa"/>
            <w:gridSpan w:val="4"/>
            <w:tcBorders>
              <w:top w:val="single" w:color="auto" w:sz="6" w:space="0"/>
              <w:left w:val="single" w:color="auto" w:sz="6" w:space="0"/>
              <w:bottom w:val="single" w:color="auto" w:sz="6" w:space="0"/>
              <w:right w:val="double" w:color="auto" w:sz="4" w:space="0"/>
            </w:tcBorders>
            <w:noWrap w:val="0"/>
            <w:vAlign w:val="center"/>
          </w:tcPr>
          <w:p w14:paraId="2F29EC02">
            <w:pPr>
              <w:topLinePunct/>
              <w:spacing w:line="440" w:lineRule="exact"/>
              <w:ind w:right="26" w:rightChars="11" w:firstLine="110" w:firstLineChars="50"/>
              <w:jc w:val="center"/>
              <w:rPr>
                <w:rFonts w:hint="eastAsia" w:ascii="宋体" w:hAnsi="宋体" w:eastAsia="宋体" w:cs="宋体"/>
                <w:color w:val="auto"/>
                <w:sz w:val="22"/>
                <w:szCs w:val="22"/>
                <w:highlight w:val="none"/>
              </w:rPr>
            </w:pPr>
          </w:p>
        </w:tc>
      </w:tr>
      <w:tr w14:paraId="508773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1382"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14:paraId="64AFBCA3">
            <w:pPr>
              <w:topLinePunct/>
              <w:spacing w:line="440" w:lineRule="exact"/>
              <w:ind w:right="26"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right w:val="single" w:color="auto" w:sz="6" w:space="0"/>
            </w:tcBorders>
            <w:noWrap w:val="0"/>
            <w:vAlign w:val="center"/>
          </w:tcPr>
          <w:p w14:paraId="2D8BA209">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14:paraId="5C0D66D9">
            <w:pPr>
              <w:topLinePunct/>
              <w:spacing w:line="440" w:lineRule="exact"/>
              <w:ind w:right="26" w:rightChars="11" w:firstLine="110" w:firstLineChars="50"/>
              <w:jc w:val="center"/>
              <w:rPr>
                <w:rFonts w:hint="eastAsia" w:ascii="宋体" w:hAnsi="宋体" w:eastAsia="宋体" w:cs="宋体"/>
                <w:color w:val="auto"/>
                <w:sz w:val="22"/>
                <w:szCs w:val="22"/>
                <w:highlight w:val="none"/>
              </w:rPr>
            </w:pPr>
          </w:p>
        </w:tc>
      </w:tr>
      <w:tr w14:paraId="1D81CB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14:paraId="504B6CA4">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14:paraId="6D2DFC59">
            <w:pPr>
              <w:topLinePunct/>
              <w:spacing w:line="440" w:lineRule="exact"/>
              <w:ind w:right="26" w:rightChars="11"/>
              <w:jc w:val="center"/>
              <w:rPr>
                <w:rFonts w:hint="eastAsia" w:ascii="宋体" w:hAnsi="宋体" w:eastAsia="宋体" w:cs="宋体"/>
                <w:color w:val="auto"/>
                <w:sz w:val="22"/>
                <w:szCs w:val="22"/>
                <w:highlight w:val="none"/>
              </w:rPr>
            </w:pPr>
          </w:p>
        </w:tc>
      </w:tr>
      <w:tr w14:paraId="61F415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14:paraId="1ECBAD57">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账号</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14:paraId="0E17A358">
            <w:pPr>
              <w:topLinePunct/>
              <w:spacing w:line="440" w:lineRule="exact"/>
              <w:ind w:right="26" w:rightChars="11"/>
              <w:jc w:val="center"/>
              <w:rPr>
                <w:rFonts w:hint="eastAsia" w:ascii="宋体" w:hAnsi="宋体" w:eastAsia="宋体" w:cs="宋体"/>
                <w:color w:val="auto"/>
                <w:sz w:val="22"/>
                <w:szCs w:val="22"/>
                <w:highlight w:val="none"/>
              </w:rPr>
            </w:pPr>
          </w:p>
        </w:tc>
      </w:tr>
      <w:tr w14:paraId="701B39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14:paraId="51B98E37">
            <w:pPr>
              <w:topLinePunct/>
              <w:spacing w:line="440" w:lineRule="exact"/>
              <w:ind w:right="26"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资质名称</w:t>
            </w:r>
            <w:r>
              <w:rPr>
                <w:rFonts w:hint="eastAsia" w:ascii="宋体" w:hAnsi="宋体" w:eastAsia="宋体" w:cs="宋体"/>
                <w:color w:val="auto"/>
                <w:sz w:val="22"/>
                <w:szCs w:val="22"/>
                <w:highlight w:val="none"/>
                <w:lang w:eastAsia="zh-CN"/>
              </w:rPr>
              <w:t>（符合本次采购）</w:t>
            </w: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66CF50E2">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4B4A291A">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45669C37">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14:paraId="515002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14:paraId="4C3C5C60">
            <w:pPr>
              <w:topLinePunct/>
              <w:spacing w:line="440" w:lineRule="exact"/>
              <w:ind w:right="26"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50441171">
            <w:pPr>
              <w:topLinePunct/>
              <w:spacing w:line="440" w:lineRule="exact"/>
              <w:ind w:right="26" w:rightChars="11"/>
              <w:jc w:val="center"/>
              <w:rPr>
                <w:rFonts w:hint="eastAsia" w:ascii="宋体" w:hAnsi="宋体" w:eastAsia="宋体" w:cs="宋体"/>
                <w:color w:val="auto"/>
                <w:sz w:val="22"/>
                <w:szCs w:val="22"/>
                <w:highlight w:val="none"/>
              </w:rPr>
            </w:pP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35CD858D">
            <w:pPr>
              <w:topLinePunct/>
              <w:spacing w:line="440" w:lineRule="exact"/>
              <w:ind w:right="26" w:rightChars="11"/>
              <w:jc w:val="center"/>
              <w:rPr>
                <w:rFonts w:hint="eastAsia" w:ascii="宋体" w:hAnsi="宋体" w:eastAsia="宋体" w:cs="宋体"/>
                <w:color w:val="auto"/>
                <w:sz w:val="22"/>
                <w:szCs w:val="22"/>
                <w:highlight w:val="none"/>
              </w:rPr>
            </w:pP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5127A736">
            <w:pPr>
              <w:topLinePunct/>
              <w:spacing w:line="440" w:lineRule="exact"/>
              <w:ind w:right="26" w:rightChars="11"/>
              <w:jc w:val="center"/>
              <w:rPr>
                <w:rFonts w:hint="eastAsia" w:ascii="宋体" w:hAnsi="宋体" w:eastAsia="宋体" w:cs="宋体"/>
                <w:color w:val="auto"/>
                <w:sz w:val="22"/>
                <w:szCs w:val="22"/>
                <w:highlight w:val="none"/>
              </w:rPr>
            </w:pPr>
          </w:p>
        </w:tc>
      </w:tr>
      <w:tr w14:paraId="16EFE1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14:paraId="6AD223D3">
            <w:pPr>
              <w:topLinePunct/>
              <w:spacing w:line="440" w:lineRule="exact"/>
              <w:ind w:right="26"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076160BE">
            <w:pPr>
              <w:topLinePunct/>
              <w:spacing w:line="440" w:lineRule="exact"/>
              <w:ind w:right="26" w:rightChars="11"/>
              <w:jc w:val="center"/>
              <w:rPr>
                <w:rFonts w:hint="eastAsia" w:ascii="宋体" w:hAnsi="宋体" w:eastAsia="宋体" w:cs="宋体"/>
                <w:color w:val="auto"/>
                <w:sz w:val="22"/>
                <w:szCs w:val="22"/>
                <w:highlight w:val="none"/>
              </w:rPr>
            </w:pP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6798FF75">
            <w:pPr>
              <w:topLinePunct/>
              <w:spacing w:line="440" w:lineRule="exact"/>
              <w:ind w:right="26" w:rightChars="11"/>
              <w:jc w:val="center"/>
              <w:rPr>
                <w:rFonts w:hint="eastAsia" w:ascii="宋体" w:hAnsi="宋体" w:eastAsia="宋体" w:cs="宋体"/>
                <w:color w:val="auto"/>
                <w:sz w:val="22"/>
                <w:szCs w:val="22"/>
                <w:highlight w:val="none"/>
              </w:rPr>
            </w:pP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1099BE7D">
            <w:pPr>
              <w:topLinePunct/>
              <w:spacing w:line="440" w:lineRule="exact"/>
              <w:ind w:right="26" w:rightChars="11"/>
              <w:jc w:val="center"/>
              <w:rPr>
                <w:rFonts w:hint="eastAsia" w:ascii="宋体" w:hAnsi="宋体" w:eastAsia="宋体" w:cs="宋体"/>
                <w:color w:val="auto"/>
                <w:sz w:val="22"/>
                <w:szCs w:val="22"/>
                <w:highlight w:val="none"/>
              </w:rPr>
            </w:pPr>
          </w:p>
        </w:tc>
      </w:tr>
      <w:tr w14:paraId="345178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0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14:paraId="399AB130">
            <w:pPr>
              <w:topLinePunct/>
              <w:spacing w:line="440" w:lineRule="exact"/>
              <w:ind w:right="26"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5F0FF7F9">
            <w:pPr>
              <w:topLinePunct/>
              <w:spacing w:line="440" w:lineRule="exact"/>
              <w:ind w:right="26" w:rightChars="11"/>
              <w:jc w:val="center"/>
              <w:rPr>
                <w:rFonts w:hint="eastAsia" w:ascii="宋体" w:hAnsi="宋体" w:eastAsia="宋体" w:cs="宋体"/>
                <w:color w:val="auto"/>
                <w:sz w:val="22"/>
                <w:szCs w:val="22"/>
                <w:highlight w:val="none"/>
              </w:rPr>
            </w:pP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0E8429CC">
            <w:pPr>
              <w:topLinePunct/>
              <w:spacing w:line="440" w:lineRule="exact"/>
              <w:ind w:right="26" w:rightChars="11"/>
              <w:jc w:val="center"/>
              <w:rPr>
                <w:rFonts w:hint="eastAsia" w:ascii="宋体" w:hAnsi="宋体" w:eastAsia="宋体" w:cs="宋体"/>
                <w:color w:val="auto"/>
                <w:sz w:val="22"/>
                <w:szCs w:val="22"/>
                <w:highlight w:val="none"/>
              </w:rPr>
            </w:pP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6C8C14F3">
            <w:pPr>
              <w:topLinePunct/>
              <w:spacing w:line="440" w:lineRule="exact"/>
              <w:ind w:right="26" w:rightChars="11"/>
              <w:jc w:val="center"/>
              <w:rPr>
                <w:rFonts w:hint="eastAsia" w:ascii="宋体" w:hAnsi="宋体" w:eastAsia="宋体" w:cs="宋体"/>
                <w:color w:val="auto"/>
                <w:sz w:val="22"/>
                <w:szCs w:val="22"/>
                <w:highlight w:val="none"/>
              </w:rPr>
            </w:pPr>
          </w:p>
        </w:tc>
      </w:tr>
      <w:tr w14:paraId="32C08A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36"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14:paraId="532EB377">
            <w:pPr>
              <w:topLinePunct/>
              <w:spacing w:line="440" w:lineRule="exact"/>
              <w:ind w:right="26"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59F09965">
            <w:pPr>
              <w:topLinePunct/>
              <w:spacing w:line="440" w:lineRule="exact"/>
              <w:ind w:right="26" w:rightChars="11"/>
              <w:jc w:val="center"/>
              <w:rPr>
                <w:rFonts w:hint="eastAsia" w:ascii="宋体" w:hAnsi="宋体" w:eastAsia="宋体" w:cs="宋体"/>
                <w:color w:val="auto"/>
                <w:sz w:val="22"/>
                <w:szCs w:val="22"/>
                <w:highlight w:val="none"/>
              </w:rPr>
            </w:pP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17773CF8">
            <w:pPr>
              <w:topLinePunct/>
              <w:spacing w:line="440" w:lineRule="exact"/>
              <w:ind w:right="26" w:rightChars="11"/>
              <w:jc w:val="center"/>
              <w:rPr>
                <w:rFonts w:hint="eastAsia" w:ascii="宋体" w:hAnsi="宋体" w:eastAsia="宋体" w:cs="宋体"/>
                <w:color w:val="auto"/>
                <w:sz w:val="22"/>
                <w:szCs w:val="22"/>
                <w:highlight w:val="none"/>
              </w:rPr>
            </w:pP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3CE099C5">
            <w:pPr>
              <w:topLinePunct/>
              <w:spacing w:line="440" w:lineRule="exact"/>
              <w:ind w:right="26" w:rightChars="11"/>
              <w:jc w:val="center"/>
              <w:rPr>
                <w:rFonts w:hint="eastAsia" w:ascii="宋体" w:hAnsi="宋体" w:eastAsia="宋体" w:cs="宋体"/>
                <w:color w:val="auto"/>
                <w:sz w:val="22"/>
                <w:szCs w:val="22"/>
                <w:highlight w:val="none"/>
              </w:rPr>
            </w:pPr>
          </w:p>
        </w:tc>
      </w:tr>
    </w:tbl>
    <w:p w14:paraId="1DCE45A5">
      <w:pPr>
        <w:pStyle w:val="7"/>
        <w:numPr>
          <w:ilvl w:val="0"/>
          <w:numId w:val="0"/>
        </w:numPr>
        <w:rPr>
          <w:rFonts w:hint="eastAsia" w:ascii="宋体" w:hAnsi="宋体" w:eastAsia="宋体" w:cs="宋体"/>
          <w:color w:val="auto"/>
        </w:rPr>
      </w:pPr>
    </w:p>
    <w:p w14:paraId="5432CFE8">
      <w:pPr>
        <w:spacing w:before="190" w:beforeLines="50" w:line="500" w:lineRule="exact"/>
        <w:jc w:val="left"/>
        <w:rPr>
          <w:rFonts w:hint="eastAsia" w:ascii="宋体" w:hAnsi="宋体" w:eastAsia="宋体" w:cs="宋体"/>
          <w:b/>
          <w:color w:val="auto"/>
          <w:sz w:val="28"/>
          <w:szCs w:val="28"/>
        </w:rPr>
      </w:pPr>
    </w:p>
    <w:p w14:paraId="2CDE0DF3">
      <w:pPr>
        <w:pStyle w:val="27"/>
        <w:rPr>
          <w:rFonts w:hint="eastAsia" w:ascii="宋体" w:hAnsi="宋体" w:eastAsia="宋体" w:cs="宋体"/>
          <w:color w:val="auto"/>
        </w:rPr>
      </w:pPr>
    </w:p>
    <w:p w14:paraId="7CF344EA">
      <w:pPr>
        <w:rPr>
          <w:rFonts w:hint="eastAsia" w:ascii="宋体" w:hAnsi="宋体" w:eastAsia="宋体" w:cs="宋体"/>
          <w:color w:val="auto"/>
        </w:rPr>
      </w:pPr>
    </w:p>
    <w:p w14:paraId="239AF9AE">
      <w:pPr>
        <w:spacing w:before="190" w:beforeLines="50" w:line="500" w:lineRule="exact"/>
        <w:jc w:val="left"/>
        <w:rPr>
          <w:rFonts w:hint="eastAsia" w:ascii="宋体" w:hAnsi="宋体" w:eastAsia="宋体" w:cs="宋体"/>
          <w:b/>
          <w:color w:val="auto"/>
          <w:sz w:val="28"/>
          <w:szCs w:val="28"/>
        </w:rPr>
      </w:pPr>
    </w:p>
    <w:p w14:paraId="64124B1E">
      <w:pPr>
        <w:rPr>
          <w:rFonts w:hint="eastAsia" w:ascii="宋体" w:hAnsi="宋体" w:eastAsia="宋体" w:cs="宋体"/>
          <w:b/>
          <w:color w:val="auto"/>
          <w:sz w:val="28"/>
          <w:szCs w:val="28"/>
        </w:rPr>
      </w:pPr>
      <w:r>
        <w:rPr>
          <w:rFonts w:hint="eastAsia" w:ascii="宋体" w:hAnsi="宋体" w:eastAsia="宋体" w:cs="宋体"/>
          <w:b/>
          <w:color w:val="auto"/>
          <w:sz w:val="28"/>
          <w:szCs w:val="28"/>
        </w:rPr>
        <w:br w:type="page"/>
      </w:r>
    </w:p>
    <w:p w14:paraId="3F625AEC">
      <w:pPr>
        <w:pStyle w:val="2"/>
        <w:keepNext/>
        <w:keepLines/>
        <w:pageBreakBefore w:val="0"/>
        <w:widowControl/>
        <w:kinsoku w:val="0"/>
        <w:wordWrap/>
        <w:overflowPunct/>
        <w:topLinePunct w:val="0"/>
        <w:autoSpaceDE w:val="0"/>
        <w:autoSpaceDN w:val="0"/>
        <w:bidi w:val="0"/>
        <w:adjustRightInd w:val="0"/>
        <w:snapToGrid w:val="0"/>
        <w:spacing w:before="0" w:after="0" w:line="360" w:lineRule="auto"/>
        <w:jc w:val="center"/>
        <w:textAlignment w:val="baseline"/>
        <w:rPr>
          <w:rFonts w:hint="eastAsia" w:asciiTheme="minorEastAsia" w:hAnsiTheme="minorEastAsia" w:eastAsiaTheme="minorEastAsia" w:cstheme="minorEastAsia"/>
          <w:sz w:val="32"/>
          <w:szCs w:val="32"/>
          <w:lang w:val="en-US" w:eastAsia="zh-CN"/>
        </w:rPr>
      </w:pPr>
      <w:bookmarkStart w:id="494" w:name="_Toc23765"/>
      <w:bookmarkStart w:id="495" w:name="_Toc19124"/>
      <w:bookmarkStart w:id="496" w:name="_Toc22000"/>
      <w:bookmarkStart w:id="497" w:name="_Toc23444"/>
      <w:bookmarkStart w:id="498" w:name="_Toc26318"/>
      <w:r>
        <w:rPr>
          <w:rFonts w:hint="eastAsia" w:asciiTheme="minorEastAsia" w:hAnsiTheme="minorEastAsia" w:eastAsiaTheme="minorEastAsia" w:cstheme="minorEastAsia"/>
          <w:sz w:val="32"/>
          <w:szCs w:val="32"/>
          <w:lang w:val="en-US" w:eastAsia="zh-CN"/>
        </w:rPr>
        <w:t>项目管理机构表</w:t>
      </w:r>
      <w:bookmarkEnd w:id="494"/>
      <w:bookmarkEnd w:id="495"/>
      <w:bookmarkEnd w:id="496"/>
      <w:bookmarkEnd w:id="497"/>
      <w:bookmarkEnd w:id="498"/>
    </w:p>
    <w:p w14:paraId="6C8A6AE9">
      <w:pPr>
        <w:pStyle w:val="5"/>
        <w:keepLines w:val="0"/>
        <w:pageBreakBefore w:val="0"/>
        <w:numPr>
          <w:ilvl w:val="3"/>
          <w:numId w:val="0"/>
        </w:numPr>
        <w:overflowPunct/>
        <w:topLinePunct/>
        <w:bidi w:val="0"/>
        <w:ind w:left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(一)项目管理机构组成表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660"/>
        <w:gridCol w:w="809"/>
        <w:gridCol w:w="1320"/>
        <w:gridCol w:w="819"/>
        <w:gridCol w:w="982"/>
        <w:gridCol w:w="1170"/>
        <w:gridCol w:w="1209"/>
        <w:gridCol w:w="973"/>
      </w:tblGrid>
      <w:tr w14:paraId="26300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49" w:type="dxa"/>
            <w:vMerge w:val="restart"/>
            <w:noWrap w:val="0"/>
            <w:vAlign w:val="center"/>
          </w:tcPr>
          <w:p w14:paraId="4777C27E">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职务</w:t>
            </w:r>
          </w:p>
        </w:tc>
        <w:tc>
          <w:tcPr>
            <w:tcW w:w="660" w:type="dxa"/>
            <w:vMerge w:val="restart"/>
            <w:noWrap w:val="0"/>
            <w:vAlign w:val="center"/>
          </w:tcPr>
          <w:p w14:paraId="102861B5">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姓名</w:t>
            </w:r>
          </w:p>
        </w:tc>
        <w:tc>
          <w:tcPr>
            <w:tcW w:w="809" w:type="dxa"/>
            <w:vMerge w:val="restart"/>
            <w:noWrap w:val="0"/>
            <w:vAlign w:val="center"/>
          </w:tcPr>
          <w:p w14:paraId="7B7271D9">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职称</w:t>
            </w:r>
          </w:p>
        </w:tc>
        <w:tc>
          <w:tcPr>
            <w:tcW w:w="5500" w:type="dxa"/>
            <w:gridSpan w:val="5"/>
            <w:noWrap w:val="0"/>
            <w:vAlign w:val="center"/>
          </w:tcPr>
          <w:p w14:paraId="180AACAB">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执业或职业资格证明</w:t>
            </w:r>
          </w:p>
        </w:tc>
        <w:tc>
          <w:tcPr>
            <w:tcW w:w="973" w:type="dxa"/>
            <w:vMerge w:val="restart"/>
            <w:noWrap w:val="0"/>
            <w:vAlign w:val="center"/>
          </w:tcPr>
          <w:p w14:paraId="41382013">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备注</w:t>
            </w:r>
          </w:p>
        </w:tc>
      </w:tr>
      <w:tr w14:paraId="288D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649" w:type="dxa"/>
            <w:vMerge w:val="continue"/>
            <w:noWrap w:val="0"/>
            <w:vAlign w:val="center"/>
          </w:tcPr>
          <w:p w14:paraId="3590F165">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660" w:type="dxa"/>
            <w:vMerge w:val="continue"/>
            <w:noWrap w:val="0"/>
            <w:vAlign w:val="center"/>
          </w:tcPr>
          <w:p w14:paraId="4DFA5A4B">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809" w:type="dxa"/>
            <w:vMerge w:val="continue"/>
            <w:noWrap w:val="0"/>
            <w:vAlign w:val="center"/>
          </w:tcPr>
          <w:p w14:paraId="7CC0AA25">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320" w:type="dxa"/>
            <w:noWrap w:val="0"/>
            <w:vAlign w:val="center"/>
          </w:tcPr>
          <w:p w14:paraId="2A1E955D">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证书名称</w:t>
            </w:r>
          </w:p>
        </w:tc>
        <w:tc>
          <w:tcPr>
            <w:tcW w:w="819" w:type="dxa"/>
            <w:noWrap w:val="0"/>
            <w:vAlign w:val="center"/>
          </w:tcPr>
          <w:p w14:paraId="43FADF2E">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级别</w:t>
            </w:r>
          </w:p>
        </w:tc>
        <w:tc>
          <w:tcPr>
            <w:tcW w:w="982" w:type="dxa"/>
            <w:noWrap w:val="0"/>
            <w:vAlign w:val="center"/>
          </w:tcPr>
          <w:p w14:paraId="3AAE1194">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证号</w:t>
            </w:r>
          </w:p>
        </w:tc>
        <w:tc>
          <w:tcPr>
            <w:tcW w:w="1170" w:type="dxa"/>
            <w:noWrap w:val="0"/>
            <w:vAlign w:val="center"/>
          </w:tcPr>
          <w:p w14:paraId="62ADC53F">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专业</w:t>
            </w:r>
          </w:p>
        </w:tc>
        <w:tc>
          <w:tcPr>
            <w:tcW w:w="1209" w:type="dxa"/>
            <w:noWrap w:val="0"/>
            <w:vAlign w:val="center"/>
          </w:tcPr>
          <w:p w14:paraId="0AB79594">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社会保险</w:t>
            </w:r>
          </w:p>
        </w:tc>
        <w:tc>
          <w:tcPr>
            <w:tcW w:w="973" w:type="dxa"/>
            <w:vMerge w:val="continue"/>
            <w:noWrap w:val="0"/>
            <w:vAlign w:val="center"/>
          </w:tcPr>
          <w:p w14:paraId="09AAF587">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r>
      <w:tr w14:paraId="37C2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49" w:type="dxa"/>
            <w:noWrap w:val="0"/>
            <w:vAlign w:val="center"/>
          </w:tcPr>
          <w:p w14:paraId="1A0601AB">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660" w:type="dxa"/>
            <w:noWrap w:val="0"/>
            <w:vAlign w:val="center"/>
          </w:tcPr>
          <w:p w14:paraId="01291B28">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809" w:type="dxa"/>
            <w:noWrap w:val="0"/>
            <w:vAlign w:val="center"/>
          </w:tcPr>
          <w:p w14:paraId="7709A1B1">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320" w:type="dxa"/>
            <w:noWrap w:val="0"/>
            <w:vAlign w:val="center"/>
          </w:tcPr>
          <w:p w14:paraId="084FD347">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819" w:type="dxa"/>
            <w:noWrap w:val="0"/>
            <w:vAlign w:val="center"/>
          </w:tcPr>
          <w:p w14:paraId="493046C3">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982" w:type="dxa"/>
            <w:noWrap w:val="0"/>
            <w:vAlign w:val="center"/>
          </w:tcPr>
          <w:p w14:paraId="50C5E392">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170" w:type="dxa"/>
            <w:noWrap w:val="0"/>
            <w:vAlign w:val="center"/>
          </w:tcPr>
          <w:p w14:paraId="6143FEBD">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209" w:type="dxa"/>
            <w:noWrap w:val="0"/>
            <w:vAlign w:val="center"/>
          </w:tcPr>
          <w:p w14:paraId="1BCAF560">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973" w:type="dxa"/>
            <w:noWrap w:val="0"/>
            <w:vAlign w:val="center"/>
          </w:tcPr>
          <w:p w14:paraId="1D867924">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r>
      <w:tr w14:paraId="5304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49" w:type="dxa"/>
            <w:noWrap w:val="0"/>
            <w:vAlign w:val="center"/>
          </w:tcPr>
          <w:p w14:paraId="4219B2B0">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660" w:type="dxa"/>
            <w:noWrap w:val="0"/>
            <w:vAlign w:val="center"/>
          </w:tcPr>
          <w:p w14:paraId="38701CFD">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809" w:type="dxa"/>
            <w:noWrap w:val="0"/>
            <w:vAlign w:val="center"/>
          </w:tcPr>
          <w:p w14:paraId="04CABC58">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320" w:type="dxa"/>
            <w:noWrap w:val="0"/>
            <w:vAlign w:val="center"/>
          </w:tcPr>
          <w:p w14:paraId="70ABFBDB">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819" w:type="dxa"/>
            <w:noWrap w:val="0"/>
            <w:vAlign w:val="center"/>
          </w:tcPr>
          <w:p w14:paraId="5A720CBA">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982" w:type="dxa"/>
            <w:noWrap w:val="0"/>
            <w:vAlign w:val="center"/>
          </w:tcPr>
          <w:p w14:paraId="3FC74DDD">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170" w:type="dxa"/>
            <w:noWrap w:val="0"/>
            <w:vAlign w:val="center"/>
          </w:tcPr>
          <w:p w14:paraId="6491A556">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209" w:type="dxa"/>
            <w:noWrap w:val="0"/>
            <w:vAlign w:val="center"/>
          </w:tcPr>
          <w:p w14:paraId="7F593FBA">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973" w:type="dxa"/>
            <w:noWrap w:val="0"/>
            <w:vAlign w:val="center"/>
          </w:tcPr>
          <w:p w14:paraId="02916E55">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r>
      <w:tr w14:paraId="752ED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49" w:type="dxa"/>
            <w:noWrap w:val="0"/>
            <w:vAlign w:val="center"/>
          </w:tcPr>
          <w:p w14:paraId="2FBE70B7">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660" w:type="dxa"/>
            <w:noWrap w:val="0"/>
            <w:vAlign w:val="center"/>
          </w:tcPr>
          <w:p w14:paraId="4DD2D8D5">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809" w:type="dxa"/>
            <w:noWrap w:val="0"/>
            <w:vAlign w:val="center"/>
          </w:tcPr>
          <w:p w14:paraId="45623A25">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320" w:type="dxa"/>
            <w:noWrap w:val="0"/>
            <w:vAlign w:val="center"/>
          </w:tcPr>
          <w:p w14:paraId="4D35ABF8">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819" w:type="dxa"/>
            <w:noWrap w:val="0"/>
            <w:vAlign w:val="center"/>
          </w:tcPr>
          <w:p w14:paraId="0FA947E8">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982" w:type="dxa"/>
            <w:noWrap w:val="0"/>
            <w:vAlign w:val="center"/>
          </w:tcPr>
          <w:p w14:paraId="353244DD">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170" w:type="dxa"/>
            <w:noWrap w:val="0"/>
            <w:vAlign w:val="center"/>
          </w:tcPr>
          <w:p w14:paraId="24562743">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209" w:type="dxa"/>
            <w:noWrap w:val="0"/>
            <w:vAlign w:val="center"/>
          </w:tcPr>
          <w:p w14:paraId="6258F7AA">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973" w:type="dxa"/>
            <w:noWrap w:val="0"/>
            <w:vAlign w:val="center"/>
          </w:tcPr>
          <w:p w14:paraId="2F84E58E">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r>
      <w:tr w14:paraId="6585D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49" w:type="dxa"/>
            <w:noWrap w:val="0"/>
            <w:vAlign w:val="center"/>
          </w:tcPr>
          <w:p w14:paraId="40051196">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660" w:type="dxa"/>
            <w:noWrap w:val="0"/>
            <w:vAlign w:val="center"/>
          </w:tcPr>
          <w:p w14:paraId="3B01C638">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809" w:type="dxa"/>
            <w:noWrap w:val="0"/>
            <w:vAlign w:val="center"/>
          </w:tcPr>
          <w:p w14:paraId="793CC932">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320" w:type="dxa"/>
            <w:noWrap w:val="0"/>
            <w:vAlign w:val="center"/>
          </w:tcPr>
          <w:p w14:paraId="566FEE82">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819" w:type="dxa"/>
            <w:noWrap w:val="0"/>
            <w:vAlign w:val="center"/>
          </w:tcPr>
          <w:p w14:paraId="76256D4D">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982" w:type="dxa"/>
            <w:noWrap w:val="0"/>
            <w:vAlign w:val="center"/>
          </w:tcPr>
          <w:p w14:paraId="629B19CA">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170" w:type="dxa"/>
            <w:noWrap w:val="0"/>
            <w:vAlign w:val="center"/>
          </w:tcPr>
          <w:p w14:paraId="6EF48A90">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209" w:type="dxa"/>
            <w:noWrap w:val="0"/>
            <w:vAlign w:val="center"/>
          </w:tcPr>
          <w:p w14:paraId="392B72C8">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973" w:type="dxa"/>
            <w:noWrap w:val="0"/>
            <w:vAlign w:val="center"/>
          </w:tcPr>
          <w:p w14:paraId="442E6492">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r>
      <w:tr w14:paraId="1BDE9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49" w:type="dxa"/>
            <w:noWrap w:val="0"/>
            <w:vAlign w:val="center"/>
          </w:tcPr>
          <w:p w14:paraId="4CC91482">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660" w:type="dxa"/>
            <w:noWrap w:val="0"/>
            <w:vAlign w:val="center"/>
          </w:tcPr>
          <w:p w14:paraId="0968F257">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809" w:type="dxa"/>
            <w:noWrap w:val="0"/>
            <w:vAlign w:val="center"/>
          </w:tcPr>
          <w:p w14:paraId="17BBB5D4">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320" w:type="dxa"/>
            <w:noWrap w:val="0"/>
            <w:vAlign w:val="center"/>
          </w:tcPr>
          <w:p w14:paraId="65CD355F">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819" w:type="dxa"/>
            <w:noWrap w:val="0"/>
            <w:vAlign w:val="center"/>
          </w:tcPr>
          <w:p w14:paraId="2EE949E0">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982" w:type="dxa"/>
            <w:noWrap w:val="0"/>
            <w:vAlign w:val="center"/>
          </w:tcPr>
          <w:p w14:paraId="0BF80178">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170" w:type="dxa"/>
            <w:noWrap w:val="0"/>
            <w:vAlign w:val="center"/>
          </w:tcPr>
          <w:p w14:paraId="79AF54C0">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209" w:type="dxa"/>
            <w:noWrap w:val="0"/>
            <w:vAlign w:val="center"/>
          </w:tcPr>
          <w:p w14:paraId="6C9E9A7F">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973" w:type="dxa"/>
            <w:noWrap w:val="0"/>
            <w:vAlign w:val="center"/>
          </w:tcPr>
          <w:p w14:paraId="0EE0139B">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r>
      <w:tr w14:paraId="474BC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49" w:type="dxa"/>
            <w:noWrap w:val="0"/>
            <w:vAlign w:val="center"/>
          </w:tcPr>
          <w:p w14:paraId="00F104EE">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660" w:type="dxa"/>
            <w:noWrap w:val="0"/>
            <w:vAlign w:val="center"/>
          </w:tcPr>
          <w:p w14:paraId="57F4DF7A">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809" w:type="dxa"/>
            <w:noWrap w:val="0"/>
            <w:vAlign w:val="center"/>
          </w:tcPr>
          <w:p w14:paraId="3A0F1E6B">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320" w:type="dxa"/>
            <w:noWrap w:val="0"/>
            <w:vAlign w:val="center"/>
          </w:tcPr>
          <w:p w14:paraId="00BABE88">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819" w:type="dxa"/>
            <w:noWrap w:val="0"/>
            <w:vAlign w:val="center"/>
          </w:tcPr>
          <w:p w14:paraId="1A35443D">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982" w:type="dxa"/>
            <w:noWrap w:val="0"/>
            <w:vAlign w:val="center"/>
          </w:tcPr>
          <w:p w14:paraId="3B69889B">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170" w:type="dxa"/>
            <w:noWrap w:val="0"/>
            <w:vAlign w:val="center"/>
          </w:tcPr>
          <w:p w14:paraId="4FD8E98B">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209" w:type="dxa"/>
            <w:noWrap w:val="0"/>
            <w:vAlign w:val="center"/>
          </w:tcPr>
          <w:p w14:paraId="43484707">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973" w:type="dxa"/>
            <w:noWrap w:val="0"/>
            <w:vAlign w:val="center"/>
          </w:tcPr>
          <w:p w14:paraId="33B6A02F">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r>
      <w:tr w14:paraId="419C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49" w:type="dxa"/>
            <w:noWrap w:val="0"/>
            <w:vAlign w:val="center"/>
          </w:tcPr>
          <w:p w14:paraId="1D43EA81">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660" w:type="dxa"/>
            <w:noWrap w:val="0"/>
            <w:vAlign w:val="center"/>
          </w:tcPr>
          <w:p w14:paraId="02F05A58">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809" w:type="dxa"/>
            <w:noWrap w:val="0"/>
            <w:vAlign w:val="center"/>
          </w:tcPr>
          <w:p w14:paraId="7B74926F">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320" w:type="dxa"/>
            <w:noWrap w:val="0"/>
            <w:vAlign w:val="center"/>
          </w:tcPr>
          <w:p w14:paraId="54F7E2EA">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819" w:type="dxa"/>
            <w:noWrap w:val="0"/>
            <w:vAlign w:val="center"/>
          </w:tcPr>
          <w:p w14:paraId="098BBA16">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982" w:type="dxa"/>
            <w:noWrap w:val="0"/>
            <w:vAlign w:val="center"/>
          </w:tcPr>
          <w:p w14:paraId="4A295DE8">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170" w:type="dxa"/>
            <w:noWrap w:val="0"/>
            <w:vAlign w:val="center"/>
          </w:tcPr>
          <w:p w14:paraId="6648296A">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209" w:type="dxa"/>
            <w:noWrap w:val="0"/>
            <w:vAlign w:val="center"/>
          </w:tcPr>
          <w:p w14:paraId="50EDCC24">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973" w:type="dxa"/>
            <w:noWrap w:val="0"/>
            <w:vAlign w:val="center"/>
          </w:tcPr>
          <w:p w14:paraId="589C20A5">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r>
      <w:tr w14:paraId="29D11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49" w:type="dxa"/>
            <w:noWrap w:val="0"/>
            <w:vAlign w:val="center"/>
          </w:tcPr>
          <w:p w14:paraId="2E3CA2C8">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660" w:type="dxa"/>
            <w:noWrap w:val="0"/>
            <w:vAlign w:val="center"/>
          </w:tcPr>
          <w:p w14:paraId="281E0DF5">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809" w:type="dxa"/>
            <w:noWrap w:val="0"/>
            <w:vAlign w:val="center"/>
          </w:tcPr>
          <w:p w14:paraId="3BCE70D9">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320" w:type="dxa"/>
            <w:noWrap w:val="0"/>
            <w:vAlign w:val="center"/>
          </w:tcPr>
          <w:p w14:paraId="39AB4861">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819" w:type="dxa"/>
            <w:noWrap w:val="0"/>
            <w:vAlign w:val="center"/>
          </w:tcPr>
          <w:p w14:paraId="04787CC9">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982" w:type="dxa"/>
            <w:noWrap w:val="0"/>
            <w:vAlign w:val="center"/>
          </w:tcPr>
          <w:p w14:paraId="2B871287">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170" w:type="dxa"/>
            <w:noWrap w:val="0"/>
            <w:vAlign w:val="center"/>
          </w:tcPr>
          <w:p w14:paraId="43DA4866">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209" w:type="dxa"/>
            <w:noWrap w:val="0"/>
            <w:vAlign w:val="center"/>
          </w:tcPr>
          <w:p w14:paraId="461E7EC0">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973" w:type="dxa"/>
            <w:noWrap w:val="0"/>
            <w:vAlign w:val="center"/>
          </w:tcPr>
          <w:p w14:paraId="23E10DCF">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r>
      <w:tr w14:paraId="6905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49" w:type="dxa"/>
            <w:noWrap w:val="0"/>
            <w:vAlign w:val="center"/>
          </w:tcPr>
          <w:p w14:paraId="3132A435">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660" w:type="dxa"/>
            <w:noWrap w:val="0"/>
            <w:vAlign w:val="center"/>
          </w:tcPr>
          <w:p w14:paraId="431C6659">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809" w:type="dxa"/>
            <w:noWrap w:val="0"/>
            <w:vAlign w:val="center"/>
          </w:tcPr>
          <w:p w14:paraId="47BAC23E">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320" w:type="dxa"/>
            <w:noWrap w:val="0"/>
            <w:vAlign w:val="center"/>
          </w:tcPr>
          <w:p w14:paraId="17865F91">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819" w:type="dxa"/>
            <w:noWrap w:val="0"/>
            <w:vAlign w:val="center"/>
          </w:tcPr>
          <w:p w14:paraId="08B03CFD">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982" w:type="dxa"/>
            <w:noWrap w:val="0"/>
            <w:vAlign w:val="center"/>
          </w:tcPr>
          <w:p w14:paraId="0AE3D189">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170" w:type="dxa"/>
            <w:noWrap w:val="0"/>
            <w:vAlign w:val="center"/>
          </w:tcPr>
          <w:p w14:paraId="3916ED75">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209" w:type="dxa"/>
            <w:noWrap w:val="0"/>
            <w:vAlign w:val="center"/>
          </w:tcPr>
          <w:p w14:paraId="1820799E">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973" w:type="dxa"/>
            <w:noWrap w:val="0"/>
            <w:vAlign w:val="center"/>
          </w:tcPr>
          <w:p w14:paraId="4FBFA8B2">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r>
      <w:tr w14:paraId="5158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49" w:type="dxa"/>
            <w:noWrap w:val="0"/>
            <w:vAlign w:val="center"/>
          </w:tcPr>
          <w:p w14:paraId="63B608E6">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660" w:type="dxa"/>
            <w:noWrap w:val="0"/>
            <w:vAlign w:val="center"/>
          </w:tcPr>
          <w:p w14:paraId="114C4633">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809" w:type="dxa"/>
            <w:noWrap w:val="0"/>
            <w:vAlign w:val="center"/>
          </w:tcPr>
          <w:p w14:paraId="0A2CDD92">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320" w:type="dxa"/>
            <w:noWrap w:val="0"/>
            <w:vAlign w:val="center"/>
          </w:tcPr>
          <w:p w14:paraId="77D0A9E3">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819" w:type="dxa"/>
            <w:noWrap w:val="0"/>
            <w:vAlign w:val="center"/>
          </w:tcPr>
          <w:p w14:paraId="3804138F">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982" w:type="dxa"/>
            <w:noWrap w:val="0"/>
            <w:vAlign w:val="center"/>
          </w:tcPr>
          <w:p w14:paraId="79AB5537">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170" w:type="dxa"/>
            <w:noWrap w:val="0"/>
            <w:vAlign w:val="center"/>
          </w:tcPr>
          <w:p w14:paraId="073D2DF0">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209" w:type="dxa"/>
            <w:noWrap w:val="0"/>
            <w:vAlign w:val="center"/>
          </w:tcPr>
          <w:p w14:paraId="07E491AC">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973" w:type="dxa"/>
            <w:noWrap w:val="0"/>
            <w:vAlign w:val="center"/>
          </w:tcPr>
          <w:p w14:paraId="69132596">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r>
      <w:tr w14:paraId="52833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49" w:type="dxa"/>
            <w:noWrap w:val="0"/>
            <w:vAlign w:val="center"/>
          </w:tcPr>
          <w:p w14:paraId="4235DA72">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660" w:type="dxa"/>
            <w:noWrap w:val="0"/>
            <w:vAlign w:val="center"/>
          </w:tcPr>
          <w:p w14:paraId="6BB70883">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809" w:type="dxa"/>
            <w:noWrap w:val="0"/>
            <w:vAlign w:val="center"/>
          </w:tcPr>
          <w:p w14:paraId="306F41B2">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320" w:type="dxa"/>
            <w:noWrap w:val="0"/>
            <w:vAlign w:val="center"/>
          </w:tcPr>
          <w:p w14:paraId="6EC9491F">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819" w:type="dxa"/>
            <w:noWrap w:val="0"/>
            <w:vAlign w:val="center"/>
          </w:tcPr>
          <w:p w14:paraId="42FDB196">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982" w:type="dxa"/>
            <w:noWrap w:val="0"/>
            <w:vAlign w:val="center"/>
          </w:tcPr>
          <w:p w14:paraId="2E3B837E">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170" w:type="dxa"/>
            <w:noWrap w:val="0"/>
            <w:vAlign w:val="center"/>
          </w:tcPr>
          <w:p w14:paraId="47F9216C">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1209" w:type="dxa"/>
            <w:noWrap w:val="0"/>
            <w:vAlign w:val="center"/>
          </w:tcPr>
          <w:p w14:paraId="37716B1E">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c>
          <w:tcPr>
            <w:tcW w:w="973" w:type="dxa"/>
            <w:noWrap w:val="0"/>
            <w:vAlign w:val="center"/>
          </w:tcPr>
          <w:p w14:paraId="71378693">
            <w:pPr>
              <w:keepLines w:val="0"/>
              <w:pageBreakBefore w:val="0"/>
              <w:overflowPunct/>
              <w:topLinePunct/>
              <w:bidi w:val="0"/>
              <w:jc w:val="center"/>
              <w:rPr>
                <w:rFonts w:hint="eastAsia" w:asciiTheme="minorEastAsia" w:hAnsiTheme="minorEastAsia" w:eastAsiaTheme="minorEastAsia" w:cstheme="minorEastAsia"/>
                <w:color w:val="auto"/>
                <w:sz w:val="24"/>
                <w:szCs w:val="24"/>
              </w:rPr>
            </w:pPr>
          </w:p>
        </w:tc>
      </w:tr>
    </w:tbl>
    <w:p w14:paraId="3ADB568C">
      <w:pPr>
        <w:ind w:firstLine="480" w:firstLineChars="200"/>
        <w:rPr>
          <w:rFonts w:hint="eastAsia" w:asciiTheme="majorEastAsia" w:hAnsiTheme="majorEastAsia" w:eastAsiaTheme="majorEastAsia" w:cstheme="maj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rPr>
        <w:t>注：</w:t>
      </w:r>
      <w:r>
        <w:rPr>
          <w:rFonts w:hint="eastAsia" w:asciiTheme="majorEastAsia" w:hAnsiTheme="majorEastAsia" w:eastAsiaTheme="majorEastAsia" w:cstheme="majorEastAsia"/>
          <w:color w:val="auto"/>
          <w:kern w:val="2"/>
          <w:sz w:val="24"/>
          <w:szCs w:val="24"/>
          <w:lang w:val="en-US" w:eastAsia="zh-CN" w:bidi="ar-SA"/>
        </w:rPr>
        <w:t>拟投入项目管理人员情况应配备合理，</w:t>
      </w:r>
      <w:r>
        <w:rPr>
          <w:rFonts w:hint="eastAsia" w:ascii="宋体" w:hAnsi="宋体" w:eastAsia="宋体" w:cs="宋体"/>
          <w:sz w:val="24"/>
          <w:szCs w:val="24"/>
          <w:lang w:val="en-US" w:eastAsia="zh-CN"/>
        </w:rPr>
        <w:t>配备包括但不限于：</w:t>
      </w:r>
      <w:r>
        <w:rPr>
          <w:rFonts w:hint="eastAsia" w:asciiTheme="majorEastAsia" w:hAnsiTheme="majorEastAsia" w:eastAsiaTheme="majorEastAsia" w:cstheme="majorEastAsia"/>
          <w:color w:val="auto"/>
          <w:kern w:val="2"/>
          <w:sz w:val="24"/>
          <w:szCs w:val="24"/>
          <w:lang w:val="en-US" w:eastAsia="zh-CN" w:bidi="ar-SA"/>
        </w:rPr>
        <w:t>技术负责人、安全员、质量员、材料员、施工员；</w:t>
      </w:r>
    </w:p>
    <w:p w14:paraId="009D43F9">
      <w:pPr>
        <w:ind w:firstLine="480" w:firstLineChars="2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 xml:space="preserve">1）质量员、材料员、施工员应持有岗位证书及身份证复印件； </w:t>
      </w:r>
    </w:p>
    <w:p w14:paraId="736C9E70">
      <w:pPr>
        <w:ind w:firstLine="480" w:firstLineChars="200"/>
        <w:rPr>
          <w:rFonts w:hint="eastAsia" w:ascii="宋体" w:hAnsi="宋体" w:eastAsia="宋体" w:cs="宋体"/>
          <w:sz w:val="24"/>
          <w:szCs w:val="24"/>
          <w:lang w:val="en-US" w:eastAsia="zh-CN"/>
        </w:rPr>
      </w:pPr>
      <w:r>
        <w:rPr>
          <w:rFonts w:hint="eastAsia" w:asciiTheme="majorEastAsia" w:hAnsiTheme="majorEastAsia" w:eastAsiaTheme="majorEastAsia" w:cstheme="majorEastAsia"/>
          <w:color w:val="auto"/>
          <w:kern w:val="2"/>
          <w:sz w:val="24"/>
          <w:szCs w:val="24"/>
          <w:lang w:val="en-US" w:eastAsia="zh-CN" w:bidi="ar-SA"/>
        </w:rPr>
        <w:t>2）</w:t>
      </w:r>
      <w:r>
        <w:rPr>
          <w:rFonts w:hint="eastAsia" w:ascii="宋体" w:hAnsi="宋体" w:eastAsia="宋体" w:cs="宋体"/>
          <w:sz w:val="24"/>
          <w:szCs w:val="24"/>
          <w:lang w:val="en-US" w:eastAsia="zh-CN"/>
        </w:rPr>
        <w:t>技术负责人提供水利水电工程相关专业中级及以上职称证书；</w:t>
      </w:r>
    </w:p>
    <w:p w14:paraId="412719C3">
      <w:pPr>
        <w:ind w:firstLine="480" w:firstLineChars="2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3）安全员应持有有效的安全生产考核合格证书（水安C证）及身份证复印件；</w:t>
      </w:r>
    </w:p>
    <w:p w14:paraId="3DF3B668">
      <w:pPr>
        <w:keepLines w:val="0"/>
        <w:pageBreakBefore w:val="0"/>
        <w:overflowPunct/>
        <w:topLinePunct/>
        <w:bidi w:val="0"/>
        <w:spacing w:line="48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投标人：</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（盖单位章）</w:t>
      </w:r>
    </w:p>
    <w:p w14:paraId="002C1DF6">
      <w:pPr>
        <w:keepLines w:val="0"/>
        <w:pageBreakBefore w:val="0"/>
        <w:overflowPunct/>
        <w:topLinePunct/>
        <w:bidi w:val="0"/>
        <w:spacing w:line="48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法定代表人或委托代理人：</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（签名）</w:t>
      </w:r>
    </w:p>
    <w:p w14:paraId="7388B9B7">
      <w:pPr>
        <w:keepLines w:val="0"/>
        <w:pageBreakBefore w:val="0"/>
        <w:overflowPunct/>
        <w:topLinePunct/>
        <w:bidi w:val="0"/>
        <w:spacing w:line="48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日</w:t>
      </w:r>
    </w:p>
    <w:p w14:paraId="0F3AB96B">
      <w:pPr>
        <w:rPr>
          <w:rFonts w:hint="eastAsia" w:ascii="宋体" w:hAnsi="宋体" w:eastAsia="宋体" w:cs="宋体"/>
          <w:b/>
          <w:color w:val="auto"/>
          <w:sz w:val="28"/>
          <w:szCs w:val="28"/>
        </w:rPr>
      </w:pPr>
      <w:r>
        <w:rPr>
          <w:rFonts w:hint="eastAsia" w:ascii="宋体" w:hAnsi="宋体" w:eastAsia="宋体" w:cs="宋体"/>
          <w:b/>
          <w:color w:val="auto"/>
          <w:sz w:val="28"/>
          <w:szCs w:val="28"/>
        </w:rPr>
        <w:br w:type="page"/>
      </w:r>
    </w:p>
    <w:p w14:paraId="14E8AFAC">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rPr>
        <w:t>供应商性质</w:t>
      </w:r>
    </w:p>
    <w:p w14:paraId="0CA448F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的，不影响响应文件的有效性。</w:t>
      </w:r>
    </w:p>
    <w:p w14:paraId="6C57C595">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14:paraId="48B1A903">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14:paraId="69494FF4">
      <w:pPr>
        <w:bidi w:val="0"/>
        <w:rPr>
          <w:rFonts w:hint="eastAsia" w:ascii="宋体" w:hAnsi="宋体" w:eastAsia="宋体" w:cs="宋体"/>
          <w:color w:val="auto"/>
        </w:rPr>
      </w:pPr>
    </w:p>
    <w:p w14:paraId="4C3CC7B3">
      <w:pPr>
        <w:bidi w:val="0"/>
        <w:jc w:val="center"/>
        <w:rPr>
          <w:rFonts w:hint="eastAsia" w:ascii="宋体" w:hAnsi="宋体" w:eastAsia="宋体" w:cs="宋体"/>
          <w:color w:val="auto"/>
        </w:rPr>
      </w:pPr>
    </w:p>
    <w:p w14:paraId="03C92C4E">
      <w:pPr>
        <w:spacing w:before="190" w:beforeLines="50" w:line="500" w:lineRule="exact"/>
        <w:ind w:firstLine="562" w:firstLineChars="200"/>
        <w:jc w:val="center"/>
        <w:rPr>
          <w:rFonts w:hint="eastAsia" w:ascii="宋体" w:hAnsi="宋体" w:eastAsia="宋体" w:cs="宋体"/>
          <w:b/>
          <w:bCs/>
          <w:color w:val="auto"/>
          <w:sz w:val="28"/>
          <w:szCs w:val="28"/>
        </w:rPr>
      </w:pPr>
      <w:bookmarkStart w:id="499" w:name="_Toc48834336"/>
    </w:p>
    <w:p w14:paraId="130FDE4F">
      <w:pPr>
        <w:spacing w:before="190" w:beforeLines="50" w:line="500" w:lineRule="exact"/>
        <w:ind w:firstLine="562" w:firstLineChars="200"/>
        <w:jc w:val="center"/>
        <w:rPr>
          <w:rFonts w:hint="eastAsia" w:ascii="宋体" w:hAnsi="宋体" w:eastAsia="宋体" w:cs="宋体"/>
          <w:b/>
          <w:bCs/>
          <w:color w:val="auto"/>
          <w:sz w:val="28"/>
          <w:szCs w:val="28"/>
        </w:rPr>
      </w:pPr>
    </w:p>
    <w:p w14:paraId="7EE393FA">
      <w:pPr>
        <w:spacing w:before="190" w:beforeLines="50" w:line="500" w:lineRule="exact"/>
        <w:ind w:firstLine="562" w:firstLineChars="200"/>
        <w:jc w:val="center"/>
        <w:rPr>
          <w:rFonts w:hint="eastAsia" w:ascii="宋体" w:hAnsi="宋体" w:eastAsia="宋体" w:cs="宋体"/>
          <w:b/>
          <w:bCs/>
          <w:color w:val="auto"/>
          <w:sz w:val="28"/>
          <w:szCs w:val="28"/>
        </w:rPr>
      </w:pPr>
    </w:p>
    <w:p w14:paraId="7912095B">
      <w:pPr>
        <w:spacing w:before="190" w:beforeLines="50" w:line="500" w:lineRule="exact"/>
        <w:ind w:firstLine="562" w:firstLineChars="200"/>
        <w:jc w:val="center"/>
        <w:rPr>
          <w:rFonts w:hint="eastAsia" w:ascii="宋体" w:hAnsi="宋体" w:eastAsia="宋体" w:cs="宋体"/>
          <w:b/>
          <w:bCs/>
          <w:color w:val="auto"/>
          <w:sz w:val="28"/>
          <w:szCs w:val="28"/>
        </w:rPr>
      </w:pPr>
    </w:p>
    <w:p w14:paraId="51954251">
      <w:pPr>
        <w:spacing w:before="190" w:beforeLines="50" w:line="500" w:lineRule="exact"/>
        <w:ind w:firstLine="562" w:firstLineChars="200"/>
        <w:jc w:val="center"/>
        <w:rPr>
          <w:rFonts w:hint="eastAsia" w:ascii="宋体" w:hAnsi="宋体" w:eastAsia="宋体" w:cs="宋体"/>
          <w:b/>
          <w:bCs/>
          <w:color w:val="auto"/>
          <w:sz w:val="28"/>
          <w:szCs w:val="28"/>
        </w:rPr>
      </w:pPr>
    </w:p>
    <w:p w14:paraId="3FF80FB4">
      <w:pPr>
        <w:spacing w:before="190" w:beforeLines="50" w:line="500" w:lineRule="exact"/>
        <w:ind w:firstLine="562" w:firstLineChars="200"/>
        <w:jc w:val="center"/>
        <w:rPr>
          <w:rFonts w:hint="eastAsia" w:ascii="宋体" w:hAnsi="宋体" w:eastAsia="宋体" w:cs="宋体"/>
          <w:b/>
          <w:bCs/>
          <w:color w:val="auto"/>
          <w:sz w:val="28"/>
          <w:szCs w:val="28"/>
        </w:rPr>
      </w:pPr>
    </w:p>
    <w:p w14:paraId="685F0688">
      <w:pPr>
        <w:spacing w:before="190" w:beforeLines="50" w:line="500" w:lineRule="exact"/>
        <w:ind w:firstLine="562" w:firstLineChars="200"/>
        <w:jc w:val="center"/>
        <w:rPr>
          <w:rFonts w:hint="eastAsia" w:ascii="宋体" w:hAnsi="宋体" w:eastAsia="宋体" w:cs="宋体"/>
          <w:b/>
          <w:bCs/>
          <w:color w:val="auto"/>
          <w:sz w:val="28"/>
          <w:szCs w:val="28"/>
        </w:rPr>
      </w:pPr>
    </w:p>
    <w:p w14:paraId="32504235">
      <w:pPr>
        <w:spacing w:before="190" w:beforeLines="50" w:line="500" w:lineRule="exact"/>
        <w:ind w:firstLine="562" w:firstLineChars="200"/>
        <w:jc w:val="center"/>
        <w:rPr>
          <w:rFonts w:hint="eastAsia" w:ascii="宋体" w:hAnsi="宋体" w:eastAsia="宋体" w:cs="宋体"/>
          <w:b/>
          <w:bCs/>
          <w:color w:val="auto"/>
          <w:sz w:val="28"/>
          <w:szCs w:val="28"/>
        </w:rPr>
      </w:pPr>
    </w:p>
    <w:p w14:paraId="02E83804">
      <w:pPr>
        <w:spacing w:before="190" w:beforeLines="50" w:line="500" w:lineRule="exact"/>
        <w:ind w:firstLine="562" w:firstLineChars="200"/>
        <w:jc w:val="center"/>
        <w:rPr>
          <w:rFonts w:hint="eastAsia" w:ascii="宋体" w:hAnsi="宋体" w:eastAsia="宋体" w:cs="宋体"/>
          <w:b/>
          <w:bCs/>
          <w:color w:val="auto"/>
          <w:sz w:val="28"/>
          <w:szCs w:val="28"/>
        </w:rPr>
      </w:pPr>
    </w:p>
    <w:p w14:paraId="1B692826">
      <w:pPr>
        <w:spacing w:before="190" w:beforeLines="50" w:line="500" w:lineRule="exact"/>
        <w:ind w:firstLine="562" w:firstLineChars="200"/>
        <w:jc w:val="center"/>
        <w:rPr>
          <w:rFonts w:hint="eastAsia" w:ascii="宋体" w:hAnsi="宋体" w:eastAsia="宋体" w:cs="宋体"/>
          <w:b/>
          <w:bCs/>
          <w:color w:val="auto"/>
          <w:sz w:val="28"/>
          <w:szCs w:val="28"/>
        </w:rPr>
      </w:pPr>
    </w:p>
    <w:p w14:paraId="3E623869">
      <w:pPr>
        <w:spacing w:before="190" w:beforeLines="50" w:line="500" w:lineRule="exact"/>
        <w:ind w:firstLine="562" w:firstLineChars="200"/>
        <w:jc w:val="center"/>
        <w:rPr>
          <w:rFonts w:hint="eastAsia" w:ascii="宋体" w:hAnsi="宋体" w:eastAsia="宋体" w:cs="宋体"/>
          <w:b/>
          <w:bCs/>
          <w:color w:val="auto"/>
          <w:sz w:val="28"/>
          <w:szCs w:val="28"/>
        </w:rPr>
      </w:pPr>
    </w:p>
    <w:p w14:paraId="1CE9428C">
      <w:pPr>
        <w:spacing w:before="190" w:beforeLines="50" w:line="500" w:lineRule="exact"/>
        <w:ind w:firstLine="562" w:firstLineChars="200"/>
        <w:jc w:val="center"/>
        <w:rPr>
          <w:rFonts w:hint="eastAsia" w:ascii="宋体" w:hAnsi="宋体" w:eastAsia="宋体" w:cs="宋体"/>
          <w:b/>
          <w:bCs/>
          <w:color w:val="auto"/>
          <w:sz w:val="28"/>
          <w:szCs w:val="28"/>
        </w:rPr>
      </w:pPr>
    </w:p>
    <w:p w14:paraId="51D735CB">
      <w:pPr>
        <w:spacing w:before="190" w:beforeLines="50" w:line="500" w:lineRule="exact"/>
        <w:ind w:firstLine="562" w:firstLineChars="200"/>
        <w:jc w:val="center"/>
        <w:rPr>
          <w:rFonts w:hint="eastAsia" w:ascii="宋体" w:hAnsi="宋体" w:eastAsia="宋体" w:cs="宋体"/>
          <w:b/>
          <w:bCs/>
          <w:color w:val="auto"/>
          <w:sz w:val="28"/>
          <w:szCs w:val="28"/>
        </w:rPr>
      </w:pPr>
    </w:p>
    <w:p w14:paraId="0E61FF00">
      <w:pPr>
        <w:spacing w:before="190" w:beforeLines="50" w:line="500" w:lineRule="exact"/>
        <w:ind w:firstLine="562" w:firstLineChars="200"/>
        <w:jc w:val="center"/>
        <w:rPr>
          <w:rFonts w:hint="eastAsia" w:ascii="宋体" w:hAnsi="宋体" w:eastAsia="宋体" w:cs="宋体"/>
          <w:b/>
          <w:bCs/>
          <w:color w:val="auto"/>
          <w:sz w:val="28"/>
          <w:szCs w:val="28"/>
        </w:rPr>
      </w:pPr>
    </w:p>
    <w:p w14:paraId="023B1A47">
      <w:pPr>
        <w:spacing w:before="190" w:beforeLines="50" w:line="500" w:lineRule="exact"/>
        <w:ind w:firstLine="562" w:firstLineChars="200"/>
        <w:jc w:val="center"/>
        <w:rPr>
          <w:rFonts w:hint="eastAsia" w:ascii="宋体" w:hAnsi="宋体" w:eastAsia="宋体" w:cs="宋体"/>
          <w:b/>
          <w:bCs/>
          <w:color w:val="auto"/>
          <w:sz w:val="28"/>
          <w:szCs w:val="28"/>
        </w:rPr>
      </w:pPr>
    </w:p>
    <w:p w14:paraId="17F71011">
      <w:pPr>
        <w:spacing w:before="190" w:beforeLines="50" w:line="500" w:lineRule="exact"/>
        <w:ind w:firstLine="562" w:firstLineChars="200"/>
        <w:jc w:val="center"/>
        <w:rPr>
          <w:rFonts w:hint="eastAsia" w:ascii="宋体" w:hAnsi="宋体" w:eastAsia="宋体" w:cs="宋体"/>
          <w:b/>
          <w:color w:val="auto"/>
          <w:sz w:val="24"/>
          <w:szCs w:val="24"/>
        </w:rPr>
      </w:pPr>
      <w:r>
        <w:rPr>
          <w:rFonts w:hint="eastAsia" w:ascii="宋体" w:hAnsi="宋体" w:eastAsia="宋体" w:cs="宋体"/>
          <w:b/>
          <w:bCs/>
          <w:color w:val="auto"/>
          <w:sz w:val="28"/>
          <w:szCs w:val="28"/>
        </w:rPr>
        <w:t>残疾人福利性单位声明函</w:t>
      </w:r>
      <w:bookmarkEnd w:id="499"/>
    </w:p>
    <w:p w14:paraId="5B26C58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14:paraId="3F64841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27729D7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14:paraId="020A013C">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320BAAED">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515E3FA6">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14:paraId="10AD754B">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14:paraId="32ED6193">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30F42698">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5785ACF9">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14:paraId="3BEBDDFA">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4F4CA40C">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41626BFF">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14:paraId="3A12ABC0">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905884C">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500" w:name="_Toc48834337"/>
    </w:p>
    <w:p w14:paraId="14351710">
      <w:pPr>
        <w:tabs>
          <w:tab w:val="left" w:pos="5670"/>
        </w:tabs>
        <w:spacing w:line="500" w:lineRule="exact"/>
        <w:ind w:firstLine="562" w:firstLineChars="200"/>
        <w:jc w:val="center"/>
        <w:rPr>
          <w:rFonts w:hint="eastAsia" w:ascii="宋体" w:hAnsi="宋体" w:eastAsia="宋体" w:cs="宋体"/>
          <w:b/>
          <w:bCs/>
          <w:color w:val="auto"/>
          <w:sz w:val="28"/>
          <w:szCs w:val="28"/>
        </w:rPr>
      </w:pPr>
    </w:p>
    <w:p w14:paraId="2695F03F">
      <w:pPr>
        <w:tabs>
          <w:tab w:val="left" w:pos="5670"/>
        </w:tabs>
        <w:spacing w:line="500" w:lineRule="exact"/>
        <w:ind w:firstLine="562" w:firstLineChars="200"/>
        <w:jc w:val="center"/>
        <w:rPr>
          <w:rFonts w:hint="eastAsia" w:ascii="宋体" w:hAnsi="宋体" w:eastAsia="宋体" w:cs="宋体"/>
          <w:b/>
          <w:bCs/>
          <w:color w:val="auto"/>
          <w:sz w:val="28"/>
          <w:szCs w:val="28"/>
        </w:rPr>
      </w:pPr>
    </w:p>
    <w:p w14:paraId="5088F5E3">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500"/>
    </w:p>
    <w:p w14:paraId="2AFE9A2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462737A7">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9A924C0">
      <w:pPr>
        <w:spacing w:line="360" w:lineRule="atLeast"/>
        <w:jc w:val="center"/>
        <w:rPr>
          <w:rFonts w:hint="eastAsia" w:ascii="宋体" w:hAnsi="宋体" w:eastAsia="宋体" w:cs="宋体"/>
          <w:b/>
          <w:color w:val="auto"/>
          <w:sz w:val="32"/>
          <w:szCs w:val="32"/>
        </w:rPr>
      </w:pPr>
    </w:p>
    <w:p w14:paraId="3B3FD353">
      <w:pPr>
        <w:spacing w:line="360" w:lineRule="atLeast"/>
        <w:jc w:val="center"/>
        <w:rPr>
          <w:rFonts w:hint="eastAsia" w:ascii="宋体" w:hAnsi="宋体" w:eastAsia="宋体" w:cs="宋体"/>
          <w:b/>
          <w:color w:val="auto"/>
          <w:sz w:val="32"/>
          <w:szCs w:val="32"/>
        </w:rPr>
      </w:pPr>
    </w:p>
    <w:p w14:paraId="3F63CCEA">
      <w:pPr>
        <w:spacing w:line="360" w:lineRule="atLeast"/>
        <w:jc w:val="center"/>
        <w:rPr>
          <w:rFonts w:hint="eastAsia" w:ascii="宋体" w:hAnsi="宋体" w:eastAsia="宋体" w:cs="宋体"/>
          <w:b/>
          <w:color w:val="auto"/>
          <w:sz w:val="32"/>
          <w:szCs w:val="32"/>
        </w:rPr>
      </w:pPr>
    </w:p>
    <w:p w14:paraId="35CB1E71">
      <w:pPr>
        <w:spacing w:line="360" w:lineRule="atLeast"/>
        <w:jc w:val="center"/>
        <w:rPr>
          <w:rFonts w:hint="eastAsia" w:ascii="宋体" w:hAnsi="宋体" w:eastAsia="宋体" w:cs="宋体"/>
          <w:b/>
          <w:color w:val="auto"/>
          <w:sz w:val="32"/>
          <w:szCs w:val="32"/>
        </w:rPr>
      </w:pPr>
    </w:p>
    <w:p w14:paraId="1F2D7925">
      <w:pPr>
        <w:spacing w:line="360" w:lineRule="atLeast"/>
        <w:jc w:val="center"/>
        <w:rPr>
          <w:rFonts w:hint="eastAsia" w:ascii="宋体" w:hAnsi="宋体" w:eastAsia="宋体" w:cs="宋体"/>
          <w:b/>
          <w:color w:val="auto"/>
          <w:sz w:val="32"/>
          <w:szCs w:val="32"/>
        </w:rPr>
      </w:pPr>
    </w:p>
    <w:p w14:paraId="3D7778B2">
      <w:pPr>
        <w:spacing w:line="360" w:lineRule="atLeast"/>
        <w:jc w:val="center"/>
        <w:rPr>
          <w:rFonts w:hint="eastAsia" w:ascii="宋体" w:hAnsi="宋体" w:eastAsia="宋体" w:cs="宋体"/>
          <w:b/>
          <w:color w:val="auto"/>
          <w:sz w:val="32"/>
          <w:szCs w:val="32"/>
        </w:rPr>
      </w:pPr>
    </w:p>
    <w:p w14:paraId="24301DE4">
      <w:pPr>
        <w:spacing w:line="360" w:lineRule="atLeast"/>
        <w:jc w:val="center"/>
        <w:rPr>
          <w:rFonts w:hint="eastAsia" w:ascii="宋体" w:hAnsi="宋体" w:eastAsia="宋体" w:cs="宋体"/>
          <w:b/>
          <w:color w:val="auto"/>
          <w:sz w:val="32"/>
          <w:szCs w:val="32"/>
        </w:rPr>
      </w:pPr>
    </w:p>
    <w:p w14:paraId="77D96623">
      <w:pPr>
        <w:spacing w:line="360" w:lineRule="atLeast"/>
        <w:jc w:val="center"/>
        <w:rPr>
          <w:rFonts w:hint="eastAsia" w:ascii="宋体" w:hAnsi="宋体" w:eastAsia="宋体" w:cs="宋体"/>
          <w:b/>
          <w:color w:val="auto"/>
          <w:sz w:val="32"/>
          <w:szCs w:val="32"/>
        </w:rPr>
      </w:pPr>
    </w:p>
    <w:p w14:paraId="6F066BCC">
      <w:pPr>
        <w:spacing w:line="360" w:lineRule="atLeast"/>
        <w:jc w:val="center"/>
        <w:rPr>
          <w:rFonts w:hint="eastAsia" w:ascii="宋体" w:hAnsi="宋体" w:eastAsia="宋体" w:cs="宋体"/>
          <w:b/>
          <w:color w:val="auto"/>
          <w:sz w:val="32"/>
          <w:szCs w:val="32"/>
        </w:rPr>
      </w:pPr>
    </w:p>
    <w:p w14:paraId="361F1829">
      <w:pPr>
        <w:spacing w:line="360" w:lineRule="atLeast"/>
        <w:jc w:val="center"/>
        <w:rPr>
          <w:rFonts w:hint="eastAsia" w:ascii="宋体" w:hAnsi="宋体" w:eastAsia="宋体" w:cs="宋体"/>
          <w:b/>
          <w:color w:val="auto"/>
          <w:sz w:val="32"/>
          <w:szCs w:val="32"/>
        </w:rPr>
      </w:pPr>
    </w:p>
    <w:p w14:paraId="4FD2BE8C">
      <w:pPr>
        <w:spacing w:line="360" w:lineRule="atLeast"/>
        <w:jc w:val="center"/>
        <w:rPr>
          <w:rFonts w:hint="eastAsia" w:ascii="宋体" w:hAnsi="宋体" w:eastAsia="宋体" w:cs="宋体"/>
          <w:b/>
          <w:color w:val="auto"/>
          <w:sz w:val="32"/>
          <w:szCs w:val="32"/>
        </w:rPr>
      </w:pPr>
    </w:p>
    <w:p w14:paraId="6926FBDA">
      <w:pPr>
        <w:spacing w:line="360" w:lineRule="atLeast"/>
        <w:jc w:val="center"/>
        <w:rPr>
          <w:rFonts w:hint="eastAsia" w:ascii="宋体" w:hAnsi="宋体" w:eastAsia="宋体" w:cs="宋体"/>
          <w:b/>
          <w:color w:val="auto"/>
          <w:sz w:val="32"/>
          <w:szCs w:val="32"/>
        </w:rPr>
      </w:pPr>
    </w:p>
    <w:p w14:paraId="3D30689C">
      <w:pPr>
        <w:spacing w:line="360" w:lineRule="atLeast"/>
        <w:jc w:val="center"/>
        <w:rPr>
          <w:rFonts w:hint="eastAsia" w:ascii="宋体" w:hAnsi="宋体" w:eastAsia="宋体" w:cs="宋体"/>
          <w:b/>
          <w:color w:val="auto"/>
          <w:sz w:val="32"/>
          <w:szCs w:val="32"/>
        </w:rPr>
      </w:pPr>
    </w:p>
    <w:p w14:paraId="402B3ECA">
      <w:pPr>
        <w:spacing w:line="360" w:lineRule="atLeast"/>
        <w:jc w:val="center"/>
        <w:rPr>
          <w:rFonts w:hint="eastAsia" w:ascii="宋体" w:hAnsi="宋体" w:eastAsia="宋体" w:cs="宋体"/>
          <w:b/>
          <w:color w:val="auto"/>
          <w:sz w:val="32"/>
          <w:szCs w:val="32"/>
        </w:rPr>
      </w:pPr>
    </w:p>
    <w:p w14:paraId="6A216A7E">
      <w:pPr>
        <w:spacing w:line="360" w:lineRule="atLeast"/>
        <w:jc w:val="center"/>
        <w:rPr>
          <w:rFonts w:hint="eastAsia" w:ascii="宋体" w:hAnsi="宋体" w:eastAsia="宋体" w:cs="宋体"/>
          <w:b/>
          <w:color w:val="auto"/>
          <w:sz w:val="32"/>
          <w:szCs w:val="32"/>
        </w:rPr>
      </w:pPr>
    </w:p>
    <w:p w14:paraId="06D0785D">
      <w:pPr>
        <w:spacing w:line="360" w:lineRule="atLeast"/>
        <w:jc w:val="center"/>
        <w:rPr>
          <w:rFonts w:hint="eastAsia" w:ascii="宋体" w:hAnsi="宋体" w:eastAsia="宋体" w:cs="宋体"/>
          <w:b/>
          <w:color w:val="auto"/>
          <w:sz w:val="32"/>
          <w:szCs w:val="32"/>
        </w:rPr>
      </w:pPr>
    </w:p>
    <w:p w14:paraId="43034943">
      <w:pPr>
        <w:spacing w:line="360" w:lineRule="atLeast"/>
        <w:jc w:val="center"/>
        <w:rPr>
          <w:rFonts w:hint="eastAsia" w:ascii="宋体" w:hAnsi="宋体" w:eastAsia="宋体" w:cs="宋体"/>
          <w:b/>
          <w:color w:val="auto"/>
          <w:sz w:val="32"/>
          <w:szCs w:val="32"/>
        </w:rPr>
      </w:pPr>
    </w:p>
    <w:p w14:paraId="51B85737">
      <w:pPr>
        <w:spacing w:line="360" w:lineRule="atLeast"/>
        <w:jc w:val="center"/>
        <w:rPr>
          <w:rFonts w:hint="eastAsia" w:ascii="宋体" w:hAnsi="宋体" w:eastAsia="宋体" w:cs="宋体"/>
          <w:b/>
          <w:color w:val="auto"/>
          <w:sz w:val="32"/>
          <w:szCs w:val="32"/>
        </w:rPr>
      </w:pPr>
    </w:p>
    <w:p w14:paraId="67BC7231">
      <w:pPr>
        <w:spacing w:line="360" w:lineRule="atLeast"/>
        <w:jc w:val="center"/>
        <w:rPr>
          <w:rFonts w:hint="eastAsia" w:ascii="宋体" w:hAnsi="宋体" w:eastAsia="宋体" w:cs="宋体"/>
          <w:b/>
          <w:color w:val="auto"/>
          <w:sz w:val="32"/>
          <w:szCs w:val="32"/>
        </w:rPr>
      </w:pPr>
    </w:p>
    <w:p w14:paraId="1543F78B">
      <w:pPr>
        <w:spacing w:line="360" w:lineRule="atLeast"/>
        <w:jc w:val="center"/>
        <w:rPr>
          <w:rFonts w:hint="eastAsia" w:ascii="宋体" w:hAnsi="宋体" w:eastAsia="宋体" w:cs="宋体"/>
          <w:b/>
          <w:color w:val="auto"/>
          <w:sz w:val="32"/>
          <w:szCs w:val="32"/>
        </w:rPr>
      </w:pPr>
    </w:p>
    <w:p w14:paraId="7FD4C784">
      <w:pPr>
        <w:spacing w:line="360" w:lineRule="atLeast"/>
        <w:jc w:val="center"/>
        <w:rPr>
          <w:rFonts w:hint="eastAsia" w:ascii="宋体" w:hAnsi="宋体" w:eastAsia="宋体" w:cs="宋体"/>
          <w:b/>
          <w:color w:val="auto"/>
          <w:sz w:val="32"/>
          <w:szCs w:val="32"/>
        </w:rPr>
      </w:pPr>
    </w:p>
    <w:p w14:paraId="21E2C818">
      <w:pPr>
        <w:pStyle w:val="20"/>
        <w:spacing w:line="500" w:lineRule="exact"/>
        <w:ind w:left="0" w:leftChars="0" w:firstLine="0" w:firstLineChars="0"/>
        <w:jc w:val="left"/>
        <w:rPr>
          <w:rFonts w:hint="eastAsia" w:ascii="宋体" w:hAnsi="宋体" w:eastAsia="宋体" w:cs="宋体"/>
          <w:color w:val="auto"/>
        </w:rPr>
      </w:pPr>
    </w:p>
    <w:p w14:paraId="5398689B">
      <w:pPr>
        <w:spacing w:line="500" w:lineRule="exact"/>
        <w:jc w:val="both"/>
        <w:rPr>
          <w:rFonts w:hint="eastAsia" w:ascii="宋体" w:hAnsi="宋体" w:eastAsia="宋体" w:cs="宋体"/>
          <w:color w:val="auto"/>
          <w:sz w:val="24"/>
          <w:szCs w:val="24"/>
        </w:rPr>
        <w:sectPr>
          <w:headerReference r:id="rId8" w:type="default"/>
          <w:footerReference r:id="rId9" w:type="default"/>
          <w:pgSz w:w="11911" w:h="16843"/>
          <w:pgMar w:top="1304" w:right="1304" w:bottom="1304" w:left="1304" w:header="720" w:footer="720" w:gutter="0"/>
          <w:pgNumType w:fmt="decimal"/>
          <w:cols w:space="720" w:num="1"/>
          <w:rtlGutter w:val="0"/>
          <w:docGrid w:linePitch="1" w:charSpace="0"/>
        </w:sectPr>
      </w:pPr>
    </w:p>
    <w:p w14:paraId="1ABC6A2A">
      <w:pPr>
        <w:pStyle w:val="36"/>
        <w:spacing w:line="500" w:lineRule="exact"/>
        <w:jc w:val="center"/>
        <w:outlineLvl w:val="9"/>
        <w:rPr>
          <w:rFonts w:hint="eastAsia" w:ascii="宋体" w:hAnsi="宋体" w:eastAsia="宋体" w:cs="宋体"/>
          <w:b w:val="0"/>
          <w:color w:val="auto"/>
          <w:sz w:val="28"/>
          <w:szCs w:val="28"/>
        </w:rPr>
      </w:pPr>
      <w:bookmarkStart w:id="501" w:name="_Toc48834202"/>
      <w:bookmarkStart w:id="502" w:name="_Toc48834330"/>
      <w:bookmarkStart w:id="503" w:name="_Toc48834132"/>
      <w:bookmarkStart w:id="504" w:name="_Toc12234"/>
      <w:bookmarkStart w:id="505" w:name="_Toc10991"/>
      <w:bookmarkStart w:id="506" w:name="_Toc30708"/>
      <w:bookmarkStart w:id="507" w:name="_Toc22347"/>
      <w:bookmarkStart w:id="508" w:name="_Toc15439"/>
      <w:r>
        <w:rPr>
          <w:rFonts w:hint="eastAsia" w:ascii="宋体" w:hAnsi="宋体" w:eastAsia="宋体" w:cs="宋体"/>
          <w:bCs w:val="0"/>
          <w:color w:val="auto"/>
        </w:rPr>
        <w:t>第</w:t>
      </w:r>
      <w:r>
        <w:rPr>
          <w:rFonts w:hint="eastAsia" w:ascii="宋体" w:hAnsi="宋体" w:cs="宋体"/>
          <w:bCs w:val="0"/>
          <w:color w:val="auto"/>
          <w:lang w:val="en-US" w:eastAsia="zh-CN"/>
        </w:rPr>
        <w:t>八</w:t>
      </w:r>
      <w:r>
        <w:rPr>
          <w:rFonts w:hint="eastAsia" w:ascii="宋体" w:hAnsi="宋体" w:eastAsia="宋体" w:cs="宋体"/>
          <w:bCs w:val="0"/>
          <w:color w:val="auto"/>
          <w:lang w:val="en-US" w:eastAsia="zh-CN"/>
        </w:rPr>
        <w:t>章</w:t>
      </w:r>
      <w:r>
        <w:rPr>
          <w:rFonts w:hint="eastAsia" w:ascii="宋体" w:hAnsi="宋体" w:eastAsia="宋体" w:cs="宋体"/>
          <w:bCs w:val="0"/>
          <w:color w:val="auto"/>
        </w:rPr>
        <w:t xml:space="preserve">  供应商参加政府采购活动承诺书</w:t>
      </w:r>
      <w:bookmarkEnd w:id="501"/>
      <w:bookmarkEnd w:id="502"/>
      <w:bookmarkEnd w:id="503"/>
      <w:bookmarkEnd w:id="504"/>
      <w:bookmarkEnd w:id="505"/>
      <w:bookmarkEnd w:id="506"/>
      <w:bookmarkEnd w:id="507"/>
      <w:bookmarkEnd w:id="508"/>
    </w:p>
    <w:p w14:paraId="5CE8D091">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14:paraId="0FB5DB2B">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14:paraId="79030BD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14:paraId="01B2DEA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2ABBB01B">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3BE91A9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3AA6D053">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14:paraId="50727B2A">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14:paraId="781135A4">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14:paraId="27271F43">
      <w:pPr>
        <w:pStyle w:val="20"/>
        <w:rPr>
          <w:rFonts w:hint="eastAsia" w:ascii="宋体" w:hAnsi="宋体" w:eastAsia="宋体" w:cs="宋体"/>
          <w:color w:val="auto"/>
          <w:sz w:val="24"/>
          <w:szCs w:val="24"/>
        </w:rPr>
      </w:pPr>
    </w:p>
    <w:p w14:paraId="39DEAC07">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3BA4B6E2">
      <w:pPr>
        <w:pStyle w:val="20"/>
        <w:rPr>
          <w:rFonts w:hint="eastAsia" w:ascii="宋体" w:hAnsi="宋体" w:eastAsia="宋体" w:cs="宋体"/>
          <w:color w:val="auto"/>
        </w:rPr>
      </w:pPr>
    </w:p>
    <w:p w14:paraId="711BF36A">
      <w:pPr>
        <w:pStyle w:val="20"/>
        <w:rPr>
          <w:rFonts w:hint="eastAsia" w:ascii="宋体" w:hAnsi="宋体" w:eastAsia="宋体" w:cs="宋体"/>
          <w:color w:val="auto"/>
        </w:rPr>
      </w:pPr>
    </w:p>
    <w:p w14:paraId="18F68E69">
      <w:pPr>
        <w:pStyle w:val="20"/>
        <w:rPr>
          <w:rFonts w:hint="eastAsia" w:ascii="宋体" w:hAnsi="宋体" w:eastAsia="宋体" w:cs="宋体"/>
          <w:color w:val="auto"/>
        </w:rPr>
      </w:pPr>
    </w:p>
    <w:p w14:paraId="7C2D4FEF">
      <w:pPr>
        <w:pStyle w:val="20"/>
        <w:rPr>
          <w:rFonts w:hint="eastAsia" w:ascii="宋体" w:hAnsi="宋体" w:eastAsia="宋体" w:cs="宋体"/>
          <w:color w:val="auto"/>
        </w:rPr>
      </w:pPr>
    </w:p>
    <w:p w14:paraId="494B3DAF">
      <w:pPr>
        <w:pStyle w:val="20"/>
        <w:rPr>
          <w:rFonts w:hint="eastAsia" w:ascii="宋体" w:hAnsi="宋体" w:eastAsia="宋体" w:cs="宋体"/>
          <w:color w:val="auto"/>
        </w:rPr>
      </w:pPr>
    </w:p>
    <w:p w14:paraId="0416AF40">
      <w:pPr>
        <w:pStyle w:val="20"/>
        <w:rPr>
          <w:rFonts w:hint="eastAsia" w:ascii="宋体" w:hAnsi="宋体" w:eastAsia="宋体" w:cs="宋体"/>
          <w:color w:val="auto"/>
        </w:rPr>
      </w:pPr>
    </w:p>
    <w:p w14:paraId="6D0F8418">
      <w:pPr>
        <w:pStyle w:val="20"/>
        <w:rPr>
          <w:rFonts w:hint="eastAsia" w:ascii="宋体" w:hAnsi="宋体" w:eastAsia="宋体" w:cs="宋体"/>
          <w:color w:val="auto"/>
        </w:rPr>
      </w:pPr>
    </w:p>
    <w:p w14:paraId="40ED44A6">
      <w:pPr>
        <w:pStyle w:val="20"/>
        <w:rPr>
          <w:rFonts w:hint="eastAsia" w:ascii="宋体" w:hAnsi="宋体" w:eastAsia="宋体" w:cs="宋体"/>
          <w:color w:val="auto"/>
        </w:rPr>
      </w:pPr>
    </w:p>
    <w:p w14:paraId="5B688A93">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拒绝政府采购领域商业贿赂承诺书</w:t>
      </w:r>
    </w:p>
    <w:p w14:paraId="7E8DA189">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14:paraId="1AFA8261">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14:paraId="559CEB7E">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14:paraId="01AD4BBC">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14:paraId="023F8590">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14:paraId="65763D3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14:paraId="4020C759">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14:paraId="4A5F1EEF">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14:paraId="4C3ABE25">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14:paraId="43F0932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14:paraId="0045D1C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14:paraId="1B9B86B3">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14:paraId="2FB200A8">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14:paraId="44016603">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14:paraId="5568F638">
      <w:pPr>
        <w:pStyle w:val="20"/>
        <w:rPr>
          <w:rFonts w:hint="eastAsia" w:ascii="宋体" w:hAnsi="宋体" w:eastAsia="宋体" w:cs="宋体"/>
          <w:color w:val="auto"/>
        </w:rPr>
      </w:pPr>
    </w:p>
    <w:p w14:paraId="13275EBF">
      <w:pPr>
        <w:pStyle w:val="7"/>
        <w:rPr>
          <w:rFonts w:hint="eastAsia" w:ascii="宋体" w:hAnsi="宋体" w:eastAsia="宋体" w:cs="宋体"/>
          <w:color w:val="auto"/>
          <w:lang w:val="en-US" w:eastAsia="zh-CN"/>
        </w:rPr>
      </w:pPr>
    </w:p>
    <w:p w14:paraId="37167B0A">
      <w:pPr>
        <w:adjustRightInd w:val="0"/>
        <w:snapToGrid w:val="0"/>
        <w:spacing w:line="500" w:lineRule="exact"/>
        <w:rPr>
          <w:rFonts w:hint="eastAsia" w:ascii="宋体" w:hAnsi="宋体" w:eastAsia="宋体" w:cs="宋体"/>
          <w:b/>
          <w:color w:val="auto"/>
          <w:kern w:val="0"/>
          <w:sz w:val="24"/>
        </w:rPr>
      </w:pPr>
      <w:bookmarkStart w:id="509" w:name="_Toc1045"/>
      <w:r>
        <w:rPr>
          <w:rFonts w:hint="eastAsia" w:ascii="宋体" w:hAnsi="宋体" w:eastAsia="宋体" w:cs="宋体"/>
          <w:color w:val="auto"/>
          <w:lang w:val="en-US" w:eastAsia="zh-CN"/>
        </w:rPr>
        <w:t xml:space="preserve"> </w:t>
      </w:r>
      <w:bookmarkEnd w:id="509"/>
    </w:p>
    <w:p w14:paraId="150E7507">
      <w:pPr>
        <w:pageBreakBefore w:val="0"/>
        <w:bidi w:val="0"/>
        <w:spacing w:line="600" w:lineRule="exact"/>
        <w:jc w:val="center"/>
        <w:outlineLvl w:val="0"/>
        <w:rPr>
          <w:rFonts w:hint="eastAsia" w:ascii="宋体" w:hAnsi="宋体" w:eastAsia="宋体" w:cs="宋体"/>
          <w:b/>
          <w:color w:val="auto"/>
          <w:sz w:val="24"/>
        </w:rPr>
      </w:pPr>
      <w:r>
        <w:rPr>
          <w:rFonts w:hint="eastAsia" w:ascii="宋体" w:hAnsi="宋体" w:eastAsia="宋体" w:cs="宋体"/>
          <w:color w:val="auto"/>
          <w:lang w:eastAsia="zh-CN"/>
        </w:rPr>
        <w:br w:type="page"/>
      </w:r>
      <w:bookmarkStart w:id="510" w:name="_Toc23139"/>
      <w:bookmarkStart w:id="511" w:name="_Toc4040"/>
      <w:bookmarkStart w:id="512" w:name="_Toc11022"/>
      <w:bookmarkStart w:id="513" w:name="_Toc19187"/>
      <w:r>
        <w:rPr>
          <w:rFonts w:hint="eastAsia" w:ascii="宋体" w:hAnsi="宋体" w:eastAsia="宋体" w:cs="宋体"/>
          <w:b/>
          <w:color w:val="auto"/>
          <w:sz w:val="28"/>
          <w:szCs w:val="28"/>
        </w:rPr>
        <w:t>承诺书</w:t>
      </w:r>
      <w:bookmarkEnd w:id="510"/>
      <w:bookmarkEnd w:id="511"/>
      <w:bookmarkEnd w:id="512"/>
      <w:bookmarkEnd w:id="513"/>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3"/>
        <w:gridCol w:w="3614"/>
        <w:gridCol w:w="2890"/>
      </w:tblGrid>
      <w:tr w14:paraId="474EF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527" w:type="dxa"/>
            <w:gridSpan w:val="3"/>
            <w:noWrap w:val="0"/>
            <w:vAlign w:val="center"/>
          </w:tcPr>
          <w:p w14:paraId="43447D0F">
            <w:pPr>
              <w:pageBreakBefore w:val="0"/>
              <w:bidi w:val="0"/>
              <w:spacing w:line="600" w:lineRule="exact"/>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eastAsia="宋体" w:cs="宋体"/>
                <w:color w:val="auto"/>
                <w:sz w:val="24"/>
                <w:lang w:eastAsia="zh-CN"/>
              </w:rPr>
              <w:t>（采购人名称）</w:t>
            </w:r>
          </w:p>
        </w:tc>
      </w:tr>
      <w:tr w14:paraId="1DD4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9527" w:type="dxa"/>
            <w:gridSpan w:val="3"/>
            <w:noWrap w:val="0"/>
            <w:vAlign w:val="center"/>
          </w:tcPr>
          <w:p w14:paraId="7712A9D5">
            <w:pPr>
              <w:pageBreakBefore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w:t>
            </w:r>
            <w:r>
              <w:rPr>
                <w:rFonts w:hint="eastAsia" w:ascii="宋体" w:hAnsi="宋体" w:eastAsia="宋体" w:cs="宋体"/>
                <w:color w:val="auto"/>
                <w:sz w:val="24"/>
                <w:lang w:val="en-US" w:eastAsia="zh-CN"/>
              </w:rPr>
              <w:t>单位</w:t>
            </w:r>
            <w:r>
              <w:rPr>
                <w:rFonts w:hint="eastAsia" w:ascii="宋体" w:hAnsi="宋体" w:eastAsia="宋体" w:cs="宋体"/>
                <w:color w:val="auto"/>
                <w:sz w:val="24"/>
              </w:rPr>
              <w:t>组织的</w:t>
            </w:r>
            <w:r>
              <w:rPr>
                <w:rFonts w:hint="eastAsia" w:ascii="宋体" w:hAnsi="宋体" w:eastAsia="宋体" w:cs="宋体"/>
                <w:color w:val="auto"/>
                <w:sz w:val="24"/>
                <w:lang w:val="en-US" w:eastAsia="zh-CN"/>
              </w:rPr>
              <w:t>磋商</w:t>
            </w:r>
            <w:r>
              <w:rPr>
                <w:rFonts w:hint="eastAsia" w:ascii="宋体" w:hAnsi="宋体" w:eastAsia="宋体" w:cs="宋体"/>
                <w:color w:val="auto"/>
                <w:sz w:val="24"/>
              </w:rPr>
              <w:t>采购项目的</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，本公司承诺：在参加本项目</w:t>
            </w:r>
            <w:r>
              <w:rPr>
                <w:rFonts w:hint="eastAsia" w:ascii="宋体" w:hAnsi="宋体" w:eastAsia="宋体" w:cs="宋体"/>
                <w:color w:val="auto"/>
                <w:sz w:val="24"/>
                <w:lang w:val="en-US" w:eastAsia="zh-CN"/>
              </w:rPr>
              <w:t>磋商</w:t>
            </w:r>
            <w:r>
              <w:rPr>
                <w:rFonts w:hint="eastAsia" w:ascii="宋体" w:hAnsi="宋体" w:eastAsia="宋体" w:cs="宋体"/>
                <w:color w:val="auto"/>
                <w:sz w:val="24"/>
              </w:rPr>
              <w:t>之前不存在被依法禁止经营行为、财产被接管或冻结的情况，如有隐瞒实情，愿承担一切责任及后果。</w:t>
            </w:r>
          </w:p>
        </w:tc>
      </w:tr>
      <w:tr w14:paraId="1B321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3023" w:type="dxa"/>
            <w:noWrap w:val="0"/>
            <w:vAlign w:val="center"/>
          </w:tcPr>
          <w:p w14:paraId="2744BEA8">
            <w:pPr>
              <w:pageBreakBefore w:val="0"/>
              <w:bidi w:val="0"/>
              <w:spacing w:line="6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供应商</w:t>
            </w:r>
          </w:p>
        </w:tc>
        <w:tc>
          <w:tcPr>
            <w:tcW w:w="3614" w:type="dxa"/>
            <w:noWrap w:val="0"/>
            <w:vAlign w:val="center"/>
          </w:tcPr>
          <w:p w14:paraId="49F9D7D1">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890" w:type="dxa"/>
            <w:noWrap w:val="0"/>
            <w:vAlign w:val="center"/>
          </w:tcPr>
          <w:p w14:paraId="1570C18A">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6F1DC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3023" w:type="dxa"/>
            <w:noWrap w:val="0"/>
            <w:vAlign w:val="center"/>
          </w:tcPr>
          <w:p w14:paraId="1FF5DFB0">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614" w:type="dxa"/>
            <w:noWrap w:val="0"/>
            <w:vAlign w:val="center"/>
          </w:tcPr>
          <w:p w14:paraId="73D9887A">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890" w:type="dxa"/>
            <w:noWrap w:val="0"/>
            <w:vAlign w:val="center"/>
          </w:tcPr>
          <w:p w14:paraId="2434AB0F">
            <w:pPr>
              <w:pageBreakBefore w:val="0"/>
              <w:bidi w:val="0"/>
              <w:spacing w:line="600" w:lineRule="exac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6FDEAE80">
      <w:pPr>
        <w:pageBreakBefore w:val="0"/>
        <w:bidi w:val="0"/>
        <w:spacing w:line="600" w:lineRule="exact"/>
        <w:rPr>
          <w:rFonts w:hint="eastAsia" w:ascii="宋体" w:hAnsi="宋体" w:eastAsia="宋体" w:cs="宋体"/>
          <w:b/>
          <w:color w:val="auto"/>
          <w:sz w:val="42"/>
          <w:szCs w:val="42"/>
        </w:rPr>
      </w:pPr>
    </w:p>
    <w:p w14:paraId="47A5A927">
      <w:pPr>
        <w:pageBreakBefore w:val="0"/>
        <w:bidi w:val="0"/>
        <w:spacing w:line="600" w:lineRule="exact"/>
        <w:jc w:val="center"/>
        <w:rPr>
          <w:rFonts w:hint="eastAsia" w:ascii="宋体" w:hAnsi="宋体" w:eastAsia="宋体" w:cs="宋体"/>
          <w:b/>
          <w:color w:val="auto"/>
          <w:sz w:val="24"/>
        </w:rPr>
      </w:pPr>
      <w:r>
        <w:rPr>
          <w:rFonts w:hint="eastAsia" w:ascii="宋体" w:hAnsi="宋体" w:eastAsia="宋体" w:cs="宋体"/>
          <w:b/>
          <w:color w:val="auto"/>
          <w:sz w:val="28"/>
          <w:szCs w:val="28"/>
        </w:rPr>
        <w:t>承诺书</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8"/>
        <w:gridCol w:w="3801"/>
        <w:gridCol w:w="2600"/>
      </w:tblGrid>
      <w:tr w14:paraId="1EF3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9559" w:type="dxa"/>
            <w:gridSpan w:val="3"/>
            <w:noWrap w:val="0"/>
            <w:vAlign w:val="center"/>
          </w:tcPr>
          <w:p w14:paraId="0B20F64D">
            <w:pPr>
              <w:pageBreakBefore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lang w:eastAsia="zh-CN"/>
              </w:rPr>
              <w:t>（采购人名称）</w:t>
            </w:r>
          </w:p>
        </w:tc>
      </w:tr>
      <w:tr w14:paraId="0777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jc w:val="center"/>
        </w:trPr>
        <w:tc>
          <w:tcPr>
            <w:tcW w:w="9559" w:type="dxa"/>
            <w:gridSpan w:val="3"/>
            <w:noWrap w:val="0"/>
            <w:vAlign w:val="center"/>
          </w:tcPr>
          <w:p w14:paraId="4F7602B2">
            <w:pPr>
              <w:pageBreakBefore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w:t>
            </w:r>
            <w:r>
              <w:rPr>
                <w:rFonts w:hint="eastAsia" w:ascii="宋体" w:hAnsi="宋体" w:eastAsia="宋体" w:cs="宋体"/>
                <w:color w:val="auto"/>
                <w:sz w:val="24"/>
                <w:lang w:val="en-US" w:eastAsia="zh-CN"/>
              </w:rPr>
              <w:t>单位</w:t>
            </w:r>
            <w:r>
              <w:rPr>
                <w:rFonts w:hint="eastAsia" w:ascii="宋体" w:hAnsi="宋体" w:eastAsia="宋体" w:cs="宋体"/>
                <w:color w:val="auto"/>
                <w:sz w:val="24"/>
              </w:rPr>
              <w:t>组织的</w:t>
            </w:r>
            <w:r>
              <w:rPr>
                <w:rFonts w:hint="eastAsia" w:ascii="宋体" w:hAnsi="宋体" w:eastAsia="宋体" w:cs="宋体"/>
                <w:color w:val="auto"/>
                <w:sz w:val="24"/>
                <w:lang w:val="en-US" w:eastAsia="zh-CN"/>
              </w:rPr>
              <w:t>磋商</w:t>
            </w:r>
            <w:r>
              <w:rPr>
                <w:rFonts w:hint="eastAsia" w:ascii="宋体" w:hAnsi="宋体" w:eastAsia="宋体" w:cs="宋体"/>
                <w:color w:val="auto"/>
                <w:sz w:val="24"/>
              </w:rPr>
              <w:t>采购项目的</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，本公司郑重申告并承诺：近三年受到有关行政主管部门的行政处理、不良行为记录为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tc>
      </w:tr>
      <w:tr w14:paraId="781C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158" w:type="dxa"/>
            <w:noWrap w:val="0"/>
            <w:vAlign w:val="center"/>
          </w:tcPr>
          <w:p w14:paraId="7B59458A">
            <w:pPr>
              <w:pageBreakBefore w:val="0"/>
              <w:bidi w:val="0"/>
              <w:spacing w:line="6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供应商</w:t>
            </w:r>
          </w:p>
        </w:tc>
        <w:tc>
          <w:tcPr>
            <w:tcW w:w="3801" w:type="dxa"/>
            <w:noWrap w:val="0"/>
            <w:vAlign w:val="center"/>
          </w:tcPr>
          <w:p w14:paraId="164C90E1">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600" w:type="dxa"/>
            <w:noWrap w:val="0"/>
            <w:vAlign w:val="center"/>
          </w:tcPr>
          <w:p w14:paraId="74306C80">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6023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atLeast"/>
          <w:jc w:val="center"/>
        </w:trPr>
        <w:tc>
          <w:tcPr>
            <w:tcW w:w="3158" w:type="dxa"/>
            <w:noWrap w:val="0"/>
            <w:vAlign w:val="center"/>
          </w:tcPr>
          <w:p w14:paraId="3174CEB6">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801" w:type="dxa"/>
            <w:noWrap w:val="0"/>
            <w:vAlign w:val="center"/>
          </w:tcPr>
          <w:p w14:paraId="646E5018">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600" w:type="dxa"/>
            <w:noWrap w:val="0"/>
            <w:vAlign w:val="center"/>
          </w:tcPr>
          <w:p w14:paraId="7A884BBC">
            <w:pPr>
              <w:pageBreakBefore w:val="0"/>
              <w:bidi w:val="0"/>
              <w:spacing w:line="600" w:lineRule="exac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414FB622">
      <w:pPr>
        <w:pageBreakBefore w:val="0"/>
        <w:bidi w:val="0"/>
        <w:spacing w:line="600" w:lineRule="exact"/>
        <w:jc w:val="center"/>
        <w:rPr>
          <w:rFonts w:hint="eastAsia" w:ascii="宋体" w:hAnsi="宋体" w:eastAsia="宋体" w:cs="宋体"/>
          <w:b/>
          <w:color w:val="auto"/>
          <w:sz w:val="28"/>
          <w:szCs w:val="28"/>
        </w:rPr>
      </w:pPr>
    </w:p>
    <w:p w14:paraId="05CF2FDA">
      <w:pPr>
        <w:pageBreakBefore w:val="0"/>
        <w:bidi w:val="0"/>
        <w:spacing w:line="600" w:lineRule="exact"/>
        <w:jc w:val="center"/>
        <w:rPr>
          <w:rFonts w:hint="eastAsia" w:ascii="宋体" w:hAnsi="宋体" w:eastAsia="宋体" w:cs="宋体"/>
          <w:b/>
          <w:color w:val="auto"/>
          <w:sz w:val="28"/>
          <w:szCs w:val="28"/>
        </w:rPr>
      </w:pPr>
    </w:p>
    <w:p w14:paraId="77A9AB2E">
      <w:pPr>
        <w:pageBreakBefore w:val="0"/>
        <w:bidi w:val="0"/>
        <w:spacing w:line="600" w:lineRule="exact"/>
        <w:jc w:val="center"/>
        <w:rPr>
          <w:rFonts w:hint="eastAsia" w:ascii="宋体" w:hAnsi="宋体" w:eastAsia="宋体" w:cs="宋体"/>
          <w:b/>
          <w:color w:val="auto"/>
          <w:sz w:val="24"/>
        </w:rPr>
      </w:pPr>
      <w:r>
        <w:rPr>
          <w:rFonts w:hint="eastAsia" w:ascii="宋体" w:hAnsi="宋体" w:eastAsia="宋体" w:cs="宋体"/>
          <w:b/>
          <w:color w:val="auto"/>
          <w:sz w:val="28"/>
          <w:szCs w:val="28"/>
        </w:rPr>
        <w:t>承诺书</w:t>
      </w:r>
    </w:p>
    <w:tbl>
      <w:tblPr>
        <w:tblStyle w:val="22"/>
        <w:tblW w:w="9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7"/>
        <w:gridCol w:w="3759"/>
        <w:gridCol w:w="2574"/>
      </w:tblGrid>
      <w:tr w14:paraId="5258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460" w:type="dxa"/>
            <w:gridSpan w:val="3"/>
            <w:noWrap w:val="0"/>
            <w:vAlign w:val="center"/>
          </w:tcPr>
          <w:p w14:paraId="442E7EAC">
            <w:pPr>
              <w:pageBreakBefore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lang w:eastAsia="zh-CN"/>
              </w:rPr>
              <w:t>（采购人名称）</w:t>
            </w:r>
          </w:p>
        </w:tc>
      </w:tr>
      <w:tr w14:paraId="069B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7" w:hRule="atLeast"/>
          <w:jc w:val="center"/>
        </w:trPr>
        <w:tc>
          <w:tcPr>
            <w:tcW w:w="9460" w:type="dxa"/>
            <w:gridSpan w:val="3"/>
            <w:noWrap w:val="0"/>
            <w:vAlign w:val="center"/>
          </w:tcPr>
          <w:p w14:paraId="62F67784">
            <w:pPr>
              <w:pageBreakBefore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w:t>
            </w:r>
            <w:r>
              <w:rPr>
                <w:rFonts w:hint="eastAsia" w:ascii="宋体" w:hAnsi="宋体" w:eastAsia="宋体" w:cs="宋体"/>
                <w:color w:val="auto"/>
                <w:sz w:val="24"/>
                <w:lang w:val="en-US" w:eastAsia="zh-CN"/>
              </w:rPr>
              <w:t>单位</w:t>
            </w:r>
            <w:r>
              <w:rPr>
                <w:rFonts w:hint="eastAsia" w:ascii="宋体" w:hAnsi="宋体" w:eastAsia="宋体" w:cs="宋体"/>
                <w:color w:val="auto"/>
                <w:sz w:val="24"/>
              </w:rPr>
              <w:t>组织的</w:t>
            </w:r>
            <w:r>
              <w:rPr>
                <w:rFonts w:hint="eastAsia" w:ascii="宋体" w:hAnsi="宋体" w:eastAsia="宋体" w:cs="宋体"/>
                <w:color w:val="auto"/>
                <w:sz w:val="24"/>
                <w:lang w:val="en-US" w:eastAsia="zh-CN"/>
              </w:rPr>
              <w:t>磋商</w:t>
            </w:r>
            <w:r>
              <w:rPr>
                <w:rFonts w:hint="eastAsia" w:ascii="宋体" w:hAnsi="宋体" w:eastAsia="宋体" w:cs="宋体"/>
                <w:color w:val="auto"/>
                <w:sz w:val="24"/>
              </w:rPr>
              <w:t>采购项目的</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，本公司郑重申告：近三年因</w:t>
            </w:r>
            <w:r>
              <w:rPr>
                <w:rFonts w:hint="eastAsia" w:ascii="宋体" w:hAnsi="宋体" w:eastAsia="宋体" w:cs="宋体"/>
                <w:color w:val="auto"/>
                <w:sz w:val="24"/>
                <w:lang w:eastAsia="zh-CN"/>
              </w:rPr>
              <w:t>服务、</w:t>
            </w:r>
            <w:r>
              <w:rPr>
                <w:rFonts w:hint="eastAsia" w:ascii="宋体" w:hAnsi="宋体" w:eastAsia="宋体" w:cs="宋体"/>
                <w:color w:val="auto"/>
                <w:sz w:val="24"/>
              </w:rPr>
              <w:t>供货</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工程质量、安全</w:t>
            </w:r>
            <w:r>
              <w:rPr>
                <w:rFonts w:hint="eastAsia" w:ascii="宋体" w:hAnsi="宋体" w:eastAsia="宋体" w:cs="宋体"/>
                <w:color w:val="auto"/>
                <w:sz w:val="24"/>
              </w:rPr>
              <w:t>问题的不法行为记录为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p w14:paraId="50E9A948">
            <w:pPr>
              <w:pageBreakBefore w:val="0"/>
              <w:bidi w:val="0"/>
              <w:spacing w:line="600" w:lineRule="exact"/>
              <w:ind w:firstLine="360" w:firstLineChars="150"/>
              <w:rPr>
                <w:rFonts w:hint="eastAsia" w:ascii="宋体" w:hAnsi="宋体" w:eastAsia="宋体" w:cs="宋体"/>
                <w:color w:val="auto"/>
                <w:sz w:val="24"/>
              </w:rPr>
            </w:pPr>
            <w:r>
              <w:rPr>
                <w:rFonts w:hint="eastAsia" w:ascii="宋体" w:hAnsi="宋体" w:eastAsia="宋体" w:cs="宋体"/>
                <w:color w:val="auto"/>
                <w:sz w:val="24"/>
              </w:rPr>
              <w:t>本公司承诺：本次</w:t>
            </w:r>
            <w:r>
              <w:rPr>
                <w:rFonts w:hint="eastAsia" w:ascii="宋体" w:hAnsi="宋体" w:eastAsia="宋体" w:cs="宋体"/>
                <w:color w:val="auto"/>
                <w:sz w:val="24"/>
                <w:lang w:val="en-US" w:eastAsia="zh-CN"/>
              </w:rPr>
              <w:t>磋商响应工程质量为合格</w:t>
            </w:r>
            <w:r>
              <w:rPr>
                <w:rFonts w:hint="eastAsia" w:ascii="宋体" w:hAnsi="宋体" w:eastAsia="宋体" w:cs="宋体"/>
                <w:color w:val="auto"/>
                <w:sz w:val="24"/>
              </w:rPr>
              <w:t>。</w:t>
            </w:r>
          </w:p>
        </w:tc>
      </w:tr>
      <w:tr w14:paraId="38EA2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3127" w:type="dxa"/>
            <w:noWrap w:val="0"/>
            <w:vAlign w:val="center"/>
          </w:tcPr>
          <w:p w14:paraId="6D1A35DA">
            <w:pPr>
              <w:pageBreakBefore w:val="0"/>
              <w:bidi w:val="0"/>
              <w:spacing w:line="6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供应商</w:t>
            </w:r>
          </w:p>
        </w:tc>
        <w:tc>
          <w:tcPr>
            <w:tcW w:w="3759" w:type="dxa"/>
            <w:noWrap w:val="0"/>
            <w:vAlign w:val="center"/>
          </w:tcPr>
          <w:p w14:paraId="6A1938CD">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574" w:type="dxa"/>
            <w:noWrap w:val="0"/>
            <w:vAlign w:val="center"/>
          </w:tcPr>
          <w:p w14:paraId="734FED18">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51ED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7" w:hRule="atLeast"/>
          <w:jc w:val="center"/>
        </w:trPr>
        <w:tc>
          <w:tcPr>
            <w:tcW w:w="3127" w:type="dxa"/>
            <w:noWrap w:val="0"/>
            <w:vAlign w:val="center"/>
          </w:tcPr>
          <w:p w14:paraId="508F4EC9">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759" w:type="dxa"/>
            <w:noWrap w:val="0"/>
            <w:vAlign w:val="center"/>
          </w:tcPr>
          <w:p w14:paraId="4D9EDF9D">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574" w:type="dxa"/>
            <w:noWrap w:val="0"/>
            <w:vAlign w:val="center"/>
          </w:tcPr>
          <w:p w14:paraId="54276AE3">
            <w:pPr>
              <w:pageBreakBefore w:val="0"/>
              <w:bidi w:val="0"/>
              <w:spacing w:line="600" w:lineRule="exac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21DFEC2B">
      <w:pPr>
        <w:pageBreakBefore w:val="0"/>
        <w:bidi w:val="0"/>
        <w:spacing w:line="600" w:lineRule="exact"/>
        <w:jc w:val="center"/>
        <w:rPr>
          <w:rFonts w:hint="eastAsia" w:ascii="宋体" w:hAnsi="宋体" w:eastAsia="宋体" w:cs="宋体"/>
          <w:b/>
          <w:color w:val="auto"/>
          <w:sz w:val="28"/>
          <w:szCs w:val="28"/>
        </w:rPr>
      </w:pPr>
    </w:p>
    <w:p w14:paraId="034611E3">
      <w:pPr>
        <w:pageBreakBefore w:val="0"/>
        <w:bidi w:val="0"/>
        <w:spacing w:line="600" w:lineRule="exact"/>
        <w:jc w:val="center"/>
        <w:rPr>
          <w:rFonts w:hint="eastAsia" w:ascii="宋体" w:hAnsi="宋体" w:eastAsia="宋体" w:cs="宋体"/>
          <w:b/>
          <w:color w:val="auto"/>
          <w:sz w:val="24"/>
        </w:rPr>
      </w:pPr>
      <w:r>
        <w:rPr>
          <w:rFonts w:hint="eastAsia" w:ascii="宋体" w:hAnsi="宋体" w:eastAsia="宋体" w:cs="宋体"/>
          <w:b/>
          <w:color w:val="auto"/>
          <w:sz w:val="28"/>
          <w:szCs w:val="28"/>
        </w:rPr>
        <w:t>承诺书</w:t>
      </w:r>
    </w:p>
    <w:tbl>
      <w:tblPr>
        <w:tblStyle w:val="22"/>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3"/>
        <w:gridCol w:w="3728"/>
        <w:gridCol w:w="2639"/>
      </w:tblGrid>
      <w:tr w14:paraId="0616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540" w:type="dxa"/>
            <w:gridSpan w:val="3"/>
            <w:noWrap w:val="0"/>
            <w:vAlign w:val="center"/>
          </w:tcPr>
          <w:p w14:paraId="39FCC496">
            <w:pPr>
              <w:pageBreakBefore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lang w:eastAsia="zh-CN"/>
              </w:rPr>
              <w:t>（采购人名称）</w:t>
            </w:r>
          </w:p>
        </w:tc>
      </w:tr>
      <w:tr w14:paraId="3E33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jc w:val="center"/>
        </w:trPr>
        <w:tc>
          <w:tcPr>
            <w:tcW w:w="9540" w:type="dxa"/>
            <w:gridSpan w:val="3"/>
            <w:noWrap w:val="0"/>
            <w:vAlign w:val="center"/>
          </w:tcPr>
          <w:p w14:paraId="19BB81FE">
            <w:pPr>
              <w:pageBreakBefore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作为参加贵公司组织的</w:t>
            </w:r>
            <w:r>
              <w:rPr>
                <w:rFonts w:hint="eastAsia" w:ascii="宋体" w:hAnsi="宋体" w:eastAsia="宋体" w:cs="宋体"/>
                <w:color w:val="auto"/>
                <w:sz w:val="24"/>
                <w:lang w:val="en-US" w:eastAsia="zh-CN"/>
              </w:rPr>
              <w:t>磋商</w:t>
            </w:r>
            <w:r>
              <w:rPr>
                <w:rFonts w:hint="eastAsia" w:ascii="宋体" w:hAnsi="宋体" w:eastAsia="宋体" w:cs="宋体"/>
                <w:color w:val="auto"/>
                <w:sz w:val="24"/>
              </w:rPr>
              <w:t>采购项目的</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，本公司承诺：参加本次</w:t>
            </w:r>
            <w:r>
              <w:rPr>
                <w:rFonts w:hint="eastAsia" w:ascii="宋体" w:hAnsi="宋体" w:eastAsia="宋体" w:cs="宋体"/>
                <w:color w:val="auto"/>
                <w:sz w:val="24"/>
                <w:lang w:val="en-US" w:eastAsia="zh-CN"/>
              </w:rPr>
              <w:t>磋商</w:t>
            </w:r>
            <w:r>
              <w:rPr>
                <w:rFonts w:hint="eastAsia" w:ascii="宋体" w:hAnsi="宋体" w:eastAsia="宋体" w:cs="宋体"/>
                <w:color w:val="auto"/>
                <w:sz w:val="24"/>
              </w:rPr>
              <w:t>提交的所有资质证明文件及业绩证明文件是真实的、有效的，如有隐瞒实情，愿承担一切责任及后果。</w:t>
            </w:r>
          </w:p>
        </w:tc>
      </w:tr>
      <w:tr w14:paraId="10D3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173" w:type="dxa"/>
            <w:noWrap w:val="0"/>
            <w:vAlign w:val="center"/>
          </w:tcPr>
          <w:p w14:paraId="0E3D5E38">
            <w:pPr>
              <w:pageBreakBefore w:val="0"/>
              <w:bidi w:val="0"/>
              <w:spacing w:line="6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供应商</w:t>
            </w:r>
          </w:p>
        </w:tc>
        <w:tc>
          <w:tcPr>
            <w:tcW w:w="3728" w:type="dxa"/>
            <w:noWrap w:val="0"/>
            <w:vAlign w:val="center"/>
          </w:tcPr>
          <w:p w14:paraId="425FD5B7">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639" w:type="dxa"/>
            <w:noWrap w:val="0"/>
            <w:vAlign w:val="center"/>
          </w:tcPr>
          <w:p w14:paraId="33508755">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3CA2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4" w:hRule="atLeast"/>
          <w:jc w:val="center"/>
        </w:trPr>
        <w:tc>
          <w:tcPr>
            <w:tcW w:w="3173" w:type="dxa"/>
            <w:noWrap w:val="0"/>
            <w:vAlign w:val="center"/>
          </w:tcPr>
          <w:p w14:paraId="3F5F5FB4">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728" w:type="dxa"/>
            <w:noWrap w:val="0"/>
            <w:vAlign w:val="center"/>
          </w:tcPr>
          <w:p w14:paraId="5D1FDF98">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639" w:type="dxa"/>
            <w:noWrap w:val="0"/>
            <w:vAlign w:val="center"/>
          </w:tcPr>
          <w:p w14:paraId="6E2142B9">
            <w:pPr>
              <w:pageBreakBefore w:val="0"/>
              <w:bidi w:val="0"/>
              <w:spacing w:line="600" w:lineRule="exac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1561B9AC">
      <w:pPr>
        <w:tabs>
          <w:tab w:val="left" w:pos="6080"/>
        </w:tabs>
        <w:adjustRightInd w:val="0"/>
        <w:snapToGrid w:val="0"/>
        <w:spacing w:line="500" w:lineRule="exact"/>
        <w:ind w:right="112"/>
        <w:jc w:val="center"/>
        <w:rPr>
          <w:rFonts w:hint="eastAsia" w:ascii="宋体" w:hAnsi="宋体" w:eastAsia="宋体" w:cs="宋体"/>
          <w:b/>
          <w:color w:val="auto"/>
          <w:kern w:val="2"/>
          <w:sz w:val="30"/>
          <w:szCs w:val="32"/>
          <w:lang w:val="en-US" w:eastAsia="zh-CN" w:bidi="ar-SA"/>
        </w:rPr>
      </w:pPr>
      <w:bookmarkStart w:id="514" w:name="_Toc22015"/>
      <w:bookmarkStart w:id="515" w:name="_Toc32246"/>
      <w:r>
        <w:rPr>
          <w:rFonts w:hint="eastAsia" w:ascii="宋体" w:hAnsi="宋体" w:eastAsia="宋体" w:cs="宋体"/>
          <w:b/>
          <w:color w:val="auto"/>
          <w:kern w:val="2"/>
          <w:sz w:val="30"/>
          <w:szCs w:val="32"/>
          <w:lang w:val="en-US" w:eastAsia="zh-CN" w:bidi="ar-SA"/>
        </w:rPr>
        <w:t xml:space="preserve">第九章  </w:t>
      </w:r>
      <w:bookmarkEnd w:id="514"/>
      <w:r>
        <w:rPr>
          <w:rFonts w:hint="eastAsia" w:ascii="宋体" w:hAnsi="宋体" w:eastAsia="宋体" w:cs="宋体"/>
          <w:b/>
          <w:color w:val="auto"/>
          <w:kern w:val="2"/>
          <w:sz w:val="30"/>
          <w:szCs w:val="32"/>
          <w:lang w:val="en-US" w:eastAsia="zh-CN" w:bidi="ar-SA"/>
        </w:rPr>
        <w:t>施工组织设计</w:t>
      </w:r>
    </w:p>
    <w:p w14:paraId="5C6CBDC4">
      <w:pPr>
        <w:tabs>
          <w:tab w:val="left" w:pos="6080"/>
        </w:tabs>
        <w:adjustRightInd w:val="0"/>
        <w:snapToGrid w:val="0"/>
        <w:spacing w:line="500" w:lineRule="exact"/>
        <w:ind w:right="112"/>
        <w:jc w:val="center"/>
        <w:rPr>
          <w:rFonts w:hint="eastAsia" w:ascii="宋体" w:hAnsi="宋体" w:eastAsia="宋体" w:cs="宋体"/>
          <w:b/>
          <w:color w:val="auto"/>
          <w:kern w:val="2"/>
          <w:sz w:val="30"/>
          <w:szCs w:val="32"/>
          <w:lang w:val="en-US" w:eastAsia="zh-CN" w:bidi="ar-SA"/>
        </w:rPr>
      </w:pPr>
      <w:r>
        <w:rPr>
          <w:rFonts w:hint="eastAsia" w:ascii="宋体" w:hAnsi="宋体" w:eastAsia="宋体" w:cs="宋体"/>
          <w:b/>
          <w:color w:val="auto"/>
          <w:kern w:val="2"/>
          <w:sz w:val="30"/>
          <w:szCs w:val="32"/>
          <w:lang w:val="en-US" w:eastAsia="zh-CN" w:bidi="ar-SA"/>
        </w:rPr>
        <w:t>（包含但不限于以下内容）</w:t>
      </w:r>
    </w:p>
    <w:p w14:paraId="4629113C">
      <w:pPr>
        <w:pStyle w:val="20"/>
        <w:rPr>
          <w:rFonts w:hint="eastAsia" w:ascii="宋体" w:hAnsi="宋体" w:eastAsia="宋体" w:cs="宋体"/>
          <w:color w:val="auto"/>
          <w:lang w:val="en-US" w:eastAsia="zh-CN"/>
        </w:rPr>
      </w:pPr>
    </w:p>
    <w:p w14:paraId="71C636D8">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14:paraId="7CCB68DD">
      <w:pPr>
        <w:tabs>
          <w:tab w:val="left" w:pos="6080"/>
        </w:tabs>
        <w:adjustRightInd w:val="0"/>
        <w:snapToGrid w:val="0"/>
        <w:spacing w:line="360" w:lineRule="auto"/>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工程概况及施工方案</w:t>
      </w:r>
    </w:p>
    <w:p w14:paraId="42B12B71">
      <w:pPr>
        <w:tabs>
          <w:tab w:val="left" w:pos="6080"/>
        </w:tabs>
        <w:adjustRightInd w:val="0"/>
        <w:snapToGrid w:val="0"/>
        <w:spacing w:line="360" w:lineRule="auto"/>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2、施工机械设备配备计划</w:t>
      </w:r>
    </w:p>
    <w:p w14:paraId="3961064D">
      <w:pPr>
        <w:tabs>
          <w:tab w:val="left" w:pos="6080"/>
        </w:tabs>
        <w:adjustRightInd w:val="0"/>
        <w:snapToGrid w:val="0"/>
        <w:spacing w:line="360" w:lineRule="auto"/>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w:t>
      </w:r>
      <w:r>
        <w:rPr>
          <w:rFonts w:hint="eastAsia" w:ascii="宋体" w:hAnsi="宋体" w:eastAsia="宋体" w:cs="宋体"/>
          <w:bCs/>
          <w:snapToGrid w:val="0"/>
          <w:color w:val="auto"/>
          <w:kern w:val="0"/>
          <w:sz w:val="24"/>
          <w:szCs w:val="24"/>
          <w:highlight w:val="none"/>
          <w:lang w:val="en-US" w:eastAsia="zh-CN"/>
        </w:rPr>
        <w:t>劳动力安排计划</w:t>
      </w:r>
    </w:p>
    <w:p w14:paraId="13356E76">
      <w:pPr>
        <w:tabs>
          <w:tab w:val="left" w:pos="6080"/>
        </w:tabs>
        <w:adjustRightInd w:val="0"/>
        <w:snapToGrid w:val="0"/>
        <w:spacing w:line="360" w:lineRule="auto"/>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w:t>
      </w:r>
      <w:r>
        <w:rPr>
          <w:rFonts w:hint="eastAsia" w:ascii="宋体" w:hAnsi="宋体" w:eastAsia="宋体" w:cs="宋体"/>
          <w:bCs/>
          <w:snapToGrid w:val="0"/>
          <w:color w:val="auto"/>
          <w:kern w:val="0"/>
          <w:sz w:val="24"/>
          <w:szCs w:val="24"/>
          <w:highlight w:val="none"/>
          <w:lang w:val="en-US" w:eastAsia="zh-CN"/>
        </w:rPr>
        <w:t>工期及保证措施</w:t>
      </w:r>
    </w:p>
    <w:p w14:paraId="62EB447F">
      <w:pPr>
        <w:tabs>
          <w:tab w:val="left" w:pos="6080"/>
        </w:tabs>
        <w:adjustRightInd w:val="0"/>
        <w:snapToGrid w:val="0"/>
        <w:spacing w:line="360" w:lineRule="auto"/>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5、工程质量保证措施</w:t>
      </w:r>
    </w:p>
    <w:p w14:paraId="275BB993">
      <w:pPr>
        <w:pStyle w:val="27"/>
        <w:spacing w:line="360" w:lineRule="auto"/>
        <w:ind w:left="0" w:leftChars="0" w:firstLine="0" w:firstLineChars="0"/>
        <w:rPr>
          <w:rFonts w:hint="eastAsia"/>
          <w:color w:val="auto"/>
          <w:lang w:val="en-US" w:eastAsia="zh-CN"/>
        </w:rPr>
      </w:pPr>
      <w:r>
        <w:rPr>
          <w:rFonts w:hint="eastAsia"/>
          <w:color w:val="auto"/>
          <w:lang w:val="en-US" w:eastAsia="zh-CN"/>
        </w:rPr>
        <w:t>6、安全保证措施</w:t>
      </w:r>
    </w:p>
    <w:p w14:paraId="6430E55A">
      <w:pPr>
        <w:pStyle w:val="27"/>
        <w:spacing w:line="360" w:lineRule="auto"/>
        <w:ind w:left="0" w:leftChars="0" w:firstLine="0" w:firstLineChars="0"/>
        <w:rPr>
          <w:rFonts w:hint="eastAsia"/>
          <w:color w:val="auto"/>
          <w:lang w:val="en-US" w:eastAsia="zh-CN"/>
        </w:rPr>
      </w:pPr>
      <w:r>
        <w:rPr>
          <w:rFonts w:hint="eastAsia"/>
          <w:color w:val="auto"/>
          <w:lang w:val="en-US" w:eastAsia="zh-CN"/>
        </w:rPr>
        <w:t>7、环境保护、水土保持管理体系与措施</w:t>
      </w:r>
    </w:p>
    <w:p w14:paraId="30B7F65D">
      <w:pPr>
        <w:pStyle w:val="27"/>
        <w:spacing w:line="360" w:lineRule="auto"/>
        <w:ind w:left="0" w:leftChars="0" w:firstLine="0" w:firstLineChars="0"/>
        <w:rPr>
          <w:rFonts w:hint="eastAsia"/>
          <w:color w:val="auto"/>
          <w:lang w:val="en-US" w:eastAsia="zh-CN"/>
        </w:rPr>
      </w:pPr>
      <w:r>
        <w:rPr>
          <w:rFonts w:hint="eastAsia"/>
          <w:color w:val="auto"/>
          <w:lang w:val="en-US" w:eastAsia="zh-CN"/>
        </w:rPr>
        <w:t>8、防洪度汛预案及有关施工其他措施和建议</w:t>
      </w:r>
    </w:p>
    <w:p w14:paraId="00F25ED3">
      <w:pPr>
        <w:rPr>
          <w:rFonts w:hint="eastAsia" w:ascii="宋体" w:hAnsi="宋体" w:eastAsia="宋体" w:cs="宋体"/>
          <w:color w:val="auto"/>
          <w:lang w:val="en-US" w:eastAsia="zh-CN"/>
        </w:rPr>
      </w:pPr>
    </w:p>
    <w:p w14:paraId="4570D830">
      <w:pPr>
        <w:pStyle w:val="3"/>
        <w:bidi w:val="0"/>
        <w:outlineLvl w:val="9"/>
        <w:rPr>
          <w:rFonts w:hint="eastAsia" w:ascii="宋体" w:hAnsi="宋体" w:eastAsia="宋体" w:cs="宋体"/>
          <w:color w:val="auto"/>
          <w:lang w:val="en-US" w:eastAsia="zh-CN"/>
        </w:rPr>
      </w:pPr>
    </w:p>
    <w:p w14:paraId="03107A9A">
      <w:pPr>
        <w:bidi w:val="0"/>
        <w:rPr>
          <w:rFonts w:hint="eastAsia" w:ascii="宋体" w:hAnsi="宋体" w:eastAsia="宋体" w:cs="宋体"/>
          <w:color w:val="auto"/>
          <w:lang w:val="en-US" w:eastAsia="zh-CN"/>
        </w:rPr>
      </w:pPr>
    </w:p>
    <w:p w14:paraId="0A1BF94A">
      <w:pPr>
        <w:pStyle w:val="37"/>
        <w:spacing w:line="500" w:lineRule="exact"/>
        <w:ind w:firstLine="0" w:firstLineChars="0"/>
        <w:jc w:val="center"/>
        <w:rPr>
          <w:rFonts w:hint="eastAsia" w:ascii="宋体" w:hAnsi="宋体" w:eastAsia="宋体" w:cs="宋体"/>
          <w:b/>
          <w:color w:val="auto"/>
          <w:sz w:val="32"/>
          <w:szCs w:val="32"/>
        </w:rPr>
      </w:pPr>
    </w:p>
    <w:p w14:paraId="5E376F8A">
      <w:pPr>
        <w:bidi w:val="0"/>
        <w:rPr>
          <w:rFonts w:hint="eastAsia" w:ascii="宋体" w:hAnsi="宋体" w:eastAsia="宋体" w:cs="宋体"/>
          <w:color w:val="auto"/>
          <w:lang w:val="en-US" w:eastAsia="zh-CN"/>
        </w:rPr>
      </w:pPr>
    </w:p>
    <w:p w14:paraId="625D6451">
      <w:pPr>
        <w:rPr>
          <w:rFonts w:hint="eastAsia" w:ascii="宋体" w:hAnsi="宋体" w:eastAsia="宋体" w:cs="宋体"/>
          <w:b/>
          <w:color w:val="auto"/>
          <w:kern w:val="2"/>
          <w:sz w:val="28"/>
          <w:szCs w:val="28"/>
          <w:lang w:val="en-US" w:eastAsia="zh-CN" w:bidi="ar-SA"/>
        </w:rPr>
      </w:pPr>
    </w:p>
    <w:p w14:paraId="5D804F5E">
      <w:pPr>
        <w:rPr>
          <w:rFonts w:hint="eastAsia" w:ascii="宋体" w:hAnsi="宋体" w:eastAsia="宋体" w:cs="宋体"/>
          <w:b/>
          <w:color w:val="auto"/>
          <w:kern w:val="2"/>
          <w:sz w:val="28"/>
          <w:szCs w:val="28"/>
          <w:lang w:val="en-US" w:eastAsia="zh-CN" w:bidi="ar-SA"/>
        </w:rPr>
      </w:pPr>
    </w:p>
    <w:p w14:paraId="31121DB0">
      <w:pPr>
        <w:rPr>
          <w:rFonts w:hint="eastAsia" w:ascii="宋体" w:hAnsi="宋体" w:eastAsia="宋体" w:cs="宋体"/>
          <w:b/>
          <w:color w:val="auto"/>
          <w:kern w:val="2"/>
          <w:sz w:val="28"/>
          <w:szCs w:val="28"/>
          <w:lang w:val="en-US" w:eastAsia="zh-CN" w:bidi="ar-SA"/>
        </w:rPr>
      </w:pPr>
    </w:p>
    <w:p w14:paraId="62FAA6B9">
      <w:pPr>
        <w:rPr>
          <w:rFonts w:hint="eastAsia" w:ascii="宋体" w:hAnsi="宋体" w:eastAsia="宋体" w:cs="宋体"/>
          <w:b/>
          <w:color w:val="auto"/>
          <w:kern w:val="2"/>
          <w:sz w:val="28"/>
          <w:szCs w:val="28"/>
          <w:lang w:val="en-US" w:eastAsia="zh-CN" w:bidi="ar-SA"/>
        </w:rPr>
      </w:pPr>
    </w:p>
    <w:p w14:paraId="064ACA54">
      <w:pPr>
        <w:rPr>
          <w:rFonts w:hint="eastAsia" w:ascii="宋体" w:hAnsi="宋体" w:eastAsia="宋体" w:cs="宋体"/>
          <w:b/>
          <w:color w:val="auto"/>
          <w:kern w:val="2"/>
          <w:sz w:val="28"/>
          <w:szCs w:val="28"/>
          <w:lang w:val="en-US" w:eastAsia="zh-CN" w:bidi="ar-SA"/>
        </w:rPr>
      </w:pPr>
    </w:p>
    <w:p w14:paraId="2EE6DE7A">
      <w:pPr>
        <w:rPr>
          <w:rFonts w:hint="eastAsia" w:ascii="宋体" w:hAnsi="宋体" w:eastAsia="宋体" w:cs="宋体"/>
          <w:b/>
          <w:color w:val="auto"/>
          <w:kern w:val="2"/>
          <w:sz w:val="28"/>
          <w:szCs w:val="28"/>
          <w:lang w:val="en-US" w:eastAsia="zh-CN" w:bidi="ar-SA"/>
        </w:rPr>
      </w:pPr>
    </w:p>
    <w:p w14:paraId="617FC5F4">
      <w:pPr>
        <w:rPr>
          <w:rFonts w:hint="eastAsia" w:ascii="宋体" w:hAnsi="宋体" w:eastAsia="宋体" w:cs="宋体"/>
          <w:b/>
          <w:color w:val="auto"/>
          <w:kern w:val="2"/>
          <w:sz w:val="28"/>
          <w:szCs w:val="28"/>
          <w:lang w:val="en-US" w:eastAsia="zh-CN" w:bidi="ar-SA"/>
        </w:rPr>
      </w:pPr>
    </w:p>
    <w:p w14:paraId="07189FC1">
      <w:pPr>
        <w:pStyle w:val="20"/>
        <w:rPr>
          <w:rFonts w:hint="eastAsia" w:ascii="宋体" w:hAnsi="宋体" w:eastAsia="宋体" w:cs="宋体"/>
          <w:b/>
          <w:color w:val="auto"/>
          <w:kern w:val="2"/>
          <w:sz w:val="28"/>
          <w:szCs w:val="28"/>
          <w:lang w:val="en-US" w:eastAsia="zh-CN" w:bidi="ar-SA"/>
        </w:rPr>
      </w:pPr>
    </w:p>
    <w:p w14:paraId="3205CB32">
      <w:pPr>
        <w:pStyle w:val="21"/>
        <w:rPr>
          <w:rFonts w:hint="eastAsia" w:ascii="宋体" w:hAnsi="宋体" w:eastAsia="宋体" w:cs="宋体"/>
          <w:color w:val="auto"/>
          <w:lang w:val="en-US" w:eastAsia="zh-CN"/>
        </w:rPr>
      </w:pPr>
    </w:p>
    <w:p w14:paraId="728C320A">
      <w:pPr>
        <w:bidi w:val="0"/>
        <w:jc w:val="center"/>
        <w:rPr>
          <w:rFonts w:hint="eastAsia" w:ascii="宋体" w:hAnsi="宋体" w:eastAsia="宋体" w:cs="宋体"/>
          <w:b/>
          <w:bCs/>
          <w:color w:val="auto"/>
        </w:rPr>
      </w:pPr>
      <w:bookmarkStart w:id="516" w:name="_Toc4194"/>
      <w:r>
        <w:rPr>
          <w:rFonts w:hint="eastAsia" w:ascii="宋体" w:hAnsi="宋体" w:eastAsia="宋体" w:cs="宋体"/>
          <w:b/>
          <w:color w:val="auto"/>
          <w:kern w:val="2"/>
          <w:sz w:val="30"/>
          <w:szCs w:val="32"/>
          <w:lang w:val="en-US" w:eastAsia="zh-CN" w:bidi="ar-SA"/>
        </w:rPr>
        <w:t xml:space="preserve">第十章  </w:t>
      </w:r>
      <w:bookmarkEnd w:id="515"/>
      <w:bookmarkEnd w:id="516"/>
      <w:r>
        <w:rPr>
          <w:rFonts w:hint="eastAsia" w:ascii="宋体" w:hAnsi="宋体" w:eastAsia="宋体" w:cs="宋体"/>
          <w:b/>
          <w:color w:val="auto"/>
          <w:kern w:val="2"/>
          <w:sz w:val="30"/>
          <w:szCs w:val="32"/>
          <w:lang w:val="en-US" w:eastAsia="zh-CN" w:bidi="ar-SA"/>
        </w:rPr>
        <w:t>供应商认为需要提供的其他资料</w:t>
      </w:r>
    </w:p>
    <w:p w14:paraId="045CBEC1">
      <w:pPr>
        <w:pStyle w:val="3"/>
        <w:jc w:val="center"/>
        <w:outlineLvl w:val="0"/>
        <w:rPr>
          <w:rFonts w:hint="eastAsia" w:ascii="宋体" w:hAnsi="宋体" w:eastAsia="宋体" w:cs="宋体"/>
          <w:b w:val="0"/>
          <w:bCs/>
          <w:snapToGrid w:val="0"/>
          <w:color w:val="auto"/>
          <w:kern w:val="0"/>
          <w:sz w:val="24"/>
          <w:szCs w:val="24"/>
          <w:highlight w:val="none"/>
          <w:lang w:val="en-US" w:eastAsia="zh-CN" w:bidi="ar-SA"/>
        </w:rPr>
      </w:pPr>
      <w:bookmarkStart w:id="517" w:name="_Toc19266"/>
      <w:bookmarkStart w:id="518" w:name="_Toc15237"/>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bookmarkEnd w:id="517"/>
    </w:p>
    <w:p w14:paraId="3E80BA6C">
      <w:pPr>
        <w:rPr>
          <w:rFonts w:hint="eastAsia" w:ascii="宋体" w:hAnsi="宋体" w:eastAsia="宋体" w:cs="宋体"/>
          <w:color w:val="auto"/>
          <w:highlight w:val="none"/>
        </w:rPr>
      </w:pPr>
    </w:p>
    <w:p w14:paraId="637690EE">
      <w:pPr>
        <w:pStyle w:val="20"/>
        <w:rPr>
          <w:rFonts w:hint="eastAsia" w:ascii="宋体" w:hAnsi="宋体" w:eastAsia="宋体" w:cs="宋体"/>
          <w:color w:val="auto"/>
          <w:highlight w:val="none"/>
        </w:rPr>
      </w:pPr>
    </w:p>
    <w:p w14:paraId="312FFAAD">
      <w:pPr>
        <w:pStyle w:val="21"/>
        <w:rPr>
          <w:rFonts w:hint="eastAsia" w:ascii="宋体" w:hAnsi="宋体" w:eastAsia="宋体" w:cs="宋体"/>
          <w:color w:val="auto"/>
          <w:highlight w:val="none"/>
        </w:rPr>
      </w:pPr>
    </w:p>
    <w:p w14:paraId="372E534F">
      <w:pPr>
        <w:rPr>
          <w:rFonts w:hint="eastAsia" w:ascii="宋体" w:hAnsi="宋体" w:eastAsia="宋体" w:cs="宋体"/>
          <w:color w:val="auto"/>
          <w:highlight w:val="none"/>
        </w:rPr>
      </w:pPr>
    </w:p>
    <w:p w14:paraId="0E8A6BD8">
      <w:pPr>
        <w:pStyle w:val="20"/>
        <w:rPr>
          <w:rFonts w:hint="eastAsia" w:ascii="宋体" w:hAnsi="宋体" w:eastAsia="宋体" w:cs="宋体"/>
          <w:color w:val="auto"/>
          <w:highlight w:val="none"/>
        </w:rPr>
      </w:pPr>
    </w:p>
    <w:p w14:paraId="43E4B179">
      <w:pPr>
        <w:pStyle w:val="21"/>
        <w:rPr>
          <w:rFonts w:hint="eastAsia" w:ascii="宋体" w:hAnsi="宋体" w:eastAsia="宋体" w:cs="宋体"/>
          <w:color w:val="auto"/>
          <w:highlight w:val="none"/>
        </w:rPr>
      </w:pPr>
    </w:p>
    <w:p w14:paraId="035C8C8D">
      <w:pPr>
        <w:rPr>
          <w:rFonts w:hint="eastAsia" w:ascii="宋体" w:hAnsi="宋体" w:eastAsia="宋体" w:cs="宋体"/>
          <w:color w:val="auto"/>
          <w:highlight w:val="none"/>
        </w:rPr>
      </w:pPr>
    </w:p>
    <w:p w14:paraId="18C26291">
      <w:pPr>
        <w:pStyle w:val="20"/>
        <w:rPr>
          <w:rFonts w:hint="eastAsia" w:ascii="宋体" w:hAnsi="宋体" w:eastAsia="宋体" w:cs="宋体"/>
          <w:color w:val="auto"/>
          <w:highlight w:val="none"/>
        </w:rPr>
      </w:pPr>
    </w:p>
    <w:p w14:paraId="51419033">
      <w:pPr>
        <w:pStyle w:val="21"/>
        <w:rPr>
          <w:rFonts w:hint="eastAsia" w:ascii="宋体" w:hAnsi="宋体" w:eastAsia="宋体" w:cs="宋体"/>
          <w:color w:val="auto"/>
        </w:rPr>
      </w:pPr>
    </w:p>
    <w:p w14:paraId="46938DAB">
      <w:pPr>
        <w:pStyle w:val="21"/>
        <w:rPr>
          <w:rFonts w:hint="eastAsia" w:ascii="宋体" w:hAnsi="宋体" w:eastAsia="宋体" w:cs="宋体"/>
          <w:color w:val="auto"/>
          <w:highlight w:val="none"/>
        </w:rPr>
      </w:pPr>
    </w:p>
    <w:p w14:paraId="4B7AA0E4">
      <w:pPr>
        <w:rPr>
          <w:rFonts w:hint="eastAsia" w:ascii="宋体" w:hAnsi="宋体" w:eastAsia="宋体" w:cs="宋体"/>
          <w:color w:val="auto"/>
          <w:highlight w:val="none"/>
        </w:rPr>
      </w:pPr>
    </w:p>
    <w:p w14:paraId="4691EB47">
      <w:pPr>
        <w:pStyle w:val="20"/>
        <w:rPr>
          <w:rFonts w:hint="eastAsia" w:ascii="宋体" w:hAnsi="宋体" w:eastAsia="宋体" w:cs="宋体"/>
          <w:color w:val="auto"/>
          <w:highlight w:val="none"/>
        </w:rPr>
      </w:pPr>
    </w:p>
    <w:p w14:paraId="31733AD4">
      <w:pPr>
        <w:pStyle w:val="21"/>
        <w:rPr>
          <w:rFonts w:hint="eastAsia" w:ascii="宋体" w:hAnsi="宋体" w:eastAsia="宋体" w:cs="宋体"/>
          <w:color w:val="auto"/>
          <w:highlight w:val="none"/>
        </w:rPr>
      </w:pPr>
    </w:p>
    <w:p w14:paraId="0977EA34">
      <w:pPr>
        <w:rPr>
          <w:rFonts w:hint="eastAsia" w:ascii="宋体" w:hAnsi="宋体" w:eastAsia="宋体" w:cs="宋体"/>
          <w:color w:val="auto"/>
          <w:highlight w:val="none"/>
        </w:rPr>
      </w:pPr>
    </w:p>
    <w:p w14:paraId="29986A12">
      <w:pPr>
        <w:pStyle w:val="20"/>
        <w:rPr>
          <w:rFonts w:hint="eastAsia" w:ascii="宋体" w:hAnsi="宋体" w:eastAsia="宋体" w:cs="宋体"/>
          <w:color w:val="auto"/>
          <w:highlight w:val="none"/>
        </w:rPr>
      </w:pPr>
    </w:p>
    <w:p w14:paraId="43B48381">
      <w:pPr>
        <w:pStyle w:val="21"/>
        <w:rPr>
          <w:rFonts w:hint="eastAsia" w:ascii="宋体" w:hAnsi="宋体" w:eastAsia="宋体" w:cs="宋体"/>
          <w:color w:val="auto"/>
          <w:highlight w:val="none"/>
        </w:rPr>
      </w:pPr>
    </w:p>
    <w:p w14:paraId="04F52C0D">
      <w:pPr>
        <w:rPr>
          <w:rFonts w:hint="eastAsia" w:ascii="宋体" w:hAnsi="宋体" w:eastAsia="宋体" w:cs="宋体"/>
          <w:color w:val="auto"/>
          <w:highlight w:val="none"/>
        </w:rPr>
      </w:pPr>
    </w:p>
    <w:p w14:paraId="7DBE486F">
      <w:pPr>
        <w:pStyle w:val="20"/>
        <w:rPr>
          <w:rFonts w:hint="eastAsia" w:ascii="宋体" w:hAnsi="宋体" w:eastAsia="宋体" w:cs="宋体"/>
          <w:color w:val="auto"/>
          <w:highlight w:val="none"/>
        </w:rPr>
      </w:pPr>
    </w:p>
    <w:p w14:paraId="0C2CB152">
      <w:pPr>
        <w:pStyle w:val="21"/>
        <w:rPr>
          <w:rFonts w:hint="eastAsia" w:ascii="宋体" w:hAnsi="宋体" w:eastAsia="宋体" w:cs="宋体"/>
          <w:color w:val="auto"/>
          <w:highlight w:val="none"/>
        </w:rPr>
      </w:pPr>
    </w:p>
    <w:p w14:paraId="3BD8449F">
      <w:pPr>
        <w:rPr>
          <w:rFonts w:hint="eastAsia" w:ascii="宋体" w:hAnsi="宋体" w:eastAsia="宋体" w:cs="宋体"/>
          <w:color w:val="auto"/>
          <w:highlight w:val="none"/>
        </w:rPr>
      </w:pPr>
    </w:p>
    <w:p w14:paraId="5B13934D">
      <w:pPr>
        <w:pStyle w:val="20"/>
        <w:rPr>
          <w:rFonts w:hint="eastAsia" w:ascii="宋体" w:hAnsi="宋体" w:eastAsia="宋体" w:cs="宋体"/>
          <w:color w:val="auto"/>
          <w:highlight w:val="none"/>
        </w:rPr>
      </w:pPr>
    </w:p>
    <w:p w14:paraId="33CC6D7E">
      <w:pPr>
        <w:pStyle w:val="21"/>
        <w:rPr>
          <w:rFonts w:hint="eastAsia" w:ascii="宋体" w:hAnsi="宋体" w:eastAsia="宋体" w:cs="宋体"/>
          <w:color w:val="auto"/>
          <w:highlight w:val="none"/>
        </w:rPr>
      </w:pPr>
    </w:p>
    <w:p w14:paraId="7A020363">
      <w:pPr>
        <w:rPr>
          <w:rFonts w:hint="eastAsia" w:ascii="宋体" w:hAnsi="宋体" w:eastAsia="宋体" w:cs="宋体"/>
          <w:color w:val="auto"/>
          <w:highlight w:val="none"/>
        </w:rPr>
      </w:pPr>
    </w:p>
    <w:p w14:paraId="2B296B74">
      <w:pPr>
        <w:pStyle w:val="20"/>
        <w:rPr>
          <w:rFonts w:hint="eastAsia" w:ascii="宋体" w:hAnsi="宋体" w:eastAsia="宋体" w:cs="宋体"/>
          <w:color w:val="auto"/>
          <w:highlight w:val="none"/>
        </w:rPr>
      </w:pPr>
    </w:p>
    <w:bookmarkEnd w:id="518"/>
    <w:p w14:paraId="3784DE55">
      <w:pPr>
        <w:pStyle w:val="2"/>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0"/>
        <w:rPr>
          <w:rFonts w:hint="eastAsia" w:ascii="宋体" w:hAnsi="宋体" w:eastAsia="宋体" w:cs="宋体"/>
          <w:color w:val="auto"/>
          <w:sz w:val="28"/>
          <w:szCs w:val="28"/>
          <w:lang w:val="en-US" w:eastAsia="zh-CN"/>
        </w:rPr>
      </w:pPr>
      <w:bookmarkStart w:id="519" w:name="_Toc12541"/>
      <w:bookmarkStart w:id="520" w:name="_Toc26429"/>
      <w:bookmarkStart w:id="521" w:name="_Toc16795"/>
      <w:r>
        <w:rPr>
          <w:rFonts w:hint="eastAsia" w:ascii="宋体" w:hAnsi="宋体" w:eastAsia="宋体" w:cs="宋体"/>
          <w:color w:val="auto"/>
          <w:sz w:val="28"/>
          <w:szCs w:val="28"/>
          <w:lang w:val="en-US" w:eastAsia="zh-CN"/>
        </w:rPr>
        <w:t>第七部分 其他</w:t>
      </w:r>
      <w:bookmarkEnd w:id="519"/>
      <w:bookmarkEnd w:id="520"/>
      <w:bookmarkEnd w:id="521"/>
      <w:r>
        <w:rPr>
          <w:rFonts w:hint="eastAsia" w:ascii="宋体" w:hAnsi="宋体" w:eastAsia="宋体" w:cs="宋体"/>
          <w:color w:val="auto"/>
          <w:sz w:val="28"/>
          <w:szCs w:val="28"/>
          <w:lang w:val="en-US" w:eastAsia="zh-CN"/>
        </w:rPr>
        <w:t xml:space="preserve"> </w:t>
      </w:r>
    </w:p>
    <w:p w14:paraId="7530B1AC">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281" w:firstLineChars="100"/>
        <w:jc w:val="both"/>
        <w:textAlignment w:val="auto"/>
        <w:outlineLvl w:val="0"/>
        <w:rPr>
          <w:rFonts w:hint="eastAsia" w:ascii="宋体" w:hAnsi="宋体" w:eastAsia="宋体" w:cs="宋体"/>
          <w:color w:val="auto"/>
          <w:sz w:val="28"/>
          <w:szCs w:val="28"/>
          <w:lang w:val="en-US" w:eastAsia="zh-CN"/>
        </w:rPr>
      </w:pPr>
      <w:bookmarkStart w:id="522" w:name="_Toc11653"/>
      <w:r>
        <w:rPr>
          <w:rFonts w:hint="eastAsia" w:ascii="宋体" w:hAnsi="宋体" w:eastAsia="宋体" w:cs="宋体"/>
          <w:color w:val="auto"/>
          <w:sz w:val="28"/>
          <w:szCs w:val="28"/>
          <w:lang w:val="en-US" w:eastAsia="zh-CN"/>
        </w:rPr>
        <w:t>附件1：二次报价表</w:t>
      </w:r>
      <w:bookmarkEnd w:id="522"/>
    </w:p>
    <w:p w14:paraId="549F1FB2">
      <w:pPr>
        <w:pStyle w:val="4"/>
        <w:keepNext/>
        <w:keepLines/>
        <w:pageBreakBefore w:val="0"/>
        <w:widowControl w:val="0"/>
        <w:kinsoku/>
        <w:wordWrap/>
        <w:overflowPunct/>
        <w:topLinePunct w:val="0"/>
        <w:autoSpaceDE/>
        <w:autoSpaceDN/>
        <w:bidi w:val="0"/>
        <w:adjustRightInd/>
        <w:snapToGrid/>
        <w:spacing w:before="0" w:after="0" w:line="360" w:lineRule="auto"/>
        <w:jc w:val="right"/>
        <w:textAlignment w:val="auto"/>
        <w:outlineLvl w:val="0"/>
        <w:rPr>
          <w:rFonts w:hint="eastAsia" w:ascii="宋体" w:hAnsi="宋体" w:eastAsia="宋体" w:cs="宋体"/>
          <w:color w:val="auto"/>
          <w:sz w:val="24"/>
          <w:szCs w:val="24"/>
          <w:lang w:val="en-US" w:eastAsia="zh-CN"/>
        </w:rPr>
      </w:pPr>
      <w:bookmarkStart w:id="523" w:name="_Toc31025"/>
      <w:r>
        <w:rPr>
          <w:rFonts w:hint="eastAsia" w:ascii="宋体" w:hAnsi="宋体" w:eastAsia="宋体" w:cs="宋体"/>
          <w:color w:val="auto"/>
          <w:sz w:val="24"/>
          <w:szCs w:val="24"/>
          <w:lang w:val="en-US" w:eastAsia="zh-CN"/>
        </w:rPr>
        <w:t>单位：元</w:t>
      </w:r>
      <w:bookmarkEnd w:id="523"/>
    </w:p>
    <w:tbl>
      <w:tblPr>
        <w:tblStyle w:val="22"/>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14:paraId="26CA594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14:paraId="04B13BD1">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14:paraId="567FE363">
            <w:pPr>
              <w:spacing w:line="360" w:lineRule="auto"/>
              <w:rPr>
                <w:rFonts w:hint="eastAsia" w:ascii="宋体" w:hAnsi="宋体" w:eastAsia="宋体" w:cs="宋体"/>
                <w:b/>
                <w:color w:val="auto"/>
                <w:kern w:val="2"/>
                <w:sz w:val="24"/>
                <w:szCs w:val="24"/>
                <w:lang w:val="en-US" w:eastAsia="zh-CN" w:bidi="ar-SA"/>
              </w:rPr>
            </w:pPr>
          </w:p>
        </w:tc>
      </w:tr>
      <w:tr w14:paraId="4892926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14:paraId="40C3B92F">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14:paraId="66D488D5">
            <w:pPr>
              <w:spacing w:line="360" w:lineRule="auto"/>
              <w:rPr>
                <w:rFonts w:hint="eastAsia" w:ascii="宋体" w:hAnsi="宋体" w:eastAsia="宋体" w:cs="宋体"/>
                <w:bCs/>
                <w:color w:val="auto"/>
                <w:sz w:val="24"/>
                <w:szCs w:val="24"/>
                <w:lang w:eastAsia="zh-CN"/>
              </w:rPr>
            </w:pPr>
          </w:p>
        </w:tc>
      </w:tr>
      <w:tr w14:paraId="7E9972C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14:paraId="058B689A">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14:paraId="7576017A">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14:paraId="69394615">
            <w:pPr>
              <w:spacing w:line="360" w:lineRule="auto"/>
              <w:jc w:val="center"/>
              <w:rPr>
                <w:rFonts w:hint="eastAsia" w:ascii="宋体" w:hAnsi="宋体" w:eastAsia="宋体" w:cs="宋体"/>
                <w:b/>
                <w:bCs/>
                <w:color w:val="auto"/>
                <w:sz w:val="24"/>
                <w:szCs w:val="24"/>
              </w:rPr>
            </w:pPr>
          </w:p>
        </w:tc>
      </w:tr>
      <w:tr w14:paraId="05AB6FA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14:paraId="0C88005A">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磋商</w:t>
            </w:r>
            <w:r>
              <w:rPr>
                <w:rFonts w:hint="eastAsia" w:ascii="宋体" w:hAnsi="宋体" w:eastAsia="宋体" w:cs="宋体"/>
                <w:b/>
                <w:bCs/>
                <w:color w:val="auto"/>
                <w:sz w:val="24"/>
                <w:szCs w:val="24"/>
              </w:rPr>
              <w:t>报价</w:t>
            </w:r>
          </w:p>
        </w:tc>
        <w:tc>
          <w:tcPr>
            <w:tcW w:w="6981" w:type="dxa"/>
            <w:noWrap w:val="0"/>
            <w:vAlign w:val="top"/>
          </w:tcPr>
          <w:p w14:paraId="060CA107">
            <w:pPr>
              <w:spacing w:line="360" w:lineRule="auto"/>
              <w:rPr>
                <w:rFonts w:hint="eastAsia" w:ascii="宋体" w:hAnsi="宋体" w:eastAsia="宋体" w:cs="宋体"/>
                <w:b/>
                <w:bCs/>
                <w:color w:val="auto"/>
                <w:sz w:val="24"/>
                <w:szCs w:val="24"/>
                <w:lang w:eastAsia="zh-CN"/>
              </w:rPr>
            </w:pPr>
          </w:p>
          <w:p w14:paraId="12EF4C26">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p>
          <w:p w14:paraId="1B777EF3">
            <w:pPr>
              <w:pStyle w:val="10"/>
              <w:spacing w:line="360" w:lineRule="auto"/>
              <w:rPr>
                <w:rFonts w:hint="eastAsia" w:ascii="宋体" w:hAnsi="宋体" w:eastAsia="宋体" w:cs="宋体"/>
                <w:color w:val="auto"/>
                <w:sz w:val="24"/>
                <w:szCs w:val="24"/>
                <w:lang w:val="en-US" w:eastAsia="zh-CN"/>
              </w:rPr>
            </w:pPr>
          </w:p>
          <w:p w14:paraId="5E86CCB6">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14:paraId="736323D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14:paraId="049684FB">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14:paraId="7A2C12E0">
            <w:pPr>
              <w:spacing w:line="360" w:lineRule="auto"/>
              <w:rPr>
                <w:rFonts w:hint="eastAsia" w:ascii="宋体" w:hAnsi="宋体" w:eastAsia="宋体" w:cs="宋体"/>
                <w:b/>
                <w:bCs/>
                <w:color w:val="auto"/>
                <w:sz w:val="24"/>
                <w:szCs w:val="24"/>
              </w:rPr>
            </w:pPr>
          </w:p>
        </w:tc>
      </w:tr>
      <w:tr w14:paraId="6260B8D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14:paraId="5EEBE0E7">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质量要求</w:t>
            </w:r>
          </w:p>
        </w:tc>
        <w:tc>
          <w:tcPr>
            <w:tcW w:w="6981" w:type="dxa"/>
            <w:noWrap w:val="0"/>
            <w:vAlign w:val="top"/>
          </w:tcPr>
          <w:p w14:paraId="53AD65FE">
            <w:pPr>
              <w:spacing w:line="360" w:lineRule="auto"/>
              <w:rPr>
                <w:rFonts w:hint="eastAsia" w:ascii="宋体" w:hAnsi="宋体" w:eastAsia="宋体" w:cs="宋体"/>
                <w:b/>
                <w:bCs/>
                <w:color w:val="auto"/>
                <w:sz w:val="24"/>
                <w:szCs w:val="24"/>
              </w:rPr>
            </w:pPr>
          </w:p>
        </w:tc>
      </w:tr>
    </w:tbl>
    <w:p w14:paraId="5629C490">
      <w:pPr>
        <w:spacing w:line="360" w:lineRule="auto"/>
        <w:rPr>
          <w:rFonts w:hint="eastAsia" w:ascii="宋体" w:hAnsi="宋体" w:eastAsia="宋体" w:cs="宋体"/>
          <w:color w:val="auto"/>
          <w:sz w:val="24"/>
          <w:szCs w:val="24"/>
        </w:rPr>
      </w:pPr>
    </w:p>
    <w:p w14:paraId="2311AC0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14:paraId="69E76445">
      <w:pPr>
        <w:spacing w:line="360" w:lineRule="auto"/>
        <w:rPr>
          <w:rFonts w:hint="eastAsia" w:ascii="宋体" w:hAnsi="宋体" w:eastAsia="宋体" w:cs="宋体"/>
          <w:color w:val="auto"/>
          <w:sz w:val="24"/>
          <w:szCs w:val="24"/>
        </w:rPr>
      </w:pPr>
    </w:p>
    <w:p w14:paraId="62B734C3">
      <w:pPr>
        <w:spacing w:line="360" w:lineRule="auto"/>
        <w:rPr>
          <w:rFonts w:hint="eastAsia" w:ascii="宋体" w:hAnsi="宋体" w:eastAsia="宋体" w:cs="宋体"/>
          <w:color w:val="auto"/>
          <w:sz w:val="24"/>
          <w:szCs w:val="24"/>
        </w:rPr>
      </w:pPr>
    </w:p>
    <w:p w14:paraId="72B9069D">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w:t>
      </w:r>
      <w:r>
        <w:rPr>
          <w:rFonts w:hint="eastAsia" w:ascii="宋体" w:hAnsi="宋体" w:eastAsia="宋体" w:cs="宋体"/>
          <w:color w:val="auto"/>
          <w:sz w:val="24"/>
          <w:szCs w:val="24"/>
          <w:u w:val="single"/>
        </w:rPr>
        <w:t xml:space="preserve">                  </w:t>
      </w:r>
      <w:r>
        <w:rPr>
          <w:rFonts w:hint="eastAsia"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p>
    <w:p w14:paraId="09213FD4">
      <w:pPr>
        <w:spacing w:line="360" w:lineRule="auto"/>
        <w:ind w:right="-161" w:firstLine="2640" w:firstLineChars="1100"/>
        <w:rPr>
          <w:rFonts w:hint="eastAsia" w:ascii="宋体" w:hAnsi="宋体" w:eastAsia="宋体" w:cs="宋体"/>
          <w:color w:val="auto"/>
          <w:sz w:val="24"/>
          <w:szCs w:val="24"/>
        </w:rPr>
      </w:pPr>
    </w:p>
    <w:p w14:paraId="77523850">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14:paraId="575FAFAE">
      <w:pPr>
        <w:spacing w:line="360" w:lineRule="auto"/>
        <w:ind w:right="-161" w:firstLine="2640" w:firstLineChars="1100"/>
        <w:rPr>
          <w:rFonts w:hint="eastAsia" w:ascii="宋体" w:hAnsi="宋体" w:eastAsia="宋体" w:cs="宋体"/>
          <w:color w:val="auto"/>
          <w:sz w:val="24"/>
          <w:szCs w:val="24"/>
        </w:rPr>
      </w:pPr>
    </w:p>
    <w:p w14:paraId="4A8AE445">
      <w:pPr>
        <w:pStyle w:val="13"/>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14:paraId="5627B757">
      <w:pPr>
        <w:pStyle w:val="13"/>
        <w:ind w:firstLine="2640" w:firstLineChars="1100"/>
        <w:rPr>
          <w:rFonts w:hint="eastAsia" w:ascii="宋体" w:hAnsi="宋体" w:eastAsia="宋体" w:cs="宋体"/>
          <w:color w:val="auto"/>
          <w:sz w:val="24"/>
          <w:szCs w:val="24"/>
          <w:u w:val="single"/>
        </w:rPr>
      </w:pPr>
    </w:p>
    <w:p w14:paraId="35888D83">
      <w:pPr>
        <w:pStyle w:val="13"/>
        <w:jc w:val="left"/>
        <w:rPr>
          <w:rFonts w:hint="eastAsia" w:ascii="宋体" w:hAnsi="宋体" w:eastAsia="宋体" w:cs="宋体"/>
          <w:b/>
          <w:bCs/>
          <w:color w:val="auto"/>
        </w:rPr>
      </w:pPr>
      <w:r>
        <w:rPr>
          <w:rFonts w:hint="eastAsia" w:ascii="宋体" w:hAnsi="宋体" w:eastAsia="宋体" w:cs="宋体"/>
          <w:b/>
          <w:color w:val="auto"/>
          <w:kern w:val="2"/>
          <w:sz w:val="28"/>
          <w:szCs w:val="28"/>
          <w:lang w:eastAsia="zh-CN"/>
        </w:rPr>
        <w:t>（</w:t>
      </w:r>
      <w:r>
        <w:rPr>
          <w:rFonts w:hint="eastAsia" w:ascii="宋体" w:hAnsi="宋体" w:eastAsia="宋体" w:cs="宋体"/>
          <w:b/>
          <w:color w:val="auto"/>
          <w:kern w:val="2"/>
          <w:sz w:val="28"/>
          <w:szCs w:val="28"/>
        </w:rPr>
        <w:t>注：现场报价使用表格，</w:t>
      </w:r>
      <w:r>
        <w:rPr>
          <w:rFonts w:hint="eastAsia" w:ascii="宋体" w:hAnsi="宋体" w:eastAsia="宋体" w:cs="宋体"/>
          <w:b/>
          <w:color w:val="auto"/>
          <w:kern w:val="2"/>
          <w:sz w:val="28"/>
          <w:szCs w:val="28"/>
          <w:lang w:val="en-US" w:eastAsia="zh-CN"/>
        </w:rPr>
        <w:t>供应商自行准备，</w:t>
      </w:r>
      <w:r>
        <w:rPr>
          <w:rFonts w:hint="eastAsia" w:ascii="宋体" w:hAnsi="宋体" w:eastAsia="宋体" w:cs="宋体"/>
          <w:b/>
          <w:color w:val="auto"/>
          <w:kern w:val="2"/>
          <w:sz w:val="28"/>
          <w:szCs w:val="28"/>
        </w:rPr>
        <w:t>不</w:t>
      </w:r>
      <w:r>
        <w:rPr>
          <w:rFonts w:hint="eastAsia" w:ascii="宋体" w:hAnsi="宋体" w:eastAsia="宋体" w:cs="宋体"/>
          <w:b/>
          <w:color w:val="auto"/>
          <w:kern w:val="2"/>
          <w:sz w:val="28"/>
          <w:szCs w:val="28"/>
          <w:lang w:val="en-US" w:eastAsia="zh-CN"/>
        </w:rPr>
        <w:t>可编制</w:t>
      </w:r>
      <w:r>
        <w:rPr>
          <w:rFonts w:hint="eastAsia" w:ascii="宋体" w:hAnsi="宋体" w:eastAsia="宋体" w:cs="宋体"/>
          <w:b/>
          <w:color w:val="auto"/>
          <w:kern w:val="2"/>
          <w:sz w:val="28"/>
          <w:szCs w:val="28"/>
        </w:rPr>
        <w:t>在</w:t>
      </w:r>
      <w:r>
        <w:rPr>
          <w:rFonts w:hint="eastAsia" w:ascii="宋体" w:hAnsi="宋体" w:eastAsia="宋体" w:cs="宋体"/>
          <w:b/>
          <w:color w:val="auto"/>
          <w:kern w:val="2"/>
          <w:sz w:val="28"/>
          <w:szCs w:val="28"/>
          <w:lang w:val="en-US" w:eastAsia="zh-CN"/>
        </w:rPr>
        <w:t>磋商响应</w:t>
      </w:r>
      <w:r>
        <w:rPr>
          <w:rFonts w:hint="eastAsia" w:ascii="宋体" w:hAnsi="宋体" w:eastAsia="宋体" w:cs="宋体"/>
          <w:b/>
          <w:color w:val="auto"/>
          <w:kern w:val="2"/>
          <w:sz w:val="28"/>
          <w:szCs w:val="28"/>
        </w:rPr>
        <w:t>文件中使用</w:t>
      </w:r>
      <w:r>
        <w:rPr>
          <w:rFonts w:hint="eastAsia" w:ascii="宋体" w:hAnsi="宋体" w:eastAsia="宋体" w:cs="宋体"/>
          <w:b/>
          <w:color w:val="auto"/>
          <w:kern w:val="2"/>
          <w:sz w:val="28"/>
          <w:szCs w:val="28"/>
          <w:lang w:eastAsia="zh-CN"/>
        </w:rPr>
        <w:t>）</w:t>
      </w:r>
    </w:p>
    <w:p w14:paraId="1C6E5CBA">
      <w:pPr>
        <w:pStyle w:val="5"/>
        <w:numPr>
          <w:ilvl w:val="3"/>
          <w:numId w:val="0"/>
        </w:numPr>
        <w:ind w:leftChars="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14:paraId="78F2A914">
      <w:pPr>
        <w:pStyle w:val="5"/>
        <w:numPr>
          <w:ilvl w:val="3"/>
          <w:numId w:val="0"/>
        </w:numPr>
        <w:ind w:leftChars="0"/>
        <w:jc w:val="center"/>
        <w:rPr>
          <w:rFonts w:hint="eastAsia" w:ascii="宋体" w:hAnsi="宋体" w:eastAsia="宋体" w:cs="宋体"/>
          <w:color w:val="auto"/>
        </w:rPr>
      </w:pPr>
      <w:r>
        <w:rPr>
          <w:rFonts w:hint="eastAsia" w:ascii="宋体" w:hAnsi="宋体" w:eastAsia="宋体" w:cs="宋体"/>
          <w:color w:val="auto"/>
        </w:rPr>
        <w:drawing>
          <wp:inline distT="0" distB="0" distL="114300" distR="114300">
            <wp:extent cx="5069840" cy="7247890"/>
            <wp:effectExtent l="0" t="0" r="1651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069840" cy="7247890"/>
                    </a:xfrm>
                    <a:prstGeom prst="rect">
                      <a:avLst/>
                    </a:prstGeom>
                    <a:noFill/>
                    <a:ln>
                      <a:noFill/>
                    </a:ln>
                  </pic:spPr>
                </pic:pic>
              </a:graphicData>
            </a:graphic>
          </wp:inline>
        </w:drawing>
      </w:r>
    </w:p>
    <w:p w14:paraId="5001BC15">
      <w:pPr>
        <w:rPr>
          <w:rFonts w:hint="eastAsia" w:ascii="宋体" w:hAnsi="宋体" w:eastAsia="宋体" w:cs="宋体"/>
          <w:color w:val="auto"/>
        </w:rPr>
      </w:pPr>
    </w:p>
    <w:p w14:paraId="23E4D840">
      <w:pPr>
        <w:pStyle w:val="5"/>
        <w:numPr>
          <w:ilvl w:val="3"/>
          <w:numId w:val="0"/>
        </w:numPr>
        <w:ind w:leftChars="0"/>
        <w:outlineLvl w:val="9"/>
        <w:rPr>
          <w:rFonts w:hint="eastAsia" w:ascii="宋体" w:hAnsi="宋体" w:eastAsia="宋体" w:cs="宋体"/>
          <w:color w:val="auto"/>
        </w:rPr>
      </w:pPr>
      <w:r>
        <w:rPr>
          <w:rFonts w:hint="eastAsia" w:ascii="宋体" w:hAnsi="宋体" w:eastAsia="宋体" w:cs="宋体"/>
          <w:color w:val="auto"/>
        </w:rPr>
        <w:drawing>
          <wp:inline distT="0" distB="0" distL="114300" distR="114300">
            <wp:extent cx="5200650" cy="6962775"/>
            <wp:effectExtent l="0" t="0" r="0"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4"/>
                    <a:stretch>
                      <a:fillRect/>
                    </a:stretch>
                  </pic:blipFill>
                  <pic:spPr>
                    <a:xfrm>
                      <a:off x="0" y="0"/>
                      <a:ext cx="5200650" cy="6962775"/>
                    </a:xfrm>
                    <a:prstGeom prst="rect">
                      <a:avLst/>
                    </a:prstGeom>
                    <a:noFill/>
                    <a:ln>
                      <a:noFill/>
                    </a:ln>
                  </pic:spPr>
                </pic:pic>
              </a:graphicData>
            </a:graphic>
          </wp:inline>
        </w:drawing>
      </w:r>
    </w:p>
    <w:p w14:paraId="27D46AFF">
      <w:pPr>
        <w:rPr>
          <w:rFonts w:hint="eastAsia" w:ascii="宋体" w:hAnsi="宋体" w:eastAsia="宋体" w:cs="宋体"/>
          <w:color w:val="auto"/>
        </w:rPr>
      </w:pPr>
    </w:p>
    <w:p w14:paraId="6C62776C">
      <w:pPr>
        <w:pStyle w:val="5"/>
        <w:numPr>
          <w:ilvl w:val="3"/>
          <w:numId w:val="0"/>
        </w:numPr>
        <w:ind w:leftChars="0"/>
        <w:outlineLvl w:val="9"/>
        <w:rPr>
          <w:rFonts w:hint="eastAsia" w:ascii="宋体" w:hAnsi="宋体" w:eastAsia="宋体" w:cs="宋体"/>
          <w:color w:val="auto"/>
        </w:rPr>
      </w:pPr>
    </w:p>
    <w:p w14:paraId="54DE17BF">
      <w:pPr>
        <w:rPr>
          <w:rFonts w:hint="eastAsia" w:ascii="宋体" w:hAnsi="宋体" w:eastAsia="宋体" w:cs="宋体"/>
          <w:color w:val="auto"/>
        </w:rPr>
      </w:pPr>
    </w:p>
    <w:p w14:paraId="3507A695">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5"/>
                    <a:stretch>
                      <a:fillRect/>
                    </a:stretch>
                  </pic:blipFill>
                  <pic:spPr>
                    <a:xfrm>
                      <a:off x="0" y="0"/>
                      <a:ext cx="6110605" cy="3481070"/>
                    </a:xfrm>
                    <a:prstGeom prst="rect">
                      <a:avLst/>
                    </a:prstGeom>
                    <a:noFill/>
                    <a:ln>
                      <a:noFill/>
                    </a:ln>
                  </pic:spPr>
                </pic:pic>
              </a:graphicData>
            </a:graphic>
          </wp:inline>
        </w:drawing>
      </w:r>
    </w:p>
    <w:p w14:paraId="3A0444DE">
      <w:pPr>
        <w:spacing w:line="360" w:lineRule="auto"/>
        <w:jc w:val="both"/>
        <w:rPr>
          <w:rFonts w:hint="eastAsia" w:ascii="宋体" w:hAnsi="宋体" w:eastAsia="宋体" w:cs="宋体"/>
          <w:color w:val="auto"/>
        </w:rPr>
      </w:pPr>
    </w:p>
    <w:p w14:paraId="42CC5A0A">
      <w:pPr>
        <w:pStyle w:val="5"/>
        <w:numPr>
          <w:ilvl w:val="3"/>
          <w:numId w:val="0"/>
        </w:numPr>
        <w:ind w:leftChars="0"/>
        <w:outlineLvl w:val="9"/>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6"/>
                    <a:stretch>
                      <a:fillRect/>
                    </a:stretch>
                  </pic:blipFill>
                  <pic:spPr>
                    <a:xfrm>
                      <a:off x="0" y="0"/>
                      <a:ext cx="6172200" cy="3448685"/>
                    </a:xfrm>
                    <a:prstGeom prst="rect">
                      <a:avLst/>
                    </a:prstGeom>
                    <a:noFill/>
                    <a:ln>
                      <a:noFill/>
                    </a:ln>
                  </pic:spPr>
                </pic:pic>
              </a:graphicData>
            </a:graphic>
          </wp:inline>
        </w:drawing>
      </w:r>
    </w:p>
    <w:p w14:paraId="71943FDB">
      <w:pPr>
        <w:rPr>
          <w:rFonts w:hint="eastAsia" w:ascii="宋体" w:hAnsi="宋体" w:eastAsia="宋体" w:cs="宋体"/>
          <w:color w:val="auto"/>
        </w:rPr>
      </w:pPr>
    </w:p>
    <w:p w14:paraId="1EA23417">
      <w:pPr>
        <w:pStyle w:val="27"/>
        <w:rPr>
          <w:rFonts w:hint="eastAsia" w:ascii="宋体" w:hAnsi="宋体" w:eastAsia="宋体" w:cs="宋体"/>
          <w:color w:val="auto"/>
        </w:rPr>
      </w:pPr>
    </w:p>
    <w:p w14:paraId="23DEE8AD">
      <w:pPr>
        <w:rPr>
          <w:rFonts w:hint="eastAsia" w:ascii="宋体" w:hAnsi="宋体" w:eastAsia="宋体" w:cs="宋体"/>
          <w:color w:val="auto"/>
        </w:rPr>
      </w:pPr>
    </w:p>
    <w:p w14:paraId="1ABA4903">
      <w:pPr>
        <w:rPr>
          <w:rFonts w:hint="eastAsia" w:ascii="宋体" w:hAnsi="宋体" w:eastAsia="宋体" w:cs="宋体"/>
          <w:color w:val="auto"/>
        </w:rPr>
      </w:pPr>
    </w:p>
    <w:p w14:paraId="64120D19">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77255" cy="3370580"/>
            <wp:effectExtent l="0" t="0" r="4445" b="12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7"/>
                    <a:stretch>
                      <a:fillRect/>
                    </a:stretch>
                  </pic:blipFill>
                  <pic:spPr>
                    <a:xfrm>
                      <a:off x="0" y="0"/>
                      <a:ext cx="5977255" cy="3370580"/>
                    </a:xfrm>
                    <a:prstGeom prst="rect">
                      <a:avLst/>
                    </a:prstGeom>
                    <a:noFill/>
                    <a:ln>
                      <a:noFill/>
                    </a:ln>
                  </pic:spPr>
                </pic:pic>
              </a:graphicData>
            </a:graphic>
          </wp:inline>
        </w:drawing>
      </w:r>
    </w:p>
    <w:p w14:paraId="7B723887">
      <w:pPr>
        <w:spacing w:line="360" w:lineRule="auto"/>
        <w:jc w:val="both"/>
        <w:rPr>
          <w:rFonts w:hint="eastAsia" w:ascii="宋体" w:hAnsi="宋体" w:eastAsia="宋体" w:cs="宋体"/>
          <w:color w:val="auto"/>
        </w:rPr>
      </w:pPr>
    </w:p>
    <w:p w14:paraId="1B4E4271">
      <w:pPr>
        <w:pStyle w:val="5"/>
        <w:numPr>
          <w:ilvl w:val="3"/>
          <w:numId w:val="0"/>
        </w:numPr>
        <w:ind w:leftChars="0"/>
        <w:outlineLvl w:val="9"/>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8"/>
                    <a:stretch>
                      <a:fillRect/>
                    </a:stretch>
                  </pic:blipFill>
                  <pic:spPr>
                    <a:xfrm>
                      <a:off x="0" y="0"/>
                      <a:ext cx="5993130" cy="3397250"/>
                    </a:xfrm>
                    <a:prstGeom prst="rect">
                      <a:avLst/>
                    </a:prstGeom>
                    <a:noFill/>
                    <a:ln>
                      <a:noFill/>
                    </a:ln>
                  </pic:spPr>
                </pic:pic>
              </a:graphicData>
            </a:graphic>
          </wp:inline>
        </w:drawing>
      </w:r>
    </w:p>
    <w:p w14:paraId="5F9E1862">
      <w:pPr>
        <w:rPr>
          <w:rFonts w:hint="eastAsia" w:ascii="宋体" w:hAnsi="宋体" w:eastAsia="宋体" w:cs="宋体"/>
          <w:color w:val="auto"/>
        </w:rPr>
      </w:pPr>
    </w:p>
    <w:p w14:paraId="49F9682E">
      <w:pPr>
        <w:pStyle w:val="27"/>
        <w:rPr>
          <w:rFonts w:hint="eastAsia" w:ascii="宋体" w:hAnsi="宋体" w:eastAsia="宋体" w:cs="宋体"/>
          <w:color w:val="auto"/>
        </w:rPr>
      </w:pPr>
    </w:p>
    <w:p w14:paraId="48DF999C">
      <w:pPr>
        <w:pStyle w:val="27"/>
        <w:rPr>
          <w:rFonts w:hint="eastAsia" w:ascii="宋体" w:hAnsi="宋体" w:eastAsia="宋体" w:cs="宋体"/>
          <w:color w:val="auto"/>
        </w:rPr>
      </w:pPr>
    </w:p>
    <w:p w14:paraId="7DF22E8B">
      <w:pPr>
        <w:pStyle w:val="27"/>
        <w:rPr>
          <w:rFonts w:hint="eastAsia" w:ascii="宋体" w:hAnsi="宋体" w:eastAsia="宋体" w:cs="宋体"/>
          <w:color w:val="auto"/>
        </w:rPr>
      </w:pPr>
    </w:p>
    <w:p w14:paraId="37A6FBE7">
      <w:pPr>
        <w:pStyle w:val="27"/>
        <w:rPr>
          <w:rFonts w:hint="eastAsia" w:ascii="宋体" w:hAnsi="宋体" w:eastAsia="宋体" w:cs="宋体"/>
          <w:color w:val="auto"/>
        </w:rPr>
      </w:pPr>
    </w:p>
    <w:p w14:paraId="71BFA9F8">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19165" cy="3403600"/>
            <wp:effectExtent l="0" t="0" r="635" b="635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9"/>
                    <a:stretch>
                      <a:fillRect/>
                    </a:stretch>
                  </pic:blipFill>
                  <pic:spPr>
                    <a:xfrm>
                      <a:off x="0" y="0"/>
                      <a:ext cx="6019165" cy="3403600"/>
                    </a:xfrm>
                    <a:prstGeom prst="rect">
                      <a:avLst/>
                    </a:prstGeom>
                    <a:noFill/>
                    <a:ln>
                      <a:noFill/>
                    </a:ln>
                  </pic:spPr>
                </pic:pic>
              </a:graphicData>
            </a:graphic>
          </wp:inline>
        </w:drawing>
      </w:r>
    </w:p>
    <w:p w14:paraId="6B86CC44">
      <w:pPr>
        <w:spacing w:line="360" w:lineRule="auto"/>
        <w:jc w:val="both"/>
        <w:rPr>
          <w:rFonts w:hint="eastAsia" w:ascii="宋体" w:hAnsi="宋体" w:eastAsia="宋体" w:cs="宋体"/>
          <w:color w:val="auto"/>
        </w:rPr>
      </w:pPr>
    </w:p>
    <w:p w14:paraId="44B794B7">
      <w:pPr>
        <w:pStyle w:val="27"/>
        <w:ind w:left="0" w:leftChars="0" w:firstLine="0" w:firstLineChars="0"/>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0"/>
                    <a:stretch>
                      <a:fillRect/>
                    </a:stretch>
                  </pic:blipFill>
                  <pic:spPr>
                    <a:xfrm>
                      <a:off x="0" y="0"/>
                      <a:ext cx="6025515" cy="3397885"/>
                    </a:xfrm>
                    <a:prstGeom prst="rect">
                      <a:avLst/>
                    </a:prstGeom>
                    <a:noFill/>
                    <a:ln>
                      <a:noFill/>
                    </a:ln>
                  </pic:spPr>
                </pic:pic>
              </a:graphicData>
            </a:graphic>
          </wp:inline>
        </w:drawing>
      </w:r>
    </w:p>
    <w:p w14:paraId="7B2435BF">
      <w:pPr>
        <w:pStyle w:val="27"/>
        <w:rPr>
          <w:rFonts w:hint="eastAsia" w:ascii="宋体" w:hAnsi="宋体" w:eastAsia="宋体" w:cs="宋体"/>
          <w:color w:val="auto"/>
        </w:rPr>
      </w:pPr>
    </w:p>
    <w:p w14:paraId="0A1A4484">
      <w:pPr>
        <w:pStyle w:val="27"/>
        <w:rPr>
          <w:rFonts w:hint="eastAsia" w:ascii="宋体" w:hAnsi="宋体" w:eastAsia="宋体" w:cs="宋体"/>
          <w:color w:val="auto"/>
        </w:rPr>
      </w:pPr>
    </w:p>
    <w:p w14:paraId="09F2AA3D">
      <w:pPr>
        <w:pStyle w:val="27"/>
        <w:rPr>
          <w:rFonts w:hint="eastAsia" w:ascii="宋体" w:hAnsi="宋体" w:eastAsia="宋体" w:cs="宋体"/>
          <w:color w:val="auto"/>
        </w:rPr>
      </w:pPr>
    </w:p>
    <w:p w14:paraId="1359A7DB">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84570" cy="3452495"/>
            <wp:effectExtent l="0" t="0" r="11430" b="1460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1"/>
                    <a:stretch>
                      <a:fillRect/>
                    </a:stretch>
                  </pic:blipFill>
                  <pic:spPr>
                    <a:xfrm>
                      <a:off x="0" y="0"/>
                      <a:ext cx="6084570" cy="3452495"/>
                    </a:xfrm>
                    <a:prstGeom prst="rect">
                      <a:avLst/>
                    </a:prstGeom>
                    <a:noFill/>
                    <a:ln>
                      <a:noFill/>
                    </a:ln>
                  </pic:spPr>
                </pic:pic>
              </a:graphicData>
            </a:graphic>
          </wp:inline>
        </w:drawing>
      </w:r>
    </w:p>
    <w:p w14:paraId="7DEEF534">
      <w:pPr>
        <w:spacing w:line="360" w:lineRule="auto"/>
        <w:jc w:val="both"/>
        <w:rPr>
          <w:rFonts w:hint="eastAsia" w:ascii="宋体" w:hAnsi="宋体" w:eastAsia="宋体" w:cs="宋体"/>
          <w:color w:val="auto"/>
        </w:rPr>
      </w:pPr>
    </w:p>
    <w:p w14:paraId="248E6712">
      <w:pPr>
        <w:pStyle w:val="27"/>
        <w:ind w:left="0" w:leftChars="0" w:firstLine="0" w:firstLineChars="0"/>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2"/>
                    <a:stretch>
                      <a:fillRect/>
                    </a:stretch>
                  </pic:blipFill>
                  <pic:spPr>
                    <a:xfrm>
                      <a:off x="0" y="0"/>
                      <a:ext cx="6120765" cy="3474720"/>
                    </a:xfrm>
                    <a:prstGeom prst="rect">
                      <a:avLst/>
                    </a:prstGeom>
                    <a:noFill/>
                    <a:ln>
                      <a:noFill/>
                    </a:ln>
                  </pic:spPr>
                </pic:pic>
              </a:graphicData>
            </a:graphic>
          </wp:inline>
        </w:drawing>
      </w:r>
    </w:p>
    <w:p w14:paraId="5DAF7DEE">
      <w:pPr>
        <w:pStyle w:val="27"/>
        <w:rPr>
          <w:rFonts w:hint="eastAsia" w:ascii="宋体" w:hAnsi="宋体" w:eastAsia="宋体" w:cs="宋体"/>
          <w:color w:val="auto"/>
        </w:rPr>
      </w:pPr>
    </w:p>
    <w:p w14:paraId="04EE9054">
      <w:pPr>
        <w:pStyle w:val="27"/>
        <w:rPr>
          <w:rFonts w:hint="eastAsia" w:ascii="宋体" w:hAnsi="宋体" w:eastAsia="宋体" w:cs="宋体"/>
          <w:color w:val="auto"/>
        </w:rPr>
      </w:pPr>
    </w:p>
    <w:p w14:paraId="67AAE32C">
      <w:pPr>
        <w:pStyle w:val="27"/>
        <w:rPr>
          <w:rFonts w:hint="eastAsia" w:ascii="宋体" w:hAnsi="宋体" w:eastAsia="宋体" w:cs="宋体"/>
          <w:color w:val="auto"/>
        </w:rPr>
      </w:pPr>
    </w:p>
    <w:p w14:paraId="1CC55E6D">
      <w:pPr>
        <w:pStyle w:val="27"/>
        <w:rPr>
          <w:rFonts w:hint="eastAsia" w:ascii="宋体" w:hAnsi="宋体" w:eastAsia="宋体" w:cs="宋体"/>
          <w:color w:val="auto"/>
        </w:rPr>
      </w:pPr>
    </w:p>
    <w:p w14:paraId="7BA1D66A">
      <w:pPr>
        <w:pStyle w:val="27"/>
        <w:rPr>
          <w:rFonts w:hint="eastAsia" w:ascii="宋体" w:hAnsi="宋体" w:eastAsia="宋体" w:cs="宋体"/>
          <w:color w:val="auto"/>
        </w:rPr>
      </w:pPr>
    </w:p>
    <w:p w14:paraId="04343F4F">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7575" cy="3375025"/>
            <wp:effectExtent l="0" t="0" r="3175" b="1587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3"/>
                    <a:stretch>
                      <a:fillRect/>
                    </a:stretch>
                  </pic:blipFill>
                  <pic:spPr>
                    <a:xfrm>
                      <a:off x="0" y="0"/>
                      <a:ext cx="5997575" cy="3375025"/>
                    </a:xfrm>
                    <a:prstGeom prst="rect">
                      <a:avLst/>
                    </a:prstGeom>
                    <a:noFill/>
                    <a:ln>
                      <a:noFill/>
                    </a:ln>
                  </pic:spPr>
                </pic:pic>
              </a:graphicData>
            </a:graphic>
          </wp:inline>
        </w:drawing>
      </w:r>
    </w:p>
    <w:p w14:paraId="715AEAEA">
      <w:pPr>
        <w:spacing w:line="360" w:lineRule="auto"/>
        <w:jc w:val="both"/>
        <w:rPr>
          <w:rFonts w:hint="eastAsia" w:ascii="宋体" w:hAnsi="宋体" w:eastAsia="宋体" w:cs="宋体"/>
          <w:color w:val="auto"/>
        </w:rPr>
      </w:pPr>
    </w:p>
    <w:p w14:paraId="32343B8C">
      <w:pPr>
        <w:pStyle w:val="27"/>
        <w:ind w:left="0" w:leftChars="0" w:firstLine="0" w:firstLineChars="0"/>
        <w:rPr>
          <w:rFonts w:hint="eastAsia" w:ascii="宋体" w:hAnsi="宋体" w:eastAsia="宋体" w:cs="宋体"/>
          <w:color w:val="auto"/>
        </w:rPr>
      </w:pPr>
      <w:r>
        <w:rPr>
          <w:rFonts w:hint="eastAsia" w:ascii="宋体" w:hAnsi="宋体" w:eastAsia="宋体" w:cs="宋体"/>
          <w:color w:val="auto"/>
        </w:rPr>
        <w:drawing>
          <wp:inline distT="0" distB="0" distL="114300" distR="114300">
            <wp:extent cx="6045200" cy="3383280"/>
            <wp:effectExtent l="0" t="0" r="12700" b="762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4"/>
                    <a:stretch>
                      <a:fillRect/>
                    </a:stretch>
                  </pic:blipFill>
                  <pic:spPr>
                    <a:xfrm>
                      <a:off x="0" y="0"/>
                      <a:ext cx="6045200" cy="3383280"/>
                    </a:xfrm>
                    <a:prstGeom prst="rect">
                      <a:avLst/>
                    </a:prstGeom>
                    <a:noFill/>
                    <a:ln>
                      <a:noFill/>
                    </a:ln>
                  </pic:spPr>
                </pic:pic>
              </a:graphicData>
            </a:graphic>
          </wp:inline>
        </w:drawing>
      </w:r>
    </w:p>
    <w:p w14:paraId="27B26BC8">
      <w:pPr>
        <w:pStyle w:val="27"/>
        <w:rPr>
          <w:rFonts w:hint="eastAsia" w:ascii="宋体" w:hAnsi="宋体" w:eastAsia="宋体" w:cs="宋体"/>
          <w:color w:val="auto"/>
        </w:rPr>
      </w:pPr>
    </w:p>
    <w:p w14:paraId="1CA6396C">
      <w:pPr>
        <w:pStyle w:val="27"/>
        <w:rPr>
          <w:rFonts w:hint="eastAsia" w:ascii="宋体" w:hAnsi="宋体" w:eastAsia="宋体" w:cs="宋体"/>
          <w:color w:val="auto"/>
        </w:rPr>
      </w:pPr>
    </w:p>
    <w:p w14:paraId="02402B2E">
      <w:pPr>
        <w:pStyle w:val="27"/>
        <w:rPr>
          <w:rFonts w:hint="eastAsia" w:ascii="宋体" w:hAnsi="宋体" w:eastAsia="宋体" w:cs="宋体"/>
          <w:color w:val="auto"/>
        </w:rPr>
      </w:pPr>
    </w:p>
    <w:p w14:paraId="53FD74E7">
      <w:pPr>
        <w:pStyle w:val="27"/>
        <w:rPr>
          <w:rFonts w:hint="eastAsia" w:ascii="宋体" w:hAnsi="宋体" w:eastAsia="宋体" w:cs="宋体"/>
          <w:color w:val="auto"/>
        </w:rPr>
      </w:pPr>
    </w:p>
    <w:p w14:paraId="060CCD27">
      <w:pPr>
        <w:pStyle w:val="27"/>
        <w:rPr>
          <w:rFonts w:hint="eastAsia" w:ascii="宋体" w:hAnsi="宋体" w:eastAsia="宋体" w:cs="宋体"/>
          <w:color w:val="auto"/>
        </w:rPr>
      </w:pPr>
      <w:r>
        <w:rPr>
          <w:rFonts w:hint="eastAsia" w:ascii="宋体" w:hAnsi="宋体" w:eastAsia="宋体" w:cs="宋体"/>
          <w:color w:val="auto"/>
        </w:rPr>
        <w:drawing>
          <wp:inline distT="0" distB="0" distL="114300" distR="114300">
            <wp:extent cx="5614035" cy="3166745"/>
            <wp:effectExtent l="0" t="0" r="5715" b="1460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5"/>
                    <a:stretch>
                      <a:fillRect/>
                    </a:stretch>
                  </pic:blipFill>
                  <pic:spPr>
                    <a:xfrm>
                      <a:off x="0" y="0"/>
                      <a:ext cx="5614035" cy="3166745"/>
                    </a:xfrm>
                    <a:prstGeom prst="rect">
                      <a:avLst/>
                    </a:prstGeom>
                    <a:noFill/>
                    <a:ln>
                      <a:noFill/>
                    </a:ln>
                  </pic:spPr>
                </pic:pic>
              </a:graphicData>
            </a:graphic>
          </wp:inline>
        </w:drawing>
      </w:r>
    </w:p>
    <w:p w14:paraId="23E5E471">
      <w:pPr>
        <w:pStyle w:val="27"/>
        <w:rPr>
          <w:rFonts w:hint="eastAsia" w:ascii="宋体" w:hAnsi="宋体" w:eastAsia="宋体" w:cs="宋体"/>
          <w:color w:val="auto"/>
        </w:rPr>
      </w:pPr>
    </w:p>
    <w:p w14:paraId="09238035">
      <w:pPr>
        <w:pStyle w:val="27"/>
        <w:rPr>
          <w:rFonts w:hint="eastAsia" w:ascii="宋体" w:hAnsi="宋体" w:eastAsia="宋体" w:cs="宋体"/>
          <w:color w:val="auto"/>
        </w:rPr>
      </w:pPr>
    </w:p>
    <w:p w14:paraId="5739947A">
      <w:pPr>
        <w:pStyle w:val="27"/>
        <w:rPr>
          <w:rFonts w:hint="eastAsia" w:ascii="宋体" w:hAnsi="宋体" w:eastAsia="宋体" w:cs="宋体"/>
          <w:color w:val="auto"/>
        </w:rPr>
      </w:pPr>
    </w:p>
    <w:p w14:paraId="780D1780">
      <w:pPr>
        <w:pStyle w:val="27"/>
        <w:rPr>
          <w:rFonts w:hint="eastAsia" w:ascii="宋体" w:hAnsi="宋体" w:eastAsia="宋体" w:cs="宋体"/>
          <w:color w:val="auto"/>
        </w:rPr>
      </w:pPr>
    </w:p>
    <w:p w14:paraId="57A396BF">
      <w:pPr>
        <w:pStyle w:val="27"/>
        <w:rPr>
          <w:rFonts w:hint="eastAsia" w:ascii="宋体" w:hAnsi="宋体" w:eastAsia="宋体" w:cs="宋体"/>
          <w:color w:val="auto"/>
        </w:rPr>
      </w:pPr>
    </w:p>
    <w:p w14:paraId="1766A9FD">
      <w:pPr>
        <w:pStyle w:val="27"/>
        <w:rPr>
          <w:rFonts w:hint="eastAsia" w:ascii="宋体" w:hAnsi="宋体" w:eastAsia="宋体" w:cs="宋体"/>
          <w:color w:val="auto"/>
        </w:rPr>
      </w:pPr>
    </w:p>
    <w:p w14:paraId="18CED67A">
      <w:pPr>
        <w:pStyle w:val="27"/>
        <w:rPr>
          <w:rFonts w:hint="eastAsia" w:ascii="宋体" w:hAnsi="宋体" w:eastAsia="宋体" w:cs="宋体"/>
          <w:color w:val="auto"/>
        </w:rPr>
      </w:pPr>
    </w:p>
    <w:p w14:paraId="2BC86B9A">
      <w:pPr>
        <w:pStyle w:val="27"/>
        <w:rPr>
          <w:rFonts w:hint="eastAsia" w:ascii="宋体" w:hAnsi="宋体" w:eastAsia="宋体" w:cs="宋体"/>
          <w:color w:val="auto"/>
        </w:rPr>
      </w:pPr>
    </w:p>
    <w:p w14:paraId="4EF4D423">
      <w:pPr>
        <w:pStyle w:val="27"/>
        <w:rPr>
          <w:rFonts w:hint="eastAsia" w:ascii="宋体" w:hAnsi="宋体" w:eastAsia="宋体" w:cs="宋体"/>
          <w:color w:val="auto"/>
        </w:rPr>
      </w:pPr>
    </w:p>
    <w:p w14:paraId="58A2755C">
      <w:pPr>
        <w:pStyle w:val="27"/>
        <w:rPr>
          <w:rFonts w:hint="eastAsia" w:ascii="宋体" w:hAnsi="宋体" w:eastAsia="宋体" w:cs="宋体"/>
          <w:color w:val="auto"/>
          <w:lang w:val="en-US" w:eastAsia="zh-CN"/>
        </w:rPr>
      </w:pPr>
    </w:p>
    <w:p w14:paraId="49E0ACDE">
      <w:pPr>
        <w:rPr>
          <w:color w:val="auto"/>
        </w:rPr>
      </w:pPr>
    </w:p>
    <w:p w14:paraId="6D21E990">
      <w:pPr>
        <w:rPr>
          <w:color w:val="auto"/>
        </w:rPr>
      </w:pPr>
    </w:p>
    <w:sectPr>
      <w:footerReference r:id="rId10" w:type="default"/>
      <w:pgSz w:w="11906" w:h="16838"/>
      <w:pgMar w:top="1440" w:right="1226" w:bottom="1440" w:left="132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GYXIQ+Frutiger-Cn">
    <w:altName w:val="宋体"/>
    <w:panose1 w:val="00000000000000000000"/>
    <w:charset w:val="86"/>
    <w:family w:val="swiss"/>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9A521">
    <w:pPr>
      <w:pStyle w:val="13"/>
      <w:rPr>
        <w:rFonts w:ascii="宋体" w:hAnsi="宋体" w:cs="宋体"/>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B9F182">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0B9F182">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DCACD">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D59221">
                          <w:pPr>
                            <w:pStyle w:val="13"/>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5D59221">
                    <w:pPr>
                      <w:pStyle w:val="13"/>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F9A85">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60051A">
                          <w:pPr>
                            <w:pStyle w:val="13"/>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1F60051A">
                    <w:pPr>
                      <w:pStyle w:val="13"/>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49885">
    <w:pPr>
      <w:pStyle w:val="1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0A83D">
                          <w:pPr>
                            <w:pStyle w:val="13"/>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7F10A83D">
                    <w:pPr>
                      <w:pStyle w:val="13"/>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A62DD">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314D3">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EF33C6"/>
    <w:multiLevelType w:val="singleLevel"/>
    <w:tmpl w:val="F3EF33C6"/>
    <w:lvl w:ilvl="0" w:tentative="0">
      <w:start w:val="1"/>
      <w:numFmt w:val="decimal"/>
      <w:suff w:val="space"/>
      <w:lvlText w:val="%1."/>
      <w:lvlJc w:val="left"/>
    </w:lvl>
  </w:abstractNum>
  <w:abstractNum w:abstractNumId="1">
    <w:nsid w:val="1CC82E32"/>
    <w:multiLevelType w:val="singleLevel"/>
    <w:tmpl w:val="1CC82E32"/>
    <w:lvl w:ilvl="0" w:tentative="0">
      <w:start w:val="5"/>
      <w:numFmt w:val="chineseCounting"/>
      <w:suff w:val="space"/>
      <w:lvlText w:val="第%1章"/>
      <w:lvlJc w:val="left"/>
      <w:rPr>
        <w:rFonts w:hint="eastAsia"/>
      </w:rPr>
    </w:lvl>
  </w:abstractNum>
  <w:abstractNum w:abstractNumId="2">
    <w:nsid w:val="37C40D7B"/>
    <w:multiLevelType w:val="singleLevel"/>
    <w:tmpl w:val="37C40D7B"/>
    <w:lvl w:ilvl="0" w:tentative="0">
      <w:start w:val="7"/>
      <w:numFmt w:val="decimal"/>
      <w:suff w:val="space"/>
      <w:lvlText w:val="%1."/>
      <w:lvlJc w:val="left"/>
    </w:lvl>
  </w:abstractNum>
  <w:abstractNum w:abstractNumId="3">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A2F4AB3"/>
    <w:multiLevelType w:val="multilevel"/>
    <w:tmpl w:val="6A2F4AB3"/>
    <w:lvl w:ilvl="0" w:tentative="0">
      <w:start w:val="1"/>
      <w:numFmt w:val="chineseCountingThousand"/>
      <w:suff w:val="nothing"/>
      <w:lvlText w:val="%1、"/>
      <w:lvlJc w:val="left"/>
      <w:pPr>
        <w:ind w:left="425" w:hanging="425"/>
      </w:pPr>
      <w:rPr>
        <w:rFonts w:hint="eastAsia"/>
      </w:rPr>
    </w:lvl>
    <w:lvl w:ilvl="1" w:tentative="0">
      <w:start w:val="1"/>
      <w:numFmt w:val="decimal"/>
      <w:isLgl/>
      <w:suff w:val="nothing"/>
      <w:lvlText w:val="%1.%2、"/>
      <w:lvlJc w:val="left"/>
      <w:pPr>
        <w:ind w:left="567" w:hanging="567"/>
      </w:pPr>
      <w:rPr>
        <w:rFonts w:hint="default" w:ascii="Arial" w:hAnsi="Arial" w:cs="Arial"/>
      </w:rPr>
    </w:lvl>
    <w:lvl w:ilvl="2" w:tentative="0">
      <w:start w:val="1"/>
      <w:numFmt w:val="decimal"/>
      <w:isLgl/>
      <w:suff w:val="nothing"/>
      <w:lvlText w:val="%1.%2.%3、"/>
      <w:lvlJc w:val="left"/>
      <w:pPr>
        <w:ind w:left="1069" w:hanging="1069"/>
      </w:pPr>
      <w:rPr>
        <w:rFonts w:hint="default" w:ascii="Arial" w:hAnsi="Arial" w:cs="Arial"/>
      </w:rPr>
    </w:lvl>
    <w:lvl w:ilvl="3" w:tentative="0">
      <w:start w:val="1"/>
      <w:numFmt w:val="decimal"/>
      <w:pStyle w:val="5"/>
      <w:isLgl/>
      <w:suff w:val="nothing"/>
      <w:lvlText w:val="%1.%2.%3.%4、"/>
      <w:lvlJc w:val="left"/>
      <w:pPr>
        <w:ind w:left="851" w:hanging="851"/>
      </w:pPr>
      <w:rPr>
        <w:rFonts w:hint="default" w:ascii="Arial" w:hAnsi="Arial" w:cs="Arial"/>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zZTNmNTkwMjBkZWUxNzU4MDI2NThhMzQ4ODVmNDMifQ=="/>
  </w:docVars>
  <w:rsids>
    <w:rsidRoot w:val="59E93A18"/>
    <w:rsid w:val="005F65CD"/>
    <w:rsid w:val="006140F3"/>
    <w:rsid w:val="00641E35"/>
    <w:rsid w:val="00771B68"/>
    <w:rsid w:val="00C05EC7"/>
    <w:rsid w:val="01125CD1"/>
    <w:rsid w:val="012D2227"/>
    <w:rsid w:val="01510884"/>
    <w:rsid w:val="016E2F6B"/>
    <w:rsid w:val="01AE3368"/>
    <w:rsid w:val="01B06555"/>
    <w:rsid w:val="01CC5EE4"/>
    <w:rsid w:val="01D17056"/>
    <w:rsid w:val="021A27AB"/>
    <w:rsid w:val="02443CCC"/>
    <w:rsid w:val="02483DA4"/>
    <w:rsid w:val="0270061D"/>
    <w:rsid w:val="027520D7"/>
    <w:rsid w:val="028D1F0F"/>
    <w:rsid w:val="02924A37"/>
    <w:rsid w:val="02D45050"/>
    <w:rsid w:val="02FE20CD"/>
    <w:rsid w:val="030E7E36"/>
    <w:rsid w:val="03157FFB"/>
    <w:rsid w:val="034026E5"/>
    <w:rsid w:val="035717DD"/>
    <w:rsid w:val="035C6DF3"/>
    <w:rsid w:val="03B92498"/>
    <w:rsid w:val="03F37758"/>
    <w:rsid w:val="041F054D"/>
    <w:rsid w:val="04581CB1"/>
    <w:rsid w:val="04610B65"/>
    <w:rsid w:val="04877EA0"/>
    <w:rsid w:val="04A9250C"/>
    <w:rsid w:val="04C44C50"/>
    <w:rsid w:val="05094D59"/>
    <w:rsid w:val="050E236F"/>
    <w:rsid w:val="05121E5F"/>
    <w:rsid w:val="051931EE"/>
    <w:rsid w:val="052D1FA4"/>
    <w:rsid w:val="053973EC"/>
    <w:rsid w:val="056401E1"/>
    <w:rsid w:val="05D709B3"/>
    <w:rsid w:val="062736E9"/>
    <w:rsid w:val="0649594C"/>
    <w:rsid w:val="064A73D7"/>
    <w:rsid w:val="06982838"/>
    <w:rsid w:val="06DA075B"/>
    <w:rsid w:val="06FC4B75"/>
    <w:rsid w:val="07181283"/>
    <w:rsid w:val="07340F33"/>
    <w:rsid w:val="07342561"/>
    <w:rsid w:val="0749768F"/>
    <w:rsid w:val="076B1CFB"/>
    <w:rsid w:val="076E26A3"/>
    <w:rsid w:val="079E3E7E"/>
    <w:rsid w:val="07B90CB8"/>
    <w:rsid w:val="07D16002"/>
    <w:rsid w:val="07F33D53"/>
    <w:rsid w:val="080F2686"/>
    <w:rsid w:val="08471E20"/>
    <w:rsid w:val="084E296C"/>
    <w:rsid w:val="086F75C9"/>
    <w:rsid w:val="088968DD"/>
    <w:rsid w:val="08B35707"/>
    <w:rsid w:val="08F655F4"/>
    <w:rsid w:val="08FC3791"/>
    <w:rsid w:val="09353BD7"/>
    <w:rsid w:val="09563B8E"/>
    <w:rsid w:val="09A137B2"/>
    <w:rsid w:val="09AA6B0A"/>
    <w:rsid w:val="09C53944"/>
    <w:rsid w:val="09D354AA"/>
    <w:rsid w:val="0A1026E6"/>
    <w:rsid w:val="0A530F50"/>
    <w:rsid w:val="0AB13EC9"/>
    <w:rsid w:val="0AB94B2B"/>
    <w:rsid w:val="0B1110D6"/>
    <w:rsid w:val="0B2B77D7"/>
    <w:rsid w:val="0B352404"/>
    <w:rsid w:val="0B6251C3"/>
    <w:rsid w:val="0B84338B"/>
    <w:rsid w:val="0B882E7B"/>
    <w:rsid w:val="0BAB4DBC"/>
    <w:rsid w:val="0BE5207C"/>
    <w:rsid w:val="0BFD206A"/>
    <w:rsid w:val="0C172450"/>
    <w:rsid w:val="0CA23AC9"/>
    <w:rsid w:val="0CA35A93"/>
    <w:rsid w:val="0CB832EC"/>
    <w:rsid w:val="0CD10852"/>
    <w:rsid w:val="0CD36378"/>
    <w:rsid w:val="0CF62067"/>
    <w:rsid w:val="0D044784"/>
    <w:rsid w:val="0D330BC5"/>
    <w:rsid w:val="0D907DC5"/>
    <w:rsid w:val="0D9F625A"/>
    <w:rsid w:val="0DFD060A"/>
    <w:rsid w:val="0E1F739B"/>
    <w:rsid w:val="0E666D78"/>
    <w:rsid w:val="0E6A2D0C"/>
    <w:rsid w:val="0ECC307F"/>
    <w:rsid w:val="0ECF2B6F"/>
    <w:rsid w:val="0EDB59B8"/>
    <w:rsid w:val="0F072309"/>
    <w:rsid w:val="0F152C78"/>
    <w:rsid w:val="0F24110D"/>
    <w:rsid w:val="0F362BEE"/>
    <w:rsid w:val="0F7F6343"/>
    <w:rsid w:val="0F8D3A92"/>
    <w:rsid w:val="10246EEB"/>
    <w:rsid w:val="102F7D69"/>
    <w:rsid w:val="10354C54"/>
    <w:rsid w:val="103F5AD3"/>
    <w:rsid w:val="10606175"/>
    <w:rsid w:val="10703EDE"/>
    <w:rsid w:val="1081433D"/>
    <w:rsid w:val="10C5247C"/>
    <w:rsid w:val="10F845FF"/>
    <w:rsid w:val="11494E5B"/>
    <w:rsid w:val="11643A43"/>
    <w:rsid w:val="117B6FDE"/>
    <w:rsid w:val="11B60016"/>
    <w:rsid w:val="11BD3153"/>
    <w:rsid w:val="11BF4A73"/>
    <w:rsid w:val="11E132E5"/>
    <w:rsid w:val="11F56D91"/>
    <w:rsid w:val="120B0362"/>
    <w:rsid w:val="121F796A"/>
    <w:rsid w:val="123C676E"/>
    <w:rsid w:val="12543AB7"/>
    <w:rsid w:val="12687563"/>
    <w:rsid w:val="128B3251"/>
    <w:rsid w:val="128D0D77"/>
    <w:rsid w:val="12D469A6"/>
    <w:rsid w:val="12FE6C66"/>
    <w:rsid w:val="13196AAF"/>
    <w:rsid w:val="13477178"/>
    <w:rsid w:val="13482EF0"/>
    <w:rsid w:val="135950FD"/>
    <w:rsid w:val="137141F5"/>
    <w:rsid w:val="13854144"/>
    <w:rsid w:val="138A175B"/>
    <w:rsid w:val="139879D4"/>
    <w:rsid w:val="13B81E24"/>
    <w:rsid w:val="13C702B9"/>
    <w:rsid w:val="13D86A07"/>
    <w:rsid w:val="13F6294C"/>
    <w:rsid w:val="1433594E"/>
    <w:rsid w:val="145204CA"/>
    <w:rsid w:val="146124BC"/>
    <w:rsid w:val="14E15405"/>
    <w:rsid w:val="155362A8"/>
    <w:rsid w:val="155618F4"/>
    <w:rsid w:val="15BD7BC5"/>
    <w:rsid w:val="15DB629E"/>
    <w:rsid w:val="1638724C"/>
    <w:rsid w:val="165878EE"/>
    <w:rsid w:val="167949D0"/>
    <w:rsid w:val="16A14DF1"/>
    <w:rsid w:val="16C531D6"/>
    <w:rsid w:val="16CB6312"/>
    <w:rsid w:val="16D01B7A"/>
    <w:rsid w:val="16D90A2F"/>
    <w:rsid w:val="16E573D4"/>
    <w:rsid w:val="16FD374C"/>
    <w:rsid w:val="1703785A"/>
    <w:rsid w:val="171E4694"/>
    <w:rsid w:val="173E38F9"/>
    <w:rsid w:val="176F3A0D"/>
    <w:rsid w:val="17B9616B"/>
    <w:rsid w:val="17E51656"/>
    <w:rsid w:val="18155A97"/>
    <w:rsid w:val="184B770B"/>
    <w:rsid w:val="18663CB3"/>
    <w:rsid w:val="187376F9"/>
    <w:rsid w:val="18A40BC9"/>
    <w:rsid w:val="18A94431"/>
    <w:rsid w:val="18CB43A7"/>
    <w:rsid w:val="19722A75"/>
    <w:rsid w:val="19747757"/>
    <w:rsid w:val="1997072D"/>
    <w:rsid w:val="19BB08C0"/>
    <w:rsid w:val="19DB686C"/>
    <w:rsid w:val="1A3B730B"/>
    <w:rsid w:val="1A442663"/>
    <w:rsid w:val="1A4C59BC"/>
    <w:rsid w:val="1A89276C"/>
    <w:rsid w:val="1AB8095B"/>
    <w:rsid w:val="1ACB4B33"/>
    <w:rsid w:val="1AF44089"/>
    <w:rsid w:val="1AF916A0"/>
    <w:rsid w:val="1B302BE8"/>
    <w:rsid w:val="1B617245"/>
    <w:rsid w:val="1B66485B"/>
    <w:rsid w:val="1B6B1E72"/>
    <w:rsid w:val="1C006A5E"/>
    <w:rsid w:val="1C010944"/>
    <w:rsid w:val="1C3E30E2"/>
    <w:rsid w:val="1C7229A7"/>
    <w:rsid w:val="1CC06429"/>
    <w:rsid w:val="1D24052A"/>
    <w:rsid w:val="1D84721B"/>
    <w:rsid w:val="1DC87107"/>
    <w:rsid w:val="1E026ABD"/>
    <w:rsid w:val="1E1467F1"/>
    <w:rsid w:val="1E37603B"/>
    <w:rsid w:val="1E470974"/>
    <w:rsid w:val="1E4A4458"/>
    <w:rsid w:val="1E5170FD"/>
    <w:rsid w:val="1E543091"/>
    <w:rsid w:val="1E9D0594"/>
    <w:rsid w:val="1EA71413"/>
    <w:rsid w:val="1EBA7398"/>
    <w:rsid w:val="1EF62D5F"/>
    <w:rsid w:val="1F0B19A2"/>
    <w:rsid w:val="1FCF29CF"/>
    <w:rsid w:val="1FE31903"/>
    <w:rsid w:val="1FE3647B"/>
    <w:rsid w:val="1FFC578E"/>
    <w:rsid w:val="20384595"/>
    <w:rsid w:val="205C7FDB"/>
    <w:rsid w:val="20605D1D"/>
    <w:rsid w:val="20914128"/>
    <w:rsid w:val="209854B7"/>
    <w:rsid w:val="20B35E4D"/>
    <w:rsid w:val="20BB2F53"/>
    <w:rsid w:val="20BF0C96"/>
    <w:rsid w:val="20DD736E"/>
    <w:rsid w:val="20E417DE"/>
    <w:rsid w:val="210466A8"/>
    <w:rsid w:val="21316869"/>
    <w:rsid w:val="213B5E42"/>
    <w:rsid w:val="214178FD"/>
    <w:rsid w:val="218B6DCA"/>
    <w:rsid w:val="21A25EC1"/>
    <w:rsid w:val="21BC7EF3"/>
    <w:rsid w:val="2217240B"/>
    <w:rsid w:val="228A0E2F"/>
    <w:rsid w:val="228A52D3"/>
    <w:rsid w:val="229B4DEB"/>
    <w:rsid w:val="229C0B63"/>
    <w:rsid w:val="22FD3CF7"/>
    <w:rsid w:val="23711416"/>
    <w:rsid w:val="237F470C"/>
    <w:rsid w:val="23B72344"/>
    <w:rsid w:val="2403533D"/>
    <w:rsid w:val="243674C1"/>
    <w:rsid w:val="24455956"/>
    <w:rsid w:val="244F40DF"/>
    <w:rsid w:val="248A2BF4"/>
    <w:rsid w:val="24B12E11"/>
    <w:rsid w:val="25137802"/>
    <w:rsid w:val="25203CCD"/>
    <w:rsid w:val="25461985"/>
    <w:rsid w:val="25B904BC"/>
    <w:rsid w:val="25CB1E8B"/>
    <w:rsid w:val="25FA451E"/>
    <w:rsid w:val="261455E0"/>
    <w:rsid w:val="26280DF4"/>
    <w:rsid w:val="2628108B"/>
    <w:rsid w:val="26393298"/>
    <w:rsid w:val="26543C2E"/>
    <w:rsid w:val="27084A19"/>
    <w:rsid w:val="270A26AA"/>
    <w:rsid w:val="277A1983"/>
    <w:rsid w:val="2796077F"/>
    <w:rsid w:val="284303FE"/>
    <w:rsid w:val="288D78CB"/>
    <w:rsid w:val="28B07116"/>
    <w:rsid w:val="28B87CA9"/>
    <w:rsid w:val="28C72DDD"/>
    <w:rsid w:val="28D7334D"/>
    <w:rsid w:val="28DE3C83"/>
    <w:rsid w:val="29475CCC"/>
    <w:rsid w:val="294E08B8"/>
    <w:rsid w:val="29820AB2"/>
    <w:rsid w:val="29A30A29"/>
    <w:rsid w:val="29DB4666"/>
    <w:rsid w:val="2A4915D0"/>
    <w:rsid w:val="2A9767DF"/>
    <w:rsid w:val="2AAA4765"/>
    <w:rsid w:val="2AB4113F"/>
    <w:rsid w:val="2ACD2201"/>
    <w:rsid w:val="2AE337D3"/>
    <w:rsid w:val="2AE5754B"/>
    <w:rsid w:val="2AEB08D9"/>
    <w:rsid w:val="2B006133"/>
    <w:rsid w:val="2B400C25"/>
    <w:rsid w:val="2B710DDE"/>
    <w:rsid w:val="2B820819"/>
    <w:rsid w:val="2BF437BD"/>
    <w:rsid w:val="2C114E7D"/>
    <w:rsid w:val="2C300C99"/>
    <w:rsid w:val="2C842D93"/>
    <w:rsid w:val="2CC338BC"/>
    <w:rsid w:val="2D012F66"/>
    <w:rsid w:val="2D1934DC"/>
    <w:rsid w:val="2D314CC9"/>
    <w:rsid w:val="2D450775"/>
    <w:rsid w:val="2D480265"/>
    <w:rsid w:val="2D6E3B3C"/>
    <w:rsid w:val="2DC20777"/>
    <w:rsid w:val="2DE81100"/>
    <w:rsid w:val="2DEF06E0"/>
    <w:rsid w:val="2DFB0E33"/>
    <w:rsid w:val="2E497DF1"/>
    <w:rsid w:val="2E5D389C"/>
    <w:rsid w:val="2E5F13C2"/>
    <w:rsid w:val="2E67296D"/>
    <w:rsid w:val="2E9C43C4"/>
    <w:rsid w:val="2EC41B6D"/>
    <w:rsid w:val="2EC92CDF"/>
    <w:rsid w:val="2EC97183"/>
    <w:rsid w:val="2EDD67D0"/>
    <w:rsid w:val="2EF91817"/>
    <w:rsid w:val="2FB219C5"/>
    <w:rsid w:val="2FCF2577"/>
    <w:rsid w:val="302C1778"/>
    <w:rsid w:val="30633B47"/>
    <w:rsid w:val="30890978"/>
    <w:rsid w:val="30AC4667"/>
    <w:rsid w:val="30C16364"/>
    <w:rsid w:val="30C916BD"/>
    <w:rsid w:val="30D53BBD"/>
    <w:rsid w:val="3106646D"/>
    <w:rsid w:val="3126266B"/>
    <w:rsid w:val="31436D79"/>
    <w:rsid w:val="318C4BC4"/>
    <w:rsid w:val="31EF0CAF"/>
    <w:rsid w:val="323A4620"/>
    <w:rsid w:val="328E04C8"/>
    <w:rsid w:val="32A62867"/>
    <w:rsid w:val="32D87995"/>
    <w:rsid w:val="3353526D"/>
    <w:rsid w:val="33770F5C"/>
    <w:rsid w:val="337B28D8"/>
    <w:rsid w:val="339A4C4A"/>
    <w:rsid w:val="33D97E69"/>
    <w:rsid w:val="34403A44"/>
    <w:rsid w:val="345117AD"/>
    <w:rsid w:val="345E3ECA"/>
    <w:rsid w:val="346E0856"/>
    <w:rsid w:val="34D128EE"/>
    <w:rsid w:val="34D96C06"/>
    <w:rsid w:val="34F22868"/>
    <w:rsid w:val="34FE6543"/>
    <w:rsid w:val="351C000D"/>
    <w:rsid w:val="353820E0"/>
    <w:rsid w:val="35775243"/>
    <w:rsid w:val="358B0CEF"/>
    <w:rsid w:val="359E6C74"/>
    <w:rsid w:val="35D501BC"/>
    <w:rsid w:val="35E20D1D"/>
    <w:rsid w:val="35E87EEF"/>
    <w:rsid w:val="35F04FF6"/>
    <w:rsid w:val="36963DEF"/>
    <w:rsid w:val="36FB00F6"/>
    <w:rsid w:val="370522D0"/>
    <w:rsid w:val="376D2DA2"/>
    <w:rsid w:val="37E868CC"/>
    <w:rsid w:val="3814321D"/>
    <w:rsid w:val="3821348C"/>
    <w:rsid w:val="3851621F"/>
    <w:rsid w:val="389425B0"/>
    <w:rsid w:val="38C27784"/>
    <w:rsid w:val="394B7113"/>
    <w:rsid w:val="39987E7E"/>
    <w:rsid w:val="39E15381"/>
    <w:rsid w:val="3A127C30"/>
    <w:rsid w:val="3A443B62"/>
    <w:rsid w:val="3A577D39"/>
    <w:rsid w:val="3A6D130B"/>
    <w:rsid w:val="3A9B5E78"/>
    <w:rsid w:val="3AD76784"/>
    <w:rsid w:val="3ADB6274"/>
    <w:rsid w:val="3AFB2473"/>
    <w:rsid w:val="3B0B75E8"/>
    <w:rsid w:val="3B0C0B24"/>
    <w:rsid w:val="3B2A2D58"/>
    <w:rsid w:val="3B705713"/>
    <w:rsid w:val="3B7A783B"/>
    <w:rsid w:val="3BC46D08"/>
    <w:rsid w:val="3BC767F9"/>
    <w:rsid w:val="3BCB0097"/>
    <w:rsid w:val="3BD827B4"/>
    <w:rsid w:val="3C320116"/>
    <w:rsid w:val="3C37397E"/>
    <w:rsid w:val="3C5C6615"/>
    <w:rsid w:val="3C88242C"/>
    <w:rsid w:val="3CB054DF"/>
    <w:rsid w:val="3CBA010B"/>
    <w:rsid w:val="3CD15B81"/>
    <w:rsid w:val="3CDC01E8"/>
    <w:rsid w:val="3CEF4259"/>
    <w:rsid w:val="3CFB4FDE"/>
    <w:rsid w:val="3D2C2DB7"/>
    <w:rsid w:val="3D3A1978"/>
    <w:rsid w:val="3D687B67"/>
    <w:rsid w:val="3DC72AE0"/>
    <w:rsid w:val="3DF24001"/>
    <w:rsid w:val="3E224C7C"/>
    <w:rsid w:val="3E2E2B5F"/>
    <w:rsid w:val="3E3F2FBE"/>
    <w:rsid w:val="3E4D56DB"/>
    <w:rsid w:val="3E6622F9"/>
    <w:rsid w:val="3E6C5B64"/>
    <w:rsid w:val="3F36616F"/>
    <w:rsid w:val="3F395C5F"/>
    <w:rsid w:val="3F3D1329"/>
    <w:rsid w:val="3F7E3672"/>
    <w:rsid w:val="3F7F799B"/>
    <w:rsid w:val="3F9F1F66"/>
    <w:rsid w:val="3FD00372"/>
    <w:rsid w:val="3FDD2A8F"/>
    <w:rsid w:val="3FEE07F8"/>
    <w:rsid w:val="3FEE0DCC"/>
    <w:rsid w:val="403F39C6"/>
    <w:rsid w:val="405F5252"/>
    <w:rsid w:val="407C6541"/>
    <w:rsid w:val="409150BB"/>
    <w:rsid w:val="40C41559"/>
    <w:rsid w:val="411E510D"/>
    <w:rsid w:val="41BD4926"/>
    <w:rsid w:val="41E00614"/>
    <w:rsid w:val="41EA1493"/>
    <w:rsid w:val="41F320F5"/>
    <w:rsid w:val="42644DA1"/>
    <w:rsid w:val="42791CF1"/>
    <w:rsid w:val="428B0580"/>
    <w:rsid w:val="42B06238"/>
    <w:rsid w:val="42CE4911"/>
    <w:rsid w:val="42DE2DA6"/>
    <w:rsid w:val="43010842"/>
    <w:rsid w:val="43686B13"/>
    <w:rsid w:val="436B215F"/>
    <w:rsid w:val="43DB72E5"/>
    <w:rsid w:val="43FD05B2"/>
    <w:rsid w:val="443C4228"/>
    <w:rsid w:val="444035EC"/>
    <w:rsid w:val="4450382F"/>
    <w:rsid w:val="446472DA"/>
    <w:rsid w:val="446E0159"/>
    <w:rsid w:val="44D3620E"/>
    <w:rsid w:val="44E4041B"/>
    <w:rsid w:val="44F22B38"/>
    <w:rsid w:val="456926CF"/>
    <w:rsid w:val="456926D7"/>
    <w:rsid w:val="4587329F"/>
    <w:rsid w:val="45E00BE3"/>
    <w:rsid w:val="45E76415"/>
    <w:rsid w:val="46717A8D"/>
    <w:rsid w:val="46753A21"/>
    <w:rsid w:val="467D0B27"/>
    <w:rsid w:val="46B1432D"/>
    <w:rsid w:val="46B53E1D"/>
    <w:rsid w:val="46B75DE7"/>
    <w:rsid w:val="46CE4EDF"/>
    <w:rsid w:val="472865F9"/>
    <w:rsid w:val="472B0583"/>
    <w:rsid w:val="47777325"/>
    <w:rsid w:val="47A53E92"/>
    <w:rsid w:val="47A619B8"/>
    <w:rsid w:val="47C02A7A"/>
    <w:rsid w:val="47E66258"/>
    <w:rsid w:val="482C5F3D"/>
    <w:rsid w:val="483D5387"/>
    <w:rsid w:val="48710218"/>
    <w:rsid w:val="4880045B"/>
    <w:rsid w:val="48A44149"/>
    <w:rsid w:val="48B30830"/>
    <w:rsid w:val="48CA7928"/>
    <w:rsid w:val="48D80297"/>
    <w:rsid w:val="48E1714C"/>
    <w:rsid w:val="48E72288"/>
    <w:rsid w:val="49280A74"/>
    <w:rsid w:val="494476DB"/>
    <w:rsid w:val="499311D3"/>
    <w:rsid w:val="49F44C5D"/>
    <w:rsid w:val="4A0F35C1"/>
    <w:rsid w:val="4A174DEF"/>
    <w:rsid w:val="4A233794"/>
    <w:rsid w:val="4A8741CA"/>
    <w:rsid w:val="4A9B77CE"/>
    <w:rsid w:val="4AC7411F"/>
    <w:rsid w:val="4ACF1226"/>
    <w:rsid w:val="4B0A422A"/>
    <w:rsid w:val="4B335C59"/>
    <w:rsid w:val="4B4B2FA2"/>
    <w:rsid w:val="4B4B6AFE"/>
    <w:rsid w:val="4B542E90"/>
    <w:rsid w:val="4BDC1E4C"/>
    <w:rsid w:val="4BE922BA"/>
    <w:rsid w:val="4BEF467D"/>
    <w:rsid w:val="4BF929FE"/>
    <w:rsid w:val="4C0849EF"/>
    <w:rsid w:val="4C917069"/>
    <w:rsid w:val="4CB608EF"/>
    <w:rsid w:val="4CC254E6"/>
    <w:rsid w:val="4CE4545C"/>
    <w:rsid w:val="4D2B4E39"/>
    <w:rsid w:val="4D53613E"/>
    <w:rsid w:val="4D986247"/>
    <w:rsid w:val="4DA1334D"/>
    <w:rsid w:val="4DBF5582"/>
    <w:rsid w:val="4DC31516"/>
    <w:rsid w:val="4DEE5E67"/>
    <w:rsid w:val="4E0062C6"/>
    <w:rsid w:val="4E487C6D"/>
    <w:rsid w:val="4E597784"/>
    <w:rsid w:val="4E661EA1"/>
    <w:rsid w:val="4E66332D"/>
    <w:rsid w:val="4E9E6450"/>
    <w:rsid w:val="4EB15812"/>
    <w:rsid w:val="4EB33338"/>
    <w:rsid w:val="4F5543EF"/>
    <w:rsid w:val="4F583EE0"/>
    <w:rsid w:val="4F7B372A"/>
    <w:rsid w:val="4F8B1BBF"/>
    <w:rsid w:val="4F8E16AF"/>
    <w:rsid w:val="4FB355BA"/>
    <w:rsid w:val="4FE90FDC"/>
    <w:rsid w:val="50461F8A"/>
    <w:rsid w:val="50C8299F"/>
    <w:rsid w:val="512A365A"/>
    <w:rsid w:val="51373E1C"/>
    <w:rsid w:val="51541A75"/>
    <w:rsid w:val="51656440"/>
    <w:rsid w:val="51B65E96"/>
    <w:rsid w:val="51BF0FF3"/>
    <w:rsid w:val="51E14F57"/>
    <w:rsid w:val="51ED4DB3"/>
    <w:rsid w:val="52075749"/>
    <w:rsid w:val="520A3DA5"/>
    <w:rsid w:val="5257222D"/>
    <w:rsid w:val="526861E8"/>
    <w:rsid w:val="529A036B"/>
    <w:rsid w:val="52AB4326"/>
    <w:rsid w:val="52E635B0"/>
    <w:rsid w:val="534529CD"/>
    <w:rsid w:val="53803A05"/>
    <w:rsid w:val="53FF0DCE"/>
    <w:rsid w:val="544032D3"/>
    <w:rsid w:val="5455279C"/>
    <w:rsid w:val="545A4256"/>
    <w:rsid w:val="546A164D"/>
    <w:rsid w:val="54B73456"/>
    <w:rsid w:val="54CB198F"/>
    <w:rsid w:val="54CD4A28"/>
    <w:rsid w:val="54CD67D6"/>
    <w:rsid w:val="55284354"/>
    <w:rsid w:val="55521C86"/>
    <w:rsid w:val="55711857"/>
    <w:rsid w:val="5579695E"/>
    <w:rsid w:val="55872E29"/>
    <w:rsid w:val="55DD513F"/>
    <w:rsid w:val="55F10BEA"/>
    <w:rsid w:val="56262642"/>
    <w:rsid w:val="563A7E9B"/>
    <w:rsid w:val="564C5E20"/>
    <w:rsid w:val="567D422C"/>
    <w:rsid w:val="56817B2B"/>
    <w:rsid w:val="56BD287A"/>
    <w:rsid w:val="56DB78D0"/>
    <w:rsid w:val="570877D5"/>
    <w:rsid w:val="57193F55"/>
    <w:rsid w:val="57853398"/>
    <w:rsid w:val="57A71560"/>
    <w:rsid w:val="57B76031"/>
    <w:rsid w:val="57D60097"/>
    <w:rsid w:val="57D7716B"/>
    <w:rsid w:val="585B234B"/>
    <w:rsid w:val="58636BCC"/>
    <w:rsid w:val="58831FCD"/>
    <w:rsid w:val="58C223CA"/>
    <w:rsid w:val="59017AB1"/>
    <w:rsid w:val="5921245C"/>
    <w:rsid w:val="594D6137"/>
    <w:rsid w:val="59A65848"/>
    <w:rsid w:val="59B83EF9"/>
    <w:rsid w:val="59DB3743"/>
    <w:rsid w:val="59E93A18"/>
    <w:rsid w:val="59FD5DAF"/>
    <w:rsid w:val="5A0507C0"/>
    <w:rsid w:val="5A1804F3"/>
    <w:rsid w:val="5A663955"/>
    <w:rsid w:val="5A7F67C4"/>
    <w:rsid w:val="5A8262B5"/>
    <w:rsid w:val="5A9102A6"/>
    <w:rsid w:val="5AA71877"/>
    <w:rsid w:val="5ABA77FD"/>
    <w:rsid w:val="5ACB7C5C"/>
    <w:rsid w:val="5AD54636"/>
    <w:rsid w:val="5B4A5B4F"/>
    <w:rsid w:val="5B7D1826"/>
    <w:rsid w:val="5B8878FB"/>
    <w:rsid w:val="5BE30FD5"/>
    <w:rsid w:val="5C036F81"/>
    <w:rsid w:val="5C2C297C"/>
    <w:rsid w:val="5C2E2250"/>
    <w:rsid w:val="5C34538D"/>
    <w:rsid w:val="5C606182"/>
    <w:rsid w:val="5C761E49"/>
    <w:rsid w:val="5C7659A5"/>
    <w:rsid w:val="5CBB785C"/>
    <w:rsid w:val="5CBF10FA"/>
    <w:rsid w:val="5CC44887"/>
    <w:rsid w:val="5CD21C98"/>
    <w:rsid w:val="5D101956"/>
    <w:rsid w:val="5D215911"/>
    <w:rsid w:val="5D2E002E"/>
    <w:rsid w:val="5D557CB0"/>
    <w:rsid w:val="5DBB5D65"/>
    <w:rsid w:val="5DD5098A"/>
    <w:rsid w:val="5DF11787"/>
    <w:rsid w:val="5DFC1EDA"/>
    <w:rsid w:val="5DFD637E"/>
    <w:rsid w:val="5E084D23"/>
    <w:rsid w:val="5E113BD7"/>
    <w:rsid w:val="5E1216FE"/>
    <w:rsid w:val="5E251431"/>
    <w:rsid w:val="5E5F0DE7"/>
    <w:rsid w:val="5E8D2A1A"/>
    <w:rsid w:val="5EBB7A7A"/>
    <w:rsid w:val="5EF84D97"/>
    <w:rsid w:val="5F0B6879"/>
    <w:rsid w:val="5F1F0576"/>
    <w:rsid w:val="5F906D7E"/>
    <w:rsid w:val="5F9B38D2"/>
    <w:rsid w:val="5FC15189"/>
    <w:rsid w:val="5FFC1890"/>
    <w:rsid w:val="60AD1A12"/>
    <w:rsid w:val="60C70EC5"/>
    <w:rsid w:val="60CA62C0"/>
    <w:rsid w:val="610A2B60"/>
    <w:rsid w:val="611D0AE5"/>
    <w:rsid w:val="61300818"/>
    <w:rsid w:val="613B0F6B"/>
    <w:rsid w:val="61483DB4"/>
    <w:rsid w:val="6166423A"/>
    <w:rsid w:val="61B34FA6"/>
    <w:rsid w:val="61C947C9"/>
    <w:rsid w:val="621243C2"/>
    <w:rsid w:val="621A5025"/>
    <w:rsid w:val="623A1223"/>
    <w:rsid w:val="62A80882"/>
    <w:rsid w:val="62A96AD4"/>
    <w:rsid w:val="62E53885"/>
    <w:rsid w:val="62EA0E9B"/>
    <w:rsid w:val="62FB4E56"/>
    <w:rsid w:val="633B16F7"/>
    <w:rsid w:val="637075F2"/>
    <w:rsid w:val="6388493C"/>
    <w:rsid w:val="63FD4792"/>
    <w:rsid w:val="644F5459"/>
    <w:rsid w:val="64EA031A"/>
    <w:rsid w:val="64F328B6"/>
    <w:rsid w:val="65270184"/>
    <w:rsid w:val="655B1BDC"/>
    <w:rsid w:val="65757142"/>
    <w:rsid w:val="65766A16"/>
    <w:rsid w:val="65C634F9"/>
    <w:rsid w:val="65CD2ADA"/>
    <w:rsid w:val="65DE4CE7"/>
    <w:rsid w:val="66164AC4"/>
    <w:rsid w:val="66A852F5"/>
    <w:rsid w:val="66D734E4"/>
    <w:rsid w:val="66E0683D"/>
    <w:rsid w:val="670E33AA"/>
    <w:rsid w:val="6780592A"/>
    <w:rsid w:val="67AA29A7"/>
    <w:rsid w:val="67C50C16"/>
    <w:rsid w:val="67DA14DE"/>
    <w:rsid w:val="67E91721"/>
    <w:rsid w:val="681A6AB6"/>
    <w:rsid w:val="682C160E"/>
    <w:rsid w:val="686D1351"/>
    <w:rsid w:val="68953657"/>
    <w:rsid w:val="6897117D"/>
    <w:rsid w:val="68BF6C25"/>
    <w:rsid w:val="68F24605"/>
    <w:rsid w:val="69006D22"/>
    <w:rsid w:val="691E2683"/>
    <w:rsid w:val="6922313D"/>
    <w:rsid w:val="695452C0"/>
    <w:rsid w:val="69886D18"/>
    <w:rsid w:val="698A0CE2"/>
    <w:rsid w:val="6A2776D3"/>
    <w:rsid w:val="6A3A2708"/>
    <w:rsid w:val="6A3A44B6"/>
    <w:rsid w:val="6A410D55"/>
    <w:rsid w:val="6A4B66C3"/>
    <w:rsid w:val="6A694D9B"/>
    <w:rsid w:val="6A773014"/>
    <w:rsid w:val="6A935974"/>
    <w:rsid w:val="6B00125C"/>
    <w:rsid w:val="6B0D1BCA"/>
    <w:rsid w:val="6B52582F"/>
    <w:rsid w:val="6B673089"/>
    <w:rsid w:val="6BAD2A66"/>
    <w:rsid w:val="6BD83F86"/>
    <w:rsid w:val="6BE648F5"/>
    <w:rsid w:val="6BFF1513"/>
    <w:rsid w:val="6C103720"/>
    <w:rsid w:val="6C2D3E73"/>
    <w:rsid w:val="6C3311BD"/>
    <w:rsid w:val="6C4B23BA"/>
    <w:rsid w:val="6C537AB1"/>
    <w:rsid w:val="6C783074"/>
    <w:rsid w:val="6C823EF2"/>
    <w:rsid w:val="6CB56076"/>
    <w:rsid w:val="6CDC7AA6"/>
    <w:rsid w:val="6CF46B9E"/>
    <w:rsid w:val="6D0540F4"/>
    <w:rsid w:val="6D0B038C"/>
    <w:rsid w:val="6D635AD2"/>
    <w:rsid w:val="6D85303B"/>
    <w:rsid w:val="6DAF0D17"/>
    <w:rsid w:val="6E193111"/>
    <w:rsid w:val="6E573888"/>
    <w:rsid w:val="6E7004A6"/>
    <w:rsid w:val="6EA939B8"/>
    <w:rsid w:val="6EDC4EED"/>
    <w:rsid w:val="6F0145DF"/>
    <w:rsid w:val="6F5953DE"/>
    <w:rsid w:val="6F745D74"/>
    <w:rsid w:val="6FB03FF6"/>
    <w:rsid w:val="6FC565D0"/>
    <w:rsid w:val="704A4D27"/>
    <w:rsid w:val="70B7060E"/>
    <w:rsid w:val="71440BBD"/>
    <w:rsid w:val="71551BD5"/>
    <w:rsid w:val="71641E18"/>
    <w:rsid w:val="71B345B9"/>
    <w:rsid w:val="71D15700"/>
    <w:rsid w:val="71F94C57"/>
    <w:rsid w:val="722F68CA"/>
    <w:rsid w:val="72563E57"/>
    <w:rsid w:val="72661558"/>
    <w:rsid w:val="72BA496F"/>
    <w:rsid w:val="72C94629"/>
    <w:rsid w:val="72F1592E"/>
    <w:rsid w:val="72F86CBC"/>
    <w:rsid w:val="72FA6ED8"/>
    <w:rsid w:val="732B0E40"/>
    <w:rsid w:val="73697BBA"/>
    <w:rsid w:val="739764D5"/>
    <w:rsid w:val="739E7864"/>
    <w:rsid w:val="73AD3F4B"/>
    <w:rsid w:val="73E6120B"/>
    <w:rsid w:val="73E72A46"/>
    <w:rsid w:val="740C0C71"/>
    <w:rsid w:val="74406B6D"/>
    <w:rsid w:val="74B9247B"/>
    <w:rsid w:val="74C92B5D"/>
    <w:rsid w:val="74E90FB2"/>
    <w:rsid w:val="7513602F"/>
    <w:rsid w:val="755328D0"/>
    <w:rsid w:val="7553467E"/>
    <w:rsid w:val="75581C94"/>
    <w:rsid w:val="755C3532"/>
    <w:rsid w:val="75932CCC"/>
    <w:rsid w:val="75D752AF"/>
    <w:rsid w:val="766E5C13"/>
    <w:rsid w:val="76954208"/>
    <w:rsid w:val="769E5DCD"/>
    <w:rsid w:val="76C27D0D"/>
    <w:rsid w:val="76C9109B"/>
    <w:rsid w:val="76CC46E8"/>
    <w:rsid w:val="774150D6"/>
    <w:rsid w:val="77AF64E3"/>
    <w:rsid w:val="780B324D"/>
    <w:rsid w:val="783764D9"/>
    <w:rsid w:val="787768D5"/>
    <w:rsid w:val="788F1E71"/>
    <w:rsid w:val="78D743BD"/>
    <w:rsid w:val="79155BE7"/>
    <w:rsid w:val="79181486"/>
    <w:rsid w:val="794964C4"/>
    <w:rsid w:val="794A5D98"/>
    <w:rsid w:val="794E5888"/>
    <w:rsid w:val="79D0629D"/>
    <w:rsid w:val="79D51B05"/>
    <w:rsid w:val="7A044199"/>
    <w:rsid w:val="7A0D74F1"/>
    <w:rsid w:val="7A342CD0"/>
    <w:rsid w:val="7A4D3D91"/>
    <w:rsid w:val="7A6C1231"/>
    <w:rsid w:val="7A6D61E2"/>
    <w:rsid w:val="7A7C01D3"/>
    <w:rsid w:val="7ACC2F08"/>
    <w:rsid w:val="7AF81F4F"/>
    <w:rsid w:val="7B234AF2"/>
    <w:rsid w:val="7B8878BF"/>
    <w:rsid w:val="7B890DF9"/>
    <w:rsid w:val="7BA75723"/>
    <w:rsid w:val="7BFF730D"/>
    <w:rsid w:val="7C352D2F"/>
    <w:rsid w:val="7C6333F8"/>
    <w:rsid w:val="7C6453C2"/>
    <w:rsid w:val="7C66738C"/>
    <w:rsid w:val="7C6929D9"/>
    <w:rsid w:val="7C705B15"/>
    <w:rsid w:val="7C75312C"/>
    <w:rsid w:val="7C80044E"/>
    <w:rsid w:val="7C8F0691"/>
    <w:rsid w:val="7CA30566"/>
    <w:rsid w:val="7CC16371"/>
    <w:rsid w:val="7CE87DA1"/>
    <w:rsid w:val="7CF14EA8"/>
    <w:rsid w:val="7D256900"/>
    <w:rsid w:val="7D311748"/>
    <w:rsid w:val="7D5E1E12"/>
    <w:rsid w:val="7D8F021D"/>
    <w:rsid w:val="7DB0730E"/>
    <w:rsid w:val="7E244E09"/>
    <w:rsid w:val="7EB4618D"/>
    <w:rsid w:val="7EB97C47"/>
    <w:rsid w:val="7EDB7BBE"/>
    <w:rsid w:val="7EF02F3D"/>
    <w:rsid w:val="7EF649CF"/>
    <w:rsid w:val="7EFA4282"/>
    <w:rsid w:val="7F1E3F4E"/>
    <w:rsid w:val="7F253931"/>
    <w:rsid w:val="7FA14865"/>
    <w:rsid w:val="7FD91C23"/>
    <w:rsid w:val="7FF644B4"/>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nhideWhenUsed="0" w:uiPriority="9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autoRedefine/>
    <w:qFormat/>
    <w:uiPriority w:val="0"/>
    <w:pPr>
      <w:keepNext/>
      <w:keepLines/>
      <w:spacing w:line="576" w:lineRule="auto"/>
      <w:jc w:val="center"/>
      <w:outlineLvl w:val="0"/>
    </w:pPr>
    <w:rPr>
      <w:rFonts w:eastAsia="宋体"/>
      <w:b/>
      <w:kern w:val="44"/>
      <w:sz w:val="36"/>
    </w:rPr>
  </w:style>
  <w:style w:type="paragraph" w:styleId="3">
    <w:name w:val="heading 2"/>
    <w:basedOn w:val="1"/>
    <w:next w:val="1"/>
    <w:link w:val="31"/>
    <w:autoRedefine/>
    <w:unhideWhenUsed/>
    <w:qFormat/>
    <w:uiPriority w:val="0"/>
    <w:pPr>
      <w:keepNext/>
      <w:keepLines/>
      <w:spacing w:line="413" w:lineRule="auto"/>
      <w:jc w:val="center"/>
      <w:outlineLvl w:val="1"/>
    </w:pPr>
    <w:rPr>
      <w:rFonts w:ascii="Arial" w:hAnsi="Arial" w:eastAsia="宋体"/>
      <w:b/>
      <w:sz w:val="32"/>
    </w:rPr>
  </w:style>
  <w:style w:type="paragraph" w:styleId="4">
    <w:name w:val="heading 3"/>
    <w:basedOn w:val="1"/>
    <w:next w:val="1"/>
    <w:unhideWhenUsed/>
    <w:qFormat/>
    <w:uiPriority w:val="0"/>
    <w:pPr>
      <w:keepNext/>
      <w:keepLines/>
      <w:spacing w:line="413" w:lineRule="auto"/>
      <w:jc w:val="center"/>
      <w:outlineLvl w:val="2"/>
    </w:pPr>
    <w:rPr>
      <w:b/>
      <w:sz w:val="32"/>
    </w:rPr>
  </w:style>
  <w:style w:type="paragraph" w:styleId="5">
    <w:name w:val="heading 4"/>
    <w:basedOn w:val="1"/>
    <w:next w:val="1"/>
    <w:autoRedefine/>
    <w:qFormat/>
    <w:uiPriority w:val="0"/>
    <w:pPr>
      <w:keepNext/>
      <w:keepLines/>
      <w:numPr>
        <w:ilvl w:val="3"/>
        <w:numId w:val="1"/>
      </w:numPr>
      <w:tabs>
        <w:tab w:val="left" w:pos="504"/>
        <w:tab w:val="left" w:pos="604"/>
      </w:tabs>
      <w:spacing w:beforeLines="50" w:afterLines="50"/>
      <w:ind w:left="375" w:hanging="375"/>
      <w:outlineLvl w:val="3"/>
    </w:pPr>
    <w:rPr>
      <w:rFonts w:ascii="Arial" w:hAnsi="Arial"/>
      <w:b/>
      <w:bCs/>
      <w:szCs w:val="28"/>
    </w:rPr>
  </w:style>
  <w:style w:type="paragraph" w:styleId="6">
    <w:name w:val="heading 6"/>
    <w:basedOn w:val="1"/>
    <w:next w:val="1"/>
    <w:autoRedefine/>
    <w:qFormat/>
    <w:uiPriority w:val="99"/>
    <w:pPr>
      <w:keepNext/>
      <w:keepLines/>
      <w:spacing w:before="240" w:after="64" w:line="320" w:lineRule="auto"/>
      <w:outlineLvl w:val="5"/>
    </w:pPr>
    <w:rPr>
      <w:rFonts w:ascii="Calibri Light" w:hAnsi="Calibri Light" w:eastAsia="宋体"/>
      <w:b/>
      <w:bCs/>
    </w:rPr>
  </w:style>
  <w:style w:type="character" w:default="1" w:styleId="24">
    <w:name w:val="Default Paragraph Font"/>
    <w:autoRedefine/>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ind w:firstLine="420" w:firstLineChars="200"/>
    </w:pPr>
  </w:style>
  <w:style w:type="paragraph" w:styleId="8">
    <w:name w:val="annotation text"/>
    <w:basedOn w:val="1"/>
    <w:autoRedefine/>
    <w:qFormat/>
    <w:uiPriority w:val="0"/>
    <w:pPr>
      <w:adjustRightInd w:val="0"/>
      <w:spacing w:line="360" w:lineRule="atLeast"/>
      <w:jc w:val="left"/>
      <w:textAlignment w:val="baseline"/>
    </w:pPr>
    <w:rPr>
      <w:kern w:val="0"/>
    </w:rPr>
  </w:style>
  <w:style w:type="paragraph" w:styleId="9">
    <w:name w:val="Body Text 3"/>
    <w:basedOn w:val="1"/>
    <w:autoRedefine/>
    <w:qFormat/>
    <w:uiPriority w:val="0"/>
    <w:rPr>
      <w:rFonts w:ascii="宋体"/>
      <w:szCs w:val="20"/>
    </w:rPr>
  </w:style>
  <w:style w:type="paragraph" w:styleId="10">
    <w:name w:val="Body Text"/>
    <w:basedOn w:val="1"/>
    <w:next w:val="1"/>
    <w:autoRedefine/>
    <w:qFormat/>
    <w:uiPriority w:val="0"/>
    <w:rPr>
      <w:rFonts w:ascii="宋体" w:hAnsi="宋体" w:eastAsia="宋体" w:cs="Times New Roman"/>
      <w:bCs/>
      <w:szCs w:val="20"/>
    </w:rPr>
  </w:style>
  <w:style w:type="paragraph" w:styleId="11">
    <w:name w:val="Body Text Indent"/>
    <w:basedOn w:val="1"/>
    <w:autoRedefine/>
    <w:qFormat/>
    <w:uiPriority w:val="0"/>
    <w:pPr>
      <w:ind w:firstLine="600" w:firstLineChars="200"/>
    </w:pPr>
    <w:rPr>
      <w:rFonts w:ascii="宋体" w:hAnsi="宋体"/>
      <w:sz w:val="30"/>
      <w:szCs w:val="20"/>
    </w:rPr>
  </w:style>
  <w:style w:type="paragraph" w:styleId="12">
    <w:name w:val="Plain Text"/>
    <w:basedOn w:val="1"/>
    <w:next w:val="1"/>
    <w:autoRedefine/>
    <w:qFormat/>
    <w:uiPriority w:val="0"/>
    <w:rPr>
      <w:rFonts w:ascii="宋体" w:hAnsi="Courier New"/>
      <w:szCs w:val="21"/>
    </w:rPr>
  </w:style>
  <w:style w:type="paragraph" w:styleId="13">
    <w:name w:val="footer"/>
    <w:basedOn w:val="1"/>
    <w:next w:val="1"/>
    <w:autoRedefine/>
    <w:qFormat/>
    <w:uiPriority w:val="0"/>
    <w:pPr>
      <w:tabs>
        <w:tab w:val="center" w:pos="4153"/>
        <w:tab w:val="right" w:pos="8306"/>
      </w:tabs>
      <w:snapToGrid w:val="0"/>
      <w:jc w:val="left"/>
    </w:pPr>
    <w:rPr>
      <w:sz w:val="18"/>
    </w:rPr>
  </w:style>
  <w:style w:type="paragraph" w:styleId="14">
    <w:name w:val="envelope return"/>
    <w:basedOn w:val="1"/>
    <w:autoRedefine/>
    <w:qFormat/>
    <w:uiPriority w:val="0"/>
    <w:pPr>
      <w:snapToGrid w:val="0"/>
    </w:pPr>
    <w:rPr>
      <w:rFonts w:ascii="Arial" w:hAnsi="Arial"/>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autoRedefine/>
    <w:qFormat/>
    <w:uiPriority w:val="0"/>
  </w:style>
  <w:style w:type="paragraph" w:styleId="17">
    <w:name w:val="toc 4"/>
    <w:basedOn w:val="1"/>
    <w:next w:val="1"/>
    <w:autoRedefine/>
    <w:unhideWhenUsed/>
    <w:qFormat/>
    <w:uiPriority w:val="39"/>
    <w:pPr>
      <w:ind w:left="1260" w:leftChars="600"/>
    </w:pPr>
  </w:style>
  <w:style w:type="paragraph" w:styleId="18">
    <w:name w:val="Body Text 2"/>
    <w:basedOn w:val="1"/>
    <w:autoRedefine/>
    <w:qFormat/>
    <w:uiPriority w:val="0"/>
    <w:pPr>
      <w:spacing w:after="120" w:line="480" w:lineRule="auto"/>
    </w:pPr>
  </w:style>
  <w:style w:type="paragraph" w:styleId="19">
    <w:name w:val="Normal (Web)"/>
    <w:basedOn w:val="1"/>
    <w:next w:val="14"/>
    <w:autoRedefine/>
    <w:qFormat/>
    <w:uiPriority w:val="0"/>
    <w:pPr>
      <w:spacing w:beforeAutospacing="1" w:afterAutospacing="1"/>
      <w:jc w:val="left"/>
    </w:pPr>
    <w:rPr>
      <w:rFonts w:cs="Times New Roman"/>
      <w:kern w:val="0"/>
    </w:rPr>
  </w:style>
  <w:style w:type="paragraph" w:styleId="20">
    <w:name w:val="Body Text First Indent"/>
    <w:basedOn w:val="10"/>
    <w:next w:val="21"/>
    <w:autoRedefine/>
    <w:qFormat/>
    <w:uiPriority w:val="0"/>
    <w:pPr>
      <w:adjustRightInd w:val="0"/>
      <w:ind w:firstLine="420"/>
      <w:jc w:val="left"/>
      <w:textAlignment w:val="baseline"/>
    </w:pPr>
    <w:rPr>
      <w:kern w:val="0"/>
    </w:rPr>
  </w:style>
  <w:style w:type="paragraph" w:styleId="21">
    <w:name w:val="Body Text First Indent 2"/>
    <w:basedOn w:val="11"/>
    <w:autoRedefine/>
    <w:qFormat/>
    <w:uiPriority w:val="99"/>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autoRedefine/>
    <w:qFormat/>
    <w:uiPriority w:val="0"/>
    <w:rPr>
      <w:b/>
    </w:rPr>
  </w:style>
  <w:style w:type="paragraph" w:customStyle="1" w:styleId="26">
    <w:name w:val="无间隔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
    <w:name w:val="正文缩进1"/>
    <w:basedOn w:val="1"/>
    <w:autoRedefine/>
    <w:qFormat/>
    <w:uiPriority w:val="0"/>
    <w:pPr>
      <w:ind w:firstLine="420" w:firstLineChars="200"/>
    </w:pPr>
  </w:style>
  <w:style w:type="paragraph" w:customStyle="1" w:styleId="28">
    <w:name w:val="reader-word-layer"/>
    <w:basedOn w:val="1"/>
    <w:autoRedefine/>
    <w:qFormat/>
    <w:uiPriority w:val="99"/>
    <w:pPr>
      <w:spacing w:before="100" w:beforeAutospacing="1" w:after="100" w:afterAutospacing="1"/>
      <w:jc w:val="left"/>
    </w:pPr>
    <w:rPr>
      <w:rFonts w:ascii="宋体" w:hAnsi="宋体" w:cs="宋体"/>
      <w:kern w:val="0"/>
      <w:sz w:val="24"/>
    </w:rPr>
  </w:style>
  <w:style w:type="paragraph" w:customStyle="1" w:styleId="29">
    <w:name w:val="p0"/>
    <w:basedOn w:val="1"/>
    <w:autoRedefine/>
    <w:qFormat/>
    <w:uiPriority w:val="0"/>
    <w:pPr>
      <w:widowControl/>
    </w:pPr>
    <w:rPr>
      <w:kern w:val="0"/>
      <w:szCs w:val="21"/>
    </w:rPr>
  </w:style>
  <w:style w:type="paragraph" w:customStyle="1" w:styleId="30">
    <w:name w:val="招标书 正文"/>
    <w:basedOn w:val="1"/>
    <w:autoRedefine/>
    <w:qFormat/>
    <w:uiPriority w:val="0"/>
    <w:pPr>
      <w:widowControl/>
      <w:snapToGrid w:val="0"/>
      <w:spacing w:line="560" w:lineRule="exact"/>
      <w:ind w:firstLine="560" w:firstLineChars="200"/>
      <w:jc w:val="left"/>
    </w:pPr>
    <w:rPr>
      <w:rFonts w:ascii="宋体" w:hAnsi="宋体"/>
      <w:color w:val="000000"/>
      <w:kern w:val="0"/>
      <w:szCs w:val="28"/>
    </w:rPr>
  </w:style>
  <w:style w:type="character" w:customStyle="1" w:styleId="31">
    <w:name w:val="标题 2 Char"/>
    <w:link w:val="3"/>
    <w:autoRedefine/>
    <w:qFormat/>
    <w:uiPriority w:val="0"/>
    <w:rPr>
      <w:rFonts w:ascii="Arial" w:hAnsi="Arial" w:eastAsia="宋体"/>
      <w:b/>
      <w:sz w:val="32"/>
    </w:rPr>
  </w:style>
  <w:style w:type="paragraph" w:customStyle="1" w:styleId="32">
    <w:name w:val="标题 3（投标文件）"/>
    <w:basedOn w:val="4"/>
    <w:autoRedefine/>
    <w:qFormat/>
    <w:uiPriority w:val="0"/>
    <w:pPr>
      <w:jc w:val="left"/>
    </w:pPr>
    <w:rPr>
      <w:u w:val="none"/>
    </w:rPr>
  </w:style>
  <w:style w:type="paragraph" w:customStyle="1" w:styleId="33">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34">
    <w:name w:val="首行缩进"/>
    <w:basedOn w:val="1"/>
    <w:autoRedefine/>
    <w:qFormat/>
    <w:uiPriority w:val="0"/>
    <w:pPr>
      <w:spacing w:line="360" w:lineRule="auto"/>
      <w:ind w:firstLine="480" w:firstLineChars="200"/>
    </w:pPr>
    <w:rPr>
      <w:sz w:val="24"/>
      <w:szCs w:val="22"/>
      <w:lang w:val="zh-CN"/>
    </w:rPr>
  </w:style>
  <w:style w:type="table" w:customStyle="1" w:styleId="35">
    <w:name w:val="Table Normal"/>
    <w:autoRedefine/>
    <w:unhideWhenUsed/>
    <w:qFormat/>
    <w:uiPriority w:val="0"/>
    <w:tblPr>
      <w:tblCellMar>
        <w:top w:w="0" w:type="dxa"/>
        <w:left w:w="0" w:type="dxa"/>
        <w:bottom w:w="0" w:type="dxa"/>
        <w:right w:w="0" w:type="dxa"/>
      </w:tblCellMar>
    </w:tblPr>
  </w:style>
  <w:style w:type="paragraph" w:customStyle="1" w:styleId="36">
    <w:name w:val="标题 2（投标文件）"/>
    <w:basedOn w:val="3"/>
    <w:autoRedefine/>
    <w:qFormat/>
    <w:uiPriority w:val="0"/>
    <w:pPr>
      <w:jc w:val="center"/>
    </w:pPr>
  </w:style>
  <w:style w:type="paragraph" w:customStyle="1" w:styleId="37">
    <w:name w:val="正文（缩进 2 字符）"/>
    <w:basedOn w:val="1"/>
    <w:autoRedefine/>
    <w:qFormat/>
    <w:uiPriority w:val="0"/>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49834</Words>
  <Characters>53596</Characters>
  <Lines>0</Lines>
  <Paragraphs>0</Paragraphs>
  <TotalTime>208</TotalTime>
  <ScaleCrop>false</ScaleCrop>
  <LinksUpToDate>false</LinksUpToDate>
  <CharactersWithSpaces>59071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2024-05-13T02:05:00Z</dcterms:created>
  <dc:creator>从何说起</dc:creator>
  <cp:lastModifiedBy>NIce-2-cu</cp:lastModifiedBy>
  <dcterms:modified xsi:type="dcterms:W3CDTF">2025-10-06T13:53:00Z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2C838A09AF2A41998110BD64037EAA8E_13</vt:lpwstr>
  </property>
  <property fmtid="{D5CDD505-2E9C-101B-9397-08002B2CF9AE}" pid="4" name="KSOTemplateDocerSaveRecord">
    <vt:lpwstr>eyJoZGlkIjoiOGU0M2FmOGYwZGU1N2Q4MTJjNDliOGE0NGI4NTI1ZWYiLCJ1c2VySWQiOiI4NTM0MDIyMTAifQ==</vt:lpwstr>
  </property>
</Properties>
</file>