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B4877" w14:textId="77777777" w:rsidR="00AE14EA" w:rsidRPr="00AE14EA" w:rsidRDefault="00AE14EA" w:rsidP="00AE14EA">
      <w:pPr>
        <w:keepNext/>
        <w:keepLines/>
        <w:snapToGrid w:val="0"/>
        <w:spacing w:beforeLines="50" w:before="156" w:afterLines="50" w:after="156" w:line="480" w:lineRule="exact"/>
        <w:jc w:val="left"/>
        <w:outlineLvl w:val="1"/>
        <w:rPr>
          <w:rFonts w:ascii="宋体" w:eastAsia="宋体" w:hAnsi="宋体" w:cs="Times New Roman" w:hint="eastAsia"/>
          <w:b/>
          <w:sz w:val="24"/>
          <w:szCs w:val="24"/>
        </w:rPr>
      </w:pPr>
      <w:bookmarkStart w:id="0" w:name="_Toc204767040"/>
      <w:r w:rsidRPr="00AE14EA">
        <w:rPr>
          <w:rFonts w:ascii="宋体" w:eastAsia="宋体" w:hAnsi="宋体" w:cs="Times New Roman" w:hint="eastAsia"/>
          <w:b/>
          <w:sz w:val="24"/>
          <w:szCs w:val="24"/>
        </w:rPr>
        <w:t>一、服务内容与要求</w:t>
      </w:r>
      <w:bookmarkEnd w:id="0"/>
    </w:p>
    <w:p w14:paraId="38B7D4BF" w14:textId="77777777" w:rsidR="00AE14EA" w:rsidRPr="00AE14EA" w:rsidRDefault="00AE14EA" w:rsidP="00AE14EA">
      <w:pPr>
        <w:snapToGrid w:val="0"/>
        <w:spacing w:line="480" w:lineRule="exact"/>
        <w:rPr>
          <w:rFonts w:ascii="Times New Roman" w:eastAsia="宋体" w:hAnsi="Times New Roman" w:cs="Times New Roman" w:hint="eastAsia"/>
          <w:color w:val="FF0000"/>
          <w:szCs w:val="24"/>
        </w:rPr>
      </w:pPr>
      <w:r w:rsidRPr="00AE14EA">
        <w:rPr>
          <w:rFonts w:ascii="宋体" w:eastAsia="宋体" w:hAnsi="宋体" w:cs="仿宋_GB2312" w:hint="eastAsia"/>
          <w:color w:val="FF0000"/>
          <w:sz w:val="24"/>
          <w:szCs w:val="24"/>
        </w:rPr>
        <w:t>（</w:t>
      </w:r>
      <w:r w:rsidRPr="00AE14EA">
        <w:rPr>
          <w:rFonts w:ascii="宋体" w:eastAsia="宋体" w:hAnsi="宋体" w:cs="仿宋_GB2312"/>
          <w:color w:val="FF0000"/>
          <w:sz w:val="24"/>
          <w:szCs w:val="24"/>
        </w:rPr>
        <w:t>带“★”的参数需求为实质性要求，</w:t>
      </w:r>
      <w:r w:rsidRPr="00AE14EA">
        <w:rPr>
          <w:rFonts w:ascii="宋体" w:eastAsia="宋体" w:hAnsi="宋体" w:cs="仿宋_GB2312" w:hint="eastAsia"/>
          <w:color w:val="FF0000"/>
          <w:sz w:val="24"/>
          <w:szCs w:val="24"/>
        </w:rPr>
        <w:t>投标人</w:t>
      </w:r>
      <w:r w:rsidRPr="00AE14EA">
        <w:rPr>
          <w:rFonts w:ascii="宋体" w:eastAsia="宋体" w:hAnsi="宋体" w:cs="仿宋_GB2312"/>
          <w:color w:val="FF0000"/>
          <w:sz w:val="24"/>
          <w:szCs w:val="24"/>
        </w:rPr>
        <w:t>必须响应并满足</w:t>
      </w:r>
      <w:r w:rsidRPr="00AE14EA">
        <w:rPr>
          <w:rFonts w:ascii="宋体" w:eastAsia="宋体" w:hAnsi="宋体" w:cs="仿宋_GB2312" w:hint="eastAsia"/>
          <w:color w:val="FF0000"/>
          <w:sz w:val="24"/>
          <w:szCs w:val="24"/>
        </w:rPr>
        <w:t>，否则其投标文件将被否决。）</w:t>
      </w:r>
    </w:p>
    <w:p w14:paraId="7F698337" w14:textId="77777777" w:rsidR="00AE14EA" w:rsidRPr="00AE14EA" w:rsidRDefault="00AE14EA" w:rsidP="00AE14EA">
      <w:pPr>
        <w:snapToGrid w:val="0"/>
        <w:spacing w:line="480" w:lineRule="exact"/>
        <w:rPr>
          <w:rFonts w:ascii="宋体" w:eastAsia="宋体" w:hAnsi="宋体" w:cs="Times New Roman" w:hint="eastAsia"/>
          <w:sz w:val="24"/>
          <w:szCs w:val="32"/>
        </w:rPr>
      </w:pPr>
      <w:r w:rsidRPr="00AE14EA">
        <w:rPr>
          <w:rFonts w:ascii="宋体" w:eastAsia="宋体" w:hAnsi="宋体" w:cs="Times New Roman" w:hint="eastAsia"/>
          <w:sz w:val="24"/>
          <w:szCs w:val="32"/>
        </w:rPr>
        <w:t>（一）实验室的资质：</w:t>
      </w:r>
    </w:p>
    <w:p w14:paraId="0DDBE166" w14:textId="77777777" w:rsidR="00AE14EA" w:rsidRPr="00AE14EA" w:rsidRDefault="00AE14EA" w:rsidP="00AE14EA">
      <w:pPr>
        <w:snapToGrid w:val="0"/>
        <w:spacing w:line="480" w:lineRule="exact"/>
        <w:ind w:firstLineChars="177" w:firstLine="425"/>
        <w:rPr>
          <w:rFonts w:ascii="宋体" w:eastAsia="宋体" w:hAnsi="宋体" w:cs="Times New Roman" w:hint="eastAsia"/>
          <w:sz w:val="24"/>
          <w:szCs w:val="32"/>
        </w:rPr>
      </w:pPr>
      <w:r w:rsidRPr="00AE14EA">
        <w:rPr>
          <w:rFonts w:ascii="宋体" w:eastAsia="宋体" w:hAnsi="宋体" w:cs="Times New Roman" w:hint="eastAsia"/>
          <w:sz w:val="24"/>
          <w:szCs w:val="32"/>
        </w:rPr>
        <w:t>在西安本地有医学检验实验室，本地实验室资质齐全，通过ISO15189认可并在有效期内。</w:t>
      </w:r>
    </w:p>
    <w:p w14:paraId="4762C8D1" w14:textId="77777777" w:rsidR="00AE14EA" w:rsidRPr="00AE14EA" w:rsidRDefault="00AE14EA" w:rsidP="00AE14EA">
      <w:pPr>
        <w:snapToGrid w:val="0"/>
        <w:spacing w:line="480" w:lineRule="exact"/>
        <w:rPr>
          <w:rFonts w:ascii="宋体" w:eastAsia="宋体" w:hAnsi="宋体" w:cs="Times New Roman" w:hint="eastAsia"/>
          <w:sz w:val="24"/>
          <w:szCs w:val="32"/>
        </w:rPr>
      </w:pPr>
      <w:r w:rsidRPr="00AE14EA">
        <w:rPr>
          <w:rFonts w:ascii="宋体" w:eastAsia="宋体" w:hAnsi="宋体" w:cs="Times New Roman" w:hint="eastAsia"/>
          <w:sz w:val="24"/>
          <w:szCs w:val="32"/>
        </w:rPr>
        <w:t>（二）检测项目的齐全性：</w:t>
      </w:r>
    </w:p>
    <w:p w14:paraId="33BECDB2" w14:textId="77777777" w:rsidR="00AE14EA" w:rsidRPr="00AE14EA" w:rsidRDefault="00AE14EA" w:rsidP="00AE14EA">
      <w:pPr>
        <w:snapToGrid w:val="0"/>
        <w:spacing w:line="480" w:lineRule="exact"/>
        <w:ind w:firstLineChars="177" w:firstLine="425"/>
        <w:rPr>
          <w:rFonts w:ascii="宋体" w:eastAsia="宋体" w:hAnsi="宋体" w:cs="Times New Roman" w:hint="eastAsia"/>
          <w:sz w:val="24"/>
          <w:szCs w:val="32"/>
        </w:rPr>
      </w:pPr>
      <w:r w:rsidRPr="00AE14EA">
        <w:rPr>
          <w:rFonts w:ascii="宋体" w:eastAsia="宋体" w:hAnsi="宋体" w:cs="Times New Roman" w:hint="eastAsia"/>
          <w:sz w:val="24"/>
          <w:szCs w:val="32"/>
        </w:rPr>
        <w:t>★1.开展的项目能满足采购人临床检测的需求，能对附表1«外送检验项目的基本需求和报告时限» 中所列的所有项目进行检测。</w:t>
      </w:r>
      <w:r w:rsidRPr="00AE14EA">
        <w:rPr>
          <w:rFonts w:ascii="宋体" w:eastAsia="宋体" w:hAnsi="宋体" w:cs="Times New Roman" w:hint="eastAsia"/>
          <w:b/>
          <w:bCs/>
          <w:sz w:val="24"/>
          <w:szCs w:val="32"/>
        </w:rPr>
        <w:t>（提供承诺函）</w:t>
      </w:r>
    </w:p>
    <w:p w14:paraId="39E6025A" w14:textId="77777777" w:rsidR="00AE14EA" w:rsidRPr="00AE14EA" w:rsidRDefault="00AE14EA" w:rsidP="00AE14EA">
      <w:pPr>
        <w:snapToGrid w:val="0"/>
        <w:spacing w:line="480" w:lineRule="exact"/>
        <w:ind w:firstLineChars="177" w:firstLine="425"/>
        <w:rPr>
          <w:rFonts w:ascii="宋体" w:eastAsia="宋体" w:hAnsi="宋体" w:cs="Times New Roman" w:hint="eastAsia"/>
          <w:sz w:val="24"/>
          <w:szCs w:val="32"/>
        </w:rPr>
      </w:pPr>
      <w:r w:rsidRPr="00AE14EA">
        <w:rPr>
          <w:rFonts w:ascii="宋体" w:eastAsia="宋体" w:hAnsi="宋体" w:cs="Times New Roman" w:hint="eastAsia"/>
          <w:sz w:val="24"/>
          <w:szCs w:val="32"/>
        </w:rPr>
        <w:t>2.病理学检查：除常规组织细胞病理检测外，能进行常见病毒（HBV/HCV/HPV）感染相关以及肿瘤相关分子的组织细胞病理、免疫组化等检测。</w:t>
      </w:r>
    </w:p>
    <w:p w14:paraId="47F5049F" w14:textId="77777777" w:rsidR="00AE14EA" w:rsidRPr="00AE14EA" w:rsidRDefault="00AE14EA" w:rsidP="00AE14EA">
      <w:pPr>
        <w:snapToGrid w:val="0"/>
        <w:spacing w:line="480" w:lineRule="exact"/>
        <w:ind w:firstLineChars="177" w:firstLine="425"/>
        <w:rPr>
          <w:rFonts w:ascii="宋体" w:eastAsia="宋体" w:hAnsi="宋体" w:cs="Times New Roman" w:hint="eastAsia"/>
          <w:sz w:val="24"/>
          <w:szCs w:val="32"/>
        </w:rPr>
      </w:pPr>
      <w:r w:rsidRPr="00AE14EA">
        <w:rPr>
          <w:rFonts w:ascii="宋体" w:eastAsia="宋体" w:hAnsi="宋体" w:cs="Times New Roman" w:hint="eastAsia"/>
          <w:sz w:val="24"/>
          <w:szCs w:val="32"/>
        </w:rPr>
        <w:t>3.其他检测项目及技术支撑具有高通量测序技术、质谱、色谱检测技术以及超微病理技术的支撑平台</w:t>
      </w:r>
      <w:r w:rsidRPr="00AE14EA">
        <w:rPr>
          <w:rFonts w:ascii="宋体" w:eastAsia="宋体" w:hAnsi="宋体" w:cs="Times New Roman" w:hint="eastAsia"/>
          <w:b/>
          <w:bCs/>
          <w:sz w:val="24"/>
          <w:szCs w:val="32"/>
        </w:rPr>
        <w:t>（提供相关证明材料）</w:t>
      </w:r>
      <w:r w:rsidRPr="00AE14EA">
        <w:rPr>
          <w:rFonts w:ascii="宋体" w:eastAsia="宋体" w:hAnsi="宋体" w:cs="Times New Roman" w:hint="eastAsia"/>
          <w:sz w:val="24"/>
          <w:szCs w:val="32"/>
        </w:rPr>
        <w:t xml:space="preserve">；能进行如特种蛋白检测、毒品检测、药物浓度监测、肿瘤个体化以及遗传病基因检测等。 </w:t>
      </w:r>
    </w:p>
    <w:p w14:paraId="1DBF1E02" w14:textId="77777777" w:rsidR="00AE14EA" w:rsidRPr="00AE14EA" w:rsidRDefault="00AE14EA" w:rsidP="00AE14EA">
      <w:pPr>
        <w:snapToGrid w:val="0"/>
        <w:spacing w:line="480" w:lineRule="exact"/>
        <w:rPr>
          <w:rFonts w:ascii="宋体" w:eastAsia="宋体" w:hAnsi="宋体" w:cs="Times New Roman" w:hint="eastAsia"/>
          <w:sz w:val="24"/>
          <w:szCs w:val="32"/>
        </w:rPr>
      </w:pPr>
      <w:r w:rsidRPr="00AE14EA">
        <w:rPr>
          <w:rFonts w:ascii="宋体" w:eastAsia="宋体" w:hAnsi="宋体" w:cs="Times New Roman" w:hint="eastAsia"/>
          <w:sz w:val="24"/>
          <w:szCs w:val="32"/>
        </w:rPr>
        <w:t>（三）实验室的信息化管理：</w:t>
      </w:r>
    </w:p>
    <w:p w14:paraId="47EEE8D3" w14:textId="77777777" w:rsidR="00AE14EA" w:rsidRPr="00AE14EA" w:rsidRDefault="00AE14EA" w:rsidP="00AE14EA">
      <w:pPr>
        <w:snapToGrid w:val="0"/>
        <w:spacing w:line="480" w:lineRule="exact"/>
        <w:ind w:firstLineChars="177" w:firstLine="425"/>
        <w:rPr>
          <w:rFonts w:ascii="宋体" w:eastAsia="宋体" w:hAnsi="宋体" w:cs="Times New Roman" w:hint="eastAsia"/>
          <w:sz w:val="24"/>
          <w:szCs w:val="32"/>
        </w:rPr>
      </w:pPr>
      <w:r w:rsidRPr="00AE14EA">
        <w:rPr>
          <w:rFonts w:ascii="宋体" w:eastAsia="宋体" w:hAnsi="宋体" w:cs="Times New Roman" w:hint="eastAsia"/>
          <w:sz w:val="24"/>
          <w:szCs w:val="32"/>
        </w:rPr>
        <w:t>1.第三方检验机构对于院方的外送检验标本可实现信息化、自动化以及流程标准化的管理，符合ISO/IEC17025、ISO15189的标准。实验室信息系统按照国际标准设计，检验电子报告采用国家认可的数字签名方式，互认项目报告单符合相关规定。</w:t>
      </w:r>
    </w:p>
    <w:p w14:paraId="3366C60A" w14:textId="77777777" w:rsidR="00AE14EA" w:rsidRPr="00AE14EA" w:rsidRDefault="00AE14EA" w:rsidP="00AE14EA">
      <w:pPr>
        <w:snapToGrid w:val="0"/>
        <w:spacing w:line="480" w:lineRule="exact"/>
        <w:ind w:firstLineChars="177" w:firstLine="425"/>
        <w:rPr>
          <w:rFonts w:ascii="宋体" w:eastAsia="宋体" w:hAnsi="宋体" w:cs="Times New Roman" w:hint="eastAsia"/>
          <w:sz w:val="24"/>
          <w:szCs w:val="32"/>
        </w:rPr>
      </w:pPr>
      <w:r w:rsidRPr="00AE14EA">
        <w:rPr>
          <w:rFonts w:ascii="宋体" w:eastAsia="宋体" w:hAnsi="宋体" w:cs="Times New Roman" w:hint="eastAsia"/>
          <w:sz w:val="24"/>
          <w:szCs w:val="32"/>
        </w:rPr>
        <w:t>2.信息系统可与医院HIS系统对接，做到数据共享，临床医生可在医院HIS系统阅读和打印检验报告单；第三方检验机构实验室具备IS027001信息安全管理体系认证证书，保证信息安全。</w:t>
      </w:r>
    </w:p>
    <w:p w14:paraId="08C829E1" w14:textId="77777777" w:rsidR="00AE14EA" w:rsidRPr="00AE14EA" w:rsidRDefault="00AE14EA" w:rsidP="00AE14EA">
      <w:pPr>
        <w:snapToGrid w:val="0"/>
        <w:spacing w:line="480" w:lineRule="exact"/>
        <w:ind w:firstLineChars="177" w:firstLine="425"/>
        <w:rPr>
          <w:rFonts w:ascii="宋体" w:eastAsia="宋体" w:hAnsi="宋体" w:cs="Times New Roman" w:hint="eastAsia"/>
          <w:sz w:val="24"/>
          <w:szCs w:val="32"/>
        </w:rPr>
      </w:pPr>
      <w:r w:rsidRPr="00AE14EA">
        <w:rPr>
          <w:rFonts w:ascii="宋体" w:eastAsia="宋体" w:hAnsi="宋体" w:cs="Times New Roman" w:hint="eastAsia"/>
          <w:sz w:val="24"/>
          <w:szCs w:val="32"/>
        </w:rPr>
        <w:t>3.可实现检验结果的网络查询以及24小时电话咨询服务。</w:t>
      </w:r>
    </w:p>
    <w:p w14:paraId="01FB51B7" w14:textId="77777777" w:rsidR="00AE14EA" w:rsidRPr="00AE14EA" w:rsidRDefault="00AE14EA" w:rsidP="00AE14EA">
      <w:pPr>
        <w:snapToGrid w:val="0"/>
        <w:spacing w:line="480" w:lineRule="exact"/>
        <w:ind w:firstLineChars="177" w:firstLine="425"/>
        <w:rPr>
          <w:rFonts w:ascii="宋体" w:eastAsia="宋体" w:hAnsi="宋体" w:cs="Times New Roman" w:hint="eastAsia"/>
          <w:sz w:val="24"/>
          <w:szCs w:val="32"/>
        </w:rPr>
      </w:pPr>
      <w:r w:rsidRPr="00AE14EA">
        <w:rPr>
          <w:rFonts w:ascii="宋体" w:eastAsia="宋体" w:hAnsi="宋体" w:cs="Times New Roman" w:hint="eastAsia"/>
          <w:sz w:val="24"/>
          <w:szCs w:val="32"/>
        </w:rPr>
        <w:t>4.可提供数字化扫描病理切片,可以让医生自己网上查询、下载及阅片。</w:t>
      </w:r>
    </w:p>
    <w:p w14:paraId="217A9D11" w14:textId="77777777" w:rsidR="00AE14EA" w:rsidRPr="00AE14EA" w:rsidRDefault="00AE14EA" w:rsidP="00AE14EA">
      <w:pPr>
        <w:snapToGrid w:val="0"/>
        <w:spacing w:line="480" w:lineRule="exact"/>
        <w:rPr>
          <w:rFonts w:ascii="宋体" w:eastAsia="宋体" w:hAnsi="宋体" w:cs="Times New Roman" w:hint="eastAsia"/>
          <w:sz w:val="24"/>
          <w:szCs w:val="32"/>
        </w:rPr>
      </w:pPr>
      <w:r w:rsidRPr="00AE14EA">
        <w:rPr>
          <w:rFonts w:ascii="宋体" w:eastAsia="宋体" w:hAnsi="宋体" w:cs="Times New Roman" w:hint="eastAsia"/>
          <w:sz w:val="24"/>
          <w:szCs w:val="32"/>
        </w:rPr>
        <w:t>（四）外送检验报告的时效性：</w:t>
      </w:r>
    </w:p>
    <w:p w14:paraId="77E868DF" w14:textId="77777777" w:rsidR="00AE14EA" w:rsidRPr="00AE14EA" w:rsidRDefault="00AE14EA" w:rsidP="00AE14EA">
      <w:pPr>
        <w:snapToGrid w:val="0"/>
        <w:spacing w:line="480" w:lineRule="exact"/>
        <w:ind w:firstLineChars="177" w:firstLine="425"/>
        <w:rPr>
          <w:rFonts w:ascii="宋体" w:eastAsia="宋体" w:hAnsi="宋体" w:cs="Times New Roman" w:hint="eastAsia"/>
          <w:sz w:val="24"/>
          <w:szCs w:val="32"/>
        </w:rPr>
      </w:pPr>
      <w:r w:rsidRPr="00AE14EA">
        <w:rPr>
          <w:rFonts w:ascii="宋体" w:eastAsia="宋体" w:hAnsi="宋体" w:cs="Times New Roman" w:hint="eastAsia"/>
          <w:sz w:val="24"/>
          <w:szCs w:val="32"/>
        </w:rPr>
        <w:t>外送检验结果回报及时：常规报告24小时内完成，特殊检测能达到附表1中要求的时效性，报告单及时送达，未及时送达应承担相应违约责任。</w:t>
      </w:r>
    </w:p>
    <w:p w14:paraId="2A0C1FBC" w14:textId="77777777" w:rsidR="00AE14EA" w:rsidRPr="00AE14EA" w:rsidRDefault="00AE14EA" w:rsidP="00AE14EA">
      <w:pPr>
        <w:snapToGrid w:val="0"/>
        <w:spacing w:line="480" w:lineRule="exact"/>
        <w:rPr>
          <w:rFonts w:ascii="宋体" w:eastAsia="宋体" w:hAnsi="宋体" w:cs="Times New Roman" w:hint="eastAsia"/>
          <w:sz w:val="24"/>
          <w:szCs w:val="32"/>
        </w:rPr>
      </w:pPr>
      <w:r w:rsidRPr="00AE14EA">
        <w:rPr>
          <w:rFonts w:ascii="宋体" w:eastAsia="宋体" w:hAnsi="宋体" w:cs="Times New Roman" w:hint="eastAsia"/>
          <w:sz w:val="24"/>
          <w:szCs w:val="32"/>
        </w:rPr>
        <w:t>（五）检测设备和试剂：</w:t>
      </w:r>
    </w:p>
    <w:p w14:paraId="2E2A385A" w14:textId="77777777" w:rsidR="00AE14EA" w:rsidRPr="00AE14EA" w:rsidRDefault="00AE14EA" w:rsidP="00AE14EA">
      <w:pPr>
        <w:snapToGrid w:val="0"/>
        <w:spacing w:line="480" w:lineRule="exact"/>
        <w:ind w:firstLineChars="177" w:firstLine="425"/>
        <w:rPr>
          <w:rFonts w:ascii="宋体" w:eastAsia="宋体" w:hAnsi="宋体" w:cs="Times New Roman" w:hint="eastAsia"/>
          <w:sz w:val="24"/>
          <w:szCs w:val="32"/>
        </w:rPr>
      </w:pPr>
      <w:r w:rsidRPr="00AE14EA">
        <w:rPr>
          <w:rFonts w:ascii="宋体" w:eastAsia="宋体" w:hAnsi="宋体" w:cs="Times New Roman" w:hint="eastAsia"/>
          <w:sz w:val="24"/>
          <w:szCs w:val="32"/>
        </w:rPr>
        <w:lastRenderedPageBreak/>
        <w:t>1.用于临床标本检测的设备需符合国家规定。</w:t>
      </w:r>
    </w:p>
    <w:p w14:paraId="24C0B25C" w14:textId="77777777" w:rsidR="00AE14EA" w:rsidRPr="00AE14EA" w:rsidRDefault="00AE14EA" w:rsidP="00AE14EA">
      <w:pPr>
        <w:snapToGrid w:val="0"/>
        <w:spacing w:line="480" w:lineRule="exact"/>
        <w:ind w:firstLineChars="177" w:firstLine="425"/>
        <w:rPr>
          <w:rFonts w:ascii="宋体" w:eastAsia="宋体" w:hAnsi="宋体" w:cs="Times New Roman" w:hint="eastAsia"/>
          <w:sz w:val="24"/>
          <w:szCs w:val="32"/>
        </w:rPr>
      </w:pPr>
      <w:r w:rsidRPr="00AE14EA">
        <w:rPr>
          <w:rFonts w:ascii="宋体" w:eastAsia="宋体" w:hAnsi="宋体" w:cs="Times New Roman" w:hint="eastAsia"/>
          <w:sz w:val="24"/>
          <w:szCs w:val="32"/>
        </w:rPr>
        <w:t>2.所用试剂须有批准文号，不得使用科研试剂。</w:t>
      </w:r>
    </w:p>
    <w:p w14:paraId="0F8728D9" w14:textId="77777777" w:rsidR="00AE14EA" w:rsidRPr="00AE14EA" w:rsidRDefault="00AE14EA" w:rsidP="00AE14EA">
      <w:pPr>
        <w:snapToGrid w:val="0"/>
        <w:spacing w:line="480" w:lineRule="exact"/>
        <w:ind w:firstLineChars="177" w:firstLine="425"/>
        <w:rPr>
          <w:rFonts w:ascii="宋体" w:eastAsia="宋体" w:hAnsi="宋体" w:cs="Times New Roman" w:hint="eastAsia"/>
          <w:sz w:val="24"/>
          <w:szCs w:val="32"/>
        </w:rPr>
      </w:pPr>
      <w:r w:rsidRPr="00AE14EA">
        <w:rPr>
          <w:rFonts w:ascii="宋体" w:eastAsia="宋体" w:hAnsi="宋体" w:cs="Times New Roman" w:hint="eastAsia"/>
          <w:sz w:val="24"/>
          <w:szCs w:val="32"/>
        </w:rPr>
        <w:t>3.检测方法达到或优于附表1«外送检验项目的基本需求和报告时限» 中对检测方法的要求。</w:t>
      </w:r>
    </w:p>
    <w:p w14:paraId="4F36D3DD" w14:textId="77777777" w:rsidR="00AE14EA" w:rsidRPr="00AE14EA" w:rsidRDefault="00AE14EA" w:rsidP="00AE14EA">
      <w:pPr>
        <w:snapToGrid w:val="0"/>
        <w:spacing w:line="480" w:lineRule="exact"/>
        <w:rPr>
          <w:rFonts w:ascii="宋体" w:eastAsia="宋体" w:hAnsi="宋体" w:cs="Times New Roman" w:hint="eastAsia"/>
          <w:sz w:val="24"/>
          <w:szCs w:val="32"/>
        </w:rPr>
      </w:pPr>
      <w:r w:rsidRPr="00AE14EA">
        <w:rPr>
          <w:rFonts w:ascii="宋体" w:eastAsia="宋体" w:hAnsi="宋体" w:cs="Times New Roman" w:hint="eastAsia"/>
          <w:sz w:val="24"/>
          <w:szCs w:val="32"/>
        </w:rPr>
        <w:t>（六）标本运输要求：</w:t>
      </w:r>
    </w:p>
    <w:p w14:paraId="056AA69F" w14:textId="77777777" w:rsidR="00AE14EA" w:rsidRPr="00AE14EA" w:rsidRDefault="00AE14EA" w:rsidP="00AE14EA">
      <w:pPr>
        <w:snapToGrid w:val="0"/>
        <w:spacing w:line="480" w:lineRule="exact"/>
        <w:ind w:firstLineChars="177" w:firstLine="425"/>
        <w:rPr>
          <w:rFonts w:ascii="宋体" w:eastAsia="宋体" w:hAnsi="宋体" w:cs="Times New Roman" w:hint="eastAsia"/>
          <w:sz w:val="24"/>
          <w:szCs w:val="32"/>
        </w:rPr>
      </w:pPr>
      <w:r w:rsidRPr="00AE14EA">
        <w:rPr>
          <w:rFonts w:ascii="宋体" w:eastAsia="宋体" w:hAnsi="宋体" w:cs="Times New Roman" w:hint="eastAsia"/>
          <w:sz w:val="24"/>
          <w:szCs w:val="32"/>
        </w:rPr>
        <w:t>1.能实现物流信息化管理，为《医学检验生物样本冷链物流运作规范》达标企业。具备卫星定位系统和温控系统，在标本的运输中可以实现实时路径监控、实时温度监控，保证标本运输过程中保持在所需的温度区间内。</w:t>
      </w:r>
    </w:p>
    <w:p w14:paraId="6786D35D" w14:textId="77777777" w:rsidR="00AE14EA" w:rsidRPr="00AE14EA" w:rsidRDefault="00AE14EA" w:rsidP="00AE14EA">
      <w:pPr>
        <w:snapToGrid w:val="0"/>
        <w:spacing w:line="480" w:lineRule="exact"/>
        <w:ind w:firstLineChars="177" w:firstLine="425"/>
        <w:rPr>
          <w:rFonts w:ascii="宋体" w:eastAsia="宋体" w:hAnsi="宋体" w:cs="Times New Roman" w:hint="eastAsia"/>
          <w:sz w:val="24"/>
          <w:szCs w:val="32"/>
        </w:rPr>
      </w:pPr>
      <w:r w:rsidRPr="00AE14EA">
        <w:rPr>
          <w:rFonts w:ascii="宋体" w:eastAsia="宋体" w:hAnsi="宋体" w:cs="Times New Roman" w:hint="eastAsia"/>
          <w:sz w:val="24"/>
          <w:szCs w:val="32"/>
        </w:rPr>
        <w:t>2.高致病性病原微生物样本需按照国家规范要求办理转运证。</w:t>
      </w:r>
    </w:p>
    <w:p w14:paraId="3A677A11" w14:textId="77777777" w:rsidR="00AE14EA" w:rsidRPr="00AE14EA" w:rsidRDefault="00AE14EA" w:rsidP="00AE14EA">
      <w:pPr>
        <w:snapToGrid w:val="0"/>
        <w:spacing w:line="480" w:lineRule="exact"/>
        <w:rPr>
          <w:rFonts w:ascii="宋体" w:eastAsia="宋体" w:hAnsi="宋体" w:cs="Times New Roman" w:hint="eastAsia"/>
          <w:sz w:val="24"/>
          <w:szCs w:val="32"/>
        </w:rPr>
      </w:pPr>
      <w:r w:rsidRPr="00AE14EA">
        <w:rPr>
          <w:rFonts w:ascii="宋体" w:eastAsia="宋体" w:hAnsi="宋体" w:cs="Times New Roman" w:hint="eastAsia"/>
          <w:sz w:val="24"/>
          <w:szCs w:val="32"/>
        </w:rPr>
        <w:t>（七）实验室的质量管理：</w:t>
      </w:r>
    </w:p>
    <w:p w14:paraId="2EC2AB81" w14:textId="77777777" w:rsidR="00AE14EA" w:rsidRPr="00AE14EA" w:rsidRDefault="00AE14EA" w:rsidP="00AE14EA">
      <w:pPr>
        <w:snapToGrid w:val="0"/>
        <w:spacing w:line="480" w:lineRule="exact"/>
        <w:ind w:firstLineChars="177" w:firstLine="425"/>
        <w:rPr>
          <w:rFonts w:ascii="宋体" w:eastAsia="宋体" w:hAnsi="宋体" w:cs="Times New Roman" w:hint="eastAsia"/>
          <w:sz w:val="24"/>
          <w:szCs w:val="32"/>
        </w:rPr>
      </w:pPr>
      <w:r w:rsidRPr="00AE14EA">
        <w:rPr>
          <w:rFonts w:ascii="宋体" w:eastAsia="宋体" w:hAnsi="宋体" w:cs="Times New Roman" w:hint="eastAsia"/>
          <w:sz w:val="24"/>
          <w:szCs w:val="32"/>
        </w:rPr>
        <w:t>1.具备完善的实验室质量管理体系。</w:t>
      </w:r>
    </w:p>
    <w:p w14:paraId="7D3A38B8" w14:textId="77777777" w:rsidR="00AE14EA" w:rsidRPr="00AE14EA" w:rsidRDefault="00AE14EA" w:rsidP="00AE14EA">
      <w:pPr>
        <w:snapToGrid w:val="0"/>
        <w:spacing w:line="480" w:lineRule="exact"/>
        <w:ind w:firstLineChars="177" w:firstLine="425"/>
        <w:rPr>
          <w:rFonts w:ascii="宋体" w:eastAsia="宋体" w:hAnsi="宋体" w:cs="Times New Roman" w:hint="eastAsia"/>
          <w:sz w:val="24"/>
          <w:szCs w:val="32"/>
        </w:rPr>
      </w:pPr>
      <w:r w:rsidRPr="00AE14EA">
        <w:rPr>
          <w:rFonts w:ascii="宋体" w:eastAsia="宋体" w:hAnsi="宋体" w:cs="Times New Roman" w:hint="eastAsia"/>
          <w:sz w:val="24"/>
          <w:szCs w:val="32"/>
        </w:rPr>
        <w:t>2.室内质控开展率≥90%；2024年度室间质评参加率≥95%，合格率≥98%。</w:t>
      </w:r>
    </w:p>
    <w:p w14:paraId="3D9EE846" w14:textId="77777777" w:rsidR="00AE14EA" w:rsidRPr="00AE14EA" w:rsidRDefault="00AE14EA" w:rsidP="00AE14EA">
      <w:pPr>
        <w:snapToGrid w:val="0"/>
        <w:spacing w:line="480" w:lineRule="exact"/>
        <w:ind w:firstLineChars="177" w:firstLine="425"/>
        <w:rPr>
          <w:rFonts w:ascii="宋体" w:eastAsia="宋体" w:hAnsi="宋体" w:cs="Times New Roman" w:hint="eastAsia"/>
          <w:sz w:val="24"/>
          <w:szCs w:val="32"/>
        </w:rPr>
      </w:pPr>
      <w:r w:rsidRPr="00AE14EA">
        <w:rPr>
          <w:rFonts w:ascii="宋体" w:eastAsia="宋体" w:hAnsi="宋体" w:cs="Times New Roman" w:hint="eastAsia"/>
          <w:sz w:val="24"/>
          <w:szCs w:val="32"/>
        </w:rPr>
        <w:t>3、本地实验室纳入2025年度陕西省检验结果互认名单，且附表1中带“▲”纳入陕西省互认的项目均通过互认。</w:t>
      </w:r>
    </w:p>
    <w:p w14:paraId="1441A1F8" w14:textId="77777777" w:rsidR="00AE14EA" w:rsidRPr="00AE14EA" w:rsidRDefault="00AE14EA" w:rsidP="00AE14EA">
      <w:pPr>
        <w:snapToGrid w:val="0"/>
        <w:spacing w:line="480" w:lineRule="exact"/>
        <w:ind w:firstLineChars="177" w:firstLine="425"/>
        <w:rPr>
          <w:rFonts w:ascii="宋体" w:eastAsia="宋体" w:hAnsi="宋体" w:cs="Times New Roman" w:hint="eastAsia"/>
          <w:sz w:val="24"/>
          <w:szCs w:val="32"/>
        </w:rPr>
      </w:pPr>
      <w:r w:rsidRPr="00AE14EA">
        <w:rPr>
          <w:rFonts w:ascii="宋体" w:eastAsia="宋体" w:hAnsi="宋体" w:cs="Times New Roman" w:hint="eastAsia"/>
          <w:sz w:val="24"/>
          <w:szCs w:val="32"/>
        </w:rPr>
        <w:t>4、附表1带“*”项目需为经过ISO15189认可的项目和检测方法。（提供相关证明材料）</w:t>
      </w:r>
    </w:p>
    <w:p w14:paraId="34EF6715" w14:textId="77777777" w:rsidR="00AE14EA" w:rsidRPr="00AE14EA" w:rsidRDefault="00AE14EA" w:rsidP="00AE14EA">
      <w:pPr>
        <w:snapToGrid w:val="0"/>
        <w:spacing w:line="480" w:lineRule="exact"/>
        <w:rPr>
          <w:rFonts w:ascii="宋体" w:eastAsia="宋体" w:hAnsi="宋体" w:cs="Times New Roman" w:hint="eastAsia"/>
          <w:sz w:val="24"/>
          <w:szCs w:val="32"/>
        </w:rPr>
      </w:pPr>
      <w:r w:rsidRPr="00AE14EA">
        <w:rPr>
          <w:rFonts w:ascii="宋体" w:eastAsia="宋体" w:hAnsi="宋体" w:cs="Times New Roman" w:hint="eastAsia"/>
          <w:sz w:val="24"/>
          <w:szCs w:val="32"/>
        </w:rPr>
        <w:t>（八）其他服务要求：</w:t>
      </w:r>
    </w:p>
    <w:p w14:paraId="5F526F1D" w14:textId="77777777" w:rsidR="00AE14EA" w:rsidRPr="00AE14EA" w:rsidRDefault="00AE14EA" w:rsidP="00AE14EA">
      <w:pPr>
        <w:snapToGrid w:val="0"/>
        <w:spacing w:line="480" w:lineRule="exact"/>
        <w:ind w:firstLineChars="177" w:firstLine="425"/>
        <w:rPr>
          <w:rFonts w:ascii="宋体" w:eastAsia="宋体" w:hAnsi="宋体" w:cs="Times New Roman" w:hint="eastAsia"/>
          <w:sz w:val="24"/>
          <w:szCs w:val="32"/>
        </w:rPr>
      </w:pPr>
      <w:r w:rsidRPr="00AE14EA">
        <w:rPr>
          <w:rFonts w:ascii="宋体" w:eastAsia="宋体" w:hAnsi="宋体" w:cs="Times New Roman" w:hint="eastAsia"/>
          <w:sz w:val="24"/>
          <w:szCs w:val="32"/>
        </w:rPr>
        <w:t>1、能够提供全面、优质的检验服务，保证服务质量、满足医院诊疗需求，及时提供新增特殊检测业务；</w:t>
      </w:r>
    </w:p>
    <w:p w14:paraId="787D873F" w14:textId="77777777" w:rsidR="00AE14EA" w:rsidRPr="00AE14EA" w:rsidRDefault="00AE14EA" w:rsidP="00AE14EA">
      <w:pPr>
        <w:snapToGrid w:val="0"/>
        <w:spacing w:line="480" w:lineRule="exact"/>
        <w:ind w:firstLineChars="177" w:firstLine="425"/>
        <w:rPr>
          <w:rFonts w:ascii="宋体" w:eastAsia="宋体" w:hAnsi="宋体" w:cs="Times New Roman" w:hint="eastAsia"/>
          <w:sz w:val="24"/>
          <w:szCs w:val="32"/>
        </w:rPr>
      </w:pPr>
      <w:r w:rsidRPr="00AE14EA">
        <w:rPr>
          <w:rFonts w:ascii="宋体" w:eastAsia="宋体" w:hAnsi="宋体" w:cs="Times New Roman" w:hint="eastAsia"/>
          <w:sz w:val="24"/>
          <w:szCs w:val="32"/>
        </w:rPr>
        <w:t>2、可通过人工智能应用提升医院医疗服务能力，实现AI智能体智慧报告解读、疾病问答、项目推荐、用药助手等智能场景应用，辅助临床医生的决策诊断。</w:t>
      </w:r>
    </w:p>
    <w:p w14:paraId="02BA6251" w14:textId="77777777" w:rsidR="00AE14EA" w:rsidRPr="00AE14EA" w:rsidRDefault="00AE14EA" w:rsidP="00AE14EA">
      <w:pPr>
        <w:snapToGrid w:val="0"/>
        <w:spacing w:line="480" w:lineRule="exact"/>
        <w:ind w:firstLineChars="177" w:firstLine="425"/>
        <w:rPr>
          <w:rFonts w:ascii="宋体" w:eastAsia="宋体" w:hAnsi="宋体" w:cs="Times New Roman"/>
          <w:sz w:val="24"/>
          <w:szCs w:val="32"/>
        </w:rPr>
      </w:pPr>
      <w:r w:rsidRPr="00AE14EA">
        <w:rPr>
          <w:rFonts w:ascii="宋体" w:eastAsia="宋体" w:hAnsi="宋体" w:cs="Times New Roman" w:hint="eastAsia"/>
          <w:sz w:val="24"/>
          <w:szCs w:val="32"/>
        </w:rPr>
        <w:t>3、可以配合医院的发展提供专家上门学术交流、开展临床科研检测、实验室共建思路等一系列增值服务，提供实验室相互交流学习机会，达到共同发展。</w:t>
      </w:r>
    </w:p>
    <w:p w14:paraId="435A7C97" w14:textId="77777777" w:rsidR="00AE14EA" w:rsidRPr="00AE14EA" w:rsidRDefault="00AE14EA" w:rsidP="00AE14EA">
      <w:pPr>
        <w:snapToGrid w:val="0"/>
        <w:spacing w:line="480" w:lineRule="exact"/>
        <w:ind w:firstLine="420"/>
        <w:rPr>
          <w:rFonts w:ascii="宋体" w:eastAsia="宋体" w:hAnsi="Courier New" w:cs="Times New Roman" w:hint="eastAsia"/>
          <w:szCs w:val="20"/>
        </w:rPr>
      </w:pPr>
    </w:p>
    <w:p w14:paraId="016A8B6C" w14:textId="77777777" w:rsidR="00AE14EA" w:rsidRPr="00AE14EA" w:rsidRDefault="00AE14EA" w:rsidP="00AE14EA">
      <w:pPr>
        <w:snapToGrid w:val="0"/>
        <w:spacing w:line="480" w:lineRule="exact"/>
        <w:jc w:val="center"/>
        <w:outlineLvl w:val="1"/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</w:pPr>
      <w:bookmarkStart w:id="1" w:name="_Toc204767041"/>
      <w:r w:rsidRPr="00AE14EA">
        <w:rPr>
          <w:rFonts w:ascii="宋体" w:eastAsia="宋体" w:hAnsi="宋体" w:cs="Times New Roman" w:hint="eastAsia"/>
          <w:color w:val="000000"/>
          <w:sz w:val="24"/>
          <w:szCs w:val="24"/>
        </w:rPr>
        <w:t>附表1：</w:t>
      </w:r>
      <w:r w:rsidRPr="00AE14E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外送检验项目的基本需求和报告时限</w:t>
      </w:r>
      <w:bookmarkEnd w:id="1"/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720"/>
        <w:gridCol w:w="4132"/>
        <w:gridCol w:w="2962"/>
        <w:gridCol w:w="1825"/>
      </w:tblGrid>
      <w:tr w:rsidR="00AE14EA" w:rsidRPr="00AE14EA" w14:paraId="2F903A3D" w14:textId="77777777" w:rsidTr="009D5A3B">
        <w:trPr>
          <w:trHeight w:val="6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5B30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400B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B1E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要求检测方法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49E79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报告时限</w:t>
            </w:r>
          </w:p>
        </w:tc>
      </w:tr>
      <w:tr w:rsidR="00AE14EA" w:rsidRPr="00AE14EA" w14:paraId="102AA85A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6F09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7C7EC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乙肝病毒核苷类药物耐药检测（测序）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97C8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测序法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48E79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3-4个工作日</w:t>
            </w:r>
          </w:p>
        </w:tc>
      </w:tr>
      <w:tr w:rsidR="00AE14EA" w:rsidRPr="00AE14EA" w14:paraId="1CBB69B5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949DA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32322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丙型肝炎病毒 (HCV)基因分型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C19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实时荧光PCR法、测序法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BA44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3-4个工作日</w:t>
            </w:r>
          </w:p>
        </w:tc>
      </w:tr>
      <w:tr w:rsidR="00AE14EA" w:rsidRPr="00AE14EA" w14:paraId="699E39B9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2F3BC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D48DE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HIV-1耐药基因检测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130C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Sanger测序法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8609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7个工作日</w:t>
            </w:r>
          </w:p>
        </w:tc>
      </w:tr>
      <w:tr w:rsidR="00AE14EA" w:rsidRPr="00AE14EA" w14:paraId="45100EDA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9693C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72CBD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▲人乳头瘤病毒(HPV)基因分型检测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C37F0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实时荧光PCR法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AAD89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2-3个工作日</w:t>
            </w:r>
          </w:p>
        </w:tc>
      </w:tr>
      <w:tr w:rsidR="00AE14EA" w:rsidRPr="00AE14EA" w14:paraId="012C2625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68FD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A2D36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结核分枝杆菌及利福平耐药检测 (XpertMTB/RTF）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54A3A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实时荧光PCR法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D9C9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3个工作日</w:t>
            </w:r>
          </w:p>
        </w:tc>
      </w:tr>
      <w:tr w:rsidR="00AE14EA" w:rsidRPr="00AE14EA" w14:paraId="63093552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0072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F0F02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单纯疱疹病毒I型 (HSVII-DNA)定性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F624E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实时荧光PCR法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B30B9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76F077DA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F7E6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19AC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单纯疱疹病毒II型（hsv II-DNA)定性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B6D2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实时荧光PCR法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803E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0D3C84D9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2E248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F8FD6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梅毒螺旋体DNA定性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E00F9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实时荧光PCR法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84785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4365A5E8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C12FE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9E2A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肺炎支原体DNA定性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84A8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实时荧光PCR法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CDAE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029B3613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A89A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F9360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肺炎衣原体DNA定性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59D32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实时荧光PCR法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C606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2E2AFB48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624B0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A26BE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百日咳杆菌核酸检测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D1759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实时荧光PCR法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58062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5E71494D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6BE2A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A3643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风疹病毒RNA定性测定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07C7D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实时荧光PCR法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47A36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0D906E7C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5F28E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F46C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戊肝病毒RNA定量检测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BADF9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实时荧光PCR法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E0205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333E0F48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B377A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C388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EB病毒早期抗原IgG抗体测定（EBV-EA-IgG）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B05D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ELISA或化学发光法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AB13C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20BD1793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DD17BE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C504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EB病毒早期抗原IgA测定（EBV-EA-IgA）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70100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ELISA或化学发光法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E089C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7F84F403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E2025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3F8B2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EB病毒壳抗原IgA测定（EBV-CA-IgA）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8828D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ELISA或化学发光法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55CC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61DE4B93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2205C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3A45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EB病毒壳抗原IgM抗体测定（EBV-CA-IgM）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4289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ELISA或化学发光法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D309A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53A4E1D2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6391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A1143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EB病毒壳抗原IgG抗体测定（EBV-CA-IgG）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4F742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ELISA或化学发光法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E5022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2ABE7AAE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81B5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C194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EB病毒核心抗原IgG抗体测定（EBV-NA-IgG）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83709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ELISA或化学发光法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4402B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44E72E34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51C82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38303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柯萨奇病毒IgM抗体测定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5F77D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ELISA或化学发光法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43162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1E4D9EDD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4642B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B950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柯萨奇病毒IgG抗体测定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8F6ED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ELISA或化学发光法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592CD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15F54DE4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4365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22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567F8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腮腺炎病毒IgM抗体测定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2700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ELISA或化学发光法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B68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06B6FDA5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B9D14E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FA75B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腮腺炎病毒IgG抗体测定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41803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ELISA或化学发光法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A0FA6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60FC3993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D481B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4113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麻疹病毒IgM抗体测定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664C5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ELISA或化学发光法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4ACF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296C801F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399EE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30B32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麻疹病毒IgG抗体测定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44E0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ELISA或化学发光法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BF254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5DD4FF77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BE5A0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5061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风疹病毒IgM抗体测定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76776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ELISA或化学发光法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9022C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37D3C2BB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95BE2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DD45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风疹病毒IgG抗体测定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376B0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ELISA或化学发光法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F083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6538999D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26469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3003C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*单纯疱疹病毒I型IgM抗体测定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CF3C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ELISA或化学发光法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22955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33F3E605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9FFEA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B92B8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单纯疱疹病毒I型IgG抗体测定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86719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ELISA或化学发光法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80425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14856AC3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C1AD8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E9FD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*单纯疱疹病毒II型IgM抗体测定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5FC7B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ELISA或化学发光法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AF36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18A222B2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D7189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98589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单纯疱疹病毒II型IgG抗体测定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4C0C6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ELISA或化学发光法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423E6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54A55168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9CF1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BA48A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水痘—带状疱疹病毒IgM抗体测定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41886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ELISA或化学发光法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DB714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7B273D5E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30E622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9A103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水痘—带状疱疹病毒IgG抗体测定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2B0D4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ELISA或化学发光法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68C74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406436E5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A2953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0177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*弓形体IgM抗体测定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008E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ELISA或化学发光法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F16A3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26EAC5A6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AB433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FED88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弓形体IgG抗体测定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84E8E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ELISA或化学发光法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A5064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04BCF12A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D496C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67F16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*巨细胞病毒IgM抗体测定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65A7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ELISA或化学发光法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866D0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331B1F1E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C833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1CBB6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巨细胞病毒IgG抗体测定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0E7F3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ELISA或化学发光法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F1F29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73192146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596B8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3DBF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呼吸道合胞病毒IgM抗体测定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BA698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ELISA或化学发光法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2F0B6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627E240D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E6C3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B836D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新型隐球菌荚膜抗原测定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DE4E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ELISA或胶体金法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473E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5DF65079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9F219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967B8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马尔尼菲青霉菌抗原检测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CF85A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ELISA或胶体金法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06DE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4525D120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A2C7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8AA65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恙虫病立克次体抗体检测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C460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ELISA或胶体金法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36EFE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52D37690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4A412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73283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军团菌抗体IgM测定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99B9D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ELISA或化学发光法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AF92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6643E33D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85C5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B29E8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日本血吸虫IgG抗体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37AE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ELISA或化学发光法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DC29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6A7440CB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718CE6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7496C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肝吸虫IgG抗体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85CFE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ELISA或化学发光法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47549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06926F5F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E68C55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2518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包虫抗体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E67CE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ELISA或化学发光法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39C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553681C7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74E74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981CC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卡氏肺胞子虫鉴别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37CA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特殊染色镜检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A219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5B92B9DB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DA1C9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4647A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抗组织细胞抗体测定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689A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C8BFA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36664E31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0DDB4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5FF63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血清抗谷氨酸脱羧酶抗体测定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326E6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064C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7A9CAB66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26EF4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4AD3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胰岛素抗体测定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E65BC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化学发光法或放免法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920C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14826EB1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86E79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50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3131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血管炎五项（ACA、cANCA、pANCA、MPO-ANCA、PR3-ANCA）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F375C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化学发光法或免疫荧光法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BA980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100030C2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D31F2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2133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抗肾小球基底膜抗体 (GBA)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7FA0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化学发光法或免疫荧光法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F983D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2B861199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B38B9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BFE8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抗中性粒细胞胞浆抗体 (ANCA)二项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05B7B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化学发光法或免疫荧光法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60BD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53CD4D24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5DD360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2FDF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抗环瓜氨酸肽抗体（抗CCP抗体）检测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4C7E4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化学发光法或免疫荧光法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5384B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4A226FA0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54B4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A2AC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人类白细胞抗原B27测定(HLA-B27)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1AB2D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流式细胞术或实时荧光PCR法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BF93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15E1ABF9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212578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725FD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a1抗胰蛋白酶测定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939F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免疫比浊法或化学发光法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2B25E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19C2E125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F319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6326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糖类抗原CA50测定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B8018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0A02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1个工作日</w:t>
            </w:r>
          </w:p>
        </w:tc>
      </w:tr>
      <w:tr w:rsidR="00AE14EA" w:rsidRPr="00AE14EA" w14:paraId="2F2EAFED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40A00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09FBB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▲糖类抗原CA125测定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C9AD5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CA54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1个工作日</w:t>
            </w:r>
          </w:p>
        </w:tc>
      </w:tr>
      <w:tr w:rsidR="00AE14EA" w:rsidRPr="00AE14EA" w14:paraId="7347DF2A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FE40D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C8F1B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▲糖类抗原CA153测定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AC41E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28D69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1个工作日</w:t>
            </w:r>
          </w:p>
        </w:tc>
      </w:tr>
      <w:tr w:rsidR="00AE14EA" w:rsidRPr="00AE14EA" w14:paraId="1B00B880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94F49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37544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*鳞癌细胞抗原(SCC)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6920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39EB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1个工作日</w:t>
            </w:r>
          </w:p>
        </w:tc>
      </w:tr>
      <w:tr w:rsidR="00AE14EA" w:rsidRPr="00AE14EA" w14:paraId="1C3D491F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B2CEF6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A5948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*细胞角蛋白19片段 (CYFRA21-1)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FF58D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E642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1个工作日</w:t>
            </w:r>
          </w:p>
        </w:tc>
      </w:tr>
      <w:tr w:rsidR="00AE14EA" w:rsidRPr="00AE14EA" w14:paraId="63577F24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AFE4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F534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*神经元特异性烯醇化酶(NSE)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3B3D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6304A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1个工作日</w:t>
            </w:r>
          </w:p>
        </w:tc>
      </w:tr>
      <w:tr w:rsidR="00AE14EA" w:rsidRPr="00AE14EA" w14:paraId="09348F4C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B57660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B02BE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▲总前列腺特异性抗原测定(TPSA)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4D98A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A448C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1个工作日</w:t>
            </w:r>
          </w:p>
        </w:tc>
      </w:tr>
      <w:tr w:rsidR="00AE14EA" w:rsidRPr="00AE14EA" w14:paraId="3732F67D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6A0152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16ECC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▲游离前列腺特异性抗原测定(FPSA)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50F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1F64E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1个工作日</w:t>
            </w:r>
          </w:p>
        </w:tc>
      </w:tr>
      <w:tr w:rsidR="00AE14EA" w:rsidRPr="00AE14EA" w14:paraId="19DFDDCC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26DF52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21253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L-岩藻糖甘酶 (AFU)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5C336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免疫比浊法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EA5E9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1个工作日</w:t>
            </w:r>
          </w:p>
        </w:tc>
      </w:tr>
      <w:tr w:rsidR="00AE14EA" w:rsidRPr="00AE14EA" w14:paraId="1E8F7BD7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CA238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8004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恶性肿瘤特异生长因子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F9E00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免疫比浊法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49A8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1个工作日</w:t>
            </w:r>
          </w:p>
        </w:tc>
      </w:tr>
      <w:tr w:rsidR="00AE14EA" w:rsidRPr="00AE14EA" w14:paraId="3FC614B0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E975D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17D5C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甲胎蛋白异质体测定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3239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83B42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1个工作日</w:t>
            </w:r>
          </w:p>
        </w:tc>
      </w:tr>
      <w:tr w:rsidR="00AE14EA" w:rsidRPr="00AE14EA" w14:paraId="672AC6B1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14893E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1D92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总IgE测定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58263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81783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0CA4C862" w14:textId="77777777" w:rsidTr="009D5A3B">
        <w:trPr>
          <w:trHeight w:val="6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1566CA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54234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特殊变应原(m×l《产黄青霉素、多主枝孢，烟曲霉、链格孢》）筛查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913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化学发光法或免疫荧光法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5D4E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7062B7C7" w14:textId="77777777" w:rsidTr="009D5A3B">
        <w:trPr>
          <w:trHeight w:val="6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8145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23FE6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特殊变应原（f×5e《食物混合物（鸡蛋白、牛奶、鳕鱼、小麦、花生、大豆）》）筛查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A4E04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化学发光法或免疫荧光法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FEC23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70B10889" w14:textId="77777777" w:rsidTr="009D5A3B">
        <w:trPr>
          <w:trHeight w:val="6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314EEC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D707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特殊变应原（e×1《猫皮屑、马皮屑、牛皮屑、狗毛皮屑》）筛查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1C44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化学发光法或免疫荧光法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2BEDD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58695CD4" w14:textId="77777777" w:rsidTr="009D5A3B">
        <w:trPr>
          <w:trHeight w:val="6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17152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71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532E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特殊变应原（h×2《屋尘、户尘螨、粉尘螨、蟑螂》）筛查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D9E49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化学发光法或免疫荧光法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E010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3AB4FF7C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B0635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A0D3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▲*孕酮(P)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B1C9B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1D62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5D46E449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A0B7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CE43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雌酮E1测定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69C82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色谱法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EFB98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5462FF00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B0BE48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08A0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▲雌二醇测定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0489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A9C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0261D3F6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D765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010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游离雌三醇测定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15044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1421C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50E82D98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0D4926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C4443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▲睾酮测定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B4A6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63D3C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0940BB13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9F15D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7220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▲血清促黄体生成素测定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FFA7B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3E1D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554E8E83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587E5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B1450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▲血清促卵泡刺激素测定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71CC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7BE5B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264CD4B7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E262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BB6C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▲血清泌乳素测定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105F4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E4AEA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1BE13B02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944EC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06C5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血管紧张素Ⅱ测定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EA94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0F058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7368AC24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189CE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61A8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促肾上腺皮质激素 (ACTH)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F17E3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3F98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658F0CC7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A0E016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5AF8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醛固酮 (AID)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BD80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B48A8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56273306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A0D8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C8B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血浆肾素活性测定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D1B2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682DE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7EFFFF81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D45B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97EB0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血浆皮质醇测定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DF8A9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93340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63FFB63C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9EF39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B452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▲糖化血红蛋白测定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9EFF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色谱法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8CDE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649A21B3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F192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4CE0D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C-肽（C-P）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19D3E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A292B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6B33FDAD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BAA05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63B10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血清胰岛素测定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4A5F6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9D58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716DAF06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97C55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A7F3D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*维生素B12测定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FF87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BB4A2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3B7DC336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062E8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1D26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*叶酸测定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DFD7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29793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444B10B4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6BC2B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9763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促红细胞生成素（EPO）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57BAA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62CA2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715BAFD6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C98AB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9925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尿17-羟皮质类固醇 （17-OHCS)测定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FF29D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5729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4C3C7064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58CF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DD30B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尿17-酮皮质类固醇(17-KS)测定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63BBD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EAD55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0602DC83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0965A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4D55C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铜蓝蛋白测定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9FC04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免疫比浊法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61E3C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4427BDBB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232AE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F13AE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环孢霉素A浓度（CSA）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2C53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色谱法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4A20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460BD6B3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67FB5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E153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肿瘤坏死因子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119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8AEE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2FC307D5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85CA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670E4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免疫球蛋白亚类IgG4定量测定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5C3F3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免疫比浊法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B3B6A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6442B7AD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0444E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948F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铁测定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10366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亚铁嗪法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C277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1ED3ED65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8D5192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98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F333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转铁蛋白测定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BC108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免疫比浊法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92EC3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1D6D6D9E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70D9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121CA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血清骨型碱性磷酸酶质量测定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A043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1B1C3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3个工作日</w:t>
            </w:r>
          </w:p>
        </w:tc>
      </w:tr>
      <w:tr w:rsidR="00AE14EA" w:rsidRPr="00AE14EA" w14:paraId="4512C50F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30FE8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F20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总Ⅰ型胶原氨基端延长肽(Total-P1NP)测定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2B99B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7389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7F1294B5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E9FD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81C88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血清骨钙素测定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6440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1B2BB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539911A6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FEFB9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C4B5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血清N-端骨钙素测定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45A13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04738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46DD81F2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6F322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336B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血清β-胶原降解产物测定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886E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化学发光或电化学发光法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5C7C5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44B1F5CF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EEF4A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EC393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24小时尿铜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1A223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串联质谱法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5FA58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158DAAB3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2FD924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A3D35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全血铅测定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AC8E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串联质谱法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58E3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47DAF18F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DA4B46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6A9C0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微量元素硒测定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0530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串联质谱法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E57D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2个工作日</w:t>
            </w:r>
          </w:p>
        </w:tc>
      </w:tr>
      <w:tr w:rsidR="00AE14EA" w:rsidRPr="00AE14EA" w14:paraId="098065B3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71CC3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569CC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骨髓涂片细胞学检查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899F0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染色镜检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67C6E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2-3个工作日</w:t>
            </w:r>
          </w:p>
        </w:tc>
      </w:tr>
      <w:tr w:rsidR="00AE14EA" w:rsidRPr="00AE14EA" w14:paraId="2C24A2ED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A406C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63224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特殊染色1项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E9726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各种特殊染色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96140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2-3个工作日</w:t>
            </w:r>
          </w:p>
        </w:tc>
      </w:tr>
      <w:tr w:rsidR="00AE14EA" w:rsidRPr="00AE14EA" w14:paraId="3247133E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8B2D4D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59639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手术标本超过两个蜡块加收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0EBD7" w14:textId="77777777" w:rsidR="00AE14EA" w:rsidRPr="00AE14EA" w:rsidRDefault="00AE14EA" w:rsidP="00AE14EA">
            <w:pPr>
              <w:snapToGrid w:val="0"/>
              <w:spacing w:line="48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45680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2-3个工作日</w:t>
            </w:r>
          </w:p>
        </w:tc>
      </w:tr>
      <w:tr w:rsidR="00AE14EA" w:rsidRPr="00AE14EA" w14:paraId="658E7B54" w14:textId="77777777" w:rsidTr="009D5A3B">
        <w:trPr>
          <w:trHeight w:val="5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9ECFA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524E6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免疫组织化学染色诊断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5675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各种免疫组化染色，全自动机器染色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FA620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2-3个工作日</w:t>
            </w:r>
          </w:p>
        </w:tc>
      </w:tr>
      <w:tr w:rsidR="00AE14EA" w:rsidRPr="00AE14EA" w14:paraId="1A6339C5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E43D9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D98B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超薄液基细胞学检测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9CB13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TCT技术，染色镜检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0831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2-3个工作日</w:t>
            </w:r>
          </w:p>
        </w:tc>
      </w:tr>
      <w:tr w:rsidR="00AE14EA" w:rsidRPr="00AE14EA" w14:paraId="305095B1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BF7A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7DD1D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妇科脱落细胞学检查与诊断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A84AA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染色镜检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05383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2-3个工作日</w:t>
            </w:r>
          </w:p>
        </w:tc>
      </w:tr>
      <w:tr w:rsidR="00AE14EA" w:rsidRPr="00AE14EA" w14:paraId="1026AEC0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B7D9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EF9D3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内镜组织活检检查与诊断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31548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染色镜检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427C5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2-3个工作日</w:t>
            </w:r>
          </w:p>
        </w:tc>
      </w:tr>
      <w:tr w:rsidR="00AE14EA" w:rsidRPr="00AE14EA" w14:paraId="431B38E9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AAABB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49D8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手术标本检查与诊断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B21F8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染色镜检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332B92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3-5个工作日</w:t>
            </w:r>
          </w:p>
        </w:tc>
      </w:tr>
      <w:tr w:rsidR="00AE14EA" w:rsidRPr="00AE14EA" w14:paraId="5BDA678C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3175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23BA5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穿刺组织活检检查与诊断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6EBC6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染色镜检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00C08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2-3个工作日</w:t>
            </w:r>
          </w:p>
        </w:tc>
      </w:tr>
      <w:tr w:rsidR="00AE14EA" w:rsidRPr="00AE14EA" w14:paraId="75E90353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33B20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02F9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体液细胞学检查与诊断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E7C16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染色镜检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B35BA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2-3个工作日</w:t>
            </w:r>
          </w:p>
        </w:tc>
      </w:tr>
      <w:tr w:rsidR="00AE14EA" w:rsidRPr="00AE14EA" w14:paraId="3265FD05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17095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8A720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肝脏活检检查与诊断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0236E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染色镜检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C24A2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5-7个工作日</w:t>
            </w:r>
          </w:p>
        </w:tc>
      </w:tr>
      <w:tr w:rsidR="00AE14EA" w:rsidRPr="00AE14EA" w14:paraId="352E8962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87C1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C4416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肝脏穿刺免疫电镜检查与诊断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CC467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免疫电镜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7770A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5-7个工作日</w:t>
            </w:r>
          </w:p>
        </w:tc>
      </w:tr>
      <w:tr w:rsidR="00AE14EA" w:rsidRPr="00AE14EA" w14:paraId="16A396E0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94AC5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63D0F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疑难病理会诊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14BF4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高级职称病理医师主持的专家组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BB1E0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5-7个工作日</w:t>
            </w:r>
          </w:p>
        </w:tc>
      </w:tr>
      <w:tr w:rsidR="00AE14EA" w:rsidRPr="00AE14EA" w14:paraId="60D5968E" w14:textId="77777777" w:rsidTr="009D5A3B">
        <w:trPr>
          <w:trHeight w:val="32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FC134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3B9B6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透析液内毒素检测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86271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鲎试剂法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57566" w14:textId="77777777" w:rsidR="00AE14EA" w:rsidRPr="00AE14EA" w:rsidRDefault="00AE14EA" w:rsidP="00AE14EA">
            <w:pPr>
              <w:widowControl/>
              <w:snapToGrid w:val="0"/>
              <w:spacing w:line="48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AE14E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2-3个工作日</w:t>
            </w:r>
          </w:p>
        </w:tc>
      </w:tr>
    </w:tbl>
    <w:p w14:paraId="7CFDB0E1" w14:textId="77777777" w:rsidR="00AE14EA" w:rsidRPr="00AE14EA" w:rsidRDefault="00AE14EA" w:rsidP="00AE14EA">
      <w:pPr>
        <w:snapToGrid w:val="0"/>
        <w:spacing w:line="480" w:lineRule="exact"/>
        <w:rPr>
          <w:rFonts w:ascii="Times New Roman" w:eastAsia="宋体" w:hAnsi="Times New Roman" w:cs="Times New Roman" w:hint="eastAsia"/>
          <w:szCs w:val="24"/>
        </w:rPr>
      </w:pPr>
    </w:p>
    <w:p w14:paraId="2B77AC23" w14:textId="77777777" w:rsidR="00AE14EA" w:rsidRPr="00AE14EA" w:rsidRDefault="00AE14EA" w:rsidP="00AE14EA">
      <w:pPr>
        <w:snapToGrid w:val="0"/>
        <w:spacing w:beforeLines="50" w:before="156" w:afterLines="50" w:after="156" w:line="480" w:lineRule="exact"/>
        <w:ind w:firstLine="420"/>
        <w:rPr>
          <w:rFonts w:ascii="宋体" w:eastAsia="宋体" w:hAnsi="宋体" w:cs="Times New Roman" w:hint="eastAsia"/>
          <w:bCs/>
          <w:color w:val="000000"/>
          <w:sz w:val="24"/>
          <w:szCs w:val="24"/>
        </w:rPr>
      </w:pPr>
      <w:r w:rsidRPr="00AE14E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备注：1、带“▲”为2025年陕西省检验结果互认项目。“人乳头瘤病毒(HPV)</w:t>
      </w:r>
      <w:r w:rsidRPr="00AE14EA">
        <w:rPr>
          <w:rFonts w:ascii="宋体" w:eastAsia="宋体" w:hAnsi="宋体" w:cs="Times New Roman" w:hint="eastAsia"/>
          <w:bCs/>
          <w:color w:val="000000"/>
          <w:sz w:val="24"/>
          <w:szCs w:val="24"/>
        </w:rPr>
        <w:lastRenderedPageBreak/>
        <w:t>基因分型检测”互认项目名称为“人乳头瘤病毒核酸检测”。</w:t>
      </w:r>
    </w:p>
    <w:p w14:paraId="5B2C73A8" w14:textId="2913930F" w:rsidR="00B0247E" w:rsidRDefault="00AE14EA" w:rsidP="00AE14EA">
      <w:pPr>
        <w:rPr>
          <w:rFonts w:hint="eastAsia"/>
        </w:rPr>
      </w:pPr>
      <w:r w:rsidRPr="00AE14EA">
        <w:rPr>
          <w:rFonts w:ascii="Times New Roman" w:eastAsia="宋体" w:hAnsi="宋体" w:cs="Times New Roman" w:hint="eastAsia"/>
          <w:bCs/>
          <w:color w:val="000000"/>
          <w:sz w:val="24"/>
          <w:szCs w:val="24"/>
        </w:rPr>
        <w:t>2</w:t>
      </w:r>
      <w:r w:rsidRPr="00AE14EA">
        <w:rPr>
          <w:rFonts w:ascii="Times New Roman" w:eastAsia="宋体" w:hAnsi="宋体" w:cs="Times New Roman" w:hint="eastAsia"/>
          <w:bCs/>
          <w:color w:val="000000"/>
          <w:sz w:val="24"/>
          <w:szCs w:val="24"/>
        </w:rPr>
        <w:t>、带“</w:t>
      </w:r>
      <w:r w:rsidRPr="00AE14EA">
        <w:rPr>
          <w:rFonts w:ascii="Times New Roman" w:eastAsia="宋体" w:hAnsi="宋体" w:cs="Times New Roman" w:hint="eastAsia"/>
          <w:bCs/>
          <w:color w:val="000000"/>
          <w:sz w:val="24"/>
          <w:szCs w:val="24"/>
        </w:rPr>
        <w:t>*</w:t>
      </w:r>
      <w:r w:rsidRPr="00AE14EA">
        <w:rPr>
          <w:rFonts w:ascii="Times New Roman" w:eastAsia="宋体" w:hAnsi="宋体" w:cs="Times New Roman" w:hint="eastAsia"/>
          <w:bCs/>
          <w:color w:val="000000"/>
          <w:sz w:val="24"/>
          <w:szCs w:val="24"/>
        </w:rPr>
        <w:t>”项目为采购人标本量相对较大或有重要临床意义，每个检测项目第三方实验室应通过</w:t>
      </w:r>
      <w:r w:rsidRPr="00AE14EA">
        <w:rPr>
          <w:rFonts w:ascii="Times New Roman" w:eastAsia="宋体" w:hAnsi="宋体" w:cs="Times New Roman" w:hint="eastAsia"/>
          <w:bCs/>
          <w:color w:val="000000"/>
          <w:sz w:val="24"/>
          <w:szCs w:val="24"/>
        </w:rPr>
        <w:t>ISO15189</w:t>
      </w:r>
      <w:r w:rsidRPr="00AE14EA">
        <w:rPr>
          <w:rFonts w:ascii="Times New Roman" w:eastAsia="宋体" w:hAnsi="宋体" w:cs="Times New Roman" w:hint="eastAsia"/>
          <w:bCs/>
          <w:color w:val="000000"/>
          <w:sz w:val="24"/>
          <w:szCs w:val="24"/>
        </w:rPr>
        <w:t>认可。</w:t>
      </w:r>
    </w:p>
    <w:sectPr w:rsidR="00B02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EA"/>
    <w:rsid w:val="005764C1"/>
    <w:rsid w:val="006A75C8"/>
    <w:rsid w:val="009F4E89"/>
    <w:rsid w:val="00AE14EA"/>
    <w:rsid w:val="00B0247E"/>
    <w:rsid w:val="00DA2D30"/>
    <w:rsid w:val="00F1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79566"/>
  <w15:chartTrackingRefBased/>
  <w15:docId w15:val="{EA99FFC6-3CDF-47D5-A20A-683EB1B7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14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4E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4E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4E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4E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4E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4E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4E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4E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4E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E14E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4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4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4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4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4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4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4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4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4E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14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2798</Words>
  <Characters>2882</Characters>
  <Application>Microsoft Office Word</Application>
  <DocSecurity>0</DocSecurity>
  <Lines>180</Lines>
  <Paragraphs>157</Paragraphs>
  <ScaleCrop>false</ScaleCrop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</dc:creator>
  <cp:keywords/>
  <dc:description/>
  <cp:lastModifiedBy>Ade</cp:lastModifiedBy>
  <cp:revision>1</cp:revision>
  <dcterms:created xsi:type="dcterms:W3CDTF">2025-08-05T06:27:00Z</dcterms:created>
  <dcterms:modified xsi:type="dcterms:W3CDTF">2025-08-05T06:29:00Z</dcterms:modified>
</cp:coreProperties>
</file>