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386293">
      <w:pPr>
        <w:adjustRightInd w:val="0"/>
        <w:snapToGrid w:val="0"/>
        <w:spacing w:line="360" w:lineRule="auto"/>
        <w:ind w:firstLine="880" w:firstLineChars="200"/>
        <w:jc w:val="center"/>
        <w:rPr>
          <w:rFonts w:hint="eastAsia" w:ascii="宋体" w:hAnsi="宋体" w:eastAsia="宋体"/>
          <w:color w:val="auto"/>
          <w:sz w:val="44"/>
          <w:szCs w:val="44"/>
          <w:highlight w:val="none"/>
        </w:rPr>
      </w:pPr>
      <w:r>
        <w:rPr>
          <w:rFonts w:hint="eastAsia" w:ascii="宋体" w:hAnsi="宋体" w:eastAsia="宋体"/>
          <w:color w:val="auto"/>
          <w:sz w:val="44"/>
          <w:szCs w:val="44"/>
          <w:highlight w:val="none"/>
        </w:rPr>
        <w:t>采购需求</w:t>
      </w:r>
    </w:p>
    <w:p w14:paraId="2AAE06B6">
      <w:pPr>
        <w:adjustRightInd w:val="0"/>
        <w:snapToGrid w:val="0"/>
        <w:spacing w:line="360" w:lineRule="auto"/>
        <w:outlineLvl w:val="1"/>
        <w:rPr>
          <w:rFonts w:hint="default" w:ascii="黑体" w:hAnsi="宋体" w:eastAsia="黑体"/>
          <w:color w:val="auto"/>
          <w:sz w:val="32"/>
          <w:szCs w:val="32"/>
          <w:highlight w:val="none"/>
          <w:lang w:val="en-US"/>
        </w:rPr>
      </w:pPr>
      <w:bookmarkStart w:id="0" w:name="_Toc24845"/>
      <w:bookmarkStart w:id="1" w:name="_Toc13584"/>
      <w:bookmarkStart w:id="2" w:name="_Toc217446094"/>
      <w:r>
        <w:rPr>
          <w:rFonts w:hint="eastAsia" w:ascii="黑体" w:hAnsi="宋体" w:eastAsia="黑体"/>
          <w:color w:val="auto"/>
          <w:sz w:val="32"/>
          <w:szCs w:val="32"/>
          <w:highlight w:val="none"/>
        </w:rPr>
        <w:t>1.</w:t>
      </w:r>
      <w:r>
        <w:rPr>
          <w:rFonts w:hint="eastAsia" w:ascii="黑体" w:hAnsi="宋体" w:eastAsia="黑体"/>
          <w:color w:val="auto"/>
          <w:sz w:val="32"/>
          <w:szCs w:val="32"/>
          <w:highlight w:val="none"/>
          <w:lang w:val="en-US" w:eastAsia="zh-CN"/>
        </w:rPr>
        <w:t>项目概况</w:t>
      </w:r>
      <w:bookmarkEnd w:id="0"/>
      <w:bookmarkEnd w:id="1"/>
      <w:r>
        <w:rPr>
          <w:rFonts w:hint="eastAsia" w:ascii="黑体" w:hAnsi="宋体" w:eastAsia="黑体"/>
          <w:color w:val="auto"/>
          <w:sz w:val="32"/>
          <w:szCs w:val="32"/>
          <w:highlight w:val="none"/>
          <w:lang w:val="en-US" w:eastAsia="zh-CN"/>
        </w:rPr>
        <w:t>及工程内容</w:t>
      </w:r>
    </w:p>
    <w:p w14:paraId="382BAB58">
      <w:pPr>
        <w:adjustRightInd w:val="0"/>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紫阳县民政局紫阳县敬老院电力改造项目(二次)。为完善紫阳县部分敬老院电力设施设备，满足冬季供暖用电、消防用电、生活用电需求，提升安全用电水平，现改造紫阳县城关、红椿、高桥3所敬老院电力设施设备，安装630KVA箱变1台，400KVA变压器2台，200KVA变压器1台，新立电杆190*12米7根，新建10KV线路60米，新建10kV120电缆50米，新建0.4kV线路750米，新建0.4KV120电缆320米。完成3所敬老院供电报装手续，高压供电搭火、低压线路接入等。</w:t>
      </w:r>
    </w:p>
    <w:p w14:paraId="53AC5574">
      <w:pPr>
        <w:adjustRightInd w:val="0"/>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本项目所属行业为建筑业。</w:t>
      </w:r>
    </w:p>
    <w:p w14:paraId="3BEDCBF3">
      <w:pPr>
        <w:adjustRightInd w:val="0"/>
        <w:snapToGrid w:val="0"/>
        <w:spacing w:line="360" w:lineRule="auto"/>
        <w:outlineLvl w:val="1"/>
        <w:rPr>
          <w:rFonts w:hint="default" w:ascii="黑体" w:hAnsi="宋体" w:eastAsia="黑体"/>
          <w:color w:val="auto"/>
          <w:sz w:val="32"/>
          <w:szCs w:val="32"/>
          <w:highlight w:val="none"/>
          <w:lang w:val="en-US" w:eastAsia="zh-CN"/>
        </w:rPr>
      </w:pPr>
      <w:bookmarkStart w:id="3" w:name="_Toc6684"/>
      <w:bookmarkStart w:id="4" w:name="_Toc10936"/>
      <w:r>
        <w:rPr>
          <w:rFonts w:hint="eastAsia" w:ascii="黑体" w:hAnsi="宋体" w:eastAsia="黑体"/>
          <w:color w:val="auto"/>
          <w:sz w:val="32"/>
          <w:szCs w:val="32"/>
          <w:highlight w:val="none"/>
          <w:lang w:val="en-US" w:eastAsia="zh-CN"/>
        </w:rPr>
        <w:t>2</w:t>
      </w:r>
      <w:r>
        <w:rPr>
          <w:rFonts w:hint="eastAsia" w:ascii="黑体" w:hAnsi="宋体" w:eastAsia="黑体"/>
          <w:color w:val="auto"/>
          <w:sz w:val="32"/>
          <w:szCs w:val="32"/>
          <w:highlight w:val="none"/>
        </w:rPr>
        <w:t>.</w:t>
      </w:r>
      <w:r>
        <w:rPr>
          <w:rFonts w:hint="eastAsia" w:ascii="黑体" w:hAnsi="宋体" w:eastAsia="黑体"/>
          <w:color w:val="auto"/>
          <w:sz w:val="32"/>
          <w:szCs w:val="32"/>
          <w:highlight w:val="none"/>
          <w:lang w:val="en-US" w:eastAsia="zh-CN"/>
        </w:rPr>
        <w:t>工程条件</w:t>
      </w:r>
      <w:bookmarkEnd w:id="3"/>
      <w:bookmarkEnd w:id="4"/>
    </w:p>
    <w:p w14:paraId="1EB7B2C7">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2.1</w:t>
      </w:r>
      <w:r>
        <w:rPr>
          <w:rFonts w:hint="eastAsia" w:ascii="宋体" w:hAnsi="宋体" w:eastAsia="宋体" w:cs="宋体"/>
          <w:color w:val="auto"/>
          <w:szCs w:val="21"/>
          <w:highlight w:val="none"/>
        </w:rPr>
        <w:t>现场具备施工条件。</w:t>
      </w:r>
    </w:p>
    <w:p w14:paraId="31869EE0">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2.2</w:t>
      </w:r>
      <w:r>
        <w:rPr>
          <w:rFonts w:hint="eastAsia" w:ascii="宋体" w:hAnsi="宋体" w:eastAsia="宋体" w:cs="宋体"/>
          <w:color w:val="auto"/>
          <w:szCs w:val="21"/>
          <w:highlight w:val="none"/>
        </w:rPr>
        <w:t>材料、设备全部由施工方自行采购。</w:t>
      </w:r>
    </w:p>
    <w:p w14:paraId="1E637E0C">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2.3</w:t>
      </w:r>
      <w:r>
        <w:rPr>
          <w:rFonts w:hint="eastAsia" w:ascii="宋体" w:hAnsi="宋体" w:eastAsia="宋体" w:cs="宋体"/>
          <w:color w:val="auto"/>
          <w:szCs w:val="21"/>
          <w:highlight w:val="none"/>
        </w:rPr>
        <w:t>水电设施齐全。</w:t>
      </w:r>
    </w:p>
    <w:p w14:paraId="1FEB7D86">
      <w:pPr>
        <w:adjustRightInd w:val="0"/>
        <w:snapToGrid w:val="0"/>
        <w:spacing w:line="360" w:lineRule="auto"/>
        <w:outlineLvl w:val="1"/>
        <w:rPr>
          <w:rFonts w:hint="default" w:ascii="黑体" w:hAnsi="宋体" w:eastAsia="黑体"/>
          <w:color w:val="auto"/>
          <w:sz w:val="32"/>
          <w:szCs w:val="32"/>
          <w:highlight w:val="none"/>
          <w:lang w:val="en-US" w:eastAsia="zh-CN"/>
        </w:rPr>
      </w:pPr>
      <w:bookmarkStart w:id="5" w:name="_Toc4711"/>
      <w:bookmarkStart w:id="6" w:name="_Toc3659"/>
      <w:r>
        <w:rPr>
          <w:rFonts w:hint="eastAsia" w:ascii="黑体" w:hAnsi="宋体" w:eastAsia="黑体"/>
          <w:color w:val="auto"/>
          <w:sz w:val="32"/>
          <w:szCs w:val="32"/>
          <w:highlight w:val="none"/>
          <w:lang w:val="en-US" w:eastAsia="zh-CN"/>
        </w:rPr>
        <w:t>3</w:t>
      </w:r>
      <w:r>
        <w:rPr>
          <w:rFonts w:hint="eastAsia" w:ascii="黑体" w:hAnsi="宋体" w:eastAsia="黑体"/>
          <w:color w:val="auto"/>
          <w:sz w:val="32"/>
          <w:szCs w:val="32"/>
          <w:highlight w:val="none"/>
        </w:rPr>
        <w:t>.</w:t>
      </w:r>
      <w:r>
        <w:rPr>
          <w:rFonts w:hint="eastAsia" w:ascii="黑体" w:hAnsi="宋体" w:eastAsia="黑体"/>
          <w:color w:val="auto"/>
          <w:sz w:val="32"/>
          <w:szCs w:val="32"/>
          <w:highlight w:val="none"/>
          <w:lang w:val="en-US" w:eastAsia="zh-CN"/>
        </w:rPr>
        <w:t>项目内容</w:t>
      </w:r>
      <w:bookmarkEnd w:id="5"/>
      <w:bookmarkEnd w:id="6"/>
    </w:p>
    <w:p w14:paraId="0F74A597">
      <w:pPr>
        <w:adjustRightInd w:val="0"/>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3.1下列产品为强制节能产品，不提供节能产品的按无效投标处理：</w:t>
      </w:r>
      <w:r>
        <w:rPr>
          <w:rFonts w:hint="eastAsia"/>
          <w:b/>
          <w:bCs/>
          <w:color w:val="auto"/>
          <w:highlight w:val="none"/>
          <w:u w:val="single"/>
          <w:lang w:val="en-US" w:eastAsia="zh-CN"/>
        </w:rPr>
        <w:t>/</w:t>
      </w:r>
      <w:r>
        <w:rPr>
          <w:rFonts w:hint="eastAsia" w:ascii="宋体" w:hAnsi="宋体" w:eastAsia="宋体" w:cs="宋体"/>
          <w:color w:val="auto"/>
          <w:szCs w:val="21"/>
          <w:highlight w:val="none"/>
          <w:lang w:val="en-US" w:eastAsia="zh-CN"/>
        </w:rPr>
        <w:t>。（强制节能产品政策见第二章3.4.1 节能产品、环境标志产品）</w:t>
      </w:r>
    </w:p>
    <w:p w14:paraId="369B3D52">
      <w:pPr>
        <w:adjustRightInd w:val="0"/>
        <w:snapToGrid w:val="0"/>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3.2工程内容：《工程量清单》详见附件一</w:t>
      </w:r>
    </w:p>
    <w:p w14:paraId="4CBEF35E">
      <w:pPr>
        <w:adjustRightInd w:val="0"/>
        <w:snapToGrid w:val="0"/>
        <w:spacing w:line="360" w:lineRule="auto"/>
        <w:ind w:firstLine="420" w:firstLineChars="200"/>
        <w:outlineLvl w:val="1"/>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3.3施工要求：</w:t>
      </w:r>
      <w:bookmarkStart w:id="7" w:name="_Toc9875"/>
      <w:bookmarkStart w:id="8" w:name="_Toc26710"/>
    </w:p>
    <w:p w14:paraId="724E6A29">
      <w:pPr>
        <w:adjustRightInd w:val="0"/>
        <w:snapToGrid w:val="0"/>
        <w:spacing w:line="360" w:lineRule="auto"/>
        <w:ind w:firstLine="420" w:firstLineChars="200"/>
        <w:outlineLvl w:val="1"/>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1.在施工期间，成交供应商必须注意敬老院内人员安全，加强安全措施，并对施工人员进行安全教育。施工人员必须持证上岗。</w:t>
      </w:r>
    </w:p>
    <w:p w14:paraId="07680FD3">
      <w:pPr>
        <w:adjustRightInd w:val="0"/>
        <w:snapToGrid w:val="0"/>
        <w:spacing w:line="360" w:lineRule="auto"/>
        <w:ind w:firstLine="420" w:firstLineChars="200"/>
        <w:outlineLvl w:val="1"/>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2.供应商根据工程实际情况编制施工方案，制定工期进度安排表。</w:t>
      </w:r>
    </w:p>
    <w:p w14:paraId="01CC09DA">
      <w:pPr>
        <w:adjustRightInd w:val="0"/>
        <w:snapToGrid w:val="0"/>
        <w:spacing w:line="360" w:lineRule="auto"/>
        <w:ind w:firstLine="420" w:firstLineChars="200"/>
        <w:outlineLvl w:val="1"/>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供应商在本工程中的项目负责人(项目经理)，要求技术水平高、组织能力强、有丰富的工程业绩和实践经验，懂管理、善于协调。施工人员中特殊工程人员要求有上岗证。施工队伍稳定，保证整个工程顺利完工。</w:t>
      </w:r>
    </w:p>
    <w:p w14:paraId="6CE86A9A">
      <w:pPr>
        <w:adjustRightInd w:val="0"/>
        <w:snapToGrid w:val="0"/>
        <w:spacing w:line="360" w:lineRule="auto"/>
        <w:ind w:firstLine="420" w:firstLineChars="200"/>
        <w:outlineLvl w:val="1"/>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4.施工过程中，严格遵守建设单位的各种管理规定及规章制度，做到文明施工。发生工伤及意外事故由施工单位负责。</w:t>
      </w:r>
    </w:p>
    <w:p w14:paraId="72B260F5">
      <w:pPr>
        <w:adjustRightInd w:val="0"/>
        <w:snapToGrid w:val="0"/>
        <w:spacing w:line="360" w:lineRule="auto"/>
        <w:ind w:firstLine="420" w:firstLineChars="200"/>
        <w:outlineLvl w:val="1"/>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5.严格按照国家和省上有关规定施工、规范施工，确保工程合格，如有更改须事先征得有关方面的同意，并在采购人落实后实施，并出具书面说明。</w:t>
      </w:r>
    </w:p>
    <w:p w14:paraId="6B161D8B">
      <w:pPr>
        <w:adjustRightInd w:val="0"/>
        <w:snapToGrid w:val="0"/>
        <w:spacing w:line="360" w:lineRule="auto"/>
        <w:ind w:firstLine="420" w:firstLineChars="200"/>
        <w:outlineLvl w:val="1"/>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6.工程实行包工包料，供应商必须具备相应的资质，不得转包、分包。</w:t>
      </w:r>
    </w:p>
    <w:p w14:paraId="3D63A968">
      <w:pPr>
        <w:adjustRightInd w:val="0"/>
        <w:snapToGrid w:val="0"/>
        <w:spacing w:line="360" w:lineRule="auto"/>
        <w:ind w:firstLine="420" w:firstLineChars="200"/>
        <w:outlineLvl w:val="1"/>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7.供应商根据工程实际情况编制施工方案，制定工期进度安排表，并随磋商响应文件一并提交。</w:t>
      </w:r>
    </w:p>
    <w:p w14:paraId="54634B65">
      <w:pPr>
        <w:adjustRightInd w:val="0"/>
        <w:snapToGrid w:val="0"/>
        <w:spacing w:line="360" w:lineRule="auto"/>
        <w:ind w:firstLine="420" w:firstLineChars="200"/>
        <w:outlineLvl w:val="1"/>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8.施工过程中，严格遵守采购人的各种管理规定及规章制度，做到文明施工。发生工伤及意外事故由施工单位负责。</w:t>
      </w:r>
    </w:p>
    <w:p w14:paraId="0F6E6AE3">
      <w:pPr>
        <w:adjustRightInd w:val="0"/>
        <w:snapToGrid w:val="0"/>
        <w:spacing w:line="360" w:lineRule="auto"/>
        <w:ind w:firstLine="420" w:firstLineChars="200"/>
        <w:outlineLvl w:val="1"/>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9.严格按照国家和省上有关规定施工、规范施工，确保工程合格，如有更改须事先征得有关方面的同意，并在采购人落实后实施，并出具书面说明。</w:t>
      </w:r>
    </w:p>
    <w:p w14:paraId="3F976305">
      <w:pPr>
        <w:adjustRightInd w:val="0"/>
        <w:snapToGrid w:val="0"/>
        <w:spacing w:line="360" w:lineRule="auto"/>
        <w:ind w:firstLine="420" w:firstLineChars="200"/>
        <w:outlineLvl w:val="1"/>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10.所有进场材料需携带合格证等质量证明文件。由采购人现场代表对所进场材料予以验收并签字确认。</w:t>
      </w:r>
    </w:p>
    <w:p w14:paraId="3D77C960">
      <w:pPr>
        <w:adjustRightInd w:val="0"/>
        <w:snapToGrid w:val="0"/>
        <w:spacing w:line="360" w:lineRule="auto"/>
        <w:ind w:firstLine="420" w:firstLineChars="200"/>
        <w:outlineLvl w:val="1"/>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11.施工期间需采取必要措施确保现场正常运行。</w:t>
      </w:r>
    </w:p>
    <w:p w14:paraId="0C9E0419">
      <w:pPr>
        <w:adjustRightInd w:val="0"/>
        <w:snapToGrid w:val="0"/>
        <w:spacing w:line="360" w:lineRule="auto"/>
        <w:ind w:firstLine="420" w:firstLineChars="200"/>
        <w:outlineLvl w:val="1"/>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12.所有施工人员需统一着装统一单位标识，严禁随意通行。</w:t>
      </w:r>
    </w:p>
    <w:p w14:paraId="7FBD5ABD">
      <w:pPr>
        <w:adjustRightInd w:val="0"/>
        <w:snapToGrid w:val="0"/>
        <w:spacing w:line="360" w:lineRule="auto"/>
        <w:ind w:firstLine="420" w:firstLineChars="200"/>
        <w:outlineLvl w:val="1"/>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13.选用的主材、设备、辅材必须国家名优产品，并明确其品牌、规格、型号、产地，并附鉴定证书，对主要设备材料必须先提交样品，经认质后，方可订货，不得使用未经检验或不合格的设备、材料，若发生此种情况，将追究相关人员责任，并赔偿由此造成的一切经济损失。</w:t>
      </w:r>
    </w:p>
    <w:p w14:paraId="2D0704E8">
      <w:pPr>
        <w:adjustRightInd w:val="0"/>
        <w:snapToGrid w:val="0"/>
        <w:spacing w:line="360" w:lineRule="auto"/>
        <w:ind w:firstLine="420" w:firstLineChars="200"/>
        <w:outlineLvl w:val="1"/>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14.施工方必须向采购人及时提供合格证及材料检验单。在征得有关方面认可后，方可进行施工，并做好相应的检验环节。</w:t>
      </w:r>
    </w:p>
    <w:p w14:paraId="3C5E0E56">
      <w:pPr>
        <w:adjustRightInd w:val="0"/>
        <w:snapToGrid w:val="0"/>
        <w:spacing w:line="360" w:lineRule="auto"/>
        <w:ind w:firstLine="420" w:firstLineChars="200"/>
        <w:outlineLvl w:val="1"/>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15.施工方未经采购人同意，不得擅自更换本工程在磋商响应文件中指定的项目施工负责人(项目经理)及施工队伍。不得分包、转包。确需分包时须征得采购人同意。否则将终止合同并按政府采购有关规定进行处理。</w:t>
      </w:r>
    </w:p>
    <w:p w14:paraId="4D2073F2">
      <w:pPr>
        <w:adjustRightInd w:val="0"/>
        <w:snapToGrid w:val="0"/>
        <w:spacing w:line="360" w:lineRule="auto"/>
        <w:ind w:firstLine="420" w:firstLineChars="200"/>
        <w:outlineLvl w:val="1"/>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16.对于建筑电工、建筑架子工、建筑起重信号司索工、建筑起重机械司机、建筑起重机械安装拆卸工、高处作业吊篮安装拆卸工、焊接切割操作工以及经省级以上人民政府建设主管部门认定的其他特种作业人员，必须持施工特别作业人员操作证上岗。以上人员上岗前，需向采购人提供特种作业人员的相关资格证书，审查合格后方可作业。</w:t>
      </w:r>
    </w:p>
    <w:p w14:paraId="3A14BBD4">
      <w:pPr>
        <w:adjustRightInd w:val="0"/>
        <w:snapToGrid w:val="0"/>
        <w:spacing w:line="360" w:lineRule="auto"/>
        <w:outlineLvl w:val="1"/>
        <w:rPr>
          <w:rFonts w:hint="eastAsia" w:ascii="黑体" w:hAnsi="宋体" w:eastAsia="黑体"/>
          <w:color w:val="auto"/>
          <w:sz w:val="32"/>
          <w:szCs w:val="32"/>
          <w:highlight w:val="none"/>
        </w:rPr>
      </w:pPr>
      <w:r>
        <w:rPr>
          <w:rFonts w:hint="eastAsia" w:ascii="黑体" w:hAnsi="宋体" w:eastAsia="黑体"/>
          <w:color w:val="auto"/>
          <w:sz w:val="32"/>
          <w:szCs w:val="32"/>
          <w:highlight w:val="none"/>
          <w:lang w:val="en-US" w:eastAsia="zh-CN"/>
        </w:rPr>
        <w:t>4</w:t>
      </w:r>
      <w:r>
        <w:rPr>
          <w:rFonts w:hint="eastAsia" w:ascii="黑体" w:hAnsi="宋体" w:eastAsia="黑体"/>
          <w:color w:val="auto"/>
          <w:sz w:val="32"/>
          <w:szCs w:val="32"/>
          <w:highlight w:val="none"/>
        </w:rPr>
        <w:t>.工期及质量要求</w:t>
      </w:r>
      <w:bookmarkEnd w:id="7"/>
      <w:bookmarkEnd w:id="8"/>
    </w:p>
    <w:p w14:paraId="08853B60">
      <w:pPr>
        <w:pStyle w:val="2"/>
        <w:tabs>
          <w:tab w:val="left" w:pos="600"/>
        </w:tabs>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.1工期：</w:t>
      </w:r>
      <w:r>
        <w:rPr>
          <w:rFonts w:hint="eastAsia" w:ascii="宋体" w:hAnsi="宋体" w:eastAsia="宋体" w:cs="宋体"/>
          <w:color w:val="auto"/>
          <w:sz w:val="21"/>
          <w:szCs w:val="21"/>
          <w:highlight w:val="none"/>
          <w:lang w:eastAsia="zh-CN"/>
        </w:rPr>
        <w:t>60日历天</w:t>
      </w:r>
    </w:p>
    <w:p w14:paraId="70A0040C">
      <w:pPr>
        <w:pStyle w:val="2"/>
        <w:tabs>
          <w:tab w:val="left" w:pos="600"/>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.2质量要求：合格</w:t>
      </w:r>
    </w:p>
    <w:p w14:paraId="673A3B2B">
      <w:pPr>
        <w:pStyle w:val="2"/>
        <w:tabs>
          <w:tab w:val="left" w:pos="600"/>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.3开工日期：接到采购人的开工通知后</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日内</w:t>
      </w:r>
    </w:p>
    <w:p w14:paraId="3BEF6A77">
      <w:pPr>
        <w:pStyle w:val="2"/>
        <w:tabs>
          <w:tab w:val="left" w:pos="600"/>
        </w:tabs>
        <w:spacing w:line="360" w:lineRule="auto"/>
        <w:ind w:firstLine="420" w:firstLineChars="200"/>
        <w:rPr>
          <w:rFonts w:hint="eastAsia" w:ascii="宋体" w:hAnsi="宋体" w:eastAsia="宋体" w:cs="宋体"/>
          <w:color w:val="auto"/>
          <w:sz w:val="21"/>
          <w:szCs w:val="21"/>
          <w:highlight w:val="none"/>
          <w:lang w:val="en-US" w:eastAsia="zh-CN"/>
        </w:rPr>
      </w:pPr>
      <w:bookmarkStart w:id="9" w:name="_Toc17522"/>
      <w:bookmarkStart w:id="10" w:name="_Toc26620"/>
      <w:r>
        <w:rPr>
          <w:rFonts w:hint="eastAsia" w:ascii="宋体" w:hAnsi="宋体" w:eastAsia="宋体" w:cs="宋体"/>
          <w:color w:val="auto"/>
          <w:sz w:val="21"/>
          <w:szCs w:val="21"/>
          <w:highlight w:val="none"/>
          <w:lang w:val="en-US" w:eastAsia="zh-CN"/>
        </w:rPr>
        <w:t>4.4缺陷责任期：2年。</w:t>
      </w:r>
    </w:p>
    <w:p w14:paraId="26FB71ED">
      <w:pPr>
        <w:pStyle w:val="2"/>
        <w:tabs>
          <w:tab w:val="left" w:pos="60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4.5质量保修期：2年</w:t>
      </w:r>
    </w:p>
    <w:p w14:paraId="3D64400E">
      <w:pPr>
        <w:adjustRightInd w:val="0"/>
        <w:snapToGrid w:val="0"/>
        <w:spacing w:before="240" w:beforeLines="100" w:line="360" w:lineRule="auto"/>
        <w:outlineLvl w:val="1"/>
        <w:rPr>
          <w:rFonts w:hint="default" w:ascii="黑体" w:hAnsi="宋体" w:eastAsia="黑体"/>
          <w:color w:val="auto"/>
          <w:sz w:val="32"/>
          <w:szCs w:val="32"/>
          <w:highlight w:val="none"/>
          <w:lang w:val="en-US"/>
        </w:rPr>
      </w:pPr>
      <w:r>
        <w:rPr>
          <w:rFonts w:hint="eastAsia" w:ascii="黑体" w:hAnsi="宋体" w:eastAsia="黑体"/>
          <w:color w:val="auto"/>
          <w:sz w:val="32"/>
          <w:szCs w:val="32"/>
          <w:highlight w:val="none"/>
          <w:lang w:val="en-US" w:eastAsia="zh-CN"/>
        </w:rPr>
        <w:t>5.</w:t>
      </w:r>
      <w:bookmarkEnd w:id="9"/>
      <w:bookmarkEnd w:id="10"/>
      <w:r>
        <w:rPr>
          <w:rFonts w:hint="eastAsia" w:ascii="黑体" w:hAnsi="宋体" w:eastAsia="黑体"/>
          <w:color w:val="auto"/>
          <w:sz w:val="32"/>
          <w:szCs w:val="32"/>
          <w:highlight w:val="none"/>
          <w:lang w:val="en-US" w:eastAsia="zh-CN"/>
        </w:rPr>
        <w:t>编制依据</w:t>
      </w:r>
    </w:p>
    <w:p w14:paraId="5886862B">
      <w:pPr>
        <w:pStyle w:val="2"/>
        <w:tabs>
          <w:tab w:val="left" w:pos="60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①2022年版《20kV及以下配电网工程建设预算编制与计算规定》；</w:t>
      </w:r>
    </w:p>
    <w:p w14:paraId="2FD8EC58">
      <w:pPr>
        <w:pStyle w:val="2"/>
        <w:tabs>
          <w:tab w:val="left" w:pos="60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②2022年版《20kV及以下配电网工程预算定额》第二册 电气设备安装工程；</w:t>
      </w:r>
    </w:p>
    <w:p w14:paraId="786E9E12">
      <w:pPr>
        <w:pStyle w:val="2"/>
        <w:tabs>
          <w:tab w:val="left" w:pos="60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③2022年版《20kV及以下配电网工程预算定额》第三册 架空线路工程；</w:t>
      </w:r>
    </w:p>
    <w:p w14:paraId="0BFDEE80">
      <w:pPr>
        <w:pStyle w:val="2"/>
        <w:tabs>
          <w:tab w:val="left" w:pos="60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④2022年版《20kV及以下配电网工程预算定额》第四册 电缆线路工程；</w:t>
      </w:r>
    </w:p>
    <w:p w14:paraId="714F1C5C">
      <w:pPr>
        <w:pStyle w:val="2"/>
        <w:tabs>
          <w:tab w:val="left" w:pos="60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⑤2022年版《20kV及以下配电网工程预算定额》第五册 通信及自动化工程；</w:t>
      </w:r>
    </w:p>
    <w:p w14:paraId="4D53369B">
      <w:pPr>
        <w:pStyle w:val="2"/>
        <w:tabs>
          <w:tab w:val="left" w:pos="60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⑥年价差模板：陕西2025年上半年-定额〔2025〕30号,29号；</w:t>
      </w:r>
    </w:p>
    <w:p w14:paraId="65C7A38F">
      <w:pPr>
        <w:pStyle w:val="2"/>
        <w:tabs>
          <w:tab w:val="left" w:pos="60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⑦20kV及以下配电网工程工程量清单计价规范（2018)；</w:t>
      </w:r>
    </w:p>
    <w:p w14:paraId="224094F1">
      <w:pPr>
        <w:pStyle w:val="2"/>
        <w:tabs>
          <w:tab w:val="left" w:pos="60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⑧执行20kV及以下配电网工程设备材料价格信息（2025年上半年)、商品混凝土执行安康市2025年03月信息价，信息价中缺项的价格按市场询价执行；</w:t>
      </w:r>
    </w:p>
    <w:p w14:paraId="37532547">
      <w:pPr>
        <w:pStyle w:val="2"/>
        <w:tabs>
          <w:tab w:val="left" w:pos="60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⑨措施费、人工费供应商自行考虑，计入报价。</w:t>
      </w:r>
    </w:p>
    <w:p w14:paraId="24BE5DDA">
      <w:pPr>
        <w:pStyle w:val="2"/>
        <w:tabs>
          <w:tab w:val="left" w:pos="60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⑩养老保险按陕建发〔2021〕1021号文件计入。</w:t>
      </w:r>
    </w:p>
    <w:bookmarkEnd w:id="2"/>
    <w:p w14:paraId="49EC69E3">
      <w:bookmarkStart w:id="11" w:name="_GoBack"/>
      <w:bookmarkEnd w:id="1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5F7852"/>
    <w:rsid w:val="6A5F7852"/>
    <w:rsid w:val="70947A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w:basedOn w:val="1"/>
    <w:next w:val="1"/>
    <w:uiPriority w:val="0"/>
    <w:pPr>
      <w:ind w:firstLine="630"/>
    </w:pPr>
    <w:rPr>
      <w:sz w:val="32"/>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1986</Words>
  <Characters>2255</Characters>
  <Lines>0</Lines>
  <Paragraphs>0</Paragraphs>
  <TotalTime>0</TotalTime>
  <ScaleCrop>false</ScaleCrop>
  <LinksUpToDate>false</LinksUpToDate>
  <CharactersWithSpaces>2260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2025-10-20T04:18:00Z</dcterms:created>
  <dc:creator>Summer</dc:creator>
  <cp:lastModifiedBy>Summer</cp:lastModifiedBy>
  <dcterms:modified xsi:type="dcterms:W3CDTF">2025-10-20T04:19:31Z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9E8D460FA2414946A5A181EA8C0687A5_11</vt:lpwstr>
  </property>
  <property fmtid="{D5CDD505-2E9C-101B-9397-08002B2CF9AE}" pid="4" name="KSOTemplateDocerSaveRecord">
    <vt:lpwstr>eyJoZGlkIjoiMWY3Nzc4MGZiNjQzMTVmMDc1OWRhZDhiOTgyM2ViOGIiLCJ1c2VySWQiOiIyMzczOTcxMTEifQ==</vt:lpwstr>
  </property>
</Properties>
</file>