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486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750" w:afterAutospacing="0" w:line="480" w:lineRule="atLeast"/>
        <w:ind w:left="375" w:right="375"/>
        <w:jc w:val="center"/>
        <w:rPr>
          <w:b/>
          <w:bCs/>
          <w:color w:val="0A82E5"/>
          <w:sz w:val="36"/>
          <w:szCs w:val="36"/>
        </w:rPr>
      </w:pPr>
      <w:r>
        <w:rPr>
          <w:rFonts w:ascii="宋体" w:hAnsi="宋体" w:eastAsia="宋体" w:cs="宋体"/>
          <w:b/>
          <w:bCs/>
          <w:color w:val="0A82E5"/>
          <w:kern w:val="0"/>
          <w:sz w:val="36"/>
          <w:szCs w:val="36"/>
          <w:bdr w:val="none" w:color="auto" w:sz="0" w:space="0"/>
          <w:shd w:val="clear" w:fill="FFFFFF"/>
          <w:lang w:val="en-US" w:eastAsia="zh-CN" w:bidi="ar"/>
        </w:rPr>
        <w:t>汉中广播电视台全媒体采编设备采购招标公告</w:t>
      </w:r>
    </w:p>
    <w:p w14:paraId="513114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7"/>
          <w:b/>
          <w:bCs/>
          <w:sz w:val="21"/>
          <w:szCs w:val="21"/>
          <w:bdr w:val="none" w:color="auto" w:sz="0" w:space="0"/>
          <w:shd w:val="clear" w:fill="FFFFFF"/>
        </w:rPr>
        <w:t>项目概况</w:t>
      </w:r>
    </w:p>
    <w:p w14:paraId="7CB9FF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sz w:val="21"/>
          <w:szCs w:val="21"/>
          <w:bdr w:val="none" w:color="auto" w:sz="0" w:space="0"/>
          <w:shd w:val="clear" w:fill="FFFFFF"/>
        </w:rPr>
        <w:t>全媒体采编设备采购</w:t>
      </w:r>
      <w:r>
        <w:rPr>
          <w:rFonts w:hint="eastAsia" w:ascii="微软雅黑" w:hAnsi="微软雅黑" w:eastAsia="微软雅黑" w:cs="微软雅黑"/>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color w:val="0A82E5"/>
          <w:sz w:val="21"/>
          <w:szCs w:val="21"/>
          <w:bdr w:val="none" w:color="auto" w:sz="0" w:space="0"/>
          <w:shd w:val="clear" w:fill="FFFFFF"/>
        </w:rPr>
        <w:t> 2025年</w:t>
      </w:r>
      <w:bookmarkStart w:id="0" w:name="_GoBack"/>
      <w:bookmarkEnd w:id="0"/>
      <w:r>
        <w:rPr>
          <w:rFonts w:hint="eastAsia" w:ascii="微软雅黑" w:hAnsi="微软雅黑" w:eastAsia="微软雅黑" w:cs="微软雅黑"/>
          <w:color w:val="0A82E5"/>
          <w:sz w:val="21"/>
          <w:szCs w:val="21"/>
          <w:bdr w:val="none" w:color="auto" w:sz="0" w:space="0"/>
          <w:shd w:val="clear" w:fill="FFFFFF"/>
        </w:rPr>
        <w:t>11月11日 09时30分 </w:t>
      </w:r>
      <w:r>
        <w:rPr>
          <w:rFonts w:hint="eastAsia" w:ascii="微软雅黑" w:hAnsi="微软雅黑" w:eastAsia="微软雅黑" w:cs="微软雅黑"/>
          <w:sz w:val="21"/>
          <w:szCs w:val="21"/>
          <w:bdr w:val="none" w:color="auto" w:sz="0" w:space="0"/>
          <w:shd w:val="clear" w:fill="FFFFFF"/>
        </w:rPr>
        <w:t>（北京时间）前递交投标文件。</w:t>
      </w:r>
    </w:p>
    <w:p w14:paraId="26663A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一、项目基本情况</w:t>
      </w:r>
    </w:p>
    <w:p w14:paraId="5C0B23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项目编号：TZZB-HZ-2025290C</w:t>
      </w:r>
    </w:p>
    <w:p w14:paraId="6B66B4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项目名称：全媒体采编设备采购</w:t>
      </w:r>
    </w:p>
    <w:p w14:paraId="4FED3E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采购方式：公开招标</w:t>
      </w:r>
    </w:p>
    <w:p w14:paraId="3FFE76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预算金额：1,560,000.00元</w:t>
      </w:r>
    </w:p>
    <w:p w14:paraId="38F433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采购需求：详见采购需求附件</w:t>
      </w:r>
    </w:p>
    <w:p w14:paraId="7C993F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合同履行期限：</w:t>
      </w:r>
    </w:p>
    <w:p w14:paraId="46713B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960"/>
        <w:jc w:val="both"/>
        <w:rPr>
          <w:sz w:val="21"/>
          <w:szCs w:val="21"/>
        </w:rPr>
      </w:pPr>
      <w:r>
        <w:rPr>
          <w:rFonts w:hint="eastAsia" w:ascii="微软雅黑" w:hAnsi="微软雅黑" w:eastAsia="微软雅黑" w:cs="微软雅黑"/>
          <w:sz w:val="21"/>
          <w:szCs w:val="21"/>
          <w:bdr w:val="none" w:color="auto" w:sz="0" w:space="0"/>
          <w:shd w:val="clear" w:fill="FFFFFF"/>
        </w:rPr>
        <w:t>采购包1：合同签订后20天内，将全部货物运送至采购人指定地点，成交人负责所有设备的开箱、安装、调试及系统集成，确保工作站软件预装、激活、调试完毕，达到开机即可投入生产的标准。</w:t>
      </w:r>
    </w:p>
    <w:p w14:paraId="76729C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本项目是否接受联合体投标：</w:t>
      </w:r>
    </w:p>
    <w:p w14:paraId="29A0C8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960"/>
        <w:jc w:val="both"/>
        <w:rPr>
          <w:sz w:val="21"/>
          <w:szCs w:val="21"/>
        </w:rPr>
      </w:pPr>
      <w:r>
        <w:rPr>
          <w:rFonts w:hint="eastAsia" w:ascii="微软雅黑" w:hAnsi="微软雅黑" w:eastAsia="微软雅黑" w:cs="微软雅黑"/>
          <w:sz w:val="21"/>
          <w:szCs w:val="21"/>
          <w:bdr w:val="none" w:color="auto" w:sz="0" w:space="0"/>
          <w:shd w:val="clear" w:fill="FFFFFF"/>
        </w:rPr>
        <w:t>采购包1：不接受联合体投标</w:t>
      </w:r>
    </w:p>
    <w:p w14:paraId="537DCB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二、申请人的资格要求：</w:t>
      </w:r>
    </w:p>
    <w:p w14:paraId="549290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1.满足《中华人民共和国政府采购法》第二十二条规定;</w:t>
      </w:r>
    </w:p>
    <w:p w14:paraId="4286CE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2.落实政府采购政策需满足的资格要求： 无。</w:t>
      </w:r>
    </w:p>
    <w:p w14:paraId="29ECD3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3.本项目的特定资格要求：</w:t>
      </w:r>
    </w:p>
    <w:p w14:paraId="160733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合同包1(全媒体采编设备采购)特定资格要求如下:</w:t>
      </w:r>
    </w:p>
    <w:p w14:paraId="19D8E1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(1)出具合法有效的营业执照或事业单位法人证书等国家规定的相关证明，自然人参与的提供其身份证明。</w:t>
      </w:r>
    </w:p>
    <w:p w14:paraId="310536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(2)法定代表人直接参加投标的，须出具法人身份证（附法定代表人身份证复印件）；法定代表人授权代表参加投标的，须出具法定代表人授权书及授权代表身份证（附法定代表人身份证复印件及被授权人身份证复印件）。</w:t>
      </w:r>
    </w:p>
    <w:p w14:paraId="6E2E6F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(3)投标人须提供《汉中市政府采购供应商资格承诺函》。</w:t>
      </w:r>
    </w:p>
    <w:p w14:paraId="2435FA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三、获取招标文件</w:t>
      </w:r>
    </w:p>
    <w:p w14:paraId="1B1462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时间：</w:t>
      </w:r>
      <w:r>
        <w:rPr>
          <w:rFonts w:hint="eastAsia" w:ascii="微软雅黑" w:hAnsi="微软雅黑" w:eastAsia="微软雅黑" w:cs="微软雅黑"/>
          <w:color w:val="0A82E5"/>
          <w:sz w:val="21"/>
          <w:szCs w:val="21"/>
          <w:bdr w:val="none" w:color="auto" w:sz="0" w:space="0"/>
          <w:shd w:val="clear" w:fill="FFFFFF"/>
        </w:rPr>
        <w:t> 2025年10月21日 至 2025年10月27日 ，每天上午 00:00:00 至 12:00:00 ，下午 12:00:00 至 23:59:59 （北京时间）</w:t>
      </w:r>
    </w:p>
    <w:p w14:paraId="330E61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途径：</w:t>
      </w:r>
      <w:r>
        <w:rPr>
          <w:rFonts w:hint="eastAsia" w:ascii="微软雅黑" w:hAnsi="微软雅黑" w:eastAsia="微软雅黑" w:cs="微软雅黑"/>
          <w:color w:val="0A82E5"/>
          <w:sz w:val="21"/>
          <w:szCs w:val="21"/>
          <w:bdr w:val="none" w:color="auto" w:sz="0" w:space="0"/>
          <w:shd w:val="clear" w:fill="FFFFFF"/>
        </w:rPr>
        <w:t>项目电子化交易系统（交易执行-选择项目所属区划-应标-项目投标-未获取页面）选择本项目报名参与并获取采购文件</w:t>
      </w:r>
    </w:p>
    <w:p w14:paraId="1FE2AE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方式：</w:t>
      </w:r>
      <w:r>
        <w:rPr>
          <w:rFonts w:hint="eastAsia" w:ascii="微软雅黑" w:hAnsi="微软雅黑" w:eastAsia="微软雅黑" w:cs="微软雅黑"/>
          <w:color w:val="0A82E5"/>
          <w:sz w:val="21"/>
          <w:szCs w:val="21"/>
          <w:bdr w:val="none" w:color="auto" w:sz="0" w:space="0"/>
          <w:shd w:val="clear" w:fill="FFFFFF"/>
        </w:rPr>
        <w:t>投标人有意参加本项目的，应在陕西省政府采购网（www.ccgp-shaanxi.gov.cn）登录项目电子化交易系统申请获取采购文件</w:t>
      </w:r>
    </w:p>
    <w:p w14:paraId="503DC0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售价：</w:t>
      </w:r>
      <w:r>
        <w:rPr>
          <w:rFonts w:hint="eastAsia" w:ascii="微软雅黑" w:hAnsi="微软雅黑" w:eastAsia="微软雅黑" w:cs="微软雅黑"/>
          <w:color w:val="0A82E5"/>
          <w:sz w:val="21"/>
          <w:szCs w:val="21"/>
          <w:bdr w:val="none" w:color="auto" w:sz="0" w:space="0"/>
          <w:shd w:val="clear" w:fill="FFFFFF"/>
        </w:rPr>
        <w:t> 0元</w:t>
      </w:r>
    </w:p>
    <w:p w14:paraId="30F5BB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四、提交投标文件截止时间、开标时间和地点</w:t>
      </w:r>
    </w:p>
    <w:p w14:paraId="7FFA9A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时间：</w:t>
      </w:r>
      <w:r>
        <w:rPr>
          <w:rFonts w:hint="eastAsia" w:ascii="微软雅黑" w:hAnsi="微软雅黑" w:eastAsia="微软雅黑" w:cs="微软雅黑"/>
          <w:color w:val="0A82E5"/>
          <w:sz w:val="21"/>
          <w:szCs w:val="21"/>
          <w:bdr w:val="none" w:color="auto" w:sz="0" w:space="0"/>
          <w:shd w:val="clear" w:fill="FFFFFF"/>
        </w:rPr>
        <w:t> 2025年11月11日 09时30分00秒 </w:t>
      </w:r>
      <w:r>
        <w:rPr>
          <w:rFonts w:hint="eastAsia" w:ascii="微软雅黑" w:hAnsi="微软雅黑" w:eastAsia="微软雅黑" w:cs="微软雅黑"/>
          <w:sz w:val="21"/>
          <w:szCs w:val="21"/>
          <w:bdr w:val="none" w:color="auto" w:sz="0" w:space="0"/>
          <w:shd w:val="clear" w:fill="FFFFFF"/>
        </w:rPr>
        <w:t>（北京时间）</w:t>
      </w:r>
    </w:p>
    <w:p w14:paraId="58F8AE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提交投标文件地点：</w:t>
      </w:r>
      <w:r>
        <w:rPr>
          <w:rFonts w:hint="eastAsia" w:ascii="微软雅黑" w:hAnsi="微软雅黑" w:eastAsia="微软雅黑" w:cs="微软雅黑"/>
          <w:color w:val="0A82E5"/>
          <w:sz w:val="21"/>
          <w:szCs w:val="21"/>
          <w:bdr w:val="none" w:color="auto" w:sz="0" w:space="0"/>
          <w:shd w:val="clear" w:fill="FFFFFF"/>
        </w:rPr>
        <w:t>项目电子化交易系统（交易执行-选择项目所属区划-应标-项目投标-已获取-投标（响应）管理）上传投标（响应）文件</w:t>
      </w:r>
    </w:p>
    <w:p w14:paraId="3657F1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开标地点：</w:t>
      </w:r>
      <w:r>
        <w:rPr>
          <w:rFonts w:hint="eastAsia" w:ascii="微软雅黑" w:hAnsi="微软雅黑" w:eastAsia="微软雅黑" w:cs="微软雅黑"/>
          <w:color w:val="0A82E5"/>
          <w:sz w:val="21"/>
          <w:szCs w:val="21"/>
          <w:bdr w:val="none" w:color="auto" w:sz="0" w:space="0"/>
          <w:shd w:val="clear" w:fill="FFFFFF"/>
        </w:rPr>
        <w:t>项目电子化交易系统（交易执行-选择项目所属区划-开标-供应商开标大厅）参与线上开标</w:t>
      </w:r>
    </w:p>
    <w:p w14:paraId="63B78B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五、公告期限</w:t>
      </w:r>
    </w:p>
    <w:p w14:paraId="74A09C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自本公告发布之日起</w:t>
      </w:r>
      <w:r>
        <w:rPr>
          <w:rFonts w:hint="eastAsia" w:ascii="微软雅黑" w:hAnsi="微软雅黑" w:eastAsia="微软雅黑" w:cs="微软雅黑"/>
          <w:color w:val="0A82E5"/>
          <w:sz w:val="21"/>
          <w:szCs w:val="21"/>
          <w:bdr w:val="none" w:color="auto" w:sz="0" w:space="0"/>
          <w:shd w:val="clear" w:fill="FFFFFF"/>
        </w:rPr>
        <w:t>5</w:t>
      </w:r>
      <w:r>
        <w:rPr>
          <w:rFonts w:hint="eastAsia" w:ascii="微软雅黑" w:hAnsi="微软雅黑" w:eastAsia="微软雅黑" w:cs="微软雅黑"/>
          <w:sz w:val="21"/>
          <w:szCs w:val="21"/>
          <w:bdr w:val="none" w:color="auto" w:sz="0" w:space="0"/>
          <w:shd w:val="clear" w:fill="FFFFFF"/>
        </w:rPr>
        <w:t>个工作日。</w:t>
      </w:r>
    </w:p>
    <w:p w14:paraId="75D75E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六、其他补充事宜</w:t>
      </w:r>
    </w:p>
    <w:p w14:paraId="1989E5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22745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5D9A0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E68B8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BD008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F8E46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（三）供应商应当自行准备电子化采购所需的计算机终端、软硬件及网络环境，承担因准备不足产生的不利后果。</w:t>
      </w:r>
    </w:p>
    <w:p w14:paraId="3B967C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（四）开标/开启前30分钟内，供应商需登录项目电子化交易系统-“供应商开标大厅”-进入开标选择对应项目包组操作签到</w:t>
      </w:r>
    </w:p>
    <w:p w14:paraId="1CACD4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（五）政府采购平台技术支持：</w:t>
      </w:r>
    </w:p>
    <w:p w14:paraId="4FF820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在线客服：通过陕西省政府采购网-在线客服进行咨询</w:t>
      </w:r>
    </w:p>
    <w:p w14:paraId="2E2917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技术服务电话：029-96702</w:t>
      </w:r>
    </w:p>
    <w:p w14:paraId="061A38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CA及签章服务：通过陕西省政府采购网-办事指南进行查询</w:t>
      </w:r>
    </w:p>
    <w:p w14:paraId="2B4219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本次采购落实政府采购政策：（1）《财政部司法部关于政府采购支持监狱企业发展有关问题的通知》（财库〔2014〕68号）；（2）《三部门联合发布关于促进残疾人就业政府采购政策的通知》（财库〔2017〕141号）；（3）陕西省财政厅关于印发《陕西省中小企业政府采购信用融资办法》（陕财办采〔2018〕23号）；（4）陕西省财政厅《关于加快推进我省中小企业政府采购信用融资工作的通知》（陕财办采〔2020〕15号）；（5）《政府采购促进中小企业发展管理办法》（财库〔2020〕46号）；（6）《财政部农业农村部国家乡村振兴局关于运用政府采购政策支持乡村产业振兴的通知》（财库〔2021〕19号）；（7）《陕西省财政厅关于进一步加强政府绿色采购有关问题的通知》（陕财办采〔2021〕29号）；（8）《财政部关于在政府采购活动中落实平等对待内外资企业有关政策的通知》（财库〔2021〕35号）；（9）《关于进一步加大政府采购支持中小企业力度的通知》（财库〔2022〕19号）；（10）《陕西省财政厅、中国人民银行西安分行关于深入推进政府采购信用融资业务的通知》 陕财办采〔2023〕5号；（11）按相关规定需要落实的其他政府采购政策。</w:t>
      </w:r>
    </w:p>
    <w:p w14:paraId="429B29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七、对本次招标提出询问，请按以下方式联系。</w:t>
      </w:r>
    </w:p>
    <w:p w14:paraId="4C7CA6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1.采购人信息</w:t>
      </w:r>
    </w:p>
    <w:p w14:paraId="3A9480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汉中广播电视台</w:t>
      </w:r>
    </w:p>
    <w:p w14:paraId="0B4B11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汉中市汉台区望江路1260号</w:t>
      </w:r>
    </w:p>
    <w:p w14:paraId="22167D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 0916-2188301</w:t>
      </w:r>
    </w:p>
    <w:p w14:paraId="19217D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2.采购代理机构信息</w:t>
      </w:r>
    </w:p>
    <w:p w14:paraId="646EC8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同正项目管理有限公司</w:t>
      </w:r>
    </w:p>
    <w:p w14:paraId="7A1A5B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中市汉台区西一环路蓝天御苑小区商铺二层门面房南侧</w:t>
      </w:r>
    </w:p>
    <w:p w14:paraId="450E02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 0916-8897702</w:t>
      </w:r>
    </w:p>
    <w:p w14:paraId="72354C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3.项目联系方式</w:t>
      </w:r>
    </w:p>
    <w:p w14:paraId="48C706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项目联系人：</w:t>
      </w:r>
      <w:r>
        <w:rPr>
          <w:rFonts w:hint="eastAsia" w:ascii="微软雅黑" w:hAnsi="微软雅黑" w:eastAsia="微软雅黑" w:cs="微软雅黑"/>
          <w:color w:val="0A82E5"/>
          <w:sz w:val="21"/>
          <w:szCs w:val="21"/>
          <w:bdr w:val="none" w:color="auto" w:sz="0" w:space="0"/>
          <w:shd w:val="clear" w:fill="FFFFFF"/>
        </w:rPr>
        <w:t>肖静</w:t>
      </w:r>
    </w:p>
    <w:p w14:paraId="50FF9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电话：</w:t>
      </w:r>
      <w:r>
        <w:rPr>
          <w:rFonts w:hint="eastAsia" w:ascii="微软雅黑" w:hAnsi="微软雅黑" w:eastAsia="微软雅黑" w:cs="微软雅黑"/>
          <w:color w:val="0A82E5"/>
          <w:sz w:val="21"/>
          <w:szCs w:val="21"/>
          <w:bdr w:val="none" w:color="auto" w:sz="0" w:space="0"/>
          <w:shd w:val="clear" w:fill="FFFFFF"/>
        </w:rPr>
        <w:t> 0916-8897702</w:t>
      </w:r>
    </w:p>
    <w:p w14:paraId="40F93A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微软雅黑" w:hAnsi="微软雅黑" w:eastAsia="微软雅黑" w:cs="微软雅黑"/>
          <w:sz w:val="21"/>
          <w:szCs w:val="21"/>
          <w:bdr w:val="none" w:color="auto" w:sz="0" w:space="0"/>
          <w:shd w:val="clear" w:fill="FFFFFF"/>
        </w:rPr>
        <w:t>同正项目管理有限公司</w:t>
      </w:r>
    </w:p>
    <w:p w14:paraId="3A184E76">
      <w:pPr>
        <w:keepNext w:val="0"/>
        <w:keepLines w:val="0"/>
        <w:widowControl/>
        <w:suppressLineNumbers w:val="0"/>
        <w:shd w:val="clear" w:fill="FFFFFF"/>
        <w:wordWrap w:val="0"/>
        <w:spacing w:before="750" w:beforeAutospacing="0" w:after="750" w:afterAutospacing="0" w:line="480" w:lineRule="atLeast"/>
        <w:ind w:left="375" w:right="375"/>
        <w:jc w:val="both"/>
        <w:rPr>
          <w:rFonts w:hint="eastAsia" w:ascii="微软雅黑" w:hAnsi="微软雅黑" w:eastAsia="微软雅黑" w:cs="微软雅黑"/>
          <w:sz w:val="21"/>
          <w:szCs w:val="21"/>
        </w:rPr>
      </w:pPr>
    </w:p>
    <w:p w14:paraId="2238CF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pPr>
    </w:p>
    <w:tbl>
      <w:tblPr>
        <w:tblW w:w="1866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741"/>
        <w:gridCol w:w="3726"/>
        <w:gridCol w:w="3726"/>
        <w:gridCol w:w="3726"/>
        <w:gridCol w:w="3741"/>
      </w:tblGrid>
      <w:tr w14:paraId="2A7D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top w:val="nil"/>
              <w:left w:val="nil"/>
              <w:bottom w:val="single" w:color="E5E5E5" w:sz="6" w:space="0"/>
              <w:right w:val="single" w:color="E5E5E5" w:sz="6" w:space="0"/>
            </w:tcBorders>
            <w:shd w:val="clear" w:color="auto" w:fill="F5F5F5"/>
            <w:tcMar>
              <w:top w:w="0" w:type="dxa"/>
              <w:left w:w="0" w:type="dxa"/>
              <w:bottom w:w="0" w:type="dxa"/>
              <w:right w:w="0" w:type="dxa"/>
            </w:tcMar>
            <w:vAlign w:val="center"/>
          </w:tcPr>
          <w:p w14:paraId="4284004B">
            <w:pPr>
              <w:jc w:val="center"/>
              <w:rPr>
                <w:rFonts w:hint="eastAsia" w:ascii="宋体"/>
                <w:b/>
                <w:bCs/>
                <w:color w:val="333333"/>
                <w:sz w:val="21"/>
                <w:szCs w:val="21"/>
              </w:rPr>
            </w:pPr>
          </w:p>
        </w:tc>
        <w:tc>
          <w:tcPr>
            <w:tcW w:w="0" w:type="auto"/>
            <w:tcBorders>
              <w:top w:val="nil"/>
              <w:left w:val="nil"/>
              <w:bottom w:val="single" w:color="E5E5E5" w:sz="6" w:space="0"/>
              <w:right w:val="single" w:color="E5E5E5" w:sz="6" w:space="0"/>
            </w:tcBorders>
            <w:shd w:val="clear" w:color="auto" w:fill="F5F5F5"/>
            <w:tcMar>
              <w:top w:w="0" w:type="dxa"/>
              <w:left w:w="0" w:type="dxa"/>
              <w:bottom w:w="0" w:type="dxa"/>
              <w:right w:w="0" w:type="dxa"/>
            </w:tcMar>
            <w:vAlign w:val="center"/>
          </w:tcPr>
          <w:p w14:paraId="4D134BF1">
            <w:pPr>
              <w:jc w:val="left"/>
              <w:rPr>
                <w:rFonts w:hint="eastAsia" w:ascii="宋体"/>
                <w:b/>
                <w:bCs/>
                <w:color w:val="333333"/>
                <w:sz w:val="21"/>
                <w:szCs w:val="21"/>
              </w:rPr>
            </w:pPr>
          </w:p>
        </w:tc>
        <w:tc>
          <w:tcPr>
            <w:tcW w:w="0" w:type="auto"/>
            <w:tcBorders>
              <w:top w:val="nil"/>
              <w:left w:val="nil"/>
              <w:bottom w:val="single" w:color="E5E5E5" w:sz="6" w:space="0"/>
              <w:right w:val="single" w:color="E5E5E5" w:sz="6" w:space="0"/>
            </w:tcBorders>
            <w:shd w:val="clear" w:color="auto" w:fill="F5F5F5"/>
            <w:tcMar>
              <w:top w:w="0" w:type="dxa"/>
              <w:left w:w="0" w:type="dxa"/>
              <w:bottom w:w="0" w:type="dxa"/>
              <w:right w:w="0" w:type="dxa"/>
            </w:tcMar>
            <w:vAlign w:val="center"/>
          </w:tcPr>
          <w:p w14:paraId="0DC5BB73">
            <w:pPr>
              <w:jc w:val="left"/>
              <w:rPr>
                <w:rFonts w:hint="eastAsia" w:ascii="宋体"/>
                <w:b/>
                <w:bCs/>
                <w:color w:val="333333"/>
                <w:sz w:val="21"/>
                <w:szCs w:val="21"/>
              </w:rPr>
            </w:pPr>
          </w:p>
        </w:tc>
        <w:tc>
          <w:tcPr>
            <w:tcW w:w="0" w:type="auto"/>
            <w:tcBorders>
              <w:top w:val="nil"/>
              <w:left w:val="nil"/>
              <w:bottom w:val="single" w:color="E5E5E5" w:sz="6" w:space="0"/>
              <w:right w:val="single" w:color="E5E5E5" w:sz="6" w:space="0"/>
            </w:tcBorders>
            <w:shd w:val="clear" w:color="auto" w:fill="F5F5F5"/>
            <w:tcMar>
              <w:top w:w="0" w:type="dxa"/>
              <w:left w:w="0" w:type="dxa"/>
              <w:bottom w:w="0" w:type="dxa"/>
              <w:right w:w="0" w:type="dxa"/>
            </w:tcMar>
            <w:vAlign w:val="center"/>
          </w:tcPr>
          <w:p w14:paraId="050AA6FD">
            <w:pPr>
              <w:jc w:val="left"/>
              <w:rPr>
                <w:rFonts w:hint="eastAsia" w:ascii="宋体"/>
                <w:b/>
                <w:bCs/>
                <w:color w:val="333333"/>
                <w:sz w:val="21"/>
                <w:szCs w:val="21"/>
              </w:rPr>
            </w:pPr>
          </w:p>
        </w:tc>
        <w:tc>
          <w:tcPr>
            <w:tcW w:w="0" w:type="auto"/>
            <w:tcBorders>
              <w:top w:val="nil"/>
              <w:left w:val="nil"/>
              <w:bottom w:val="single" w:color="E5E5E5" w:sz="6" w:space="0"/>
              <w:right w:val="single" w:color="E5E5E5" w:sz="6" w:space="0"/>
            </w:tcBorders>
            <w:shd w:val="clear" w:color="auto" w:fill="F5F5F5"/>
            <w:tcMar>
              <w:top w:w="0" w:type="dxa"/>
              <w:left w:w="0" w:type="dxa"/>
              <w:bottom w:w="0" w:type="dxa"/>
              <w:right w:w="0" w:type="dxa"/>
            </w:tcMar>
            <w:vAlign w:val="center"/>
          </w:tcPr>
          <w:p w14:paraId="09189E8F">
            <w:pPr>
              <w:jc w:val="left"/>
              <w:rPr>
                <w:rFonts w:hint="eastAsia" w:ascii="宋体"/>
                <w:b/>
                <w:bCs/>
                <w:color w:val="333333"/>
                <w:sz w:val="21"/>
                <w:szCs w:val="21"/>
              </w:rPr>
            </w:pPr>
          </w:p>
        </w:tc>
      </w:tr>
      <w:tr w14:paraId="5FE1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gridSpan w:val="5"/>
            <w:tcBorders>
              <w:top w:val="nil"/>
              <w:left w:val="nil"/>
              <w:bottom w:val="single" w:color="E5E5E5" w:sz="6" w:space="0"/>
              <w:right w:val="single" w:color="E5E5E5" w:sz="6" w:space="0"/>
            </w:tcBorders>
            <w:shd w:val="clear" w:color="auto" w:fill="FFFFFF"/>
            <w:tcMar>
              <w:top w:w="0" w:type="dxa"/>
              <w:left w:w="0" w:type="dxa"/>
              <w:bottom w:w="0" w:type="dxa"/>
              <w:right w:w="0" w:type="dxa"/>
            </w:tcMar>
            <w:vAlign w:val="center"/>
          </w:tcPr>
          <w:p w14:paraId="06634003">
            <w:pPr>
              <w:rPr>
                <w:rFonts w:hint="eastAsia" w:ascii="宋体"/>
                <w:sz w:val="21"/>
                <w:szCs w:val="21"/>
              </w:rPr>
            </w:pPr>
          </w:p>
        </w:tc>
      </w:tr>
    </w:tbl>
    <w:p w14:paraId="65FED3A7">
      <w:pPr>
        <w:pStyle w:val="8"/>
      </w:pPr>
      <w:r>
        <w:t>窗体顶端</w:t>
      </w:r>
    </w:p>
    <w:p w14:paraId="2325BB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 w:afterAutospacing="0" w:line="480" w:lineRule="atLeast"/>
        <w:ind w:left="150" w:firstLine="0"/>
        <w:jc w:val="left"/>
        <w:textAlignment w:val="top"/>
        <w:rPr>
          <w:rFonts w:hint="default"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1、其他补充事宜</w:t>
      </w:r>
    </w:p>
    <w:p w14:paraId="5C9F6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ind w:left="150" w:firstLine="0"/>
        <w:jc w:val="left"/>
        <w:rPr>
          <w:rFonts w:hint="eastAsia" w:ascii="微软雅黑" w:hAnsi="微软雅黑" w:eastAsia="微软雅黑" w:cs="微软雅黑"/>
          <w:i w:val="0"/>
          <w:iCs w:val="0"/>
          <w:caps w:val="0"/>
          <w:color w:val="333333"/>
          <w:spacing w:val="0"/>
          <w:sz w:val="21"/>
          <w:szCs w:val="21"/>
        </w:rPr>
      </w:pPr>
    </w:p>
    <w:p w14:paraId="3031CE59">
      <w:pPr>
        <w:pStyle w:val="9"/>
      </w:pPr>
      <w:r>
        <w:t>窗体底端</w:t>
      </w:r>
    </w:p>
    <w:p w14:paraId="3073E0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0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2025-10-20T09:47:37Z</dcterms:created>
  <dc:creator>0003</dc:creator>
  <cp:lastModifiedBy>soul</cp:lastModifiedBy>
  <dcterms:modified xsi:type="dcterms:W3CDTF">2025-10-20T09:47:57Z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eyJoZGlkIjoiMjkzNGRhNjFiZDM0MWFkNmFjMTY0ZjZlN2VjYjdjMzEiLCJ1c2VySWQiOiIzMjUzMDc2MzkifQ==</vt:lpwstr>
  </property>
  <property fmtid="{D5CDD505-2E9C-101B-9397-08002B2CF9AE}" pid="4" name="ICV">
    <vt:lpwstr>BFAA93927340484CA68B59F96D5AB097_12</vt:lpwstr>
  </property>
</Properties>
</file>