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9FB4D">
      <w:pPr>
        <w:numPr>
          <w:ilvl w:val="0"/>
          <w:numId w:val="0"/>
        </w:numPr>
        <w:jc w:val="center"/>
        <w:rPr>
          <w:rFonts w:hint="eastAsia" w:ascii="宋体" w:hAnsi="宋体" w:cs="宋体"/>
          <w:b/>
          <w:bCs/>
          <w:color w:val="auto"/>
          <w:sz w:val="32"/>
          <w:szCs w:val="40"/>
          <w:lang w:val="en-US" w:eastAsia="zh-CN"/>
        </w:rPr>
      </w:pPr>
      <w:r>
        <w:rPr>
          <w:rFonts w:hint="eastAsia" w:ascii="宋体" w:hAnsi="宋体" w:cs="宋体"/>
          <w:b/>
          <w:bCs/>
          <w:color w:val="auto"/>
          <w:sz w:val="32"/>
          <w:szCs w:val="40"/>
          <w:lang w:val="en-US" w:eastAsia="zh-CN"/>
        </w:rPr>
        <w:t>府谷县人力资源和社会保障局院内铺油</w:t>
      </w:r>
    </w:p>
    <w:p w14:paraId="60A87345">
      <w:pPr>
        <w:numPr>
          <w:ilvl w:val="0"/>
          <w:numId w:val="0"/>
        </w:numPr>
        <w:jc w:val="center"/>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rPr>
        <w:t>采购</w:t>
      </w:r>
      <w:r>
        <w:rPr>
          <w:rFonts w:hint="eastAsia" w:ascii="宋体" w:hAnsi="宋体" w:eastAsia="宋体" w:cs="宋体"/>
          <w:b/>
          <w:bCs/>
          <w:color w:val="auto"/>
          <w:sz w:val="32"/>
          <w:szCs w:val="40"/>
          <w:lang w:val="en-US" w:eastAsia="zh-CN"/>
        </w:rPr>
        <w:t>计划文件</w:t>
      </w:r>
    </w:p>
    <w:p w14:paraId="223CDE0A">
      <w:pPr>
        <w:numPr>
          <w:ilvl w:val="0"/>
          <w:numId w:val="0"/>
        </w:numPr>
        <w:jc w:val="center"/>
        <w:rPr>
          <w:rFonts w:hint="eastAsia" w:ascii="宋体" w:hAnsi="宋体" w:eastAsia="宋体" w:cs="宋体"/>
          <w:b/>
          <w:bCs/>
          <w:color w:val="auto"/>
          <w:sz w:val="32"/>
          <w:szCs w:val="40"/>
          <w:lang w:val="en-US" w:eastAsia="zh-CN"/>
        </w:rPr>
      </w:pPr>
    </w:p>
    <w:p w14:paraId="7D6770A7">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bCs/>
          <w:color w:val="auto"/>
          <w:sz w:val="28"/>
          <w:szCs w:val="36"/>
          <w:lang w:val="en-US" w:eastAsia="zh-CN"/>
        </w:rPr>
        <w:t>一、</w:t>
      </w:r>
      <w:r>
        <w:rPr>
          <w:rFonts w:hint="eastAsia" w:ascii="宋体" w:hAnsi="宋体" w:eastAsia="宋体" w:cs="宋体"/>
          <w:b/>
          <w:bCs/>
          <w:color w:val="auto"/>
          <w:sz w:val="28"/>
          <w:szCs w:val="36"/>
        </w:rPr>
        <w:t>采购项目名称</w:t>
      </w:r>
      <w:r>
        <w:rPr>
          <w:rFonts w:hint="eastAsia" w:ascii="宋体" w:hAnsi="宋体" w:cs="宋体"/>
          <w:b/>
          <w:bCs/>
          <w:color w:val="auto"/>
          <w:sz w:val="28"/>
          <w:szCs w:val="36"/>
          <w:lang w:eastAsia="zh-CN"/>
        </w:rPr>
        <w:t>：</w:t>
      </w:r>
      <w:r>
        <w:rPr>
          <w:rFonts w:hint="eastAsia" w:ascii="宋体" w:hAnsi="宋体" w:cs="宋体"/>
          <w:b w:val="0"/>
          <w:bCs w:val="0"/>
          <w:color w:val="auto"/>
          <w:sz w:val="28"/>
          <w:szCs w:val="36"/>
          <w:lang w:val="en-US" w:eastAsia="zh-CN"/>
        </w:rPr>
        <w:t>府谷县人力资源和社会保障局院内铺油</w:t>
      </w:r>
    </w:p>
    <w:p w14:paraId="21B9EE61">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7EEA3F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1222349.23</w:t>
      </w:r>
      <w:r>
        <w:rPr>
          <w:rFonts w:hint="eastAsia" w:cs="宋体"/>
          <w:i w:val="0"/>
          <w:iCs w:val="0"/>
          <w:caps w:val="0"/>
          <w:color w:val="auto"/>
          <w:spacing w:val="0"/>
          <w:sz w:val="24"/>
          <w:szCs w:val="24"/>
          <w:shd w:val="clear" w:fill="FFFFFF"/>
          <w:lang w:val="en-US" w:eastAsia="zh-CN"/>
        </w:rPr>
        <w:t>元</w:t>
      </w:r>
    </w:p>
    <w:p w14:paraId="1845287C">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46436B5">
      <w:pPr>
        <w:numPr>
          <w:ilvl w:val="0"/>
          <w:numId w:val="0"/>
        </w:numPr>
        <w:spacing w:line="360" w:lineRule="auto"/>
        <w:ind w:left="0" w:leftChars="0" w:firstLine="0" w:firstLineChars="0"/>
        <w:rPr>
          <w:rFonts w:hint="default" w:ascii="宋体" w:hAnsi="宋体" w:eastAsia="宋体" w:cs="宋体"/>
          <w:color w:val="auto"/>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320C2081">
      <w:pPr>
        <w:numPr>
          <w:ilvl w:val="0"/>
          <w:numId w:val="0"/>
        </w:numPr>
        <w:spacing w:line="360" w:lineRule="auto"/>
        <w:ind w:leftChars="0"/>
        <w:rPr>
          <w:rFonts w:hint="eastAsia" w:ascii="宋体" w:hAnsi="宋体" w:eastAsia="宋体" w:cs="宋体"/>
          <w:color w:val="auto"/>
          <w:sz w:val="28"/>
          <w:szCs w:val="36"/>
        </w:rPr>
      </w:pPr>
      <w:r>
        <w:rPr>
          <w:rFonts w:hint="eastAsia" w:ascii="宋体" w:hAnsi="宋体" w:eastAsia="宋体" w:cs="宋体"/>
          <w:b/>
          <w:bCs/>
          <w:color w:val="auto"/>
          <w:sz w:val="28"/>
          <w:szCs w:val="36"/>
          <w:lang w:val="en-US" w:eastAsia="zh-CN"/>
        </w:rPr>
        <w:t>三、</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092745D7">
      <w:pPr>
        <w:numPr>
          <w:ilvl w:val="0"/>
          <w:numId w:val="0"/>
        </w:numPr>
        <w:spacing w:line="360" w:lineRule="auto"/>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1、</w:t>
      </w:r>
      <w:r>
        <w:rPr>
          <w:rFonts w:hint="eastAsia" w:ascii="宋体" w:hAnsi="宋体" w:eastAsia="宋体" w:cs="宋体"/>
          <w:color w:val="auto"/>
          <w:sz w:val="28"/>
          <w:szCs w:val="36"/>
          <w:lang w:val="en-US" w:eastAsia="zh-CN"/>
        </w:rPr>
        <w:t>工期：</w:t>
      </w:r>
      <w:r>
        <w:rPr>
          <w:rFonts w:hint="eastAsia" w:ascii="宋体" w:hAnsi="宋体" w:cs="宋体"/>
          <w:color w:val="auto"/>
          <w:sz w:val="28"/>
          <w:szCs w:val="36"/>
          <w:lang w:val="en-US" w:eastAsia="zh-CN"/>
        </w:rPr>
        <w:t>40</w:t>
      </w:r>
      <w:r>
        <w:rPr>
          <w:rFonts w:hint="eastAsia" w:ascii="宋体" w:hAnsi="宋体" w:eastAsia="宋体" w:cs="宋体"/>
          <w:color w:val="auto"/>
          <w:sz w:val="28"/>
          <w:szCs w:val="36"/>
          <w:lang w:val="en-US" w:eastAsia="zh-CN"/>
        </w:rPr>
        <w:t>天</w:t>
      </w:r>
    </w:p>
    <w:p w14:paraId="2D627F4A">
      <w:pPr>
        <w:numPr>
          <w:ilvl w:val="0"/>
          <w:numId w:val="0"/>
        </w:numPr>
        <w:spacing w:line="360" w:lineRule="auto"/>
        <w:ind w:leftChars="0"/>
        <w:rPr>
          <w:rFonts w:hint="eastAsia" w:ascii="宋体" w:hAnsi="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eastAsia="宋体" w:cs="宋体"/>
          <w:color w:val="auto"/>
          <w:sz w:val="28"/>
          <w:szCs w:val="36"/>
          <w:lang w:val="en-US" w:eastAsia="zh-CN"/>
        </w:rPr>
        <w:t>府谷县人力资源和社会保障局院内</w:t>
      </w:r>
    </w:p>
    <w:p w14:paraId="5FF0E0D7">
      <w:pPr>
        <w:numPr>
          <w:ilvl w:val="0"/>
          <w:numId w:val="0"/>
        </w:numPr>
        <w:spacing w:line="360" w:lineRule="auto"/>
        <w:ind w:leftChars="0"/>
        <w:rPr>
          <w:rFonts w:hint="eastAsia" w:ascii="宋体" w:hAnsi="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w:t>
      </w:r>
      <w:r>
        <w:rPr>
          <w:rFonts w:hint="eastAsia" w:ascii="宋体" w:hAnsi="宋体" w:cs="宋体"/>
          <w:color w:val="auto"/>
          <w:sz w:val="28"/>
          <w:szCs w:val="36"/>
          <w:lang w:val="en-US" w:eastAsia="zh-CN"/>
        </w:rPr>
        <w:t>内容</w:t>
      </w:r>
      <w:r>
        <w:rPr>
          <w:rFonts w:hint="eastAsia" w:ascii="宋体" w:hAnsi="宋体" w:eastAsia="宋体" w:cs="宋体"/>
          <w:color w:val="auto"/>
          <w:sz w:val="28"/>
          <w:szCs w:val="36"/>
        </w:rPr>
        <w:t>：本项目是</w:t>
      </w:r>
      <w:r>
        <w:rPr>
          <w:rFonts w:hint="eastAsia" w:ascii="宋体" w:hAnsi="宋体" w:eastAsia="宋体" w:cs="宋体"/>
          <w:color w:val="auto"/>
          <w:sz w:val="28"/>
          <w:szCs w:val="36"/>
          <w:lang w:eastAsia="zh-CN"/>
        </w:rPr>
        <w:t>维修更改工</w:t>
      </w:r>
      <w:r>
        <w:rPr>
          <w:rFonts w:hint="eastAsia" w:ascii="宋体" w:hAnsi="宋体" w:eastAsia="宋体" w:cs="宋体"/>
          <w:color w:val="auto"/>
          <w:sz w:val="28"/>
          <w:szCs w:val="36"/>
        </w:rPr>
        <w:t>程，</w:t>
      </w:r>
      <w:r>
        <w:rPr>
          <w:rFonts w:hint="eastAsia" w:ascii="宋体" w:hAnsi="宋体" w:cs="宋体"/>
          <w:color w:val="auto"/>
          <w:sz w:val="28"/>
          <w:szCs w:val="36"/>
          <w:lang w:val="en-US" w:eastAsia="zh-CN"/>
        </w:rPr>
        <w:t>主要</w:t>
      </w:r>
      <w:r>
        <w:rPr>
          <w:rFonts w:hint="eastAsia" w:ascii="宋体" w:hAnsi="宋体" w:eastAsia="宋体" w:cs="宋体"/>
          <w:color w:val="auto"/>
          <w:sz w:val="28"/>
          <w:szCs w:val="36"/>
        </w:rPr>
        <w:t>内容</w:t>
      </w:r>
      <w:r>
        <w:rPr>
          <w:rFonts w:hint="eastAsia" w:ascii="宋体" w:hAnsi="宋体" w:cs="宋体"/>
          <w:color w:val="auto"/>
          <w:sz w:val="28"/>
          <w:szCs w:val="36"/>
          <w:lang w:val="en-US" w:eastAsia="zh-CN"/>
        </w:rPr>
        <w:t>包含</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拆除外运工程、拆除外运西侧混凝土院面工程（约600平米）、拆除外运花岗岩铺装院面工程（约3900平米）、拆除检查井盖及雨水井水箅子工程、铺油工程（约4500平米）、台阶坡道维修工程和附属设施工程等。</w:t>
      </w:r>
    </w:p>
    <w:p w14:paraId="3E5809AB">
      <w:pPr>
        <w:numPr>
          <w:ilvl w:val="0"/>
          <w:numId w:val="0"/>
        </w:numPr>
        <w:spacing w:line="360" w:lineRule="auto"/>
        <w:ind w:left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四、合同模板：</w:t>
      </w:r>
    </w:p>
    <w:p w14:paraId="2793B21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61A7EA50">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084EEF65">
      <w:pPr>
        <w:spacing w:line="360" w:lineRule="auto"/>
        <w:jc w:val="center"/>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府谷县人力资源和社会保障局院内铺油</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1CFC806D">
      <w:pPr>
        <w:spacing w:line="360" w:lineRule="auto"/>
        <w:jc w:val="center"/>
        <w:rPr>
          <w:rFonts w:hint="eastAsia" w:ascii="宋体" w:hAnsi="宋体" w:eastAsia="宋体" w:cs="宋体"/>
          <w:b/>
          <w:bCs/>
          <w:color w:val="auto"/>
          <w:sz w:val="28"/>
          <w:szCs w:val="28"/>
        </w:rPr>
      </w:pPr>
    </w:p>
    <w:p w14:paraId="5FC11122">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0A20C5DB">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7C9A351A">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府谷县人力资源和社会保障局院内铺油</w:t>
      </w:r>
      <w:bookmarkStart w:id="6" w:name="_GoBack"/>
      <w:bookmarkEnd w:id="6"/>
      <w:r>
        <w:rPr>
          <w:rFonts w:hint="eastAsia" w:ascii="宋体" w:hAnsi="宋体" w:eastAsia="宋体" w:cs="宋体"/>
          <w:snapToGrid w:val="0"/>
          <w:color w:val="auto"/>
          <w:kern w:val="0"/>
          <w:sz w:val="28"/>
          <w:szCs w:val="28"/>
        </w:rPr>
        <w:t>”承办达成合同如下：</w:t>
      </w:r>
    </w:p>
    <w:p w14:paraId="1F2445B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2FB05CF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4AAE91C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5D33C42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E3FB9F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7972B5D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101B279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652C6FF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329B60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7043313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327AFB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28B188F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7EB7524A">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15B7B3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F8122C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CF1D16B">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DB918BC">
      <w:pPr>
        <w:shd w:val="clear"/>
        <w:adjustRightInd w:val="0"/>
        <w:snapToGrid w:val="0"/>
        <w:spacing w:line="360" w:lineRule="auto"/>
        <w:ind w:firstLine="562" w:firstLineChars="200"/>
        <w:rPr>
          <w:rFonts w:hint="eastAsia" w:ascii="宋体" w:hAnsi="宋体" w:eastAsia="宋体" w:cs="宋体"/>
          <w:color w:val="FF0000"/>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color w:val="auto"/>
          <w:sz w:val="28"/>
          <w:szCs w:val="28"/>
          <w:lang w:val="en-US" w:eastAsia="zh-CN"/>
        </w:rPr>
        <w:t>甲方按照乙方完成的实际工程量进行决算，根据工程进度给予拨付工程款，待工程竣工验收合格后拨付至工程总价款的80%，审计完成后拨付总工程款的20%。</w:t>
      </w:r>
    </w:p>
    <w:p w14:paraId="1B26A2A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59C6606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1EFE41BD">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381BFD4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322B770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3718FF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6081F29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5A0EA009">
      <w:pPr>
        <w:pStyle w:val="2"/>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1F9DED2C">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77512DA7">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1F535FE4">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09967087">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44A15862">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1FFB65D">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51C4676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BCEE37B">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5011BDF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29E9A0D9">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321D42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48CAB17A">
      <w:pPr>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F7DDD2E">
      <w:pPr>
        <w:spacing w:line="360" w:lineRule="auto"/>
        <w:ind w:firstLine="240" w:firstLineChars="100"/>
        <w:rPr>
          <w:rFonts w:hint="eastAsia" w:ascii="宋体" w:hAnsi="宋体" w:eastAsia="宋体" w:cs="宋体"/>
          <w:color w:val="auto"/>
          <w:sz w:val="24"/>
          <w:szCs w:val="24"/>
        </w:rPr>
      </w:pPr>
    </w:p>
    <w:p w14:paraId="06E69028">
      <w:pPr>
        <w:adjustRightInd w:val="0"/>
        <w:snapToGrid w:val="0"/>
        <w:spacing w:line="360" w:lineRule="auto"/>
        <w:ind w:firstLine="560" w:firstLineChars="200"/>
        <w:rPr>
          <w:rFonts w:hint="eastAsia" w:ascii="宋体" w:hAnsi="宋体" w:eastAsia="宋体" w:cs="宋体"/>
          <w:color w:val="auto"/>
          <w:sz w:val="28"/>
          <w:szCs w:val="28"/>
        </w:rPr>
      </w:pPr>
    </w:p>
    <w:p w14:paraId="3B37D07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8455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A9CF10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249ED2A3">
      <w:pPr>
        <w:pStyle w:val="4"/>
        <w:rPr>
          <w:rFonts w:hint="eastAsia"/>
        </w:rPr>
      </w:pPr>
    </w:p>
    <w:p w14:paraId="2D391F3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0AACE9D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30D976B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487D88D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647E759">
      <w:pPr>
        <w:spacing w:line="360" w:lineRule="auto"/>
        <w:ind w:firstLine="3360" w:firstLineChars="1400"/>
        <w:rPr>
          <w:rFonts w:hint="eastAsia" w:ascii="宋体" w:hAnsi="宋体" w:eastAsia="宋体" w:cs="宋体"/>
          <w:color w:val="auto"/>
          <w:sz w:val="24"/>
          <w:szCs w:val="24"/>
        </w:rPr>
      </w:pPr>
    </w:p>
    <w:p w14:paraId="1A52834F">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0DE5FBC6">
      <w:pPr>
        <w:spacing w:line="360" w:lineRule="auto"/>
        <w:ind w:firstLine="3840" w:firstLineChars="1600"/>
        <w:rPr>
          <w:rFonts w:hint="eastAsia" w:ascii="宋体" w:hAnsi="宋体" w:eastAsia="宋体" w:cs="宋体"/>
          <w:color w:val="auto"/>
          <w:sz w:val="24"/>
          <w:szCs w:val="24"/>
        </w:rPr>
      </w:pPr>
    </w:p>
    <w:p w14:paraId="005D0F1B">
      <w:pPr>
        <w:spacing w:line="360" w:lineRule="auto"/>
        <w:ind w:firstLine="3840" w:firstLineChars="1600"/>
        <w:rPr>
          <w:rFonts w:hint="eastAsia" w:ascii="宋体" w:hAnsi="宋体" w:eastAsia="宋体" w:cs="宋体"/>
          <w:color w:val="auto"/>
          <w:sz w:val="24"/>
          <w:szCs w:val="24"/>
        </w:rPr>
      </w:pPr>
    </w:p>
    <w:p w14:paraId="16CA92A5">
      <w:pPr>
        <w:spacing w:line="360" w:lineRule="auto"/>
        <w:ind w:firstLine="3840" w:firstLineChars="1600"/>
        <w:rPr>
          <w:rFonts w:hint="eastAsia" w:ascii="宋体" w:hAnsi="宋体" w:eastAsia="宋体" w:cs="宋体"/>
          <w:color w:val="auto"/>
          <w:sz w:val="24"/>
          <w:szCs w:val="24"/>
        </w:rPr>
      </w:pPr>
    </w:p>
    <w:p w14:paraId="6CEC11DA">
      <w:pPr>
        <w:pStyle w:val="3"/>
        <w:rPr>
          <w:rFonts w:hint="eastAsia" w:ascii="宋体" w:hAnsi="宋体" w:eastAsia="宋体" w:cs="宋体"/>
          <w:color w:val="auto"/>
        </w:rPr>
      </w:pPr>
    </w:p>
    <w:p w14:paraId="49B73C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1F73B340">
      <w:pPr>
        <w:spacing w:line="360" w:lineRule="auto"/>
        <w:rPr>
          <w:rFonts w:hint="eastAsia" w:ascii="宋体" w:hAnsi="宋体" w:eastAsia="宋体" w:cs="宋体"/>
          <w:color w:val="auto"/>
          <w:sz w:val="24"/>
        </w:rPr>
      </w:pPr>
    </w:p>
    <w:p w14:paraId="7309F62B">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4F2ED0D1">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38C36C98">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64164178">
      <w:pPr>
        <w:pStyle w:val="10"/>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D9569C5">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4000F80B">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 xml:space="preserve">府谷县人力资源和社会保障局 </w:t>
      </w:r>
    </w:p>
    <w:p w14:paraId="020240D4">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7397A699">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76F579C7">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31598E90">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FDD30A">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1A35DBF8">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5967ABBF">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63569ED6">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2C9A898A">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3DF00DF2">
      <w:pPr>
        <w:pStyle w:val="1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30090DD">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3B4ECFDD">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付款方式：甲方按照乙方完成的实际工程量进行决算，根据工程进度给予拨付工程款，待工程竣工验收合格后拨付至工程总价款的80%，审计完成后拨付总工程款的20%。</w:t>
      </w:r>
    </w:p>
    <w:p w14:paraId="67623CBC">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3D4441EB">
      <w:pPr>
        <w:pStyle w:val="10"/>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1、采购单位：府谷县人力资源和社会保障局 </w:t>
      </w:r>
    </w:p>
    <w:p w14:paraId="7E806437">
      <w:pPr>
        <w:pStyle w:val="10"/>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府谷县新区</w:t>
      </w:r>
    </w:p>
    <w:p w14:paraId="544BC104">
      <w:pPr>
        <w:pStyle w:val="10"/>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3、项目联系人：郝向东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0912-8712556</w:t>
      </w:r>
    </w:p>
    <w:p w14:paraId="5821CE87">
      <w:pPr>
        <w:pStyle w:val="10"/>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748F5B3A">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府谷县人力资源和社会保障局</w:t>
      </w:r>
    </w:p>
    <w:p w14:paraId="7FCE75F1">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10</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13</w:t>
      </w:r>
      <w:r>
        <w:rPr>
          <w:rFonts w:hint="eastAsia" w:ascii="宋体" w:hAnsi="宋体" w:eastAsia="宋体" w:cs="宋体"/>
          <w:kern w:val="2"/>
          <w:sz w:val="28"/>
          <w:szCs w:val="28"/>
          <w:lang w:val="en-US" w:eastAsia="zh-CN" w:bidi="ar-SA"/>
        </w:rPr>
        <w:t>日</w:t>
      </w:r>
    </w:p>
    <w:p w14:paraId="61CE8ABA">
      <w:pPr>
        <w:rPr>
          <w:rFonts w:hint="eastAsia" w:ascii="宋体" w:hAnsi="宋体" w:eastAsia="宋体" w:cs="宋体"/>
        </w:rPr>
      </w:pPr>
    </w:p>
    <w:p w14:paraId="7302C20B"/>
    <w:p w14:paraId="6A793EDD"/>
    <w:p w14:paraId="30EAEB54"/>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jVjY2JkODIxNThmNDFmMjdiZTJmZDdmYTc3N2MifQ=="/>
  </w:docVars>
  <w:rsids>
    <w:rsidRoot w:val="68A50CD3"/>
    <w:rsid w:val="00821A89"/>
    <w:rsid w:val="04BA2CE6"/>
    <w:rsid w:val="09E36A17"/>
    <w:rsid w:val="0C6B4983"/>
    <w:rsid w:val="12D87F39"/>
    <w:rsid w:val="171C747D"/>
    <w:rsid w:val="187F5CB7"/>
    <w:rsid w:val="18D7082A"/>
    <w:rsid w:val="1EFE2A87"/>
    <w:rsid w:val="21155C52"/>
    <w:rsid w:val="24857B00"/>
    <w:rsid w:val="252E4B0E"/>
    <w:rsid w:val="26F70A5D"/>
    <w:rsid w:val="2BC449E0"/>
    <w:rsid w:val="36502174"/>
    <w:rsid w:val="39882115"/>
    <w:rsid w:val="39F705EC"/>
    <w:rsid w:val="3ADC590C"/>
    <w:rsid w:val="40CD5715"/>
    <w:rsid w:val="42C16291"/>
    <w:rsid w:val="43B630D9"/>
    <w:rsid w:val="45373C51"/>
    <w:rsid w:val="45BD2444"/>
    <w:rsid w:val="480E628D"/>
    <w:rsid w:val="59C562A9"/>
    <w:rsid w:val="5EE975A9"/>
    <w:rsid w:val="60DA29A7"/>
    <w:rsid w:val="64531993"/>
    <w:rsid w:val="65564184"/>
    <w:rsid w:val="66CF63DE"/>
    <w:rsid w:val="67E30BB6"/>
    <w:rsid w:val="68A50CD3"/>
    <w:rsid w:val="6CE9032F"/>
    <w:rsid w:val="78B6160F"/>
    <w:rsid w:val="7A40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1789</Words>
  <Characters>1857</Characters>
  <Lines>0</Lines>
  <Paragraphs>0</Paragraphs>
  <TotalTime>32</TotalTime>
  <ScaleCrop>false</ScaleCrop>
  <LinksUpToDate>false</LinksUpToDate>
  <CharactersWithSpaces>1968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NIce-2-cu</cp:lastModifiedBy>
  <dcterms:modified xsi:type="dcterms:W3CDTF">2025-10-15T08:56:41Z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E48933093A8D489FB9052748B9564FBD_11</vt:lpwstr>
  </property>
  <property fmtid="{D5CDD505-2E9C-101B-9397-08002B2CF9AE}" pid="4" name="KSOTemplateDocerSaveRecord">
    <vt:lpwstr>eyJoZGlkIjoiYjk0ZGRlMzVhNmRhM2FmMjY0NzM5MzIwZTZkZjRlMGYiLCJ1c2VySWQiOiI4NTM0MDIyMTAifQ==</vt:lpwstr>
  </property>
</Properties>
</file>