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8036">
      <w:pPr>
        <w:pStyle w:val="2"/>
        <w:keepNext w:val="0"/>
        <w:keepLines w:val="0"/>
        <w:rPr>
          <w:rFonts w:hint="eastAsia" w:ascii="宋体" w:hAnsi="宋体"/>
          <w:b w:val="0"/>
          <w:sz w:val="32"/>
          <w:szCs w:val="32"/>
        </w:rPr>
      </w:pPr>
      <w:r>
        <w:rPr>
          <w:rFonts w:hint="eastAsia" w:ascii="宋体" w:hAnsi="宋体"/>
          <w:sz w:val="32"/>
          <w:szCs w:val="32"/>
        </w:rPr>
        <w:t>技术参数及要求</w:t>
      </w:r>
    </w:p>
    <w:p w14:paraId="3A5AC02B">
      <w:pPr>
        <w:pStyle w:val="3"/>
        <w:pageBreakBefore w:val="0"/>
        <w:widowControl w:val="0"/>
        <w:numPr>
          <w:ilvl w:val="0"/>
          <w:numId w:val="1"/>
        </w:numPr>
        <w:tabs>
          <w:tab w:val="left" w:pos="0"/>
        </w:tabs>
        <w:kinsoku/>
        <w:wordWrap/>
        <w:overflowPunct/>
        <w:topLinePunct w:val="0"/>
        <w:bidi w:val="0"/>
        <w:snapToGrid/>
        <w:spacing w:before="0" w:beforeLines="0" w:after="0" w:afterLines="0" w:line="360" w:lineRule="auto"/>
        <w:ind w:left="525" w:leftChars="0" w:hanging="525" w:firstLineChars="0"/>
        <w:jc w:val="left"/>
        <w:textAlignment w:val="auto"/>
        <w:rPr>
          <w:rFonts w:hint="eastAsia"/>
          <w:sz w:val="24"/>
          <w:szCs w:val="24"/>
        </w:rPr>
      </w:pPr>
      <w:r>
        <w:rPr>
          <w:rFonts w:hint="eastAsia"/>
          <w:sz w:val="24"/>
          <w:szCs w:val="24"/>
        </w:rPr>
        <w:t>项目概述</w:t>
      </w:r>
    </w:p>
    <w:p w14:paraId="65A5A40C">
      <w:pPr>
        <w:pStyle w:val="5"/>
        <w:pageBreakBefore w:val="0"/>
        <w:widowControl w:val="0"/>
        <w:numPr>
          <w:ilvl w:val="1"/>
          <w:numId w:val="2"/>
        </w:numPr>
        <w:kinsoku/>
        <w:wordWrap/>
        <w:overflowPunct/>
        <w:topLinePunct w:val="0"/>
        <w:bidi w:val="0"/>
        <w:snapToGrid/>
        <w:spacing w:before="0" w:beforeLines="0" w:after="0" w:afterLines="0" w:line="360" w:lineRule="auto"/>
        <w:ind w:firstLineChars="0"/>
        <w:jc w:val="left"/>
        <w:textAlignment w:val="auto"/>
        <w:rPr>
          <w:rFonts w:hint="eastAsia"/>
          <w:sz w:val="24"/>
          <w:szCs w:val="24"/>
        </w:rPr>
      </w:pPr>
      <w:r>
        <w:rPr>
          <w:rFonts w:hint="eastAsia" w:ascii="宋体" w:hAnsi="宋体" w:eastAsia="宋体" w:cs="宋体"/>
          <w:sz w:val="24"/>
          <w:szCs w:val="24"/>
        </w:rPr>
        <w:t>项目背景</w:t>
      </w:r>
    </w:p>
    <w:p w14:paraId="2CCAA31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陕西省教育考试院</w:t>
      </w:r>
      <w:r>
        <w:rPr>
          <w:rFonts w:hint="eastAsia" w:ascii="宋体" w:hAnsi="宋体" w:cs="宋体"/>
          <w:sz w:val="24"/>
          <w:szCs w:val="24"/>
          <w:lang w:val="en-US" w:eastAsia="zh-CN"/>
        </w:rPr>
        <w:t>2023全新构建了</w:t>
      </w:r>
      <w:r>
        <w:rPr>
          <w:rFonts w:hint="eastAsia" w:ascii="宋体" w:hAnsi="宋体" w:cs="宋体"/>
          <w:sz w:val="24"/>
          <w:szCs w:val="24"/>
        </w:rPr>
        <w:t>高中</w:t>
      </w:r>
      <w:r>
        <w:rPr>
          <w:rFonts w:hint="eastAsia" w:ascii="宋体" w:hAnsi="宋体" w:cs="宋体"/>
          <w:sz w:val="24"/>
          <w:szCs w:val="24"/>
          <w:lang w:val="en-US" w:eastAsia="zh-CN"/>
        </w:rPr>
        <w:t>学考合格考管理平台（高中学业水平考试考务考籍管理系统）</w:t>
      </w:r>
      <w:r>
        <w:rPr>
          <w:rFonts w:hint="eastAsia" w:ascii="宋体" w:hAnsi="宋体" w:cs="宋体"/>
          <w:sz w:val="24"/>
          <w:szCs w:val="24"/>
        </w:rPr>
        <w:t>，</w:t>
      </w:r>
      <w:r>
        <w:rPr>
          <w:rFonts w:hint="eastAsia" w:ascii="宋体" w:hAnsi="宋体" w:cs="宋体"/>
          <w:sz w:val="24"/>
          <w:szCs w:val="24"/>
          <w:lang w:val="en-US" w:eastAsia="zh-CN"/>
        </w:rPr>
        <w:t>平台</w:t>
      </w:r>
      <w:r>
        <w:rPr>
          <w:rFonts w:hint="eastAsia" w:ascii="宋体" w:hAnsi="宋体" w:cs="宋体"/>
          <w:sz w:val="24"/>
          <w:szCs w:val="24"/>
        </w:rPr>
        <w:t>为在陕西省</w:t>
      </w:r>
      <w:r>
        <w:rPr>
          <w:rFonts w:hint="eastAsia" w:ascii="宋体" w:hAnsi="宋体" w:cs="宋体"/>
          <w:sz w:val="24"/>
          <w:szCs w:val="24"/>
          <w:lang w:val="en-US" w:eastAsia="zh-CN"/>
        </w:rPr>
        <w:t>新高考开始实行的</w:t>
      </w:r>
      <w:r>
        <w:rPr>
          <w:rFonts w:hint="eastAsia" w:ascii="宋体" w:hAnsi="宋体" w:cs="宋体"/>
          <w:sz w:val="24"/>
          <w:szCs w:val="24"/>
        </w:rPr>
        <w:t>高中学业考试组织和管理中发挥了重大作用。</w:t>
      </w:r>
      <w:r>
        <w:rPr>
          <w:rFonts w:hint="eastAsia" w:ascii="宋体" w:hAnsi="宋体" w:cs="宋体"/>
          <w:sz w:val="24"/>
          <w:szCs w:val="24"/>
          <w:lang w:val="en-US" w:eastAsia="zh-CN"/>
        </w:rPr>
        <w:t>经过完整3年的运营，也发现了平台在使用功能上的不足，为了满足系统的顺利运转及增加部分新业务的要求，需要对现有的平台进行新功能的开发和部分业务的优化处理</w:t>
      </w:r>
      <w:r>
        <w:rPr>
          <w:rFonts w:hint="eastAsia" w:ascii="宋体" w:hAnsi="宋体" w:cs="宋体"/>
          <w:sz w:val="24"/>
          <w:szCs w:val="24"/>
        </w:rPr>
        <w:t>，使其更加工作制度化、流程规范化和管理科学化，</w:t>
      </w:r>
      <w:r>
        <w:rPr>
          <w:rFonts w:hint="eastAsia" w:ascii="宋体" w:hAnsi="宋体" w:cs="宋体"/>
          <w:sz w:val="24"/>
          <w:szCs w:val="24"/>
          <w:lang w:val="en-US" w:eastAsia="zh-CN"/>
        </w:rPr>
        <w:t>以便</w:t>
      </w:r>
      <w:r>
        <w:rPr>
          <w:rFonts w:hint="eastAsia" w:ascii="宋体" w:hAnsi="宋体" w:cs="宋体"/>
          <w:sz w:val="24"/>
          <w:szCs w:val="24"/>
        </w:rPr>
        <w:t>进一步提升陕西省高中</w:t>
      </w:r>
      <w:r>
        <w:rPr>
          <w:rFonts w:hint="eastAsia" w:ascii="宋体" w:hAnsi="宋体" w:cs="宋体"/>
          <w:sz w:val="24"/>
          <w:szCs w:val="24"/>
          <w:lang w:val="en-US" w:eastAsia="zh-CN"/>
        </w:rPr>
        <w:t>学考合格考</w:t>
      </w:r>
      <w:r>
        <w:rPr>
          <w:rFonts w:hint="eastAsia" w:ascii="宋体" w:hAnsi="宋体" w:cs="宋体"/>
          <w:sz w:val="24"/>
          <w:szCs w:val="24"/>
        </w:rPr>
        <w:t>业务开展的管理水平和服务质量。</w:t>
      </w:r>
    </w:p>
    <w:p w14:paraId="5FF93B70">
      <w:pPr>
        <w:pStyle w:val="5"/>
        <w:pageBreakBefore w:val="0"/>
        <w:widowControl w:val="0"/>
        <w:numPr>
          <w:ilvl w:val="1"/>
          <w:numId w:val="2"/>
        </w:numPr>
        <w:kinsoku/>
        <w:wordWrap/>
        <w:overflowPunct/>
        <w:topLinePunct w:val="0"/>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项目目标</w:t>
      </w:r>
    </w:p>
    <w:p w14:paraId="1A16D03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通过高中学考合格考管理平台迭代升级服务，对系统功能进行全面的梳理和改造，并根据国家标准规范对系统功能模块更新设置，主要包括新增、完善功能及优化三个方面。其中（1）新增方面，增加体音美科目报名、成绩上报功能、考籍管理。增加选考科目数据维护和多种报表统计。增加为第三方提供考生最终成绩的查询接口，如高考报名使用。增加补考成绩相关功能。增加老学考系统修改手机号码功能。（2）完善方面，需要完善考场编排相关功能，考点的座次、报考人数、课次和最大考场数等业务功能。需要完善毕业生打印成绩证明及各级管理端的数据查询和统计等。（3）优化方面，管理端增加地市成绩导入、预览、发布三个模块的查询功能，并完善发布流程。针对学校报考科目设置控制开关等。优化考生端须知阅读功能。优化学校归属权变更灵活处理。优化采集模块、报考模块及考籍模块的业务处理。根据规范调整顶部菜单及功能模块。优化安全检查功能，加密方式从base64修改为AES加密方式。</w:t>
      </w:r>
    </w:p>
    <w:p w14:paraId="36B5A2BB">
      <w:pPr>
        <w:pStyle w:val="3"/>
        <w:pageBreakBefore w:val="0"/>
        <w:widowControl w:val="0"/>
        <w:numPr>
          <w:ilvl w:val="0"/>
          <w:numId w:val="1"/>
        </w:numPr>
        <w:tabs>
          <w:tab w:val="left" w:pos="0"/>
        </w:tabs>
        <w:kinsoku/>
        <w:wordWrap/>
        <w:overflowPunct/>
        <w:topLinePunct w:val="0"/>
        <w:bidi w:val="0"/>
        <w:snapToGrid/>
        <w:spacing w:before="0" w:beforeLines="0" w:after="0" w:afterLines="0" w:line="360" w:lineRule="auto"/>
        <w:ind w:left="525" w:leftChars="0" w:hanging="525" w:firstLineChars="0"/>
        <w:jc w:val="left"/>
        <w:textAlignment w:val="auto"/>
        <w:rPr>
          <w:rFonts w:hint="eastAsia"/>
          <w:sz w:val="24"/>
          <w:szCs w:val="24"/>
        </w:rPr>
      </w:pPr>
      <w:r>
        <w:rPr>
          <w:rFonts w:hint="eastAsia"/>
          <w:sz w:val="24"/>
          <w:szCs w:val="24"/>
        </w:rPr>
        <w:t>项目业务范围及功能</w:t>
      </w:r>
    </w:p>
    <w:p w14:paraId="067A333E">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项目业务及功能</w:t>
      </w:r>
    </w:p>
    <w:p w14:paraId="6F78AE7B">
      <w:pPr>
        <w:pStyle w:val="6"/>
        <w:pageBreakBefore w:val="0"/>
        <w:widowControl w:val="0"/>
        <w:numPr>
          <w:ilvl w:val="2"/>
          <w:numId w:val="4"/>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系统新增功能方面</w:t>
      </w:r>
    </w:p>
    <w:p w14:paraId="2AB5435B">
      <w:pPr>
        <w:pStyle w:val="7"/>
        <w:pageBreakBefore w:val="0"/>
        <w:widowControl w:val="0"/>
        <w:numPr>
          <w:ilvl w:val="3"/>
          <w:numId w:val="5"/>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增加体音美科目业务功能</w:t>
      </w:r>
    </w:p>
    <w:p w14:paraId="5B165BA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系统需要增加体音美科目的报考功能，包括报名、成绩上报、考籍管理等，并为地市提供下载功能。需要增加体音美相关的统计功能，并在生成毕业考生操作时复制地市科目的报考数据。</w:t>
      </w:r>
    </w:p>
    <w:p w14:paraId="4C435CAF">
      <w:pPr>
        <w:pStyle w:val="7"/>
        <w:pageBreakBefore w:val="0"/>
        <w:widowControl w:val="0"/>
        <w:numPr>
          <w:ilvl w:val="3"/>
          <w:numId w:val="5"/>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增加选考科目数据管理功能</w:t>
      </w:r>
    </w:p>
    <w:p w14:paraId="054E987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系统需增加选考科目组的查询模块，并支持日常数据、基础数据和码表数据的查询。需要增加选考科目及相关数据的统计查询功能。</w:t>
      </w:r>
    </w:p>
    <w:p w14:paraId="0F08CC31">
      <w:pPr>
        <w:pStyle w:val="7"/>
        <w:pageBreakBefore w:val="0"/>
        <w:widowControl w:val="0"/>
        <w:numPr>
          <w:ilvl w:val="3"/>
          <w:numId w:val="5"/>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增加考生成绩第三方查询接口功能</w:t>
      </w:r>
    </w:p>
    <w:p w14:paraId="4685481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系统需要增加考生最终成绩的第三方查询接口，其中需要具备对于复读生的查询。查询接口可提供单个考生查询或多个考生批量查询，同时具备省级成绩发布、地市成绩发布、地市补考成绩发布、成绩复核并要修改成绩、外省成绩认定并且地市审核通过五种情况下触发同步最终成绩功能。</w:t>
      </w:r>
    </w:p>
    <w:p w14:paraId="2E922A3D">
      <w:pPr>
        <w:pStyle w:val="7"/>
        <w:pageBreakBefore w:val="0"/>
        <w:widowControl w:val="0"/>
        <w:numPr>
          <w:ilvl w:val="3"/>
          <w:numId w:val="5"/>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增加补考成绩相关功能</w:t>
      </w:r>
    </w:p>
    <w:p w14:paraId="5EB412F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系统需要增加补考成绩相关业务功能的处理模块，并具备补考考生名单的批量导入、不同条件下的数据查询和补考考生最终成绩的下载。需增加人工录入补考成绩功能模块。</w:t>
      </w:r>
    </w:p>
    <w:p w14:paraId="1DEFD7A4">
      <w:pPr>
        <w:pStyle w:val="7"/>
        <w:pageBreakBefore w:val="0"/>
        <w:widowControl w:val="0"/>
        <w:numPr>
          <w:ilvl w:val="3"/>
          <w:numId w:val="5"/>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对接老学考系统修改手机号码</w:t>
      </w:r>
    </w:p>
    <w:p w14:paraId="24E80DB1">
      <w:pPr>
        <w:pageBreakBefore w:val="0"/>
        <w:widowControl w:val="0"/>
        <w:kinsoku/>
        <w:wordWrap/>
        <w:overflowPunct/>
        <w:topLinePunct w:val="0"/>
        <w:bidi w:val="0"/>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因部分考生仍需要使用老学考系统，但手机号码错误时无法登录使用，故系统需要对接老学考系统的部分数据，并提供修改手机号码的功能，修改用户包括：县区、地市和省级用户。同时系统需要记录操作者的修改记录信息。</w:t>
      </w:r>
    </w:p>
    <w:p w14:paraId="24A4C969">
      <w:pPr>
        <w:pStyle w:val="6"/>
        <w:pageBreakBefore w:val="0"/>
        <w:widowControl w:val="0"/>
        <w:numPr>
          <w:ilvl w:val="2"/>
          <w:numId w:val="4"/>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系统功能完善方面</w:t>
      </w:r>
    </w:p>
    <w:p w14:paraId="3B12CEED">
      <w:pPr>
        <w:pStyle w:val="7"/>
        <w:pageBreakBefore w:val="0"/>
        <w:widowControl w:val="0"/>
        <w:numPr>
          <w:ilvl w:val="3"/>
          <w:numId w:val="6"/>
        </w:numPr>
        <w:kinsoku/>
        <w:wordWrap/>
        <w:overflowPunct/>
        <w:topLinePunct w:val="0"/>
        <w:bidi w:val="0"/>
        <w:snapToGrid/>
        <w:spacing w:before="0" w:beforeLines="0" w:after="0" w:afterLines="0" w:line="360" w:lineRule="auto"/>
        <w:ind w:left="720" w:leftChars="0" w:hanging="720" w:firstLineChars="0"/>
        <w:textAlignment w:val="auto"/>
        <w:rPr>
          <w:rFonts w:hint="default"/>
          <w:sz w:val="24"/>
          <w:szCs w:val="24"/>
          <w:lang w:val="en-US" w:eastAsia="zh-CN"/>
        </w:rPr>
      </w:pPr>
      <w:r>
        <w:rPr>
          <w:rFonts w:hint="eastAsia"/>
          <w:sz w:val="24"/>
          <w:szCs w:val="24"/>
          <w:lang w:val="en-US" w:eastAsia="zh-CN"/>
        </w:rPr>
        <w:t>完善考场编排相关功能</w:t>
      </w:r>
    </w:p>
    <w:p w14:paraId="73695EE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需要完善考场编排相关功能，考点的座次、报考人数、课次和最大考场数等业务功能。需要增加考点名称同步功能，并完善考点基础数据的新增和编辑操作。完善和优化考场编排，增加调整座位号功能及生成座次表的统计数据，需修改考场编排算法，第一考点安排支持班级分配和单个考生分配，系统需要支持各级管理相应数据报表的导出功能。</w:t>
      </w:r>
    </w:p>
    <w:p w14:paraId="0D743B3A">
      <w:pPr>
        <w:pStyle w:val="7"/>
        <w:pageBreakBefore w:val="0"/>
        <w:widowControl w:val="0"/>
        <w:numPr>
          <w:ilvl w:val="3"/>
          <w:numId w:val="6"/>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eastAsia="宋体" w:cs="宋体"/>
          <w:sz w:val="24"/>
          <w:szCs w:val="24"/>
          <w:lang w:val="en-US" w:eastAsia="zh-CN"/>
        </w:rPr>
      </w:pPr>
      <w:r>
        <w:rPr>
          <w:rFonts w:hint="eastAsia"/>
          <w:sz w:val="24"/>
          <w:szCs w:val="24"/>
          <w:lang w:val="en-US" w:eastAsia="zh-CN"/>
        </w:rPr>
        <w:t>完善毕业生打印成绩证明业务功能</w:t>
      </w:r>
    </w:p>
    <w:p w14:paraId="0CF1DC0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需要完善管理端和学生端毕业生打印成绩证明功能。完善成绩证明使用的电子章并调整其显示大小。需要在成绩管理中增加省级统考成绩统计、地市成绩统计、考生最终成绩查询三个子模块以便管理人员和考生的便利使用。</w:t>
      </w:r>
    </w:p>
    <w:p w14:paraId="4BDF5B2C">
      <w:pPr>
        <w:pStyle w:val="7"/>
        <w:pageBreakBefore w:val="0"/>
        <w:widowControl w:val="0"/>
        <w:numPr>
          <w:ilvl w:val="3"/>
          <w:numId w:val="6"/>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完善和丰富管理端数据查询和统计功能</w:t>
      </w:r>
    </w:p>
    <w:p w14:paraId="21C27A8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根据业务需要完善各级管理端的数据查询和统计功能，包括考务管理中选考科目、未报考人员、听力介质数据、试卷及答题卡使用数量统计、不同语种考试报名情况等的查询和统计。日常数据维护中丰富考生信息查询、考务管理、成绩管理、考务管理等信息的查询和统计。</w:t>
      </w:r>
    </w:p>
    <w:p w14:paraId="483A2EF5">
      <w:pPr>
        <w:pStyle w:val="6"/>
        <w:pageBreakBefore w:val="0"/>
        <w:widowControl w:val="0"/>
        <w:numPr>
          <w:ilvl w:val="2"/>
          <w:numId w:val="4"/>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系统功能优化方面</w:t>
      </w:r>
    </w:p>
    <w:p w14:paraId="08E78725">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优化地市成绩管理功能</w:t>
      </w:r>
    </w:p>
    <w:p w14:paraId="5E90F14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优化管理端，即增加地市成绩导入、地市成绩预览、地市成绩发布三个模块的查询功能，并优化完善发布流程。</w:t>
      </w:r>
    </w:p>
    <w:p w14:paraId="6AC6FB2D">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优化学校报考科目设置控制权限</w:t>
      </w:r>
    </w:p>
    <w:p w14:paraId="759DA8D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优化针对学校报考科目设置控制权限，管理端需增加学校报考科目开关设置及学校报考科目设置，用于控制学校报考操作。学生端需要完善和优化考生报考科目功能。</w:t>
      </w:r>
    </w:p>
    <w:p w14:paraId="64F64394">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优化考生端须知阅读功能</w:t>
      </w:r>
    </w:p>
    <w:p w14:paraId="6F7E1E0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优化考生端多处须知阅读功能，包括省内考籍档案转移和成绩复核、考生基本信息变更等。</w:t>
      </w:r>
    </w:p>
    <w:p w14:paraId="693C5902">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优化学校归属权变更功能</w:t>
      </w:r>
    </w:p>
    <w:p w14:paraId="55E926D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需要增加学校归属权变更维护并优化学校归属权变更灵活处理及数据的联动更新，并在学校归属权变更时增加报考科目的判断逻辑。</w:t>
      </w:r>
    </w:p>
    <w:p w14:paraId="23FFD88A">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优化采集、报考及考籍业务处理功能</w:t>
      </w:r>
    </w:p>
    <w:p w14:paraId="500AFD6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优化采集模块、报考模块及考籍模块的业务处理。其中管理端的采集模块需要录入考生信息时若为18位身份证等增加出生日期和性别的比对及各种异常处理，包括照片不合格、同步现场照片等。报考模块优化考生已合格科目的标识、报名进度查询及多种组合查询统计。考籍模块需要优化考籍状态变更、非普高类型学校、转出等的业务处理。</w:t>
      </w:r>
    </w:p>
    <w:p w14:paraId="53EF92CB">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lang w:val="en-US" w:eastAsia="zh-CN"/>
        </w:rPr>
      </w:pPr>
      <w:r>
        <w:rPr>
          <w:rFonts w:hint="eastAsia"/>
          <w:sz w:val="24"/>
          <w:szCs w:val="24"/>
          <w:lang w:val="en-US" w:eastAsia="zh-CN"/>
        </w:rPr>
        <w:t>调整顶部菜单及功能模块</w:t>
      </w:r>
    </w:p>
    <w:p w14:paraId="7400AC1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根据规范调整顶部菜单及功能模块，以便各级管理端和学生端使用更为名目清晰和方便。整理按照报名、考务、考试、考籍等业务板块区分，同时根据业务处理流程和使用频率进行子模块的不同划分和位置调整。</w:t>
      </w:r>
    </w:p>
    <w:p w14:paraId="6BCB5D83">
      <w:pPr>
        <w:pStyle w:val="7"/>
        <w:pageBreakBefore w:val="0"/>
        <w:widowControl w:val="0"/>
        <w:numPr>
          <w:ilvl w:val="3"/>
          <w:numId w:val="7"/>
        </w:numPr>
        <w:kinsoku/>
        <w:wordWrap/>
        <w:overflowPunct/>
        <w:topLinePunct w:val="0"/>
        <w:bidi w:val="0"/>
        <w:snapToGrid/>
        <w:spacing w:before="0" w:beforeLines="0" w:after="0" w:afterLines="0" w:line="360" w:lineRule="auto"/>
        <w:ind w:left="720" w:leftChars="0" w:hanging="720" w:firstLineChars="0"/>
        <w:textAlignment w:val="auto"/>
        <w:rPr>
          <w:rFonts w:hint="eastAsia" w:ascii="宋体" w:hAnsi="宋体" w:cs="宋体"/>
          <w:sz w:val="24"/>
          <w:szCs w:val="24"/>
        </w:rPr>
      </w:pPr>
      <w:r>
        <w:rPr>
          <w:rFonts w:hint="eastAsia" w:ascii="宋体" w:hAnsi="宋体" w:cs="宋体"/>
          <w:sz w:val="24"/>
          <w:szCs w:val="24"/>
          <w:lang w:val="en-US" w:eastAsia="zh-CN"/>
        </w:rPr>
        <w:t>优化和提升系统安全功能</w:t>
      </w:r>
    </w:p>
    <w:p w14:paraId="5875938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宋体"/>
          <w:sz w:val="24"/>
          <w:szCs w:val="24"/>
          <w:lang w:val="en-US"/>
        </w:rPr>
      </w:pPr>
      <w:r>
        <w:rPr>
          <w:rFonts w:hint="eastAsia" w:ascii="宋体" w:hAnsi="宋体" w:cs="宋体"/>
          <w:sz w:val="24"/>
          <w:szCs w:val="24"/>
          <w:lang w:val="en-US" w:eastAsia="zh-CN"/>
        </w:rPr>
        <w:t>需要优化安全检查功能，即账号和密码的加密方式从原来base64修改为AES加密方式。密码规则需要修改为长度8~20位，其中必须包含大写字母、小写字母和数字，支持特殊字符输入。</w:t>
      </w:r>
    </w:p>
    <w:p w14:paraId="19F9EE8E">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数据库优化与容灾</w:t>
      </w:r>
    </w:p>
    <w:p w14:paraId="318DC9E8">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系统所使用的数据库须进行优化设计，剔除冗余数据，优化数据库结构和性能。数据库有多副本和自动备份机制，能够应对因网络堵塞、接口堵塞、服务器断电、操作系统宕机等突发情况，确保突发情况下数据也不丢失。</w:t>
      </w:r>
    </w:p>
    <w:p w14:paraId="26CE2525">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系统日志记录</w:t>
      </w:r>
    </w:p>
    <w:p w14:paraId="643AA9E9">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系统对上传下载数据的记录、数据的增删改查等操作，都有详细的记录日志，记录操作人、操作时间、操作人IP、操作内容等信息，发现问题可追溯原因。对日志记录进行优化，优化日志占用空间，优化日志存储方式和内容，优化日志查询的速度，对日志的保存期限和清理逻辑有合理明晰的设计。</w:t>
      </w:r>
    </w:p>
    <w:p w14:paraId="405C2E0D">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应急容灾机制</w:t>
      </w:r>
    </w:p>
    <w:p w14:paraId="7CA7F265">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系统应对突然断电、服务器损坏、黑客入侵、网络堵塞、接口bug等极端情况，有应急容灾机制，遇到突发情况有应急预案，系统有备用方案，能够快速恢复服务，保障业务继续完成，确保数据在突发情况下有备份不丢失。</w:t>
      </w:r>
    </w:p>
    <w:p w14:paraId="0DF105CE">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数据扩展性</w:t>
      </w:r>
    </w:p>
    <w:p w14:paraId="26515DA0">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系统应具备数据的兼容性和通用性。在建设和维保中根据陕西省教育考试院的需求能快速定制开发相应接口，以及导入导出的方式，实现业务功能的扩展和数据共享。</w:t>
      </w:r>
    </w:p>
    <w:p w14:paraId="2E9D32BD">
      <w:pPr>
        <w:pStyle w:val="5"/>
        <w:pageBreakBefore w:val="0"/>
        <w:widowControl w:val="0"/>
        <w:numPr>
          <w:ilvl w:val="1"/>
          <w:numId w:val="3"/>
        </w:numPr>
        <w:kinsoku/>
        <w:wordWrap/>
        <w:overflowPunct/>
        <w:topLinePunct w:val="0"/>
        <w:bidi w:val="0"/>
        <w:snapToGrid/>
        <w:spacing w:before="0" w:beforeLines="0" w:after="0" w:afterLines="0" w:line="360" w:lineRule="auto"/>
        <w:ind w:left="525" w:leftChars="0" w:hanging="525"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项目建设要求</w:t>
      </w:r>
    </w:p>
    <w:p w14:paraId="4265E903">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由于网上录取系统已在运营，所以要求供应商熟悉陕西省合格考工作流程，并通过原有系统的代码和设计、开发文档等，从而保障升级迭代功能无缝融合到原系统，进而能够及时、快速处理高中学考合格考管理平台各类问题，确保合格考管理平台工作安全有序。</w:t>
      </w:r>
    </w:p>
    <w:p w14:paraId="10E3923F">
      <w:pPr>
        <w:pStyle w:val="3"/>
        <w:pageBreakBefore w:val="0"/>
        <w:widowControl w:val="0"/>
        <w:numPr>
          <w:ilvl w:val="0"/>
          <w:numId w:val="1"/>
        </w:numPr>
        <w:tabs>
          <w:tab w:val="left" w:pos="0"/>
        </w:tabs>
        <w:kinsoku/>
        <w:wordWrap/>
        <w:overflowPunct/>
        <w:topLinePunct w:val="0"/>
        <w:bidi w:val="0"/>
        <w:snapToGrid/>
        <w:spacing w:before="0" w:beforeLines="0" w:after="0" w:afterLines="0" w:line="360" w:lineRule="auto"/>
        <w:ind w:left="525" w:leftChars="0" w:hanging="525" w:firstLineChars="0"/>
        <w:jc w:val="left"/>
        <w:textAlignment w:val="auto"/>
        <w:rPr>
          <w:rFonts w:hint="eastAsia"/>
          <w:sz w:val="24"/>
          <w:szCs w:val="24"/>
        </w:rPr>
      </w:pPr>
      <w:r>
        <w:rPr>
          <w:rFonts w:hint="eastAsia"/>
          <w:sz w:val="24"/>
          <w:szCs w:val="24"/>
        </w:rPr>
        <w:t>项目技术要求</w:t>
      </w:r>
    </w:p>
    <w:p w14:paraId="439DBBD5">
      <w:pPr>
        <w:pStyle w:val="5"/>
        <w:pageBreakBefore w:val="0"/>
        <w:widowControl w:val="0"/>
        <w:numPr>
          <w:ilvl w:val="1"/>
          <w:numId w:val="8"/>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IT要求</w:t>
      </w:r>
    </w:p>
    <w:p w14:paraId="601A57B8">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本项目实施后需符合省考试院信息化建设的要求，包含但不限于以下：</w:t>
      </w:r>
    </w:p>
    <w:p w14:paraId="397206C3">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系统根据</w:t>
      </w:r>
      <w:r>
        <w:rPr>
          <w:rFonts w:hint="eastAsia" w:ascii="宋体" w:hAnsi="宋体" w:cs="宋体"/>
          <w:color w:val="000000"/>
          <w:sz w:val="24"/>
          <w:szCs w:val="24"/>
        </w:rPr>
        <w:t>采购人</w:t>
      </w:r>
      <w:r>
        <w:rPr>
          <w:rFonts w:hint="eastAsia" w:ascii="宋体" w:hAnsi="宋体" w:cs="宋体"/>
          <w:sz w:val="24"/>
          <w:szCs w:val="24"/>
        </w:rPr>
        <w:t>要求，前后端开发技术主流先进，数据交换方式主流先进，选用的数据库主流先进。</w:t>
      </w:r>
    </w:p>
    <w:p w14:paraId="04AA84DB">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系统需具备高度稳定性，常年24小时运行不卡顿，不死机。</w:t>
      </w:r>
    </w:p>
    <w:p w14:paraId="44DBBA6A">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系统最大并发请求用户数不小于50000，同时在线人数不小于500000，访问高峰接口平均响应时间小于1秒。</w:t>
      </w:r>
    </w:p>
    <w:p w14:paraId="22F70D7B">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系统应能方便扩展，以支持未来的新增需求。功能模块应为松耦合，定制标准接口规范，并支持各主流系统接口规范。设计中应说明如何支持将来的扩展以及和第三方系统的对接。</w:t>
      </w:r>
    </w:p>
    <w:p w14:paraId="46B31D63">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系统接口开发必须支持的主流开发标准和通信接口协议，如Socket、HTTP、HTTPS、Web Service、JSON、消息队列等技术。</w:t>
      </w:r>
    </w:p>
    <w:p w14:paraId="430CBE21">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系统架构优秀，性能强劲，容错能力强，遇到故障能够快速恢复；可扩展性强，结构清晰，易于调整。</w:t>
      </w:r>
    </w:p>
    <w:p w14:paraId="2CC1B58D">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为本项目建立完善的备份恢复机制，保障系统的可持续性。</w:t>
      </w:r>
    </w:p>
    <w:p w14:paraId="3E215514">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建立完善的运维保障机制，保障系统的稳定运行。</w:t>
      </w:r>
    </w:p>
    <w:p w14:paraId="3AD4200D">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系统上线交付前需进行完整的功能测试、性能测试、压力测试，并提交书面报告。</w:t>
      </w:r>
    </w:p>
    <w:p w14:paraId="1F7262E6">
      <w:pPr>
        <w:pageBreakBefore w:val="0"/>
        <w:widowControl w:val="0"/>
        <w:kinsoku/>
        <w:wordWrap/>
        <w:overflowPunct/>
        <w:topLinePunct w:val="0"/>
        <w:bidi w:val="0"/>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系统必须管理简单，使用方便，界面友好，性能轻快。</w:t>
      </w:r>
    </w:p>
    <w:p w14:paraId="298F6D91">
      <w:pPr>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 xml:space="preserve">    系统数据安全性高，关键信息加密存储和传输，数据有完整的备份容灾机制。收发数据准确无误，响应快速。</w:t>
      </w:r>
    </w:p>
    <w:p w14:paraId="3B07BB7F">
      <w:pPr>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 xml:space="preserve">    本项目服务提供者须与陕西省教育考试院签署数据保密协议，保证不将数据泄露和公开。</w:t>
      </w:r>
    </w:p>
    <w:p w14:paraId="0B28C676">
      <w:pPr>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 xml:space="preserve">    系统结构、数据结构、数据库规划尽可能清晰易懂，出问题便于分析原因。</w:t>
      </w:r>
    </w:p>
    <w:p w14:paraId="11345CCA">
      <w:pPr>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 xml:space="preserve">    系统支持超大文件传输，文件大小不限制。</w:t>
      </w:r>
    </w:p>
    <w:p w14:paraId="43667006">
      <w:pPr>
        <w:pageBreakBefore w:val="0"/>
        <w:widowControl w:val="0"/>
        <w:kinsoku/>
        <w:wordWrap/>
        <w:overflowPunct/>
        <w:topLinePunct w:val="0"/>
        <w:bidi w:val="0"/>
        <w:snapToGrid/>
        <w:spacing w:line="360" w:lineRule="auto"/>
        <w:ind w:firstLine="480"/>
        <w:textAlignment w:val="auto"/>
        <w:rPr>
          <w:rFonts w:hint="eastAsia" w:ascii="宋体" w:hAnsi="宋体" w:cs="宋体"/>
          <w:sz w:val="24"/>
          <w:szCs w:val="24"/>
        </w:rPr>
      </w:pPr>
      <w:r>
        <w:rPr>
          <w:rFonts w:hint="eastAsia" w:ascii="宋体" w:hAnsi="宋体" w:cs="宋体"/>
          <w:sz w:val="24"/>
          <w:szCs w:val="24"/>
        </w:rPr>
        <w:t>具有跨平台特点，支持UNIX、Linux、Windows等不同的操作系统部署，支持不同平台间平滑移植。</w:t>
      </w:r>
    </w:p>
    <w:p w14:paraId="2C1F54B0">
      <w:pPr>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拥有一套完整的数据安全解决机制，满足国家信息安全等级保护三级认证要求，保证所有相关数据的保密和安全。</w:t>
      </w:r>
    </w:p>
    <w:p w14:paraId="14081EC3">
      <w:pPr>
        <w:pStyle w:val="5"/>
        <w:pageBreakBefore w:val="0"/>
        <w:widowControl w:val="0"/>
        <w:numPr>
          <w:ilvl w:val="1"/>
          <w:numId w:val="8"/>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项目中所需资源的要求</w:t>
      </w:r>
    </w:p>
    <w:p w14:paraId="67CEB0E8">
      <w:pPr>
        <w:pageBreakBefore w:val="0"/>
        <w:widowControl w:val="0"/>
        <w:kinsoku/>
        <w:wordWrap/>
        <w:overflowPunct/>
        <w:topLinePunct w:val="0"/>
        <w:bidi w:val="0"/>
        <w:snapToGrid/>
        <w:spacing w:line="360" w:lineRule="auto"/>
        <w:ind w:firstLine="420" w:firstLineChars="0"/>
        <w:jc w:val="left"/>
        <w:textAlignment w:val="auto"/>
        <w:rPr>
          <w:rFonts w:hint="eastAsia" w:ascii="宋体" w:hAnsi="宋体" w:cs="宋体"/>
          <w:sz w:val="24"/>
          <w:szCs w:val="24"/>
        </w:rPr>
      </w:pPr>
      <w:r>
        <w:rPr>
          <w:rFonts w:hint="eastAsia" w:ascii="宋体" w:hAnsi="宋体" w:cs="宋体"/>
          <w:sz w:val="24"/>
          <w:szCs w:val="24"/>
        </w:rPr>
        <w:t>本项目服务提供者所需的基本软硬件环境（比如计算机，邮件系统以及相关软件的许可证等）由供应商根据所需提供的服务进行配备，招标方不负责提供以上资源。测试环境搭建由乙方承担，正式环境安装部署由乙方承担，</w:t>
      </w:r>
      <w:r>
        <w:rPr>
          <w:rFonts w:hint="eastAsia" w:ascii="宋体" w:hAnsi="宋体" w:cs="宋体"/>
          <w:color w:val="000000"/>
          <w:sz w:val="24"/>
          <w:szCs w:val="24"/>
        </w:rPr>
        <w:t>采购人</w:t>
      </w:r>
      <w:r>
        <w:rPr>
          <w:rFonts w:hint="eastAsia" w:ascii="宋体" w:hAnsi="宋体" w:cs="宋体"/>
          <w:sz w:val="24"/>
          <w:szCs w:val="24"/>
        </w:rPr>
        <w:t>负责提供正式环境所需的服务器及操作系统。</w:t>
      </w:r>
    </w:p>
    <w:p w14:paraId="171F74A9">
      <w:pPr>
        <w:pStyle w:val="5"/>
        <w:pageBreakBefore w:val="0"/>
        <w:widowControl w:val="0"/>
        <w:numPr>
          <w:ilvl w:val="1"/>
          <w:numId w:val="8"/>
        </w:numPr>
        <w:kinsoku/>
        <w:wordWrap/>
        <w:overflowPunct/>
        <w:topLinePunct w:val="0"/>
        <w:bidi w:val="0"/>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其他关键管理项的要求</w:t>
      </w:r>
    </w:p>
    <w:tbl>
      <w:tblPr>
        <w:tblStyle w:val="8"/>
        <w:tblW w:w="4998" w:type="pct"/>
        <w:jc w:val="center"/>
        <w:tblLayout w:type="autofit"/>
        <w:tblCellMar>
          <w:top w:w="0" w:type="dxa"/>
          <w:left w:w="10" w:type="dxa"/>
          <w:bottom w:w="0" w:type="dxa"/>
          <w:right w:w="10" w:type="dxa"/>
        </w:tblCellMar>
      </w:tblPr>
      <w:tblGrid>
        <w:gridCol w:w="2374"/>
        <w:gridCol w:w="6145"/>
      </w:tblGrid>
      <w:tr w14:paraId="2A0147D2">
        <w:tblPrEx>
          <w:tblCellMar>
            <w:top w:w="0" w:type="dxa"/>
            <w:left w:w="10" w:type="dxa"/>
            <w:bottom w:w="0" w:type="dxa"/>
            <w:right w:w="10" w:type="dxa"/>
          </w:tblCellMar>
        </w:tblPrEx>
        <w:trPr>
          <w:jc w:val="center"/>
        </w:trPr>
        <w:tc>
          <w:tcPr>
            <w:tcW w:w="1393"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823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关键管理项</w:t>
            </w:r>
          </w:p>
        </w:tc>
        <w:tc>
          <w:tcPr>
            <w:tcW w:w="3606" w:type="pct"/>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6443E8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说明</w:t>
            </w:r>
          </w:p>
        </w:tc>
      </w:tr>
      <w:tr w14:paraId="2EC42180">
        <w:tblPrEx>
          <w:tblCellMar>
            <w:top w:w="0" w:type="dxa"/>
            <w:left w:w="10" w:type="dxa"/>
            <w:bottom w:w="0" w:type="dxa"/>
            <w:right w:w="10" w:type="dxa"/>
          </w:tblCellMar>
        </w:tblPrEx>
        <w:trPr>
          <w:jc w:val="center"/>
        </w:trPr>
        <w:tc>
          <w:tcPr>
            <w:tcW w:w="1393" w:type="pct"/>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A64C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数据清理和</w:t>
            </w:r>
          </w:p>
          <w:p w14:paraId="39DF9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迁移方案</w:t>
            </w:r>
          </w:p>
        </w:tc>
        <w:tc>
          <w:tcPr>
            <w:tcW w:w="3606" w:type="pct"/>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1C8EC1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 xml:space="preserve">数据的准确、及时和完整是实施本项目的重要成功因素之一。 </w:t>
            </w:r>
          </w:p>
          <w:p w14:paraId="489C9E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请供应商阐述对本项目数据清理和迁移方案的计划。</w:t>
            </w:r>
          </w:p>
        </w:tc>
      </w:tr>
      <w:tr w14:paraId="0FBBC341">
        <w:tblPrEx>
          <w:tblCellMar>
            <w:top w:w="0" w:type="dxa"/>
            <w:left w:w="10" w:type="dxa"/>
            <w:bottom w:w="0" w:type="dxa"/>
            <w:right w:w="10" w:type="dxa"/>
          </w:tblCellMar>
        </w:tblPrEx>
        <w:trPr>
          <w:jc w:val="center"/>
        </w:trPr>
        <w:tc>
          <w:tcPr>
            <w:tcW w:w="1393" w:type="pct"/>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41662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变更管理</w:t>
            </w:r>
          </w:p>
        </w:tc>
        <w:tc>
          <w:tcPr>
            <w:tcW w:w="3606" w:type="pct"/>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519418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变更管理流程是成功交付项目的基础。变更管理流程是确保对在项目环境中的每个变更在实施以前都得以恰当的定义、评估和审批。</w:t>
            </w:r>
          </w:p>
          <w:p w14:paraId="55063D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请供应商阐释对本项目变更管理的方案。</w:t>
            </w:r>
          </w:p>
        </w:tc>
      </w:tr>
      <w:tr w14:paraId="26D618BB">
        <w:tblPrEx>
          <w:tblCellMar>
            <w:top w:w="0" w:type="dxa"/>
            <w:left w:w="10" w:type="dxa"/>
            <w:bottom w:w="0" w:type="dxa"/>
            <w:right w:w="10" w:type="dxa"/>
          </w:tblCellMar>
        </w:tblPrEx>
        <w:trPr>
          <w:jc w:val="center"/>
        </w:trPr>
        <w:tc>
          <w:tcPr>
            <w:tcW w:w="1393" w:type="pct"/>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47C7E6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沟通管理</w:t>
            </w:r>
          </w:p>
        </w:tc>
        <w:tc>
          <w:tcPr>
            <w:tcW w:w="3606" w:type="pct"/>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351724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列出详细的项目沟通管理计划，包括时间，地点，沟通组织者，沟通对象，沟通内容等。</w:t>
            </w:r>
          </w:p>
        </w:tc>
      </w:tr>
      <w:tr w14:paraId="59899B1B">
        <w:tblPrEx>
          <w:tblCellMar>
            <w:top w:w="0" w:type="dxa"/>
            <w:left w:w="10" w:type="dxa"/>
            <w:bottom w:w="0" w:type="dxa"/>
            <w:right w:w="10" w:type="dxa"/>
          </w:tblCellMar>
        </w:tblPrEx>
        <w:trPr>
          <w:jc w:val="center"/>
        </w:trPr>
        <w:tc>
          <w:tcPr>
            <w:tcW w:w="1393"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B8E7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质量管理</w:t>
            </w:r>
          </w:p>
        </w:tc>
        <w:tc>
          <w:tcPr>
            <w:tcW w:w="3606" w:type="pct"/>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60E34A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要求明确说明如何管理项目各阶段工作的质量以及相关交付物的质量保障。内容应该包含但不仅限质量标准，质量计划、保证和控制的流程和手续，以及质量管理角色与职责。</w:t>
            </w:r>
          </w:p>
        </w:tc>
      </w:tr>
      <w:tr w14:paraId="57E1C110">
        <w:tblPrEx>
          <w:tblCellMar>
            <w:top w:w="0" w:type="dxa"/>
            <w:left w:w="10" w:type="dxa"/>
            <w:bottom w:w="0" w:type="dxa"/>
            <w:right w:w="10" w:type="dxa"/>
          </w:tblCellMar>
        </w:tblPrEx>
        <w:trPr>
          <w:jc w:val="center"/>
        </w:trPr>
        <w:tc>
          <w:tcPr>
            <w:tcW w:w="1393"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E351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组织结构变更管理</w:t>
            </w:r>
          </w:p>
        </w:tc>
        <w:tc>
          <w:tcPr>
            <w:tcW w:w="3606" w:type="pct"/>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35A6EB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在项目的实施过程中, 由于流程和管理需求的变化带来的组织结构以及工作职能的变化，比如岗位的调整，职能的增加减少，关键用户的确立以及职责的划分等，需要供应商给出相应的建议。</w:t>
            </w:r>
          </w:p>
        </w:tc>
      </w:tr>
      <w:tr w14:paraId="1FB9C14F">
        <w:tblPrEx>
          <w:tblCellMar>
            <w:top w:w="0" w:type="dxa"/>
            <w:left w:w="10" w:type="dxa"/>
            <w:bottom w:w="0" w:type="dxa"/>
            <w:right w:w="10" w:type="dxa"/>
          </w:tblCellMar>
        </w:tblPrEx>
        <w:trPr>
          <w:jc w:val="center"/>
        </w:trPr>
        <w:tc>
          <w:tcPr>
            <w:tcW w:w="1393"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A025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rPr>
            </w:pPr>
            <w:r>
              <w:rPr>
                <w:rFonts w:hint="eastAsia" w:ascii="宋体" w:hAnsi="宋体" w:cs="宋体"/>
                <w:sz w:val="24"/>
                <w:szCs w:val="24"/>
              </w:rPr>
              <w:t>回退计划</w:t>
            </w:r>
          </w:p>
        </w:tc>
        <w:tc>
          <w:tcPr>
            <w:tcW w:w="3606" w:type="pct"/>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05DB9F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系统上线时制定一个详细而可操作的回退计划对保证业务的可持续进行是非常重要的。 请供应商根据业务需求给出一个详细的回退计划方案。</w:t>
            </w:r>
          </w:p>
        </w:tc>
      </w:tr>
    </w:tbl>
    <w:p w14:paraId="6C552CA3">
      <w:pPr>
        <w:pStyle w:val="5"/>
        <w:pageBreakBefore w:val="0"/>
        <w:widowControl w:val="0"/>
        <w:numPr>
          <w:ilvl w:val="1"/>
          <w:numId w:val="8"/>
        </w:numPr>
        <w:kinsoku/>
        <w:wordWrap/>
        <w:overflowPunct/>
        <w:topLinePunct w:val="0"/>
        <w:autoSpaceDE/>
        <w:autoSpaceDN/>
        <w:bidi w:val="0"/>
        <w:adjustRightInd/>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培训要求</w:t>
      </w:r>
    </w:p>
    <w:p w14:paraId="23FA99C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为保障本项目的顺利运行，应考虑到相关的培训安排（包含但不限于）。</w:t>
      </w:r>
    </w:p>
    <w:p w14:paraId="4C65E96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在项目蓝图规划阶段开始之前, 项目组成员和最终用户应接受相关产品知识的培训。系统建设完成后、正式上线前，系统开发公司应编写详细易懂的系统操作手册，且向省、地市、县区招办、报名点用户培训使用方法和注意事项。根据项目的业务范围和系统功能准备相应的培训材料，并分别对相关人员进行培训。制定针对关键用户以及流程所有者的培训计划、系统安装和系统管理使用的培训。结合技术解决方案和实施方案，制定出有针对性的培训计划并加以详细说明。</w:t>
      </w:r>
    </w:p>
    <w:p w14:paraId="52D483C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由供应商根据项目的业务范围和系统功能准备相应的培训材料，并分别对相关人员进行培训。</w:t>
      </w:r>
    </w:p>
    <w:p w14:paraId="69F5E1C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制定针对关键用户以及流程所有者的培训计划。</w:t>
      </w:r>
    </w:p>
    <w:p w14:paraId="01C4CAC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系统安装和系统管理的培训。</w:t>
      </w:r>
    </w:p>
    <w:p w14:paraId="113BE85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结合技术解决方案和实施方案，制定出有针对性的培训计划并加以详细说明。</w:t>
      </w:r>
    </w:p>
    <w:p w14:paraId="40846F77">
      <w:pPr>
        <w:pStyle w:val="5"/>
        <w:pageBreakBefore w:val="0"/>
        <w:widowControl w:val="0"/>
        <w:numPr>
          <w:ilvl w:val="1"/>
          <w:numId w:val="8"/>
        </w:numPr>
        <w:kinsoku/>
        <w:wordWrap/>
        <w:overflowPunct/>
        <w:topLinePunct w:val="0"/>
        <w:autoSpaceDE/>
        <w:autoSpaceDN/>
        <w:bidi w:val="0"/>
        <w:adjustRightInd/>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运维要求</w:t>
      </w:r>
    </w:p>
    <w:p w14:paraId="2FB56F23">
      <w:pPr>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sz w:val="24"/>
          <w:szCs w:val="24"/>
        </w:rPr>
      </w:pPr>
      <w:r>
        <w:rPr>
          <w:rFonts w:hint="eastAsia" w:ascii="宋体" w:hAnsi="宋体" w:cs="宋体"/>
          <w:sz w:val="24"/>
          <w:szCs w:val="24"/>
        </w:rPr>
        <w:t>为了确保本项目在实施后安全可靠、平稳运行，供应商一旦中标并在本项目开发上线后需要提供系统合同约定服务周期内（</w:t>
      </w:r>
      <w:r>
        <w:rPr>
          <w:rFonts w:hint="eastAsia" w:ascii="宋体" w:hAnsi="宋体" w:cs="宋体"/>
          <w:sz w:val="24"/>
          <w:szCs w:val="24"/>
          <w:lang w:val="en-US" w:eastAsia="zh-CN"/>
        </w:rPr>
        <w:t>一</w:t>
      </w:r>
      <w:r>
        <w:rPr>
          <w:rFonts w:hint="eastAsia" w:ascii="宋体" w:hAnsi="宋体" w:cs="宋体"/>
          <w:sz w:val="24"/>
          <w:szCs w:val="24"/>
        </w:rPr>
        <w:t>年）的运维服务。成交供应商需要提出一套完整的运维服务保障方案，该方案需要在项目开始初期提交我方审核。运维要求包含但不限于以下：</w:t>
      </w:r>
    </w:p>
    <w:p w14:paraId="44428F6C">
      <w:pPr>
        <w:pStyle w:val="6"/>
        <w:pageBreakBefore w:val="0"/>
        <w:widowControl w:val="0"/>
        <w:numPr>
          <w:ilvl w:val="2"/>
          <w:numId w:val="9"/>
        </w:numPr>
        <w:kinsoku/>
        <w:wordWrap/>
        <w:overflowPunct/>
        <w:topLinePunct w:val="0"/>
        <w:autoSpaceDE/>
        <w:autoSpaceDN/>
        <w:bidi w:val="0"/>
        <w:adjustRightInd/>
        <w:snapToGrid/>
        <w:spacing w:before="0" w:beforeLines="0" w:after="0" w:afterLines="0" w:line="360" w:lineRule="auto"/>
        <w:ind w:left="720" w:leftChars="0" w:hanging="720" w:firstLineChars="0"/>
        <w:textAlignment w:val="auto"/>
        <w:rPr>
          <w:rFonts w:hint="eastAsia" w:ascii="宋体" w:hAnsi="宋体" w:eastAsia="宋体" w:cs="宋体"/>
          <w:sz w:val="24"/>
          <w:szCs w:val="24"/>
        </w:rPr>
      </w:pPr>
      <w:r>
        <w:rPr>
          <w:rFonts w:hint="eastAsia" w:ascii="宋体" w:hAnsi="宋体" w:eastAsia="宋体" w:cs="宋体"/>
          <w:sz w:val="24"/>
          <w:szCs w:val="24"/>
        </w:rPr>
        <w:t>服务级别</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691"/>
        <w:gridCol w:w="4757"/>
      </w:tblGrid>
      <w:tr w14:paraId="0602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2208" w:type="pct"/>
            <w:gridSpan w:val="2"/>
            <w:noWrap w:val="0"/>
            <w:vAlign w:val="center"/>
          </w:tcPr>
          <w:p w14:paraId="2AFCE6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服务级别</w:t>
            </w:r>
          </w:p>
        </w:tc>
        <w:tc>
          <w:tcPr>
            <w:tcW w:w="2791" w:type="pct"/>
            <w:noWrap w:val="0"/>
            <w:vAlign w:val="center"/>
          </w:tcPr>
          <w:p w14:paraId="18A442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备注</w:t>
            </w:r>
          </w:p>
        </w:tc>
      </w:tr>
      <w:tr w14:paraId="76B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67F196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服务时间</w:t>
            </w:r>
          </w:p>
        </w:tc>
        <w:tc>
          <w:tcPr>
            <w:tcW w:w="991" w:type="pct"/>
            <w:noWrap w:val="0"/>
            <w:vAlign w:val="center"/>
          </w:tcPr>
          <w:p w14:paraId="1BEE94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正常工作时间</w:t>
            </w:r>
          </w:p>
        </w:tc>
        <w:tc>
          <w:tcPr>
            <w:tcW w:w="2791" w:type="pct"/>
            <w:noWrap w:val="0"/>
            <w:vAlign w:val="center"/>
          </w:tcPr>
          <w:p w14:paraId="5431BB9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5×10小时</w:t>
            </w:r>
          </w:p>
        </w:tc>
      </w:tr>
      <w:tr w14:paraId="03E4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1CF761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响应时间</w:t>
            </w:r>
          </w:p>
        </w:tc>
        <w:tc>
          <w:tcPr>
            <w:tcW w:w="991" w:type="pct"/>
            <w:noWrap w:val="0"/>
            <w:vAlign w:val="center"/>
          </w:tcPr>
          <w:p w14:paraId="32F541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≤半小时</w:t>
            </w:r>
          </w:p>
        </w:tc>
        <w:tc>
          <w:tcPr>
            <w:tcW w:w="2791" w:type="pct"/>
            <w:noWrap w:val="0"/>
            <w:vAlign w:val="center"/>
          </w:tcPr>
          <w:p w14:paraId="2426E5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采购方通过电话、传真与</w:t>
            </w:r>
            <w:r>
              <w:rPr>
                <w:rFonts w:hint="eastAsia" w:ascii="宋体" w:hAnsi="宋体" w:cs="宋体"/>
                <w:sz w:val="24"/>
                <w:szCs w:val="24"/>
              </w:rPr>
              <w:t>成交供应商</w:t>
            </w:r>
            <w:r>
              <w:rPr>
                <w:rFonts w:hint="eastAsia" w:ascii="宋体" w:hAnsi="宋体" w:cs="宋体"/>
                <w:color w:val="000000"/>
                <w:sz w:val="24"/>
                <w:szCs w:val="24"/>
              </w:rPr>
              <w:t>取得联系后，</w:t>
            </w:r>
            <w:r>
              <w:rPr>
                <w:rFonts w:hint="eastAsia" w:ascii="宋体" w:hAnsi="宋体" w:cs="宋体"/>
                <w:sz w:val="24"/>
                <w:szCs w:val="24"/>
              </w:rPr>
              <w:t>成交供应商</w:t>
            </w:r>
            <w:r>
              <w:rPr>
                <w:rFonts w:hint="eastAsia" w:ascii="宋体" w:hAnsi="宋体" w:cs="宋体"/>
                <w:color w:val="000000"/>
                <w:sz w:val="24"/>
                <w:szCs w:val="24"/>
              </w:rPr>
              <w:t>保证在半小时内给出响应</w:t>
            </w:r>
          </w:p>
        </w:tc>
      </w:tr>
      <w:tr w14:paraId="5467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0F3DC2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关键问题到场时间</w:t>
            </w:r>
          </w:p>
        </w:tc>
        <w:tc>
          <w:tcPr>
            <w:tcW w:w="991" w:type="pct"/>
            <w:noWrap w:val="0"/>
            <w:vAlign w:val="center"/>
          </w:tcPr>
          <w:p w14:paraId="3DA942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≤2小时</w:t>
            </w:r>
          </w:p>
        </w:tc>
        <w:tc>
          <w:tcPr>
            <w:tcW w:w="2791" w:type="pct"/>
            <w:noWrap w:val="0"/>
            <w:vAlign w:val="center"/>
          </w:tcPr>
          <w:p w14:paraId="157D59B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到达客户现场时间</w:t>
            </w:r>
          </w:p>
        </w:tc>
      </w:tr>
      <w:tr w14:paraId="1D9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066F68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专职技术支持人员</w:t>
            </w:r>
          </w:p>
        </w:tc>
        <w:tc>
          <w:tcPr>
            <w:tcW w:w="991" w:type="pct"/>
            <w:noWrap w:val="0"/>
            <w:vAlign w:val="center"/>
          </w:tcPr>
          <w:p w14:paraId="55A72A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2035905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维保合同签订后指定1-2名专职技术支持人员</w:t>
            </w:r>
          </w:p>
        </w:tc>
      </w:tr>
      <w:tr w14:paraId="368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71C8D3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日常故障处理</w:t>
            </w:r>
          </w:p>
        </w:tc>
        <w:tc>
          <w:tcPr>
            <w:tcW w:w="991" w:type="pct"/>
            <w:noWrap w:val="0"/>
            <w:vAlign w:val="center"/>
          </w:tcPr>
          <w:p w14:paraId="530D6B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7470EB9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包括应用系统故障及问题</w:t>
            </w:r>
          </w:p>
        </w:tc>
      </w:tr>
      <w:tr w14:paraId="037A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6655E2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定期巡检服务</w:t>
            </w:r>
          </w:p>
        </w:tc>
        <w:tc>
          <w:tcPr>
            <w:tcW w:w="991" w:type="pct"/>
            <w:noWrap w:val="0"/>
            <w:vAlign w:val="center"/>
          </w:tcPr>
          <w:p w14:paraId="7A2D8F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45E30B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每年学业考试报名前</w:t>
            </w:r>
          </w:p>
        </w:tc>
      </w:tr>
      <w:tr w14:paraId="1B7E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251696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故障技术支持</w:t>
            </w:r>
          </w:p>
        </w:tc>
        <w:tc>
          <w:tcPr>
            <w:tcW w:w="991" w:type="pct"/>
            <w:noWrap w:val="0"/>
            <w:vAlign w:val="center"/>
          </w:tcPr>
          <w:p w14:paraId="4B82D4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7875101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不限次数</w:t>
            </w:r>
          </w:p>
        </w:tc>
      </w:tr>
      <w:tr w14:paraId="2A0E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7A3E75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远程服务</w:t>
            </w:r>
          </w:p>
        </w:tc>
        <w:tc>
          <w:tcPr>
            <w:tcW w:w="991" w:type="pct"/>
            <w:noWrap w:val="0"/>
            <w:vAlign w:val="center"/>
          </w:tcPr>
          <w:p w14:paraId="762014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4FF8A7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远程技术服务</w:t>
            </w:r>
          </w:p>
        </w:tc>
      </w:tr>
      <w:tr w14:paraId="5531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55D74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现场故障抢修</w:t>
            </w:r>
          </w:p>
        </w:tc>
        <w:tc>
          <w:tcPr>
            <w:tcW w:w="991" w:type="pct"/>
            <w:noWrap w:val="0"/>
            <w:vAlign w:val="center"/>
          </w:tcPr>
          <w:p w14:paraId="06F56C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12D6B0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现场故障抢修解决</w:t>
            </w:r>
          </w:p>
        </w:tc>
      </w:tr>
      <w:tr w14:paraId="3B8D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6" w:type="pct"/>
            <w:noWrap w:val="0"/>
            <w:vAlign w:val="center"/>
          </w:tcPr>
          <w:p w14:paraId="112752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疑难问题咨询</w:t>
            </w:r>
          </w:p>
        </w:tc>
        <w:tc>
          <w:tcPr>
            <w:tcW w:w="991" w:type="pct"/>
            <w:noWrap w:val="0"/>
            <w:vAlign w:val="center"/>
          </w:tcPr>
          <w:p w14:paraId="19BE43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w:t>
            </w:r>
          </w:p>
        </w:tc>
        <w:tc>
          <w:tcPr>
            <w:tcW w:w="2791" w:type="pct"/>
            <w:noWrap w:val="0"/>
            <w:vAlign w:val="center"/>
          </w:tcPr>
          <w:p w14:paraId="11EFE48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指定技术支持人员</w:t>
            </w:r>
          </w:p>
        </w:tc>
      </w:tr>
    </w:tbl>
    <w:p w14:paraId="5EA18D3D">
      <w:pPr>
        <w:pStyle w:val="6"/>
        <w:pageBreakBefore w:val="0"/>
        <w:numPr>
          <w:ilvl w:val="2"/>
          <w:numId w:val="9"/>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系统故障响应现场服务</w:t>
      </w:r>
    </w:p>
    <w:p w14:paraId="384437F3">
      <w:pPr>
        <w:pageBreakBefore w:val="0"/>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cs="宋体"/>
          <w:color w:val="000000"/>
          <w:sz w:val="24"/>
          <w:szCs w:val="24"/>
        </w:rPr>
      </w:pPr>
      <w:r>
        <w:rPr>
          <w:rFonts w:hint="eastAsia" w:ascii="宋体" w:hAnsi="宋体" w:cs="宋体"/>
          <w:color w:val="000000"/>
          <w:sz w:val="24"/>
          <w:szCs w:val="24"/>
        </w:rPr>
        <w:t>维护期内</w:t>
      </w:r>
      <w:r>
        <w:rPr>
          <w:rFonts w:hint="eastAsia" w:ascii="宋体" w:hAnsi="宋体" w:cs="宋体"/>
          <w:sz w:val="24"/>
          <w:szCs w:val="24"/>
        </w:rPr>
        <w:t>成交供应商</w:t>
      </w:r>
      <w:r>
        <w:rPr>
          <w:rFonts w:hint="eastAsia" w:ascii="宋体" w:hAnsi="宋体" w:cs="宋体"/>
          <w:color w:val="000000"/>
          <w:sz w:val="24"/>
          <w:szCs w:val="24"/>
        </w:rPr>
        <w:t>提供5×10小时响应服务（采购方通过电话、传真与</w:t>
      </w:r>
      <w:r>
        <w:rPr>
          <w:rFonts w:hint="eastAsia" w:ascii="宋体" w:hAnsi="宋体" w:cs="宋体"/>
          <w:sz w:val="24"/>
          <w:szCs w:val="24"/>
        </w:rPr>
        <w:t>成交供应商</w:t>
      </w:r>
      <w:r>
        <w:rPr>
          <w:rFonts w:hint="eastAsia" w:ascii="宋体" w:hAnsi="宋体" w:cs="宋体"/>
          <w:color w:val="000000"/>
          <w:sz w:val="24"/>
          <w:szCs w:val="24"/>
        </w:rPr>
        <w:t>取得联系后，</w:t>
      </w:r>
      <w:r>
        <w:rPr>
          <w:rFonts w:hint="eastAsia" w:ascii="宋体" w:hAnsi="宋体" w:cs="宋体"/>
          <w:sz w:val="24"/>
          <w:szCs w:val="24"/>
        </w:rPr>
        <w:t>成交供应商</w:t>
      </w:r>
      <w:r>
        <w:rPr>
          <w:rFonts w:hint="eastAsia" w:ascii="宋体" w:hAnsi="宋体" w:cs="宋体"/>
          <w:color w:val="000000"/>
          <w:sz w:val="24"/>
          <w:szCs w:val="24"/>
        </w:rPr>
        <w:t>保证在半小时内给出相应，三小时内恢复系统，三天内解决问题），具体响应方式根据故障级别而定，其具体内容如下：</w:t>
      </w:r>
    </w:p>
    <w:p w14:paraId="436DD9DF">
      <w:pPr>
        <w:pageBreakBefore w:val="0"/>
        <w:numPr>
          <w:ilvl w:val="0"/>
          <w:numId w:val="0"/>
        </w:numPr>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一般性非系统故障</w:t>
      </w:r>
    </w:p>
    <w:p w14:paraId="3660E28C">
      <w:pPr>
        <w:pageBreakBefore w:val="0"/>
        <w:numPr>
          <w:ilvl w:val="0"/>
          <w:numId w:val="0"/>
        </w:numPr>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cs="宋体"/>
          <w:color w:val="000000"/>
          <w:sz w:val="24"/>
          <w:szCs w:val="24"/>
        </w:rPr>
      </w:pPr>
      <w:r>
        <w:rPr>
          <w:rFonts w:hint="eastAsia" w:ascii="宋体" w:hAnsi="宋体" w:cs="宋体"/>
          <w:color w:val="000000"/>
          <w:sz w:val="24"/>
          <w:szCs w:val="24"/>
        </w:rPr>
        <w:t>对于不影响业务工作的一般性故障，首先提供故障热线支持服务，其方式包括通过电话进行技术支持和远程登录。如果不能解决问题，则在用户指定时间内到达现场，在最短时间内排除故障。</w:t>
      </w:r>
    </w:p>
    <w:p w14:paraId="6C8BB297">
      <w:pPr>
        <w:pageBreakBefore w:val="0"/>
        <w:numPr>
          <w:ilvl w:val="0"/>
          <w:numId w:val="0"/>
        </w:numPr>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系统故障情况排除技术响应</w:t>
      </w:r>
    </w:p>
    <w:p w14:paraId="773B127A">
      <w:pPr>
        <w:pageBreakBefore w:val="0"/>
        <w:numPr>
          <w:ilvl w:val="0"/>
          <w:numId w:val="0"/>
        </w:numPr>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cs="宋体"/>
          <w:color w:val="000000"/>
          <w:sz w:val="24"/>
          <w:szCs w:val="24"/>
        </w:rPr>
      </w:pPr>
      <w:r>
        <w:rPr>
          <w:rFonts w:hint="eastAsia" w:ascii="宋体" w:hAnsi="宋体" w:cs="宋体"/>
          <w:color w:val="000000"/>
          <w:sz w:val="24"/>
          <w:szCs w:val="24"/>
        </w:rPr>
        <w:t>如发生系统故障或已导致业务工作不能正常进行，</w:t>
      </w:r>
      <w:r>
        <w:rPr>
          <w:rFonts w:hint="eastAsia" w:ascii="宋体" w:hAnsi="宋体" w:cs="宋体"/>
          <w:sz w:val="24"/>
          <w:szCs w:val="24"/>
        </w:rPr>
        <w:t>成交供应商</w:t>
      </w:r>
      <w:r>
        <w:rPr>
          <w:rFonts w:hint="eastAsia" w:ascii="宋体" w:hAnsi="宋体" w:cs="宋体"/>
          <w:color w:val="000000"/>
          <w:sz w:val="24"/>
          <w:szCs w:val="24"/>
        </w:rPr>
        <w:t>将在接到故障报告后，根据用户要求在第一时间到达现场提供维护服务。三小时内恢复系统，三天内解决问题。</w:t>
      </w:r>
    </w:p>
    <w:p w14:paraId="1809C91D">
      <w:pPr>
        <w:pageBreakBefore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维护期内定期巡检服务：</w:t>
      </w:r>
    </w:p>
    <w:p w14:paraId="0657D789">
      <w:pPr>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cs="宋体"/>
          <w:color w:val="000000"/>
          <w:sz w:val="24"/>
          <w:szCs w:val="24"/>
        </w:rPr>
      </w:pPr>
      <w:r>
        <w:rPr>
          <w:rFonts w:hint="eastAsia" w:ascii="宋体" w:hAnsi="宋体" w:cs="宋体"/>
          <w:sz w:val="24"/>
          <w:szCs w:val="24"/>
        </w:rPr>
        <w:t>成交供应商</w:t>
      </w:r>
      <w:r>
        <w:rPr>
          <w:rFonts w:hint="eastAsia" w:ascii="宋体" w:hAnsi="宋体" w:cs="宋体"/>
          <w:color w:val="000000"/>
          <w:sz w:val="24"/>
          <w:szCs w:val="24"/>
        </w:rPr>
        <w:t>提供每月定期的巡检服务，通过巡检及时发现和纠正可能出现的系统问题, 从而在最大程度上为系统的连续稳定运行提供了保证。巡检内容主要包括：</w:t>
      </w:r>
    </w:p>
    <w:p w14:paraId="382F6E94">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color w:val="000000"/>
          <w:sz w:val="24"/>
          <w:szCs w:val="24"/>
        </w:rPr>
      </w:pPr>
      <w:r>
        <w:rPr>
          <w:rFonts w:hint="eastAsia" w:ascii="宋体" w:hAnsi="宋体" w:cs="宋体"/>
          <w:color w:val="000000"/>
          <w:sz w:val="24"/>
          <w:szCs w:val="24"/>
        </w:rPr>
        <w:t>服务器及应用系统状态检测；</w:t>
      </w:r>
    </w:p>
    <w:p w14:paraId="148CFFB9">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color w:val="000000"/>
          <w:sz w:val="24"/>
          <w:szCs w:val="24"/>
        </w:rPr>
      </w:pPr>
      <w:r>
        <w:rPr>
          <w:rFonts w:hint="eastAsia" w:ascii="宋体" w:hAnsi="宋体" w:cs="宋体"/>
          <w:color w:val="000000"/>
          <w:sz w:val="24"/>
          <w:szCs w:val="24"/>
        </w:rPr>
        <w:t>数据库状态检测；</w:t>
      </w:r>
    </w:p>
    <w:p w14:paraId="5F14D8EE">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color w:val="000000"/>
          <w:sz w:val="24"/>
          <w:szCs w:val="24"/>
        </w:rPr>
      </w:pPr>
      <w:r>
        <w:rPr>
          <w:rFonts w:hint="eastAsia" w:ascii="宋体" w:hAnsi="宋体" w:cs="宋体"/>
          <w:color w:val="000000"/>
          <w:sz w:val="24"/>
          <w:szCs w:val="24"/>
        </w:rPr>
        <w:t>应用程序检测及更新；</w:t>
      </w:r>
    </w:p>
    <w:p w14:paraId="4714C371">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color w:val="000000"/>
          <w:sz w:val="24"/>
          <w:szCs w:val="24"/>
        </w:rPr>
      </w:pPr>
      <w:r>
        <w:rPr>
          <w:rFonts w:hint="eastAsia" w:ascii="宋体" w:hAnsi="宋体" w:cs="宋体"/>
          <w:color w:val="000000"/>
          <w:sz w:val="24"/>
          <w:szCs w:val="24"/>
        </w:rPr>
        <w:t>网络情况检测；</w:t>
      </w:r>
    </w:p>
    <w:p w14:paraId="1CE1BC85">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color w:val="000000"/>
          <w:sz w:val="24"/>
          <w:szCs w:val="24"/>
        </w:rPr>
      </w:pPr>
      <w:r>
        <w:rPr>
          <w:rFonts w:hint="eastAsia" w:ascii="宋体" w:hAnsi="宋体" w:cs="宋体"/>
          <w:color w:val="000000"/>
          <w:sz w:val="24"/>
          <w:szCs w:val="24"/>
        </w:rPr>
        <w:t>检查应用服务器系统中的系统设置和系统日志，处理报错问题，清理临时文件；</w:t>
      </w:r>
    </w:p>
    <w:p w14:paraId="0EF3C683">
      <w:pPr>
        <w:pageBreakBefore w:val="0"/>
        <w:numPr>
          <w:ilvl w:val="0"/>
          <w:numId w:val="10"/>
        </w:numPr>
        <w:tabs>
          <w:tab w:val="left" w:pos="1134"/>
          <w:tab w:val="clear" w:pos="0"/>
        </w:tabs>
        <w:kinsoku/>
        <w:wordWrap/>
        <w:overflowPunct/>
        <w:topLinePunct w:val="0"/>
        <w:autoSpaceDE/>
        <w:autoSpaceDN/>
        <w:bidi w:val="0"/>
        <w:adjustRightInd/>
        <w:snapToGrid w:val="0"/>
        <w:spacing w:line="360" w:lineRule="auto"/>
        <w:ind w:left="986" w:leftChars="0" w:hanging="420" w:firstLineChars="0"/>
        <w:textAlignment w:val="auto"/>
        <w:rPr>
          <w:rFonts w:hint="eastAsia" w:ascii="宋体" w:hAnsi="宋体" w:cs="宋体"/>
          <w:sz w:val="24"/>
          <w:szCs w:val="24"/>
        </w:rPr>
      </w:pPr>
      <w:r>
        <w:rPr>
          <w:rFonts w:hint="eastAsia" w:ascii="宋体" w:hAnsi="宋体" w:cs="宋体"/>
          <w:color w:val="000000"/>
          <w:sz w:val="24"/>
          <w:szCs w:val="24"/>
        </w:rPr>
        <w:t>其他。</w:t>
      </w:r>
    </w:p>
    <w:p w14:paraId="51C2C343">
      <w:pPr>
        <w:pStyle w:val="6"/>
        <w:pageBreakBefore w:val="0"/>
        <w:numPr>
          <w:ilvl w:val="2"/>
          <w:numId w:val="9"/>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服务支持方式</w:t>
      </w:r>
    </w:p>
    <w:p w14:paraId="46641563">
      <w:pPr>
        <w:pStyle w:val="10"/>
        <w:pageBreakBefore w:val="0"/>
        <w:kinsoku/>
        <w:wordWrap/>
        <w:overflowPunct/>
        <w:topLinePunct w:val="0"/>
        <w:autoSpaceDE/>
        <w:autoSpaceDN/>
        <w:bidi w:val="0"/>
        <w:adjustRightInd/>
        <w:spacing w:before="0" w:after="0" w:line="360" w:lineRule="auto"/>
        <w:ind w:firstLine="420" w:firstLineChars="0"/>
        <w:textAlignment w:val="auto"/>
        <w:rPr>
          <w:rStyle w:val="11"/>
          <w:rFonts w:hint="eastAsia" w:ascii="宋体" w:hAnsi="宋体" w:cs="宋体"/>
          <w:sz w:val="24"/>
          <w:szCs w:val="24"/>
        </w:rPr>
      </w:pPr>
      <w:r>
        <w:rPr>
          <w:rFonts w:hint="eastAsia" w:ascii="宋体" w:hAnsi="宋体" w:cs="宋体"/>
          <w:b/>
          <w:sz w:val="24"/>
          <w:szCs w:val="24"/>
        </w:rPr>
        <w:t>1.电话支持：</w:t>
      </w:r>
      <w:r>
        <w:rPr>
          <w:rFonts w:hint="eastAsia" w:ascii="宋体" w:hAnsi="宋体" w:cs="宋体"/>
          <w:sz w:val="24"/>
          <w:szCs w:val="24"/>
        </w:rPr>
        <w:t>5×10小时</w:t>
      </w:r>
      <w:r>
        <w:rPr>
          <w:rFonts w:hint="eastAsia" w:ascii="宋体" w:hAnsi="宋体" w:cs="宋体"/>
          <w:kern w:val="2"/>
          <w:sz w:val="24"/>
          <w:szCs w:val="24"/>
        </w:rPr>
        <w:t>客服热线；电话支持不限次数。</w:t>
      </w:r>
    </w:p>
    <w:p w14:paraId="71AEB23C">
      <w:pPr>
        <w:pageBreakBefore w:val="0"/>
        <w:kinsoku/>
        <w:wordWrap/>
        <w:overflowPunct/>
        <w:topLinePunct w:val="0"/>
        <w:autoSpaceDE/>
        <w:autoSpaceDN/>
        <w:bidi w:val="0"/>
        <w:adjustRightInd/>
        <w:spacing w:line="360" w:lineRule="auto"/>
        <w:ind w:firstLine="420" w:firstLineChars="0"/>
        <w:jc w:val="left"/>
        <w:textAlignment w:val="auto"/>
        <w:rPr>
          <w:rFonts w:hint="eastAsia" w:ascii="宋体" w:hAnsi="宋体" w:cs="宋体"/>
          <w:b/>
          <w:sz w:val="24"/>
          <w:szCs w:val="24"/>
        </w:rPr>
      </w:pPr>
      <w:r>
        <w:rPr>
          <w:rFonts w:hint="eastAsia" w:ascii="宋体" w:hAnsi="宋体" w:cs="宋体"/>
          <w:b/>
          <w:sz w:val="24"/>
          <w:szCs w:val="24"/>
        </w:rPr>
        <w:t>2.远程支持：</w:t>
      </w:r>
      <w:r>
        <w:rPr>
          <w:rFonts w:hint="eastAsia" w:ascii="宋体" w:hAnsi="宋体" w:cs="宋体"/>
          <w:sz w:val="24"/>
          <w:szCs w:val="24"/>
        </w:rPr>
        <w:t>提供远程桌面技术服务，该方式需要客户支持远程接入；远程支持不限次数。</w:t>
      </w:r>
    </w:p>
    <w:p w14:paraId="1752357E">
      <w:pPr>
        <w:pageBreakBefore w:val="0"/>
        <w:kinsoku/>
        <w:wordWrap/>
        <w:overflowPunct/>
        <w:topLinePunct w:val="0"/>
        <w:autoSpaceDE/>
        <w:autoSpaceDN/>
        <w:bidi w:val="0"/>
        <w:adjustRightInd/>
        <w:spacing w:line="360" w:lineRule="auto"/>
        <w:ind w:firstLine="420" w:firstLineChars="0"/>
        <w:jc w:val="left"/>
        <w:textAlignment w:val="auto"/>
        <w:rPr>
          <w:rFonts w:hint="eastAsia" w:ascii="宋体" w:hAnsi="宋体" w:cs="宋体"/>
          <w:b/>
          <w:sz w:val="24"/>
          <w:szCs w:val="24"/>
        </w:rPr>
      </w:pPr>
      <w:r>
        <w:rPr>
          <w:rFonts w:hint="eastAsia" w:ascii="宋体" w:hAnsi="宋体" w:cs="宋体"/>
          <w:b/>
          <w:sz w:val="24"/>
          <w:szCs w:val="24"/>
        </w:rPr>
        <w:t>3.现场支持：</w:t>
      </w:r>
      <w:r>
        <w:rPr>
          <w:rFonts w:hint="eastAsia" w:ascii="宋体" w:hAnsi="宋体" w:cs="宋体"/>
          <w:sz w:val="24"/>
          <w:szCs w:val="24"/>
        </w:rPr>
        <w:t>如需现场服务，成交供应商工程师将在第一时间赶赴客户现场，现场响应时间将依照服务级别对应的服务承诺执行。</w:t>
      </w:r>
    </w:p>
    <w:p w14:paraId="7CA809E8">
      <w:pPr>
        <w:pageBreakBefore w:val="0"/>
        <w:kinsoku/>
        <w:wordWrap/>
        <w:overflowPunct/>
        <w:topLinePunct w:val="0"/>
        <w:autoSpaceDE/>
        <w:autoSpaceDN/>
        <w:bidi w:val="0"/>
        <w:adjustRightInd/>
        <w:spacing w:line="360" w:lineRule="auto"/>
        <w:ind w:firstLine="420" w:firstLineChars="0"/>
        <w:jc w:val="left"/>
        <w:textAlignment w:val="auto"/>
        <w:rPr>
          <w:rFonts w:hint="eastAsia" w:ascii="宋体" w:hAnsi="宋体" w:cs="宋体"/>
          <w:b/>
          <w:color w:val="000000"/>
          <w:sz w:val="24"/>
          <w:szCs w:val="24"/>
        </w:rPr>
      </w:pPr>
      <w:r>
        <w:rPr>
          <w:rFonts w:hint="eastAsia" w:ascii="宋体" w:hAnsi="宋体" w:cs="宋体"/>
          <w:b/>
          <w:sz w:val="24"/>
          <w:szCs w:val="24"/>
        </w:rPr>
        <w:t>4.巡检服务：</w:t>
      </w:r>
      <w:r>
        <w:rPr>
          <w:rFonts w:hint="eastAsia" w:ascii="宋体" w:hAnsi="宋体" w:cs="宋体"/>
          <w:color w:val="000000"/>
          <w:sz w:val="24"/>
          <w:szCs w:val="24"/>
        </w:rPr>
        <w:t>每年定期</w:t>
      </w:r>
      <w:r>
        <w:rPr>
          <w:rFonts w:hint="eastAsia" w:ascii="宋体" w:hAnsi="宋体" w:cs="宋体"/>
          <w:sz w:val="24"/>
          <w:szCs w:val="24"/>
        </w:rPr>
        <w:t>安排熟悉用户系统的资深工程师上门进行系统全面健康巡检，及时消除故障隐患，保障系统健康稳定运行。</w:t>
      </w:r>
    </w:p>
    <w:p w14:paraId="1A88445E">
      <w:pPr>
        <w:pStyle w:val="6"/>
        <w:pageBreakBefore w:val="0"/>
        <w:numPr>
          <w:ilvl w:val="2"/>
          <w:numId w:val="9"/>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 xml:space="preserve"> 服务内容</w:t>
      </w:r>
    </w:p>
    <w:p w14:paraId="0E750DE1">
      <w:pPr>
        <w:pStyle w:val="7"/>
        <w:pageBreakBefore w:val="0"/>
        <w:numPr>
          <w:ilvl w:val="3"/>
          <w:numId w:val="11"/>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sz w:val="24"/>
          <w:szCs w:val="24"/>
        </w:rPr>
      </w:pPr>
      <w:r>
        <w:rPr>
          <w:rFonts w:hint="eastAsia" w:ascii="宋体" w:hAnsi="宋体" w:eastAsia="宋体" w:cs="宋体"/>
          <w:sz w:val="24"/>
          <w:szCs w:val="24"/>
        </w:rPr>
        <w:t>项目维护基本服务</w:t>
      </w:r>
    </w:p>
    <w:p w14:paraId="616F8D33">
      <w:pPr>
        <w:pageBreakBefore w:val="0"/>
        <w:kinsoku/>
        <w:wordWrap/>
        <w:overflowPunct/>
        <w:topLinePunct w:val="0"/>
        <w:autoSpaceDE/>
        <w:autoSpaceDN/>
        <w:bidi w:val="0"/>
        <w:adjustRightIn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负责维保本项目做故障诊断、处理及系统维护及优化等。保障系统在维护服务期间能够正常运行和顺利使用。</w:t>
      </w:r>
    </w:p>
    <w:p w14:paraId="5954DFD6">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cs="宋体"/>
          <w:b/>
          <w:bCs/>
          <w:sz w:val="24"/>
          <w:szCs w:val="24"/>
        </w:rPr>
      </w:pPr>
      <w:r>
        <w:rPr>
          <w:rFonts w:hint="eastAsia" w:ascii="宋体" w:hAnsi="宋体" w:cs="宋体"/>
          <w:b/>
          <w:bCs/>
          <w:sz w:val="24"/>
          <w:szCs w:val="24"/>
        </w:rPr>
        <w:t xml:space="preserve">下列各项不属于服务的范畴： </w:t>
      </w:r>
    </w:p>
    <w:p w14:paraId="3ACB21B9">
      <w:pPr>
        <w:pageBreakBefore w:val="0"/>
        <w:kinsoku/>
        <w:wordWrap/>
        <w:overflowPunct/>
        <w:topLinePunct w:val="0"/>
        <w:autoSpaceDE/>
        <w:autoSpaceDN/>
        <w:bidi w:val="0"/>
        <w:adjustRightInd/>
        <w:spacing w:line="360" w:lineRule="auto"/>
        <w:ind w:left="1260"/>
        <w:textAlignment w:val="auto"/>
        <w:rPr>
          <w:rFonts w:hint="eastAsia" w:ascii="宋体" w:hAnsi="宋体" w:cs="宋体"/>
          <w:color w:val="000000"/>
          <w:sz w:val="24"/>
          <w:szCs w:val="24"/>
        </w:rPr>
      </w:pPr>
      <w:r>
        <w:rPr>
          <w:rFonts w:hint="eastAsia" w:ascii="宋体" w:hAnsi="宋体" w:cs="宋体"/>
          <w:b/>
          <w:color w:val="000000"/>
          <w:sz w:val="24"/>
          <w:szCs w:val="24"/>
          <w:lang w:val="fr-FR"/>
        </w:rPr>
        <w:t>（1）服务器等硬件问题和故障。</w:t>
      </w:r>
    </w:p>
    <w:p w14:paraId="040E7834">
      <w:pPr>
        <w:pageBreakBefore w:val="0"/>
        <w:kinsoku/>
        <w:wordWrap/>
        <w:overflowPunct/>
        <w:topLinePunct w:val="0"/>
        <w:autoSpaceDE/>
        <w:autoSpaceDN/>
        <w:bidi w:val="0"/>
        <w:adjustRightInd/>
        <w:spacing w:line="360" w:lineRule="auto"/>
        <w:ind w:left="1260"/>
        <w:textAlignment w:val="auto"/>
        <w:rPr>
          <w:rFonts w:hint="eastAsia" w:ascii="宋体" w:hAnsi="宋体" w:cs="宋体"/>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fr-FR"/>
        </w:rPr>
        <w:t>网络、防火墙问题和故障。</w:t>
      </w:r>
    </w:p>
    <w:p w14:paraId="5957EB8C">
      <w:pPr>
        <w:pStyle w:val="7"/>
        <w:pageBreakBefore w:val="0"/>
        <w:numPr>
          <w:ilvl w:val="3"/>
          <w:numId w:val="11"/>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技术支持服务</w:t>
      </w:r>
    </w:p>
    <w:p w14:paraId="5F6DB1C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提供本项目的技术支持和技术咨询。</w:t>
      </w:r>
    </w:p>
    <w:p w14:paraId="6A547275">
      <w:pPr>
        <w:pStyle w:val="7"/>
        <w:pageBreakBefore w:val="0"/>
        <w:numPr>
          <w:ilvl w:val="3"/>
          <w:numId w:val="11"/>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远程电话支持服务</w:t>
      </w:r>
    </w:p>
    <w:p w14:paraId="299FBB24">
      <w:pPr>
        <w:pageBreakBefore w:val="0"/>
        <w:kinsoku/>
        <w:wordWrap/>
        <w:overflowPunct/>
        <w:topLinePunct w:val="0"/>
        <w:autoSpaceDE/>
        <w:autoSpaceDN/>
        <w:bidi w:val="0"/>
        <w:adjustRightIn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提供5*10的电话服务支持（客服热线、专门负责此项目工程师电话），不限次。采购方工作人员在使用维保范围内的设备如遇到问题都随时可以从</w:t>
      </w:r>
      <w:r>
        <w:rPr>
          <w:rFonts w:hint="eastAsia" w:ascii="宋体" w:hAnsi="宋体" w:cs="宋体"/>
          <w:sz w:val="24"/>
          <w:szCs w:val="24"/>
        </w:rPr>
        <w:t>成交供应商</w:t>
      </w:r>
      <w:r>
        <w:rPr>
          <w:rFonts w:hint="eastAsia" w:ascii="宋体" w:hAnsi="宋体" w:cs="宋体"/>
          <w:color w:val="000000"/>
          <w:sz w:val="24"/>
          <w:szCs w:val="24"/>
        </w:rPr>
        <w:t>得到电话支持与帮助。</w:t>
      </w:r>
      <w:r>
        <w:rPr>
          <w:rFonts w:hint="eastAsia" w:ascii="宋体" w:hAnsi="宋体" w:cs="宋体"/>
          <w:sz w:val="24"/>
          <w:szCs w:val="24"/>
        </w:rPr>
        <w:t>成交供应商</w:t>
      </w:r>
      <w:r>
        <w:rPr>
          <w:rFonts w:hint="eastAsia" w:ascii="宋体" w:hAnsi="宋体" w:cs="宋体"/>
          <w:color w:val="000000"/>
          <w:sz w:val="24"/>
          <w:szCs w:val="24"/>
        </w:rPr>
        <w:t>一旦接到采购方请求电话，</w:t>
      </w:r>
      <w:r>
        <w:rPr>
          <w:rFonts w:hint="eastAsia" w:ascii="宋体" w:hAnsi="宋体" w:cs="宋体"/>
          <w:sz w:val="24"/>
          <w:szCs w:val="24"/>
        </w:rPr>
        <w:t>成交供应商</w:t>
      </w:r>
      <w:r>
        <w:rPr>
          <w:rFonts w:hint="eastAsia" w:ascii="宋体" w:hAnsi="宋体" w:cs="宋体"/>
          <w:color w:val="000000"/>
          <w:sz w:val="24"/>
          <w:szCs w:val="24"/>
        </w:rPr>
        <w:t>的技术人员将在规定时间内通过电话解决或回答用户所提出的问题。</w:t>
      </w:r>
    </w:p>
    <w:p w14:paraId="7FEF15B4">
      <w:pPr>
        <w:pStyle w:val="7"/>
        <w:pageBreakBefore w:val="0"/>
        <w:numPr>
          <w:ilvl w:val="3"/>
          <w:numId w:val="11"/>
        </w:numPr>
        <w:kinsoku/>
        <w:wordWrap/>
        <w:overflowPunct/>
        <w:topLinePunct w:val="0"/>
        <w:autoSpaceDE/>
        <w:autoSpaceDN/>
        <w:bidi w:val="0"/>
        <w:adjustRightIn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风险应急措施</w:t>
      </w:r>
    </w:p>
    <w:p w14:paraId="0A8DE951">
      <w:pPr>
        <w:pageBreakBefore w:val="0"/>
        <w:kinsoku/>
        <w:wordWrap/>
        <w:overflowPunct/>
        <w:topLinePunct w:val="0"/>
        <w:autoSpaceDE/>
        <w:autoSpaceDN/>
        <w:bidi w:val="0"/>
        <w:adjustRightIn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对于重大突发事件等关系重大的服务要求，</w:t>
      </w:r>
      <w:r>
        <w:rPr>
          <w:rFonts w:hint="eastAsia" w:ascii="宋体" w:hAnsi="宋体" w:cs="宋体"/>
          <w:sz w:val="24"/>
          <w:szCs w:val="24"/>
        </w:rPr>
        <w:t>成交供应商</w:t>
      </w:r>
      <w:r>
        <w:rPr>
          <w:rFonts w:hint="eastAsia" w:ascii="宋体" w:hAnsi="宋体" w:cs="宋体"/>
          <w:color w:val="000000"/>
          <w:sz w:val="24"/>
          <w:szCs w:val="24"/>
        </w:rPr>
        <w:t>将设立专门的应急保障机构，提供7*24小时现场应急支援服务。</w:t>
      </w:r>
    </w:p>
    <w:p w14:paraId="257CBC53">
      <w:pPr>
        <w:pageBreakBefore w:val="0"/>
        <w:kinsoku/>
        <w:wordWrap/>
        <w:overflowPunct/>
        <w:topLinePunct w:val="0"/>
        <w:autoSpaceDE/>
        <w:autoSpaceDN/>
        <w:bidi w:val="0"/>
        <w:adjustRightInd/>
        <w:spacing w:line="360" w:lineRule="auto"/>
        <w:textAlignment w:val="auto"/>
        <w:rPr>
          <w:rFonts w:hint="eastAsia" w:ascii="宋体" w:hAnsi="宋体" w:cs="宋体"/>
          <w:b/>
          <w:bCs/>
          <w:sz w:val="24"/>
          <w:szCs w:val="24"/>
        </w:rPr>
      </w:pPr>
      <w:bookmarkStart w:id="0" w:name="_Toc533078744"/>
      <w:bookmarkStart w:id="1" w:name="_Toc2236309"/>
      <w:bookmarkStart w:id="2" w:name="_Toc533081273"/>
      <w:bookmarkStart w:id="3" w:name="_Toc533081192"/>
      <w:bookmarkStart w:id="4" w:name="_Toc534360118"/>
      <w:bookmarkStart w:id="5" w:name="_Toc534594566"/>
      <w:bookmarkStart w:id="6" w:name="_Toc533078576"/>
      <w:bookmarkStart w:id="7" w:name="_Toc534361393"/>
      <w:bookmarkStart w:id="8" w:name="_Toc533081111"/>
      <w:bookmarkStart w:id="9" w:name="_Toc533081581"/>
      <w:bookmarkStart w:id="10" w:name="_Toc533078663"/>
      <w:r>
        <w:rPr>
          <w:rFonts w:hint="eastAsia" w:ascii="宋体" w:hAnsi="宋体" w:cs="宋体"/>
          <w:b/>
          <w:bCs/>
          <w:sz w:val="24"/>
          <w:szCs w:val="24"/>
        </w:rPr>
        <w:t>（1）故障处理响应（SLA）</w:t>
      </w:r>
      <w:bookmarkEnd w:id="0"/>
      <w:bookmarkEnd w:id="1"/>
      <w:bookmarkEnd w:id="2"/>
      <w:bookmarkEnd w:id="3"/>
      <w:bookmarkEnd w:id="4"/>
      <w:bookmarkEnd w:id="5"/>
      <w:bookmarkEnd w:id="6"/>
      <w:bookmarkEnd w:id="7"/>
      <w:bookmarkEnd w:id="8"/>
      <w:bookmarkEnd w:id="9"/>
      <w:bookmarkEnd w:id="10"/>
    </w:p>
    <w:tbl>
      <w:tblPr>
        <w:tblStyle w:val="8"/>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075"/>
        <w:gridCol w:w="1755"/>
        <w:gridCol w:w="1907"/>
        <w:gridCol w:w="1855"/>
      </w:tblGrid>
      <w:tr w14:paraId="28A3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21" w:type="dxa"/>
            <w:noWrap w:val="0"/>
            <w:vAlign w:val="center"/>
          </w:tcPr>
          <w:p w14:paraId="07F9DDAA">
            <w:pPr>
              <w:keepNext w:val="0"/>
              <w:keepLines w:val="0"/>
              <w:pageBreakBefore w:val="0"/>
              <w:widowControl w:val="0"/>
              <w:kinsoku/>
              <w:wordWrap/>
              <w:overflowPunct/>
              <w:topLinePunct w:val="0"/>
              <w:autoSpaceDE/>
              <w:autoSpaceDN/>
              <w:bidi w:val="0"/>
              <w:adjustRightInd/>
              <w:snapToGrid/>
              <w:spacing w:line="400" w:lineRule="exact"/>
              <w:ind w:firstLine="422"/>
              <w:jc w:val="center"/>
              <w:textAlignment w:val="auto"/>
              <w:rPr>
                <w:rFonts w:hint="eastAsia" w:ascii="宋体" w:hAnsi="宋体" w:cs="宋体"/>
                <w:b/>
                <w:color w:val="000000"/>
                <w:sz w:val="24"/>
                <w:szCs w:val="24"/>
              </w:rPr>
            </w:pPr>
          </w:p>
        </w:tc>
        <w:tc>
          <w:tcPr>
            <w:tcW w:w="2075" w:type="dxa"/>
            <w:noWrap w:val="0"/>
            <w:vAlign w:val="center"/>
          </w:tcPr>
          <w:p w14:paraId="79E848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一级故障</w:t>
            </w:r>
          </w:p>
        </w:tc>
        <w:tc>
          <w:tcPr>
            <w:tcW w:w="1755" w:type="dxa"/>
            <w:noWrap w:val="0"/>
            <w:vAlign w:val="center"/>
          </w:tcPr>
          <w:p w14:paraId="2D43C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二级故障</w:t>
            </w:r>
          </w:p>
        </w:tc>
        <w:tc>
          <w:tcPr>
            <w:tcW w:w="1907" w:type="dxa"/>
            <w:noWrap w:val="0"/>
            <w:vAlign w:val="center"/>
          </w:tcPr>
          <w:p w14:paraId="1D91B6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三级故障</w:t>
            </w:r>
          </w:p>
        </w:tc>
        <w:tc>
          <w:tcPr>
            <w:tcW w:w="1855" w:type="dxa"/>
            <w:noWrap w:val="0"/>
            <w:vAlign w:val="center"/>
          </w:tcPr>
          <w:p w14:paraId="7702F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四级故障</w:t>
            </w:r>
          </w:p>
        </w:tc>
      </w:tr>
      <w:tr w14:paraId="2FB5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1" w:type="dxa"/>
            <w:noWrap w:val="0"/>
            <w:vAlign w:val="center"/>
          </w:tcPr>
          <w:p w14:paraId="5B94E4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故障响应时限</w:t>
            </w:r>
          </w:p>
        </w:tc>
        <w:tc>
          <w:tcPr>
            <w:tcW w:w="2075" w:type="dxa"/>
            <w:noWrap w:val="0"/>
            <w:vAlign w:val="center"/>
          </w:tcPr>
          <w:p w14:paraId="284A06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15分钟</w:t>
            </w:r>
          </w:p>
        </w:tc>
        <w:tc>
          <w:tcPr>
            <w:tcW w:w="1755" w:type="dxa"/>
            <w:noWrap w:val="0"/>
            <w:vAlign w:val="center"/>
          </w:tcPr>
          <w:p w14:paraId="53F7C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40分钟</w:t>
            </w:r>
          </w:p>
        </w:tc>
        <w:tc>
          <w:tcPr>
            <w:tcW w:w="1907" w:type="dxa"/>
            <w:noWrap w:val="0"/>
            <w:vAlign w:val="center"/>
          </w:tcPr>
          <w:p w14:paraId="4FA6F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1小时</w:t>
            </w:r>
          </w:p>
        </w:tc>
        <w:tc>
          <w:tcPr>
            <w:tcW w:w="1855" w:type="dxa"/>
            <w:noWrap w:val="0"/>
            <w:vAlign w:val="center"/>
          </w:tcPr>
          <w:p w14:paraId="2AE4A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2小时</w:t>
            </w:r>
          </w:p>
        </w:tc>
      </w:tr>
      <w:tr w14:paraId="03ED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21" w:type="dxa"/>
            <w:noWrap w:val="0"/>
            <w:vAlign w:val="center"/>
          </w:tcPr>
          <w:p w14:paraId="2C403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故障处理措施</w:t>
            </w:r>
          </w:p>
        </w:tc>
        <w:tc>
          <w:tcPr>
            <w:tcW w:w="2075" w:type="dxa"/>
            <w:noWrap w:val="0"/>
            <w:vAlign w:val="center"/>
          </w:tcPr>
          <w:p w14:paraId="0DAAE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出具相应的故障报告，以及故障修复整改措施及投入的人员配备。</w:t>
            </w:r>
          </w:p>
        </w:tc>
        <w:tc>
          <w:tcPr>
            <w:tcW w:w="1755" w:type="dxa"/>
            <w:noWrap w:val="0"/>
            <w:vAlign w:val="center"/>
          </w:tcPr>
          <w:p w14:paraId="41450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出具相应的故障报告，以及同类型故障的排查。</w:t>
            </w:r>
          </w:p>
        </w:tc>
        <w:tc>
          <w:tcPr>
            <w:tcW w:w="1907" w:type="dxa"/>
            <w:noWrap w:val="0"/>
            <w:vAlign w:val="center"/>
          </w:tcPr>
          <w:p w14:paraId="2709F5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出具故障报告提供故障原因分析，以及同类型故障的排查。</w:t>
            </w:r>
          </w:p>
        </w:tc>
        <w:tc>
          <w:tcPr>
            <w:tcW w:w="1855" w:type="dxa"/>
            <w:noWrap w:val="0"/>
            <w:vAlign w:val="center"/>
          </w:tcPr>
          <w:p w14:paraId="2A0CE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出具故障报告提供故障原因分析。</w:t>
            </w:r>
          </w:p>
        </w:tc>
      </w:tr>
      <w:tr w14:paraId="1732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721" w:type="dxa"/>
            <w:noWrap w:val="0"/>
            <w:vAlign w:val="center"/>
          </w:tcPr>
          <w:p w14:paraId="3EA46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处理期限</w:t>
            </w:r>
          </w:p>
        </w:tc>
        <w:tc>
          <w:tcPr>
            <w:tcW w:w="2075" w:type="dxa"/>
            <w:noWrap w:val="0"/>
            <w:vAlign w:val="center"/>
          </w:tcPr>
          <w:p w14:paraId="36E478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sz w:val="24"/>
                <w:szCs w:val="24"/>
              </w:rPr>
              <w:t>2小时内解决（需100%满足）</w:t>
            </w:r>
          </w:p>
        </w:tc>
        <w:tc>
          <w:tcPr>
            <w:tcW w:w="1755" w:type="dxa"/>
            <w:noWrap w:val="0"/>
            <w:vAlign w:val="center"/>
          </w:tcPr>
          <w:p w14:paraId="1B7DEE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sz w:val="24"/>
                <w:szCs w:val="24"/>
              </w:rPr>
              <w:t>4小时内解决（需98%满足）</w:t>
            </w:r>
          </w:p>
        </w:tc>
        <w:tc>
          <w:tcPr>
            <w:tcW w:w="1907" w:type="dxa"/>
            <w:noWrap w:val="0"/>
            <w:vAlign w:val="center"/>
          </w:tcPr>
          <w:p w14:paraId="6FFE49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sz w:val="24"/>
                <w:szCs w:val="24"/>
              </w:rPr>
              <w:t>24小时内解决（需95%满足）</w:t>
            </w:r>
          </w:p>
        </w:tc>
        <w:tc>
          <w:tcPr>
            <w:tcW w:w="1855" w:type="dxa"/>
            <w:noWrap w:val="0"/>
            <w:vAlign w:val="center"/>
          </w:tcPr>
          <w:p w14:paraId="59939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sz w:val="24"/>
                <w:szCs w:val="24"/>
              </w:rPr>
              <w:t>3自然日或下次系统更新解决（需90%满足）</w:t>
            </w:r>
          </w:p>
        </w:tc>
      </w:tr>
    </w:tbl>
    <w:p w14:paraId="38B4C278">
      <w:pPr>
        <w:spacing w:line="360" w:lineRule="auto"/>
        <w:rPr>
          <w:rFonts w:hint="eastAsia" w:ascii="宋体" w:hAnsi="宋体" w:cs="宋体"/>
          <w:b/>
          <w:bCs/>
          <w:sz w:val="24"/>
          <w:szCs w:val="24"/>
        </w:rPr>
      </w:pPr>
      <w:bookmarkStart w:id="11" w:name="_Toc533081193"/>
      <w:bookmarkStart w:id="12" w:name="_Toc534594567"/>
      <w:bookmarkStart w:id="13" w:name="_Toc533078745"/>
      <w:bookmarkStart w:id="14" w:name="_Toc533078577"/>
      <w:bookmarkStart w:id="15" w:name="_Toc533081274"/>
      <w:bookmarkStart w:id="16" w:name="_Toc533081582"/>
      <w:bookmarkStart w:id="17" w:name="_Toc533081112"/>
      <w:bookmarkStart w:id="18" w:name="_Toc534360119"/>
      <w:bookmarkStart w:id="19" w:name="_Toc533078664"/>
      <w:bookmarkStart w:id="20" w:name="_Toc2236310"/>
      <w:bookmarkStart w:id="21" w:name="_Toc534361394"/>
      <w:r>
        <w:rPr>
          <w:rFonts w:hint="eastAsia" w:ascii="宋体" w:hAnsi="宋体" w:cs="宋体"/>
          <w:b/>
          <w:bCs/>
          <w:sz w:val="24"/>
          <w:szCs w:val="24"/>
        </w:rPr>
        <w:t>（2）故障级别定义（SLA）</w:t>
      </w:r>
      <w:bookmarkEnd w:id="11"/>
      <w:bookmarkEnd w:id="12"/>
      <w:bookmarkEnd w:id="13"/>
      <w:bookmarkEnd w:id="14"/>
      <w:bookmarkEnd w:id="15"/>
      <w:bookmarkEnd w:id="16"/>
      <w:bookmarkEnd w:id="17"/>
      <w:bookmarkEnd w:id="18"/>
      <w:bookmarkEnd w:id="19"/>
      <w:bookmarkEnd w:id="20"/>
      <w:bookmarkEnd w:id="21"/>
    </w:p>
    <w:tbl>
      <w:tblPr>
        <w:tblStyle w:val="8"/>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450"/>
      </w:tblGrid>
      <w:tr w14:paraId="6C95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76" w:type="dxa"/>
            <w:noWrap w:val="0"/>
            <w:vAlign w:val="center"/>
          </w:tcPr>
          <w:p w14:paraId="40FE8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sz w:val="24"/>
                <w:szCs w:val="24"/>
              </w:rPr>
            </w:pPr>
            <w:r>
              <w:rPr>
                <w:rFonts w:hint="eastAsia" w:ascii="宋体" w:hAnsi="宋体" w:cs="宋体"/>
                <w:b/>
                <w:color w:val="000000"/>
                <w:sz w:val="24"/>
                <w:szCs w:val="24"/>
              </w:rPr>
              <w:t>故障级别</w:t>
            </w:r>
          </w:p>
        </w:tc>
        <w:tc>
          <w:tcPr>
            <w:tcW w:w="7450" w:type="dxa"/>
            <w:noWrap w:val="0"/>
            <w:vAlign w:val="center"/>
          </w:tcPr>
          <w:p w14:paraId="4A202D46">
            <w:pPr>
              <w:keepNext w:val="0"/>
              <w:keepLines w:val="0"/>
              <w:pageBreakBefore w:val="0"/>
              <w:widowControl w:val="0"/>
              <w:kinsoku/>
              <w:wordWrap/>
              <w:overflowPunct/>
              <w:topLinePunct w:val="0"/>
              <w:autoSpaceDE/>
              <w:autoSpaceDN/>
              <w:bidi w:val="0"/>
              <w:adjustRightInd/>
              <w:snapToGrid/>
              <w:spacing w:line="400" w:lineRule="exact"/>
              <w:ind w:firstLine="422"/>
              <w:jc w:val="center"/>
              <w:textAlignment w:val="auto"/>
              <w:rPr>
                <w:rFonts w:hint="eastAsia" w:ascii="宋体" w:hAnsi="宋体" w:cs="宋体"/>
                <w:b/>
                <w:color w:val="000000"/>
                <w:sz w:val="24"/>
                <w:szCs w:val="24"/>
              </w:rPr>
            </w:pPr>
            <w:r>
              <w:rPr>
                <w:rFonts w:hint="eastAsia" w:ascii="宋体" w:hAnsi="宋体" w:cs="宋体"/>
                <w:b/>
                <w:color w:val="000000"/>
                <w:sz w:val="24"/>
                <w:szCs w:val="24"/>
              </w:rPr>
              <w:t>级别定义</w:t>
            </w:r>
          </w:p>
        </w:tc>
      </w:tr>
      <w:tr w14:paraId="1ABD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76" w:type="dxa"/>
            <w:noWrap w:val="0"/>
            <w:vAlign w:val="center"/>
          </w:tcPr>
          <w:p w14:paraId="4423F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一级故障</w:t>
            </w:r>
          </w:p>
        </w:tc>
        <w:tc>
          <w:tcPr>
            <w:tcW w:w="7450" w:type="dxa"/>
            <w:noWrap w:val="0"/>
            <w:vAlign w:val="center"/>
          </w:tcPr>
          <w:p w14:paraId="7AD3F650">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hint="eastAsia" w:ascii="宋体" w:hAnsi="宋体" w:cs="宋体"/>
                <w:color w:val="000000"/>
                <w:sz w:val="24"/>
                <w:szCs w:val="24"/>
              </w:rPr>
            </w:pPr>
            <w:r>
              <w:rPr>
                <w:rFonts w:hint="eastAsia" w:ascii="宋体" w:hAnsi="宋体" w:cs="宋体"/>
                <w:sz w:val="24"/>
                <w:szCs w:val="24"/>
              </w:rPr>
              <w:t>由于系统或服务器原因导致系统中止，没有可用的解决方案，使得业务在区域范围内瘫痪，造成重大社会影响或经济影响</w:t>
            </w:r>
          </w:p>
        </w:tc>
      </w:tr>
      <w:tr w14:paraId="6699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76" w:type="dxa"/>
            <w:noWrap w:val="0"/>
            <w:vAlign w:val="center"/>
          </w:tcPr>
          <w:p w14:paraId="0A4F4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二级故障</w:t>
            </w:r>
          </w:p>
        </w:tc>
        <w:tc>
          <w:tcPr>
            <w:tcW w:w="7450" w:type="dxa"/>
            <w:noWrap w:val="0"/>
            <w:vAlign w:val="center"/>
          </w:tcPr>
          <w:p w14:paraId="405C3A24">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hint="eastAsia" w:ascii="宋体" w:hAnsi="宋体" w:cs="宋体"/>
                <w:color w:val="000000"/>
                <w:sz w:val="24"/>
                <w:szCs w:val="24"/>
              </w:rPr>
            </w:pPr>
            <w:r>
              <w:rPr>
                <w:rFonts w:hint="eastAsia" w:ascii="宋体" w:hAnsi="宋体" w:cs="宋体"/>
                <w:sz w:val="24"/>
                <w:szCs w:val="24"/>
              </w:rPr>
              <w:t>系统可运行但部分功能出现故障，且没有可用的解决方案，使得业务中断或对业务造成实质性不良影响</w:t>
            </w:r>
          </w:p>
        </w:tc>
      </w:tr>
      <w:tr w14:paraId="3872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76" w:type="dxa"/>
            <w:noWrap w:val="0"/>
            <w:vAlign w:val="center"/>
          </w:tcPr>
          <w:p w14:paraId="1742BC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三级故障</w:t>
            </w:r>
          </w:p>
        </w:tc>
        <w:tc>
          <w:tcPr>
            <w:tcW w:w="7450" w:type="dxa"/>
            <w:noWrap w:val="0"/>
            <w:vAlign w:val="center"/>
          </w:tcPr>
          <w:p w14:paraId="0645AAEB">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hint="eastAsia" w:ascii="宋体" w:hAnsi="宋体" w:cs="宋体"/>
                <w:color w:val="000000"/>
                <w:sz w:val="24"/>
                <w:szCs w:val="24"/>
              </w:rPr>
            </w:pPr>
            <w:r>
              <w:rPr>
                <w:rFonts w:hint="eastAsia" w:ascii="宋体" w:hAnsi="宋体" w:cs="宋体"/>
                <w:sz w:val="24"/>
                <w:szCs w:val="24"/>
              </w:rPr>
              <w:t>系统可运行但部分功能出现故障，且有可用的解决方案保证业务正常运营。</w:t>
            </w:r>
          </w:p>
        </w:tc>
      </w:tr>
      <w:tr w14:paraId="2E64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76" w:type="dxa"/>
            <w:noWrap w:val="0"/>
            <w:vAlign w:val="center"/>
          </w:tcPr>
          <w:p w14:paraId="70ADF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四级故障</w:t>
            </w:r>
          </w:p>
        </w:tc>
        <w:tc>
          <w:tcPr>
            <w:tcW w:w="7450" w:type="dxa"/>
            <w:noWrap w:val="0"/>
            <w:vAlign w:val="center"/>
          </w:tcPr>
          <w:p w14:paraId="5976282E">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hint="eastAsia" w:ascii="宋体" w:hAnsi="宋体" w:cs="宋体"/>
                <w:color w:val="000000"/>
                <w:sz w:val="24"/>
                <w:szCs w:val="24"/>
              </w:rPr>
            </w:pPr>
            <w:r>
              <w:rPr>
                <w:rFonts w:hint="eastAsia" w:ascii="宋体" w:hAnsi="宋体" w:cs="宋体"/>
                <w:sz w:val="24"/>
                <w:szCs w:val="24"/>
              </w:rPr>
              <w:t>系统可以正常使用，但存在细微问题，基本不影响业务操作，单一的出错时间，且存在解决方案</w:t>
            </w:r>
          </w:p>
        </w:tc>
      </w:tr>
    </w:tbl>
    <w:p w14:paraId="677DBE6D">
      <w:pPr>
        <w:pStyle w:val="7"/>
        <w:pageBreakBefore w:val="0"/>
        <w:widowControl w:val="0"/>
        <w:numPr>
          <w:ilvl w:val="3"/>
          <w:numId w:val="11"/>
        </w:numPr>
        <w:kinsoku/>
        <w:wordWrap/>
        <w:overflowPunct/>
        <w:topLinePunct w:val="0"/>
        <w:autoSpaceDE/>
        <w:autoSpaceDN/>
        <w:bidi w:val="0"/>
        <w:adjustRightInd/>
        <w:snapToGri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问题处理</w:t>
      </w:r>
    </w:p>
    <w:p w14:paraId="7B922730">
      <w:pPr>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根据采购方的使用阶段，可阶段性的入驻陕西省考试院，进行系统中问题的排查和修正，现场处理问题。</w:t>
      </w:r>
    </w:p>
    <w:p w14:paraId="4640E43D">
      <w:pPr>
        <w:pStyle w:val="7"/>
        <w:pageBreakBefore w:val="0"/>
        <w:widowControl w:val="0"/>
        <w:numPr>
          <w:ilvl w:val="3"/>
          <w:numId w:val="11"/>
        </w:numPr>
        <w:kinsoku/>
        <w:wordWrap/>
        <w:overflowPunct/>
        <w:topLinePunct w:val="0"/>
        <w:autoSpaceDE/>
        <w:autoSpaceDN/>
        <w:bidi w:val="0"/>
        <w:adjustRightInd/>
        <w:snapToGri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功能变更</w:t>
      </w:r>
    </w:p>
    <w:p w14:paraId="176C5A2A">
      <w:pPr>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根据采购人的使用过程中，业务流程的调整，可在较小的变更范围内，给予技术支持，完成相关功能的修正。</w:t>
      </w:r>
    </w:p>
    <w:p w14:paraId="251D6177">
      <w:pPr>
        <w:pStyle w:val="7"/>
        <w:pageBreakBefore w:val="0"/>
        <w:widowControl w:val="0"/>
        <w:numPr>
          <w:ilvl w:val="3"/>
          <w:numId w:val="11"/>
        </w:numPr>
        <w:kinsoku/>
        <w:wordWrap/>
        <w:overflowPunct/>
        <w:topLinePunct w:val="0"/>
        <w:autoSpaceDE/>
        <w:autoSpaceDN/>
        <w:bidi w:val="0"/>
        <w:adjustRightInd/>
        <w:snapToGri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现场服务</w:t>
      </w:r>
    </w:p>
    <w:p w14:paraId="1CD506BF">
      <w:pPr>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如果采购方项目在系统开发维护期内，由于环境、设备、人为等原因，造成系统瘫痪或反应速度超过系统设计的指标等通过电话无法排除的严重故障时，</w:t>
      </w:r>
      <w:r>
        <w:rPr>
          <w:rFonts w:hint="eastAsia" w:ascii="宋体" w:hAnsi="宋体" w:cs="宋体"/>
          <w:sz w:val="24"/>
          <w:szCs w:val="24"/>
        </w:rPr>
        <w:t>成交供应商</w:t>
      </w:r>
      <w:r>
        <w:rPr>
          <w:rFonts w:hint="eastAsia" w:ascii="宋体" w:hAnsi="宋体" w:cs="宋体"/>
          <w:color w:val="000000"/>
          <w:sz w:val="24"/>
          <w:szCs w:val="24"/>
        </w:rPr>
        <w:t>应在采购人发出故障信息通知后2小时内派遣工程师到达现场，协助系统运营商恢复系统的运行，并在排除故障后 1日内将故障原因、解决办法、处理结果上报给采购人。</w:t>
      </w:r>
    </w:p>
    <w:p w14:paraId="089B6A65">
      <w:pPr>
        <w:pStyle w:val="7"/>
        <w:pageBreakBefore w:val="0"/>
        <w:widowControl w:val="0"/>
        <w:numPr>
          <w:ilvl w:val="3"/>
          <w:numId w:val="11"/>
        </w:numPr>
        <w:kinsoku/>
        <w:wordWrap/>
        <w:overflowPunct/>
        <w:topLinePunct w:val="0"/>
        <w:autoSpaceDE/>
        <w:autoSpaceDN/>
        <w:bidi w:val="0"/>
        <w:adjustRightInd/>
        <w:snapToGrid/>
        <w:spacing w:before="0" w:beforeLines="0" w:after="0" w:afterLines="0" w:line="360" w:lineRule="auto"/>
        <w:ind w:left="720" w:leftChars="0" w:hanging="720" w:firstLineChars="0"/>
        <w:textAlignment w:val="auto"/>
        <w:rPr>
          <w:rFonts w:hint="eastAsia" w:ascii="宋体" w:hAnsi="宋体" w:eastAsia="宋体" w:cs="宋体"/>
          <w:b/>
          <w:sz w:val="24"/>
          <w:szCs w:val="24"/>
        </w:rPr>
      </w:pPr>
      <w:r>
        <w:rPr>
          <w:rFonts w:hint="eastAsia" w:ascii="宋体" w:hAnsi="宋体" w:eastAsia="宋体" w:cs="宋体"/>
          <w:b/>
          <w:sz w:val="24"/>
          <w:szCs w:val="24"/>
        </w:rPr>
        <w:t xml:space="preserve">功能升级 </w:t>
      </w:r>
    </w:p>
    <w:p w14:paraId="605973F2">
      <w:pPr>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000000"/>
          <w:sz w:val="24"/>
          <w:szCs w:val="24"/>
        </w:rPr>
      </w:pPr>
      <w:r>
        <w:rPr>
          <w:rFonts w:hint="eastAsia" w:ascii="宋体" w:hAnsi="宋体" w:cs="宋体"/>
          <w:color w:val="000000"/>
          <w:sz w:val="24"/>
          <w:szCs w:val="24"/>
        </w:rPr>
        <w:t>如采购方需要对项目进行功能修改或性能升级，需将具体的改动内容以文档形式发送给</w:t>
      </w:r>
      <w:r>
        <w:rPr>
          <w:rFonts w:hint="eastAsia" w:ascii="宋体" w:hAnsi="宋体" w:cs="宋体"/>
          <w:sz w:val="24"/>
          <w:szCs w:val="24"/>
        </w:rPr>
        <w:t>成交供应商</w:t>
      </w:r>
      <w:r>
        <w:rPr>
          <w:rFonts w:hint="eastAsia" w:ascii="宋体" w:hAnsi="宋体" w:cs="宋体"/>
          <w:color w:val="000000"/>
          <w:sz w:val="24"/>
          <w:szCs w:val="24"/>
        </w:rPr>
        <w:t>，</w:t>
      </w:r>
      <w:r>
        <w:rPr>
          <w:rFonts w:hint="eastAsia" w:ascii="宋体" w:hAnsi="宋体" w:cs="宋体"/>
          <w:sz w:val="24"/>
          <w:szCs w:val="24"/>
        </w:rPr>
        <w:t>成交供应商</w:t>
      </w:r>
      <w:r>
        <w:rPr>
          <w:rFonts w:hint="eastAsia" w:ascii="宋体" w:hAnsi="宋体" w:cs="宋体"/>
          <w:color w:val="000000"/>
          <w:sz w:val="24"/>
          <w:szCs w:val="24"/>
        </w:rPr>
        <w:t>根据文档中的具体要求进行相应的工作量评估并形成方案，工作量以日为单位。</w:t>
      </w:r>
      <w:r>
        <w:rPr>
          <w:rFonts w:hint="eastAsia" w:ascii="宋体" w:hAnsi="宋体" w:cs="宋体"/>
          <w:sz w:val="24"/>
          <w:szCs w:val="24"/>
        </w:rPr>
        <w:t>成交供应商</w:t>
      </w:r>
      <w:r>
        <w:rPr>
          <w:rFonts w:hint="eastAsia" w:ascii="宋体" w:hAnsi="宋体" w:cs="宋体"/>
          <w:color w:val="000000"/>
          <w:sz w:val="24"/>
          <w:szCs w:val="24"/>
        </w:rPr>
        <w:t>评估出的工作量经过采购方确认后形成任务单。任务单须双方负责人签字确认后，</w:t>
      </w:r>
      <w:r>
        <w:rPr>
          <w:rFonts w:hint="eastAsia" w:ascii="宋体" w:hAnsi="宋体" w:cs="宋体"/>
          <w:sz w:val="24"/>
          <w:szCs w:val="24"/>
        </w:rPr>
        <w:t>成交供应商</w:t>
      </w:r>
      <w:r>
        <w:rPr>
          <w:rFonts w:hint="eastAsia" w:ascii="宋体" w:hAnsi="宋体" w:cs="宋体"/>
          <w:color w:val="000000"/>
          <w:sz w:val="24"/>
          <w:szCs w:val="24"/>
        </w:rPr>
        <w:t>按照方案计划完成相应的工作。在紧急情况下可先行口头协议，事后应立即补充书面协议。</w:t>
      </w:r>
    </w:p>
    <w:p w14:paraId="3D6CB23E">
      <w:pPr>
        <w:pStyle w:val="5"/>
        <w:pageBreakBefore w:val="0"/>
        <w:widowControl w:val="0"/>
        <w:numPr>
          <w:ilvl w:val="1"/>
          <w:numId w:val="8"/>
        </w:numPr>
        <w:kinsoku/>
        <w:wordWrap/>
        <w:overflowPunct/>
        <w:topLinePunct w:val="0"/>
        <w:autoSpaceDE/>
        <w:autoSpaceDN/>
        <w:bidi w:val="0"/>
        <w:adjustRightInd/>
        <w:snapToGrid/>
        <w:spacing w:before="0" w:beforeLines="0" w:after="0" w:afterLines="0" w:line="360" w:lineRule="auto"/>
        <w:ind w:left="525" w:leftChars="0" w:hanging="5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项目主要交付文档要求</w:t>
      </w:r>
    </w:p>
    <w:p w14:paraId="33334841">
      <w:pPr>
        <w:pageBreakBefore w:val="0"/>
        <w:widowControl w:val="0"/>
        <w:kinsoku/>
        <w:wordWrap/>
        <w:overflowPunct/>
        <w:topLinePunct w:val="0"/>
        <w:autoSpaceDE/>
        <w:autoSpaceDN/>
        <w:bidi w:val="0"/>
        <w:adjustRightInd/>
        <w:snapToGrid/>
        <w:spacing w:line="360" w:lineRule="auto"/>
        <w:ind w:firstLine="440"/>
        <w:jc w:val="left"/>
        <w:textAlignment w:val="auto"/>
        <w:rPr>
          <w:rFonts w:hint="eastAsia" w:ascii="宋体" w:hAnsi="宋体" w:cs="宋体"/>
          <w:sz w:val="24"/>
          <w:szCs w:val="24"/>
        </w:rPr>
      </w:pPr>
      <w:r>
        <w:rPr>
          <w:rFonts w:hint="eastAsia" w:ascii="宋体" w:hAnsi="宋体" w:cs="宋体"/>
          <w:sz w:val="24"/>
          <w:szCs w:val="24"/>
        </w:rPr>
        <w:t>供应商在实施本项目过程中，为更好的完成向最终用户的知识转移，需要向用户至少提供以下文档（包含但不限于）：</w:t>
      </w:r>
    </w:p>
    <w:p w14:paraId="2B2CC533">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1.业务蓝图设计报告</w:t>
      </w:r>
    </w:p>
    <w:p w14:paraId="6187D1A0">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2.客户化开发需求清单</w:t>
      </w:r>
    </w:p>
    <w:p w14:paraId="15578145">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3.客户化设计说明</w:t>
      </w:r>
    </w:p>
    <w:p w14:paraId="3AFCF83C">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4.客户化测试文档</w:t>
      </w:r>
    </w:p>
    <w:p w14:paraId="7364E254">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 xml:space="preserve">5.系统整体架构设计方案 </w:t>
      </w:r>
    </w:p>
    <w:p w14:paraId="6C303E4B">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6.测试用例文档、测试结果报告</w:t>
      </w:r>
    </w:p>
    <w:p w14:paraId="28761F3B">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 xml:space="preserve">7.用户标准操作手册 </w:t>
      </w:r>
    </w:p>
    <w:p w14:paraId="3C7999EB">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8.权限规划和划分以及设置文档</w:t>
      </w:r>
    </w:p>
    <w:p w14:paraId="1270165C">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9.系统培训文档</w:t>
      </w:r>
    </w:p>
    <w:p w14:paraId="3753027D">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10.系统配置文档</w:t>
      </w:r>
    </w:p>
    <w:p w14:paraId="4206A13C">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11.系统试运行方案</w:t>
      </w:r>
    </w:p>
    <w:p w14:paraId="056ECF5A">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12.系统安装说明书</w:t>
      </w:r>
    </w:p>
    <w:p w14:paraId="7B7705D8">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13.系统管理员手册</w:t>
      </w:r>
    </w:p>
    <w:p w14:paraId="047CF68D">
      <w:pPr>
        <w:pageBreakBefore w:val="0"/>
        <w:widowControl w:val="0"/>
        <w:tabs>
          <w:tab w:val="left" w:pos="5627"/>
        </w:tabs>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z w:val="24"/>
          <w:szCs w:val="24"/>
          <w:lang w:eastAsia="zh-CN"/>
        </w:rPr>
      </w:pPr>
      <w:r>
        <w:rPr>
          <w:rFonts w:hint="eastAsia" w:ascii="宋体" w:hAnsi="宋体" w:cs="宋体"/>
          <w:sz w:val="24"/>
          <w:szCs w:val="24"/>
        </w:rPr>
        <w:t>14.上线支持保障方案</w:t>
      </w:r>
      <w:r>
        <w:rPr>
          <w:rFonts w:hint="eastAsia" w:ascii="宋体" w:hAnsi="宋体" w:cs="宋体"/>
          <w:sz w:val="24"/>
          <w:szCs w:val="24"/>
          <w:lang w:eastAsia="zh-CN"/>
        </w:rPr>
        <w:tab/>
      </w:r>
    </w:p>
    <w:p w14:paraId="783BA731">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15.系统上线方案设计</w:t>
      </w:r>
    </w:p>
    <w:p w14:paraId="122DC0DA">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16.运维方案</w:t>
      </w:r>
    </w:p>
    <w:p w14:paraId="3B27DE9C">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17.问题/缺陷记录</w:t>
      </w:r>
    </w:p>
    <w:p w14:paraId="11F60756">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18.系统安装部署环境文档、操作步骤文档</w:t>
      </w:r>
    </w:p>
    <w:p w14:paraId="4408ADDB">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19.详细的数据结构文档</w:t>
      </w:r>
    </w:p>
    <w:p w14:paraId="34E85273">
      <w:pPr>
        <w:pageBreakBefore w:val="0"/>
        <w:widowControl w:val="0"/>
        <w:kinsoku/>
        <w:wordWrap/>
        <w:overflowPunct/>
        <w:topLinePunct w:val="0"/>
        <w:autoSpaceDE/>
        <w:autoSpaceDN/>
        <w:bidi w:val="0"/>
        <w:adjustRightInd/>
        <w:snapToGrid/>
        <w:spacing w:line="360" w:lineRule="auto"/>
        <w:ind w:left="420"/>
        <w:jc w:val="left"/>
        <w:textAlignment w:val="auto"/>
        <w:rPr>
          <w:rFonts w:hint="eastAsia" w:ascii="宋体" w:hAnsi="宋体" w:cs="宋体"/>
          <w:sz w:val="24"/>
          <w:szCs w:val="24"/>
        </w:rPr>
      </w:pPr>
      <w:r>
        <w:rPr>
          <w:rFonts w:hint="eastAsia" w:ascii="宋体" w:hAnsi="宋体" w:cs="宋体"/>
          <w:sz w:val="24"/>
          <w:szCs w:val="24"/>
        </w:rPr>
        <w:t>20.程序源代码、清晰的源代码注释</w:t>
      </w:r>
    </w:p>
    <w:p w14:paraId="3836D3AC">
      <w:bookmarkStart w:id="22" w:name="_GoBack"/>
      <w:bookmarkEnd w:id="2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501B"/>
    <w:multiLevelType w:val="multilevel"/>
    <w:tmpl w:val="806A501B"/>
    <w:lvl w:ilvl="0" w:tentative="0">
      <w:start w:val="2"/>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3"/>
      <w:numFmt w:val="decimal"/>
      <w:isLgl/>
      <w:lvlText w:val="%1.%2.%3."/>
      <w:lvlJc w:val="left"/>
      <w:pPr>
        <w:tabs>
          <w:tab w:val="left" w:pos="420"/>
        </w:tabs>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1">
    <w:nsid w:val="85E42135"/>
    <w:multiLevelType w:val="multilevel"/>
    <w:tmpl w:val="85E42135"/>
    <w:lvl w:ilvl="0" w:tentative="0">
      <w:start w:val="3"/>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eastAsia" w:ascii="宋体" w:hAnsi="宋体" w:eastAsia="宋体" w:cs="宋体"/>
        <w:sz w:val="28"/>
        <w:szCs w:val="28"/>
      </w:rPr>
    </w:lvl>
    <w:lvl w:ilvl="2" w:tentative="0">
      <w:start w:val="1"/>
      <w:numFmt w:val="decimal"/>
      <w:isLgl/>
      <w:lvlText w:val="%1.%2.%3."/>
      <w:lvlJc w:val="left"/>
      <w:pPr>
        <w:ind w:left="720" w:hanging="720"/>
      </w:pPr>
      <w:rPr>
        <w:rFonts w:hint="eastAsia" w:ascii="宋体" w:hAnsi="宋体" w:eastAsia="宋体" w:cs="宋体"/>
        <w:sz w:val="24"/>
      </w:rPr>
    </w:lvl>
    <w:lvl w:ilvl="3" w:tentative="0">
      <w:start w:val="1"/>
      <w:numFmt w:val="decimal"/>
      <w:isLgl/>
      <w:lvlText w:val="%1.%2.%3.%4."/>
      <w:lvlJc w:val="left"/>
      <w:pPr>
        <w:ind w:left="720" w:hanging="720"/>
      </w:pPr>
      <w:rPr>
        <w:rFonts w:hint="eastAsia" w:ascii="宋体" w:hAnsi="宋体" w:eastAsia="宋体" w:cs="宋体"/>
        <w:sz w:val="24"/>
      </w:rPr>
    </w:lvl>
    <w:lvl w:ilvl="4" w:tentative="0">
      <w:start w:val="1"/>
      <w:numFmt w:val="decimal"/>
      <w:isLgl/>
      <w:lvlText w:val="%1.%2.%3.%4.%5."/>
      <w:lvlJc w:val="left"/>
      <w:pPr>
        <w:ind w:left="1080" w:hanging="1080"/>
      </w:pPr>
      <w:rPr>
        <w:rFonts w:hint="eastAsia" w:ascii="宋体" w:hAnsi="宋体" w:eastAsia="宋体" w:cs="宋体"/>
        <w:sz w:val="24"/>
      </w:rPr>
    </w:lvl>
    <w:lvl w:ilvl="5" w:tentative="0">
      <w:start w:val="1"/>
      <w:numFmt w:val="decimal"/>
      <w:isLgl/>
      <w:lvlText w:val="%1.%2.%3.%4.%5.%6."/>
      <w:lvlJc w:val="left"/>
      <w:pPr>
        <w:ind w:left="1080" w:hanging="1080"/>
      </w:pPr>
      <w:rPr>
        <w:rFonts w:hint="eastAsia" w:ascii="宋体" w:hAnsi="宋体" w:eastAsia="宋体" w:cs="宋体"/>
        <w:sz w:val="24"/>
      </w:rPr>
    </w:lvl>
    <w:lvl w:ilvl="6" w:tentative="0">
      <w:start w:val="1"/>
      <w:numFmt w:val="decimal"/>
      <w:isLgl/>
      <w:lvlText w:val="%1.%2.%3.%4.%5.%6.%7."/>
      <w:lvlJc w:val="left"/>
      <w:pPr>
        <w:ind w:left="1440" w:hanging="1440"/>
      </w:pPr>
      <w:rPr>
        <w:rFonts w:hint="eastAsia" w:ascii="宋体" w:hAnsi="宋体" w:eastAsia="宋体" w:cs="宋体"/>
        <w:sz w:val="24"/>
      </w:rPr>
    </w:lvl>
    <w:lvl w:ilvl="7" w:tentative="0">
      <w:start w:val="1"/>
      <w:numFmt w:val="decimal"/>
      <w:isLgl/>
      <w:lvlText w:val="%1.%2.%3.%4.%5.%6.%7.%8."/>
      <w:lvlJc w:val="left"/>
      <w:pPr>
        <w:ind w:left="1440" w:hanging="1440"/>
      </w:pPr>
      <w:rPr>
        <w:rFonts w:hint="eastAsia" w:ascii="宋体" w:hAnsi="宋体" w:eastAsia="宋体" w:cs="宋体"/>
        <w:sz w:val="24"/>
      </w:rPr>
    </w:lvl>
    <w:lvl w:ilvl="8" w:tentative="0">
      <w:start w:val="1"/>
      <w:numFmt w:val="decimal"/>
      <w:isLgl/>
      <w:lvlText w:val="%1.%2.%3.%4.%5.%6.%7.%8.%9."/>
      <w:lvlJc w:val="left"/>
      <w:pPr>
        <w:ind w:left="1440" w:hanging="1440"/>
      </w:pPr>
      <w:rPr>
        <w:rFonts w:hint="eastAsia" w:ascii="宋体" w:hAnsi="宋体" w:eastAsia="宋体" w:cs="宋体"/>
        <w:sz w:val="24"/>
      </w:rPr>
    </w:lvl>
  </w:abstractNum>
  <w:abstractNum w:abstractNumId="2">
    <w:nsid w:val="AF3BE160"/>
    <w:multiLevelType w:val="multilevel"/>
    <w:tmpl w:val="AF3BE160"/>
    <w:lvl w:ilvl="0" w:tentative="0">
      <w:start w:val="3"/>
      <w:numFmt w:val="decimal"/>
      <w:lvlText w:val="%1."/>
      <w:lvlJc w:val="left"/>
      <w:pPr>
        <w:tabs>
          <w:tab w:val="left" w:pos="420"/>
        </w:tabs>
        <w:ind w:left="420" w:hanging="420"/>
      </w:pPr>
      <w:rPr>
        <w:rFonts w:hint="default"/>
      </w:rPr>
    </w:lvl>
    <w:lvl w:ilvl="1" w:tentative="0">
      <w:start w:val="5"/>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1"/>
      <w:numFmt w:val="decimal"/>
      <w:isLgl/>
      <w:lvlText w:val="%1.%2.%3."/>
      <w:lvlJc w:val="left"/>
      <w:pPr>
        <w:tabs>
          <w:tab w:val="left" w:pos="420"/>
        </w:tabs>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3">
    <w:nsid w:val="BB1D222F"/>
    <w:multiLevelType w:val="multilevel"/>
    <w:tmpl w:val="BB1D222F"/>
    <w:lvl w:ilvl="0" w:tentative="0">
      <w:start w:val="2"/>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1"/>
      <w:numFmt w:val="decimal"/>
      <w:isLgl/>
      <w:lvlText w:val="%1.%2.%3."/>
      <w:lvlJc w:val="left"/>
      <w:pPr>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4">
    <w:nsid w:val="CB528AC0"/>
    <w:multiLevelType w:val="singleLevel"/>
    <w:tmpl w:val="CB528AC0"/>
    <w:lvl w:ilvl="0" w:tentative="0">
      <w:start w:val="1"/>
      <w:numFmt w:val="bullet"/>
      <w:lvlText w:val=""/>
      <w:lvlJc w:val="left"/>
      <w:pPr>
        <w:tabs>
          <w:tab w:val="left" w:pos="0"/>
        </w:tabs>
        <w:ind w:left="420" w:hanging="420"/>
      </w:pPr>
      <w:rPr>
        <w:rFonts w:hint="default" w:ascii="Wingdings" w:hAnsi="Wingdings"/>
      </w:rPr>
    </w:lvl>
  </w:abstractNum>
  <w:abstractNum w:abstractNumId="5">
    <w:nsid w:val="F15ED0D2"/>
    <w:multiLevelType w:val="multilevel"/>
    <w:tmpl w:val="F15ED0D2"/>
    <w:lvl w:ilvl="0" w:tentative="0">
      <w:start w:val="2"/>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2"/>
      <w:numFmt w:val="decimal"/>
      <w:isLgl/>
      <w:lvlText w:val="%1.%2.%3."/>
      <w:lvlJc w:val="left"/>
      <w:pPr>
        <w:tabs>
          <w:tab w:val="left" w:pos="420"/>
        </w:tabs>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6">
    <w:nsid w:val="F85CC0B5"/>
    <w:multiLevelType w:val="singleLevel"/>
    <w:tmpl w:val="F85CC0B5"/>
    <w:lvl w:ilvl="0" w:tentative="0">
      <w:start w:val="1"/>
      <w:numFmt w:val="chineseCounting"/>
      <w:suff w:val="nothing"/>
      <w:lvlText w:val="%1、"/>
      <w:lvlJc w:val="left"/>
      <w:pPr>
        <w:ind w:left="0" w:firstLine="420"/>
      </w:pPr>
      <w:rPr>
        <w:rFonts w:hint="eastAsia"/>
      </w:rPr>
    </w:lvl>
  </w:abstractNum>
  <w:abstractNum w:abstractNumId="7">
    <w:nsid w:val="0F727C84"/>
    <w:multiLevelType w:val="multilevel"/>
    <w:tmpl w:val="0F727C84"/>
    <w:lvl w:ilvl="0" w:tentative="0">
      <w:start w:val="3"/>
      <w:numFmt w:val="decimal"/>
      <w:lvlText w:val="%1."/>
      <w:lvlJc w:val="left"/>
      <w:pPr>
        <w:tabs>
          <w:tab w:val="left" w:pos="420"/>
        </w:tabs>
        <w:ind w:left="420" w:hanging="420"/>
      </w:pPr>
      <w:rPr>
        <w:rFonts w:hint="default"/>
      </w:rPr>
    </w:lvl>
    <w:lvl w:ilvl="1" w:tentative="0">
      <w:start w:val="5"/>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4"/>
      <w:numFmt w:val="decimal"/>
      <w:isLgl/>
      <w:lvlText w:val="%1.%2.%3."/>
      <w:lvlJc w:val="left"/>
      <w:pPr>
        <w:tabs>
          <w:tab w:val="left" w:pos="420"/>
        </w:tabs>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8">
    <w:nsid w:val="2858866D"/>
    <w:multiLevelType w:val="multilevel"/>
    <w:tmpl w:val="2858866D"/>
    <w:lvl w:ilvl="0" w:tentative="0">
      <w:start w:val="2"/>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default" w:ascii="宋体" w:hAnsi="宋体" w:eastAsia="宋体" w:cs="宋体"/>
        <w:sz w:val="28"/>
        <w:szCs w:val="28"/>
      </w:rPr>
    </w:lvl>
    <w:lvl w:ilvl="2" w:tentative="0">
      <w:start w:val="1"/>
      <w:numFmt w:val="decimal"/>
      <w:isLgl/>
      <w:lvlText w:val="%1.%2.%3."/>
      <w:lvlJc w:val="left"/>
      <w:pPr>
        <w:tabs>
          <w:tab w:val="left" w:pos="420"/>
        </w:tabs>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9">
    <w:nsid w:val="2BA10395"/>
    <w:multiLevelType w:val="multilevel"/>
    <w:tmpl w:val="2BA10395"/>
    <w:lvl w:ilvl="0" w:tentative="0">
      <w:start w:val="1"/>
      <w:numFmt w:val="chineseCountingThousand"/>
      <w:lvlText w:val="%1."/>
      <w:lvlJc w:val="left"/>
      <w:pPr>
        <w:ind w:left="420" w:hanging="420"/>
      </w:pPr>
      <w:rPr>
        <w:rFonts w:hint="eastAsia"/>
      </w:rPr>
    </w:lvl>
    <w:lvl w:ilvl="1" w:tentative="0">
      <w:start w:val="1"/>
      <w:numFmt w:val="decimal"/>
      <w:isLgl/>
      <w:suff w:val="space"/>
      <w:lvlText w:val="%1.%2."/>
      <w:lvlJc w:val="left"/>
      <w:pPr>
        <w:ind w:left="525" w:hanging="525"/>
      </w:pPr>
      <w:rPr>
        <w:rFonts w:hint="default" w:ascii="宋体" w:hAnsi="宋体" w:eastAsia="宋体" w:cs="宋体"/>
        <w:sz w:val="28"/>
        <w:szCs w:val="28"/>
      </w:rPr>
    </w:lvl>
    <w:lvl w:ilvl="2" w:tentative="0">
      <w:start w:val="1"/>
      <w:numFmt w:val="decimal"/>
      <w:isLgl/>
      <w:lvlText w:val="%1.%2.%3."/>
      <w:lvlJc w:val="left"/>
      <w:pPr>
        <w:ind w:left="720" w:hanging="720"/>
      </w:pPr>
      <w:rPr>
        <w:rFonts w:hint="default" w:ascii="宋体" w:hAnsi="宋体" w:eastAsia="宋体" w:cs="宋体"/>
        <w:sz w:val="24"/>
      </w:rPr>
    </w:lvl>
    <w:lvl w:ilvl="3" w:tentative="0">
      <w:start w:val="1"/>
      <w:numFmt w:val="decimal"/>
      <w:isLgl/>
      <w:lvlText w:val="%1.%2.%3.%4."/>
      <w:lvlJc w:val="left"/>
      <w:pPr>
        <w:ind w:left="720" w:hanging="720"/>
      </w:pPr>
      <w:rPr>
        <w:rFonts w:hint="default" w:ascii="宋体" w:hAnsi="宋体" w:eastAsia="宋体" w:cs="宋体"/>
        <w:sz w:val="24"/>
      </w:rPr>
    </w:lvl>
    <w:lvl w:ilvl="4" w:tentative="0">
      <w:start w:val="1"/>
      <w:numFmt w:val="decimal"/>
      <w:isLgl/>
      <w:lvlText w:val="%1.%2.%3.%4.%5."/>
      <w:lvlJc w:val="left"/>
      <w:pPr>
        <w:ind w:left="1080" w:hanging="1080"/>
      </w:pPr>
      <w:rPr>
        <w:rFonts w:hint="default" w:ascii="宋体" w:hAnsi="宋体" w:eastAsia="宋体" w:cs="宋体"/>
        <w:sz w:val="24"/>
      </w:rPr>
    </w:lvl>
    <w:lvl w:ilvl="5" w:tentative="0">
      <w:start w:val="1"/>
      <w:numFmt w:val="decimal"/>
      <w:isLgl/>
      <w:lvlText w:val="%1.%2.%3.%4.%5.%6."/>
      <w:lvlJc w:val="left"/>
      <w:pPr>
        <w:ind w:left="1080" w:hanging="1080"/>
      </w:pPr>
      <w:rPr>
        <w:rFonts w:hint="default" w:ascii="宋体" w:hAnsi="宋体" w:eastAsia="宋体" w:cs="宋体"/>
        <w:sz w:val="24"/>
      </w:rPr>
    </w:lvl>
    <w:lvl w:ilvl="6" w:tentative="0">
      <w:start w:val="1"/>
      <w:numFmt w:val="decimal"/>
      <w:isLgl/>
      <w:lvlText w:val="%1.%2.%3.%4.%5.%6.%7."/>
      <w:lvlJc w:val="left"/>
      <w:pPr>
        <w:ind w:left="1440" w:hanging="1440"/>
      </w:pPr>
      <w:rPr>
        <w:rFonts w:hint="default" w:ascii="宋体" w:hAnsi="宋体" w:eastAsia="宋体" w:cs="宋体"/>
        <w:sz w:val="24"/>
      </w:rPr>
    </w:lvl>
    <w:lvl w:ilvl="7" w:tentative="0">
      <w:start w:val="1"/>
      <w:numFmt w:val="decimal"/>
      <w:isLgl/>
      <w:lvlText w:val="%1.%2.%3.%4.%5.%6.%7.%8."/>
      <w:lvlJc w:val="left"/>
      <w:pPr>
        <w:ind w:left="1440" w:hanging="1440"/>
      </w:pPr>
      <w:rPr>
        <w:rFonts w:hint="default" w:ascii="宋体" w:hAnsi="宋体" w:eastAsia="宋体" w:cs="宋体"/>
        <w:sz w:val="24"/>
      </w:rPr>
    </w:lvl>
    <w:lvl w:ilvl="8" w:tentative="0">
      <w:start w:val="1"/>
      <w:numFmt w:val="decimal"/>
      <w:isLgl/>
      <w:lvlText w:val="%1.%2.%3.%4.%5.%6.%7.%8.%9."/>
      <w:lvlJc w:val="left"/>
      <w:pPr>
        <w:ind w:left="1440" w:hanging="1440"/>
      </w:pPr>
      <w:rPr>
        <w:rFonts w:hint="default" w:ascii="宋体" w:hAnsi="宋体" w:eastAsia="宋体" w:cs="宋体"/>
        <w:sz w:val="24"/>
      </w:rPr>
    </w:lvl>
  </w:abstractNum>
  <w:abstractNum w:abstractNumId="10">
    <w:nsid w:val="3DF50D30"/>
    <w:multiLevelType w:val="multilevel"/>
    <w:tmpl w:val="3DF50D30"/>
    <w:lvl w:ilvl="0" w:tentative="0">
      <w:start w:val="2"/>
      <w:numFmt w:val="decimal"/>
      <w:lvlText w:val="%1."/>
      <w:lvlJc w:val="left"/>
      <w:pPr>
        <w:tabs>
          <w:tab w:val="left" w:pos="420"/>
        </w:tabs>
        <w:ind w:left="420" w:hanging="420"/>
      </w:pPr>
      <w:rPr>
        <w:rFonts w:hint="default"/>
      </w:rPr>
    </w:lvl>
    <w:lvl w:ilvl="1" w:tentative="0">
      <w:start w:val="1"/>
      <w:numFmt w:val="decimal"/>
      <w:isLgl/>
      <w:suff w:val="space"/>
      <w:lvlText w:val="%1.%2."/>
      <w:lvlJc w:val="left"/>
      <w:pPr>
        <w:tabs>
          <w:tab w:val="left" w:pos="420"/>
        </w:tabs>
        <w:ind w:left="525" w:hanging="525"/>
      </w:pPr>
      <w:rPr>
        <w:rFonts w:hint="eastAsia" w:ascii="宋体" w:hAnsi="宋体" w:eastAsia="宋体" w:cs="宋体"/>
        <w:sz w:val="28"/>
        <w:szCs w:val="28"/>
      </w:rPr>
    </w:lvl>
    <w:lvl w:ilvl="2" w:tentative="0">
      <w:start w:val="1"/>
      <w:numFmt w:val="decimal"/>
      <w:isLgl/>
      <w:lvlText w:val="%1.%2.%3."/>
      <w:lvlJc w:val="left"/>
      <w:pPr>
        <w:ind w:left="720" w:hanging="720"/>
      </w:pPr>
      <w:rPr>
        <w:rFonts w:hint="eastAsia" w:ascii="宋体" w:hAnsi="宋体" w:eastAsia="宋体" w:cs="宋体"/>
        <w:sz w:val="24"/>
      </w:rPr>
    </w:lvl>
    <w:lvl w:ilvl="3" w:tentative="0">
      <w:start w:val="1"/>
      <w:numFmt w:val="decimal"/>
      <w:isLgl/>
      <w:lvlText w:val="%1.%2.%3.%4."/>
      <w:lvlJc w:val="left"/>
      <w:pPr>
        <w:ind w:left="720" w:hanging="720"/>
      </w:pPr>
      <w:rPr>
        <w:rFonts w:hint="eastAsia" w:ascii="宋体" w:hAnsi="宋体" w:eastAsia="宋体" w:cs="宋体"/>
        <w:sz w:val="24"/>
      </w:rPr>
    </w:lvl>
    <w:lvl w:ilvl="4" w:tentative="0">
      <w:start w:val="1"/>
      <w:numFmt w:val="decimal"/>
      <w:isLgl/>
      <w:lvlText w:val="%1.%2.%3.%4.%5."/>
      <w:lvlJc w:val="left"/>
      <w:pPr>
        <w:ind w:left="1080" w:hanging="1080"/>
      </w:pPr>
      <w:rPr>
        <w:rFonts w:hint="eastAsia" w:ascii="宋体" w:hAnsi="宋体" w:eastAsia="宋体" w:cs="宋体"/>
        <w:sz w:val="24"/>
      </w:rPr>
    </w:lvl>
    <w:lvl w:ilvl="5" w:tentative="0">
      <w:start w:val="1"/>
      <w:numFmt w:val="decimal"/>
      <w:isLgl/>
      <w:lvlText w:val="%1.%2.%3.%4.%5.%6."/>
      <w:lvlJc w:val="left"/>
      <w:pPr>
        <w:ind w:left="1080" w:hanging="1080"/>
      </w:pPr>
      <w:rPr>
        <w:rFonts w:hint="eastAsia" w:ascii="宋体" w:hAnsi="宋体" w:eastAsia="宋体" w:cs="宋体"/>
        <w:sz w:val="24"/>
      </w:rPr>
    </w:lvl>
    <w:lvl w:ilvl="6" w:tentative="0">
      <w:start w:val="1"/>
      <w:numFmt w:val="decimal"/>
      <w:isLgl/>
      <w:lvlText w:val="%1.%2.%3.%4.%5.%6.%7."/>
      <w:lvlJc w:val="left"/>
      <w:pPr>
        <w:ind w:left="1440" w:hanging="1440"/>
      </w:pPr>
      <w:rPr>
        <w:rFonts w:hint="eastAsia" w:ascii="宋体" w:hAnsi="宋体" w:eastAsia="宋体" w:cs="宋体"/>
        <w:sz w:val="24"/>
      </w:rPr>
    </w:lvl>
    <w:lvl w:ilvl="7" w:tentative="0">
      <w:start w:val="1"/>
      <w:numFmt w:val="decimal"/>
      <w:isLgl/>
      <w:lvlText w:val="%1.%2.%3.%4.%5.%6.%7.%8."/>
      <w:lvlJc w:val="left"/>
      <w:pPr>
        <w:ind w:left="1440" w:hanging="1440"/>
      </w:pPr>
      <w:rPr>
        <w:rFonts w:hint="eastAsia" w:ascii="宋体" w:hAnsi="宋体" w:eastAsia="宋体" w:cs="宋体"/>
        <w:sz w:val="24"/>
      </w:rPr>
    </w:lvl>
    <w:lvl w:ilvl="8" w:tentative="0">
      <w:start w:val="1"/>
      <w:numFmt w:val="decimal"/>
      <w:isLgl/>
      <w:lvlText w:val="%1.%2.%3.%4.%5.%6.%7.%8.%9."/>
      <w:lvlJc w:val="left"/>
      <w:pPr>
        <w:ind w:left="1440" w:hanging="1440"/>
      </w:pPr>
      <w:rPr>
        <w:rFonts w:hint="eastAsia" w:ascii="宋体" w:hAnsi="宋体" w:eastAsia="宋体" w:cs="宋体"/>
        <w:sz w:val="24"/>
      </w:rPr>
    </w:lvl>
  </w:abstractNum>
  <w:num w:numId="1">
    <w:abstractNumId w:val="6"/>
  </w:num>
  <w:num w:numId="2">
    <w:abstractNumId w:val="9"/>
  </w:num>
  <w:num w:numId="3">
    <w:abstractNumId w:val="10"/>
  </w:num>
  <w:num w:numId="4">
    <w:abstractNumId w:val="3"/>
  </w:num>
  <w:num w:numId="5">
    <w:abstractNumId w:val="8"/>
  </w:num>
  <w:num w:numId="6">
    <w:abstractNumId w:val="5"/>
  </w:num>
  <w:num w:numId="7">
    <w:abstractNumId w:val="0"/>
  </w:num>
  <w:num w:numId="8">
    <w:abstractNumId w:val="1"/>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E0A1C"/>
    <w:rsid w:val="40BE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4"/>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1"/>
    <w:next w:val="4"/>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customStyle="1" w:styleId="10">
    <w:name w:val="Table_Small"/>
    <w:basedOn w:val="1"/>
    <w:qFormat/>
    <w:uiPriority w:val="0"/>
    <w:pPr>
      <w:widowControl/>
      <w:spacing w:before="40" w:after="40"/>
    </w:pPr>
    <w:rPr>
      <w:rFonts w:ascii="Arial" w:hAnsi="Arial"/>
      <w:kern w:val="0"/>
      <w:sz w:val="16"/>
    </w:rPr>
  </w:style>
  <w:style w:type="character" w:customStyle="1" w:styleId="11">
    <w:name w:val="Character UserEntry"/>
    <w:qFormat/>
    <w:uiPriority w:val="0"/>
    <w:rPr>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2025-10-22T06:16:00Z</dcterms:created>
  <dc:creator>-7</dc:creator>
  <cp:lastModifiedBy>-7</cp:lastModifiedBy>
  <dcterms:modified xsi:type="dcterms:W3CDTF">2025-10-22T06:20:43Z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81AE6A32040B496692EB954EC64A7361_11</vt:lpwstr>
  </property>
  <property fmtid="{D5CDD505-2E9C-101B-9397-08002B2CF9AE}" pid="4" name="KSOTemplateDocerSaveRecord">
    <vt:lpwstr>eyJoZGlkIjoiYmE0YWI3YjkwMTMxODY0YjZjMDU1NGExYjcwYzUwMWEiLCJ1c2VySWQiOiI0MDcxMjAzOTgifQ==</vt:lpwstr>
  </property>
</Properties>
</file>