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D700A">
      <w:pPr>
        <w:keepNext w:val="0"/>
        <w:keepLines w:val="0"/>
        <w:widowControl/>
        <w:numPr>
          <w:ilvl w:val="0"/>
          <w:numId w:val="0"/>
        </w:numPr>
        <w:suppressLineNumbers w:val="0"/>
        <w:ind w:left="1995" w:leftChars="0" w:firstLine="321" w:firstLineChars="100"/>
        <w:jc w:val="left"/>
        <w:rPr>
          <w:rFonts w:hint="eastAsia" w:ascii="黑体" w:hAnsi="黑体" w:eastAsia="黑体" w:cs="黑体"/>
          <w:b/>
          <w:bCs/>
          <w:color w:val="000000"/>
          <w:kern w:val="0"/>
          <w:sz w:val="32"/>
          <w:szCs w:val="32"/>
          <w:lang w:val="en-US" w:eastAsia="zh-CN" w:bidi="ar"/>
        </w:rPr>
      </w:pPr>
      <w:r>
        <w:rPr>
          <w:rFonts w:hint="eastAsia" w:ascii="黑体" w:hAnsi="黑体" w:eastAsia="黑体" w:cs="黑体"/>
          <w:b/>
          <w:bCs/>
          <w:color w:val="000000"/>
          <w:kern w:val="0"/>
          <w:sz w:val="32"/>
          <w:szCs w:val="32"/>
          <w:lang w:val="en-US" w:eastAsia="zh-CN" w:bidi="ar"/>
        </w:rPr>
        <w:t>招标内容及采购要求</w:t>
      </w:r>
    </w:p>
    <w:p w14:paraId="47694CB0">
      <w:pPr>
        <w:pStyle w:val="2"/>
        <w:numPr>
          <w:ilvl w:val="0"/>
          <w:numId w:val="0"/>
        </w:numPr>
        <w:ind w:left="1995" w:leftChars="0"/>
        <w:rPr>
          <w:rFonts w:hint="eastAsia"/>
        </w:rPr>
      </w:pPr>
    </w:p>
    <w:p w14:paraId="66BA33EC">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auto"/>
        <w:outlineLvl w:val="9"/>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kern w:val="0"/>
          <w:sz w:val="28"/>
          <w:szCs w:val="28"/>
          <w:lang w:val="en-US" w:eastAsia="zh-CN" w:bidi="ar"/>
        </w:rPr>
        <w:t xml:space="preserve">  </w:t>
      </w:r>
      <w:r>
        <w:rPr>
          <w:rFonts w:hint="eastAsia" w:ascii="仿宋_GB2312" w:hAnsi="仿宋_GB2312" w:eastAsia="仿宋_GB2312" w:cs="仿宋_GB2312"/>
          <w:b/>
          <w:bCs/>
          <w:color w:val="000000"/>
          <w:sz w:val="28"/>
          <w:szCs w:val="28"/>
          <w:lang w:val="en-US" w:eastAsia="zh-CN"/>
        </w:rPr>
        <w:t>注：1.若中标人注册地址在汉中市以外，须在签订合同之前向采购人提供汉中市办事机构证明及营业场所证明（房产证或房屋租赁合同），并将承诺设备和人员落实到位，否则自动丧失中标资格；</w:t>
      </w:r>
    </w:p>
    <w:p w14:paraId="7E73054B">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firstLine="562" w:firstLineChars="200"/>
        <w:jc w:val="both"/>
        <w:textAlignment w:val="auto"/>
        <w:outlineLvl w:val="9"/>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2.绿化养护管理驻场技术负责人，必须具备园林绿化大专及以上学历或持有园林绿化专业初级及以上职业资格证书，且有5年以上绿化管理工作经验。投标文件中须附有①相关资格证书（复印件加盖投标人公章）；②2025年以来至少一个月的社保缴纳证明或者用工合同（复印件加盖投标人公章），不满足视为投标文件有</w:t>
      </w:r>
      <w:r>
        <w:rPr>
          <w:rFonts w:hint="eastAsia" w:ascii="仿宋_GB2312" w:hAnsi="仿宋_GB2312" w:eastAsia="仿宋_GB2312" w:cs="仿宋_GB2312"/>
          <w:b/>
          <w:bCs/>
          <w:sz w:val="28"/>
          <w:szCs w:val="28"/>
        </w:rPr>
        <w:t>重大缺漏项</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按无效投标文件处理。</w:t>
      </w:r>
    </w:p>
    <w:p w14:paraId="02483ABC">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firstLine="562" w:firstLineChars="200"/>
        <w:jc w:val="both"/>
        <w:textAlignment w:val="auto"/>
        <w:outlineLvl w:val="9"/>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3、中标人中标后，须与汉中本地环卫（主管）部门签订《垃圾倾倒许可证》或和环卫（主管）部门签订的垃圾倾倒协议，保证垃圾在指定地点倾倒。</w:t>
      </w:r>
    </w:p>
    <w:p w14:paraId="06113295">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p>
    <w:p w14:paraId="596FB0F7">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1．招标单位：汉中市一江两岸开发管理委员会办公室</w:t>
      </w:r>
    </w:p>
    <w:p w14:paraId="764D9AD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rPr>
        <w:t>2．招标项目：</w:t>
      </w:r>
      <w:r>
        <w:rPr>
          <w:rFonts w:hint="eastAsia" w:ascii="仿宋_GB2312" w:hAnsi="仿宋_GB2312" w:eastAsia="仿宋_GB2312" w:cs="仿宋_GB2312"/>
          <w:sz w:val="28"/>
          <w:szCs w:val="28"/>
          <w:lang w:val="en-US" w:eastAsia="zh-CN"/>
        </w:rPr>
        <w:t>汉中市</w:t>
      </w:r>
      <w:r>
        <w:rPr>
          <w:rFonts w:hint="eastAsia" w:ascii="仿宋_GB2312" w:hAnsi="仿宋_GB2312" w:eastAsia="仿宋_GB2312" w:cs="仿宋_GB2312"/>
          <w:color w:val="auto"/>
          <w:sz w:val="28"/>
          <w:szCs w:val="28"/>
          <w:lang w:val="en-US" w:eastAsia="zh-CN"/>
        </w:rPr>
        <w:t>天汉湿地公园保洁绿化养护服务采购项目</w:t>
      </w:r>
    </w:p>
    <w:p w14:paraId="227AAE6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（二次）</w:t>
      </w:r>
      <w:bookmarkStart w:id="0" w:name="_GoBack"/>
      <w:bookmarkEnd w:id="0"/>
    </w:p>
    <w:p w14:paraId="399DE053">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w:t>
      </w:r>
      <w:r>
        <w:rPr>
          <w:rFonts w:hint="eastAsia" w:ascii="仿宋_GB2312" w:hAnsi="仿宋_GB2312" w:eastAsia="仿宋_GB2312" w:cs="仿宋_GB2312"/>
          <w:b/>
          <w:color w:val="000000"/>
          <w:sz w:val="28"/>
          <w:szCs w:val="28"/>
        </w:rPr>
        <w:t>服务</w:t>
      </w:r>
      <w:r>
        <w:rPr>
          <w:rFonts w:hint="eastAsia" w:ascii="仿宋_GB2312" w:hAnsi="仿宋_GB2312" w:eastAsia="仿宋_GB2312" w:cs="仿宋_GB2312"/>
          <w:b/>
          <w:sz w:val="28"/>
          <w:szCs w:val="28"/>
        </w:rPr>
        <w:t>项目范围</w:t>
      </w:r>
    </w:p>
    <w:p w14:paraId="7AD0F425">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汉中市天汉湿地公园保洁绿化养护服务采购项目划分5个包段。</w:t>
      </w:r>
      <w:r>
        <w:rPr>
          <w:rFonts w:hint="eastAsia" w:ascii="仿宋_GB2312" w:hAnsi="仿宋_GB2312" w:eastAsia="仿宋_GB2312" w:cs="仿宋_GB2312"/>
          <w:sz w:val="28"/>
          <w:szCs w:val="28"/>
          <w:lang w:val="en-US" w:eastAsia="zh-CN"/>
        </w:rPr>
        <w:t>四个标段已完成招标流程，其中一标段废标，本次重新组织一标段招标。</w:t>
      </w:r>
    </w:p>
    <w:p w14:paraId="33C4AB5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汉江左岸龙岗大桥上游1100米至揽胜楼高架栈道段的景观区域的保洁和绿化养护服务。总面积352671平方米，其中硬质铺装面积59497平方米，绿地面积293174平方米。</w:t>
      </w:r>
      <w:r>
        <w:rPr>
          <w:rFonts w:hint="eastAsia" w:ascii="仿宋_GB2312" w:hAnsi="仿宋_GB2312" w:eastAsia="仿宋_GB2312" w:cs="仿宋_GB2312"/>
          <w:color w:val="000000"/>
          <w:sz w:val="28"/>
          <w:szCs w:val="28"/>
        </w:rPr>
        <w:t>免费公共卫生间3座，抽取式蓄粪池需根据蓄粪池容量不定时抽吸外运。</w:t>
      </w:r>
    </w:p>
    <w:p w14:paraId="6566AE60">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三、服务时限与合同签订：</w:t>
      </w:r>
    </w:p>
    <w:p w14:paraId="087D7CB4">
      <w:pPr>
        <w:keepNext w:val="0"/>
        <w:keepLines w:val="0"/>
        <w:pageBreakBefore w:val="0"/>
        <w:kinsoku/>
        <w:wordWrap/>
        <w:overflowPunct/>
        <w:topLinePunct w:val="0"/>
        <w:autoSpaceDE/>
        <w:autoSpaceDN/>
        <w:bidi w:val="0"/>
        <w:adjustRightInd w:val="0"/>
        <w:snapToGrid w:val="0"/>
        <w:spacing w:line="560" w:lineRule="exact"/>
        <w:ind w:firstLine="840" w:firstLine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服务合同时限为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年。</w:t>
      </w:r>
    </w:p>
    <w:p w14:paraId="236C4946">
      <w:pPr>
        <w:adjustRightInd w:val="0"/>
        <w:snapToGrid w:val="0"/>
        <w:spacing w:line="520" w:lineRule="exact"/>
        <w:ind w:firstLine="840" w:firstLineChars="300"/>
        <w:rPr>
          <w:rFonts w:hint="eastAsia" w:ascii="仿宋_GB2312" w:hAnsi="仿宋_GB2312" w:eastAsia="仿宋_GB2312" w:cs="仿宋_GB2312"/>
          <w:b/>
          <w:sz w:val="32"/>
          <w:szCs w:val="32"/>
        </w:rPr>
      </w:pPr>
      <w:r>
        <w:rPr>
          <w:rFonts w:hint="eastAsia" w:ascii="仿宋_GB2312" w:hAnsi="仿宋_GB2312" w:eastAsia="仿宋_GB2312" w:cs="仿宋_GB2312"/>
          <w:color w:val="000000"/>
          <w:kern w:val="0"/>
          <w:sz w:val="28"/>
          <w:szCs w:val="28"/>
          <w:lang w:bidi="ar"/>
        </w:rPr>
        <w:t>本项目采用一次招标三年沿用，实行一年一考</w:t>
      </w:r>
      <w:r>
        <w:rPr>
          <w:rFonts w:hint="eastAsia" w:ascii="仿宋_GB2312" w:hAnsi="仿宋_GB2312" w:eastAsia="仿宋_GB2312" w:cs="仿宋_GB2312"/>
          <w:color w:val="000000"/>
          <w:kern w:val="0"/>
          <w:sz w:val="28"/>
          <w:szCs w:val="28"/>
          <w:lang w:val="en-US" w:eastAsia="zh-CN" w:bidi="ar"/>
        </w:rPr>
        <w:t>评</w:t>
      </w:r>
      <w:r>
        <w:rPr>
          <w:rFonts w:hint="eastAsia" w:ascii="仿宋_GB2312" w:hAnsi="仿宋_GB2312" w:eastAsia="仿宋_GB2312" w:cs="仿宋_GB2312"/>
          <w:color w:val="000000"/>
          <w:kern w:val="0"/>
          <w:sz w:val="28"/>
          <w:szCs w:val="28"/>
          <w:lang w:bidi="ar"/>
        </w:rPr>
        <w:t>一签合同的办法。服务期满后，在预算有保障，经采购人考</w:t>
      </w:r>
      <w:r>
        <w:rPr>
          <w:rFonts w:hint="eastAsia" w:ascii="仿宋_GB2312" w:hAnsi="仿宋_GB2312" w:eastAsia="仿宋_GB2312" w:cs="仿宋_GB2312"/>
          <w:color w:val="000000"/>
          <w:kern w:val="0"/>
          <w:sz w:val="28"/>
          <w:szCs w:val="28"/>
          <w:lang w:val="en-US" w:eastAsia="zh-CN" w:bidi="ar"/>
        </w:rPr>
        <w:t>评</w:t>
      </w:r>
      <w:r>
        <w:rPr>
          <w:rFonts w:hint="eastAsia" w:ascii="仿宋_GB2312" w:hAnsi="仿宋_GB2312" w:eastAsia="仿宋_GB2312" w:cs="仿宋_GB2312"/>
          <w:color w:val="000000"/>
          <w:kern w:val="0"/>
          <w:sz w:val="28"/>
          <w:szCs w:val="28"/>
          <w:lang w:bidi="ar"/>
        </w:rPr>
        <w:t>合格后，可以续签合同。</w:t>
      </w:r>
    </w:p>
    <w:p w14:paraId="0EF0734C">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val="en-US" w:eastAsia="zh-CN"/>
        </w:rPr>
        <w:t>四</w:t>
      </w:r>
      <w:r>
        <w:rPr>
          <w:rFonts w:hint="eastAsia" w:ascii="仿宋_GB2312" w:hAnsi="仿宋_GB2312" w:eastAsia="仿宋_GB2312" w:cs="仿宋_GB2312"/>
          <w:b/>
          <w:bCs/>
          <w:kern w:val="0"/>
          <w:sz w:val="28"/>
          <w:szCs w:val="28"/>
        </w:rPr>
        <w:t>、技术商务要求</w:t>
      </w:r>
    </w:p>
    <w:p w14:paraId="250332EB">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1.技术要求(保洁)</w:t>
      </w:r>
    </w:p>
    <w:p w14:paraId="4EBDB92A">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（1）保洁质量标准</w:t>
      </w:r>
    </w:p>
    <w:p w14:paraId="4EECD39F">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按照《城市道路清扫保洁质量与评价CJJ/T126-2008)》、《城市环境卫生质量标准(建设部建城［1997］21号)文件》中一级标准执行。</w:t>
      </w:r>
    </w:p>
    <w:p w14:paraId="31D9934E">
      <w:pPr>
        <w:pStyle w:val="7"/>
        <w:keepNext w:val="0"/>
        <w:keepLines w:val="0"/>
        <w:pageBreakBefore w:val="0"/>
        <w:widowControl/>
        <w:kinsoku/>
        <w:wordWrap/>
        <w:overflowPunct/>
        <w:topLinePunct w:val="0"/>
        <w:autoSpaceDE/>
        <w:autoSpaceDN/>
        <w:bidi w:val="0"/>
        <w:adjustRightInd w:val="0"/>
        <w:snapToGrid w:val="0"/>
        <w:spacing w:line="560" w:lineRule="exact"/>
        <w:ind w:left="72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（2）废弃物控制指标</w:t>
      </w:r>
    </w:p>
    <w:tbl>
      <w:tblPr>
        <w:tblStyle w:val="4"/>
        <w:tblW w:w="8779" w:type="dxa"/>
        <w:jc w:val="center"/>
        <w:tblLayout w:type="fixed"/>
        <w:tblCellMar>
          <w:top w:w="0" w:type="dxa"/>
          <w:left w:w="0" w:type="dxa"/>
          <w:bottom w:w="0" w:type="dxa"/>
          <w:right w:w="0" w:type="dxa"/>
        </w:tblCellMar>
      </w:tblPr>
      <w:tblGrid>
        <w:gridCol w:w="841"/>
        <w:gridCol w:w="1134"/>
        <w:gridCol w:w="1417"/>
        <w:gridCol w:w="1418"/>
        <w:gridCol w:w="1276"/>
        <w:gridCol w:w="1275"/>
        <w:gridCol w:w="1418"/>
      </w:tblGrid>
      <w:tr w14:paraId="7F479720">
        <w:tblPrEx>
          <w:tblCellMar>
            <w:top w:w="0" w:type="dxa"/>
            <w:left w:w="0" w:type="dxa"/>
            <w:bottom w:w="0" w:type="dxa"/>
            <w:right w:w="0" w:type="dxa"/>
          </w:tblCellMar>
        </w:tblPrEx>
        <w:trPr>
          <w:cantSplit/>
          <w:trHeight w:val="1456" w:hRule="exact"/>
          <w:jc w:val="center"/>
        </w:trPr>
        <w:tc>
          <w:tcPr>
            <w:tcW w:w="841" w:type="dxa"/>
            <w:tcBorders>
              <w:top w:val="single" w:color="auto" w:sz="8" w:space="0"/>
              <w:left w:val="single" w:color="auto" w:sz="8" w:space="0"/>
              <w:bottom w:val="single" w:color="auto" w:sz="4" w:space="0"/>
              <w:right w:val="single" w:color="auto" w:sz="4" w:space="0"/>
            </w:tcBorders>
            <w:noWrap w:val="0"/>
            <w:tcMar>
              <w:top w:w="0" w:type="dxa"/>
              <w:left w:w="108" w:type="dxa"/>
              <w:bottom w:w="0" w:type="dxa"/>
              <w:right w:w="108" w:type="dxa"/>
            </w:tcMar>
            <w:vAlign w:val="top"/>
          </w:tcPr>
          <w:p w14:paraId="4EEAA6EB">
            <w:pPr>
              <w:widowControl/>
              <w:adjustRightInd w:val="0"/>
              <w:snapToGrid w:val="0"/>
              <w:spacing w:before="240" w:after="240" w:line="360" w:lineRule="auto"/>
              <w:jc w:val="center"/>
              <w:rPr>
                <w:rFonts w:hint="eastAsia" w:ascii="仿宋_GB2312" w:hAnsi="仿宋_GB2312" w:eastAsia="仿宋_GB2312" w:cs="仿宋_GB2312"/>
                <w:color w:val="111111"/>
                <w:kern w:val="0"/>
                <w:sz w:val="24"/>
                <w:szCs w:val="24"/>
              </w:rPr>
            </w:pPr>
            <w:r>
              <w:rPr>
                <w:rFonts w:hint="eastAsia" w:ascii="仿宋_GB2312" w:hAnsi="仿宋_GB2312" w:eastAsia="仿宋_GB2312" w:cs="仿宋_GB2312"/>
                <w:color w:val="000000"/>
                <w:kern w:val="0"/>
                <w:sz w:val="24"/>
                <w:szCs w:val="24"/>
              </w:rPr>
              <w:t>保洁等级级</w:t>
            </w:r>
          </w:p>
          <w:p w14:paraId="24421472">
            <w:pPr>
              <w:widowControl/>
              <w:adjustRightInd w:val="0"/>
              <w:snapToGrid w:val="0"/>
              <w:spacing w:line="360" w:lineRule="auto"/>
              <w:jc w:val="center"/>
              <w:rPr>
                <w:rFonts w:hint="eastAsia" w:ascii="仿宋_GB2312" w:hAnsi="仿宋_GB2312" w:eastAsia="仿宋_GB2312" w:cs="仿宋_GB2312"/>
                <w:kern w:val="0"/>
                <w:sz w:val="24"/>
                <w:szCs w:val="24"/>
              </w:rPr>
            </w:pPr>
          </w:p>
        </w:tc>
        <w:tc>
          <w:tcPr>
            <w:tcW w:w="1134" w:type="dxa"/>
            <w:tcBorders>
              <w:top w:val="single" w:color="auto" w:sz="8"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0A35809">
            <w:pPr>
              <w:widowControl/>
              <w:adjustRightInd w:val="0"/>
              <w:snapToGrid w:val="0"/>
              <w:spacing w:before="240" w:after="240"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果皮(片</w:t>
            </w:r>
          </w:p>
          <w:p w14:paraId="6A00CEA6">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1000m2)</w:t>
            </w:r>
          </w:p>
        </w:tc>
        <w:tc>
          <w:tcPr>
            <w:tcW w:w="1417" w:type="dxa"/>
            <w:tcBorders>
              <w:top w:val="single" w:color="auto" w:sz="8"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7DA6E8D">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纸屑、塑膜(/1000m2)</w:t>
            </w:r>
          </w:p>
        </w:tc>
        <w:tc>
          <w:tcPr>
            <w:tcW w:w="1418" w:type="dxa"/>
            <w:tcBorders>
              <w:top w:val="single" w:color="auto" w:sz="8"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00F3C79">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烟蒂(个/1000m2)</w:t>
            </w:r>
          </w:p>
        </w:tc>
        <w:tc>
          <w:tcPr>
            <w:tcW w:w="1276" w:type="dxa"/>
            <w:tcBorders>
              <w:top w:val="single" w:color="auto" w:sz="8"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107409E">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痰迹(处/1000m2)</w:t>
            </w:r>
          </w:p>
        </w:tc>
        <w:tc>
          <w:tcPr>
            <w:tcW w:w="1275" w:type="dxa"/>
            <w:tcBorders>
              <w:top w:val="single" w:color="auto" w:sz="8"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838587B">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污水(m2 /1000m2)</w:t>
            </w:r>
          </w:p>
        </w:tc>
        <w:tc>
          <w:tcPr>
            <w:tcW w:w="1418" w:type="dxa"/>
            <w:tcBorders>
              <w:top w:val="single" w:color="auto" w:sz="8" w:space="0"/>
              <w:left w:val="single" w:color="auto" w:sz="4" w:space="0"/>
              <w:bottom w:val="single" w:color="auto" w:sz="4" w:space="0"/>
              <w:right w:val="single" w:color="auto" w:sz="8" w:space="0"/>
            </w:tcBorders>
            <w:noWrap w:val="0"/>
            <w:tcMar>
              <w:top w:w="0" w:type="dxa"/>
              <w:left w:w="108" w:type="dxa"/>
              <w:bottom w:w="0" w:type="dxa"/>
              <w:right w:w="108" w:type="dxa"/>
            </w:tcMar>
            <w:vAlign w:val="top"/>
          </w:tcPr>
          <w:p w14:paraId="19493B2E">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其它(处/1000m2)</w:t>
            </w:r>
          </w:p>
        </w:tc>
      </w:tr>
      <w:tr w14:paraId="6B92473B">
        <w:tblPrEx>
          <w:tblCellMar>
            <w:top w:w="0" w:type="dxa"/>
            <w:left w:w="0" w:type="dxa"/>
            <w:bottom w:w="0" w:type="dxa"/>
            <w:right w:w="0" w:type="dxa"/>
          </w:tblCellMar>
        </w:tblPrEx>
        <w:trPr>
          <w:cantSplit/>
          <w:trHeight w:val="653" w:hRule="exact"/>
          <w:jc w:val="center"/>
        </w:trPr>
        <w:tc>
          <w:tcPr>
            <w:tcW w:w="841" w:type="dxa"/>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62392D7E">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一级</w:t>
            </w:r>
          </w:p>
        </w:tc>
        <w:tc>
          <w:tcPr>
            <w:tcW w:w="11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5455CFA">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≤4</w:t>
            </w:r>
          </w:p>
        </w:tc>
        <w:tc>
          <w:tcPr>
            <w:tcW w:w="14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3854D78">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≤4</w:t>
            </w:r>
          </w:p>
        </w:tc>
        <w:tc>
          <w:tcPr>
            <w:tcW w:w="14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8672E79">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≤4</w:t>
            </w:r>
          </w:p>
        </w:tc>
        <w:tc>
          <w:tcPr>
            <w:tcW w:w="127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10F729D">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≤4</w:t>
            </w:r>
          </w:p>
        </w:tc>
        <w:tc>
          <w:tcPr>
            <w:tcW w:w="127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6C78E85">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无</w:t>
            </w:r>
          </w:p>
        </w:tc>
        <w:tc>
          <w:tcPr>
            <w:tcW w:w="1418" w:type="dxa"/>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top"/>
          </w:tcPr>
          <w:p w14:paraId="0D0BF039">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无</w:t>
            </w:r>
          </w:p>
        </w:tc>
      </w:tr>
      <w:tr w14:paraId="5B13F0EE">
        <w:tblPrEx>
          <w:tblCellMar>
            <w:top w:w="0" w:type="dxa"/>
            <w:left w:w="0" w:type="dxa"/>
            <w:bottom w:w="0" w:type="dxa"/>
            <w:right w:w="0" w:type="dxa"/>
          </w:tblCellMar>
        </w:tblPrEx>
        <w:trPr>
          <w:cantSplit/>
          <w:trHeight w:val="653" w:hRule="exact"/>
          <w:jc w:val="center"/>
        </w:trPr>
        <w:tc>
          <w:tcPr>
            <w:tcW w:w="841" w:type="dxa"/>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17B0413E">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二级</w:t>
            </w:r>
          </w:p>
        </w:tc>
        <w:tc>
          <w:tcPr>
            <w:tcW w:w="11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AF8FD38">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≤6</w:t>
            </w:r>
          </w:p>
        </w:tc>
        <w:tc>
          <w:tcPr>
            <w:tcW w:w="14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3995E76">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≤6</w:t>
            </w:r>
          </w:p>
        </w:tc>
        <w:tc>
          <w:tcPr>
            <w:tcW w:w="14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9C36B7D">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≤8</w:t>
            </w:r>
          </w:p>
        </w:tc>
        <w:tc>
          <w:tcPr>
            <w:tcW w:w="127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69ADBDF">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≤8</w:t>
            </w:r>
          </w:p>
        </w:tc>
        <w:tc>
          <w:tcPr>
            <w:tcW w:w="127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423D402">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≤0.5</w:t>
            </w:r>
          </w:p>
        </w:tc>
        <w:tc>
          <w:tcPr>
            <w:tcW w:w="1418" w:type="dxa"/>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top"/>
          </w:tcPr>
          <w:p w14:paraId="75E0690C">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≤2</w:t>
            </w:r>
          </w:p>
        </w:tc>
      </w:tr>
      <w:tr w14:paraId="60A1C378">
        <w:tblPrEx>
          <w:tblCellMar>
            <w:top w:w="0" w:type="dxa"/>
            <w:left w:w="0" w:type="dxa"/>
            <w:bottom w:w="0" w:type="dxa"/>
            <w:right w:w="0" w:type="dxa"/>
          </w:tblCellMar>
        </w:tblPrEx>
        <w:trPr>
          <w:cantSplit/>
          <w:trHeight w:val="675" w:hRule="exact"/>
          <w:jc w:val="center"/>
        </w:trPr>
        <w:tc>
          <w:tcPr>
            <w:tcW w:w="841" w:type="dxa"/>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0EC30E1D">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三级</w:t>
            </w:r>
          </w:p>
        </w:tc>
        <w:tc>
          <w:tcPr>
            <w:tcW w:w="11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F14A86B">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≤8</w:t>
            </w:r>
          </w:p>
        </w:tc>
        <w:tc>
          <w:tcPr>
            <w:tcW w:w="14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0791092">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≤10</w:t>
            </w:r>
          </w:p>
        </w:tc>
        <w:tc>
          <w:tcPr>
            <w:tcW w:w="14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6588BCD">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≤10</w:t>
            </w:r>
          </w:p>
        </w:tc>
        <w:tc>
          <w:tcPr>
            <w:tcW w:w="127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64811CB">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≤10</w:t>
            </w:r>
          </w:p>
        </w:tc>
        <w:tc>
          <w:tcPr>
            <w:tcW w:w="127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4C0F25C">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≤1.5</w:t>
            </w:r>
          </w:p>
        </w:tc>
        <w:tc>
          <w:tcPr>
            <w:tcW w:w="1418" w:type="dxa"/>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top"/>
          </w:tcPr>
          <w:p w14:paraId="1E7B8563">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≤6</w:t>
            </w:r>
          </w:p>
        </w:tc>
      </w:tr>
      <w:tr w14:paraId="2D71E125">
        <w:tblPrEx>
          <w:tblCellMar>
            <w:top w:w="0" w:type="dxa"/>
            <w:left w:w="0" w:type="dxa"/>
            <w:bottom w:w="0" w:type="dxa"/>
            <w:right w:w="0" w:type="dxa"/>
          </w:tblCellMar>
        </w:tblPrEx>
        <w:trPr>
          <w:cantSplit/>
          <w:trHeight w:val="580" w:hRule="exact"/>
          <w:jc w:val="center"/>
        </w:trPr>
        <w:tc>
          <w:tcPr>
            <w:tcW w:w="841" w:type="dxa"/>
            <w:tcBorders>
              <w:top w:val="single" w:color="auto" w:sz="4" w:space="0"/>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4F9356AC">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四级</w:t>
            </w:r>
          </w:p>
        </w:tc>
        <w:tc>
          <w:tcPr>
            <w:tcW w:w="1134" w:type="dxa"/>
            <w:tcBorders>
              <w:top w:val="single" w:color="auto" w:sz="4" w:space="0"/>
              <w:left w:val="single" w:color="auto" w:sz="4" w:space="0"/>
              <w:bottom w:val="single" w:color="auto" w:sz="8" w:space="0"/>
              <w:right w:val="single" w:color="auto" w:sz="4" w:space="0"/>
            </w:tcBorders>
            <w:noWrap w:val="0"/>
            <w:tcMar>
              <w:top w:w="0" w:type="dxa"/>
              <w:left w:w="108" w:type="dxa"/>
              <w:bottom w:w="0" w:type="dxa"/>
              <w:right w:w="108" w:type="dxa"/>
            </w:tcMar>
            <w:vAlign w:val="center"/>
          </w:tcPr>
          <w:p w14:paraId="209AC919">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≤10</w:t>
            </w:r>
          </w:p>
        </w:tc>
        <w:tc>
          <w:tcPr>
            <w:tcW w:w="1417" w:type="dxa"/>
            <w:tcBorders>
              <w:top w:val="single" w:color="auto" w:sz="4" w:space="0"/>
              <w:left w:val="single" w:color="auto" w:sz="4" w:space="0"/>
              <w:bottom w:val="single" w:color="auto" w:sz="8" w:space="0"/>
              <w:right w:val="single" w:color="auto" w:sz="4" w:space="0"/>
            </w:tcBorders>
            <w:noWrap w:val="0"/>
            <w:tcMar>
              <w:top w:w="0" w:type="dxa"/>
              <w:left w:w="108" w:type="dxa"/>
              <w:bottom w:w="0" w:type="dxa"/>
              <w:right w:w="108" w:type="dxa"/>
            </w:tcMar>
            <w:vAlign w:val="top"/>
          </w:tcPr>
          <w:p w14:paraId="6A950934">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≤12</w:t>
            </w:r>
          </w:p>
        </w:tc>
        <w:tc>
          <w:tcPr>
            <w:tcW w:w="1418" w:type="dxa"/>
            <w:tcBorders>
              <w:top w:val="single" w:color="auto" w:sz="4" w:space="0"/>
              <w:left w:val="single" w:color="auto" w:sz="4" w:space="0"/>
              <w:bottom w:val="single" w:color="auto" w:sz="8" w:space="0"/>
              <w:right w:val="single" w:color="auto" w:sz="4" w:space="0"/>
            </w:tcBorders>
            <w:noWrap w:val="0"/>
            <w:tcMar>
              <w:top w:w="0" w:type="dxa"/>
              <w:left w:w="108" w:type="dxa"/>
              <w:bottom w:w="0" w:type="dxa"/>
              <w:right w:w="108" w:type="dxa"/>
            </w:tcMar>
            <w:vAlign w:val="top"/>
          </w:tcPr>
          <w:p w14:paraId="36C715B2">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≤15</w:t>
            </w:r>
          </w:p>
        </w:tc>
        <w:tc>
          <w:tcPr>
            <w:tcW w:w="1276" w:type="dxa"/>
            <w:tcBorders>
              <w:top w:val="single" w:color="auto" w:sz="4" w:space="0"/>
              <w:left w:val="single" w:color="auto" w:sz="4" w:space="0"/>
              <w:bottom w:val="single" w:color="auto" w:sz="8" w:space="0"/>
              <w:right w:val="single" w:color="auto" w:sz="4" w:space="0"/>
            </w:tcBorders>
            <w:noWrap w:val="0"/>
            <w:tcMar>
              <w:top w:w="0" w:type="dxa"/>
              <w:left w:w="108" w:type="dxa"/>
              <w:bottom w:w="0" w:type="dxa"/>
              <w:right w:w="108" w:type="dxa"/>
            </w:tcMar>
            <w:vAlign w:val="top"/>
          </w:tcPr>
          <w:p w14:paraId="1DAABE06">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≤15</w:t>
            </w:r>
          </w:p>
        </w:tc>
        <w:tc>
          <w:tcPr>
            <w:tcW w:w="1275" w:type="dxa"/>
            <w:tcBorders>
              <w:top w:val="single" w:color="auto" w:sz="4" w:space="0"/>
              <w:left w:val="single" w:color="auto" w:sz="4" w:space="0"/>
              <w:bottom w:val="single" w:color="auto" w:sz="8" w:space="0"/>
              <w:right w:val="single" w:color="auto" w:sz="4" w:space="0"/>
            </w:tcBorders>
            <w:noWrap w:val="0"/>
            <w:tcMar>
              <w:top w:w="0" w:type="dxa"/>
              <w:left w:w="108" w:type="dxa"/>
              <w:bottom w:w="0" w:type="dxa"/>
              <w:right w:w="108" w:type="dxa"/>
            </w:tcMar>
            <w:vAlign w:val="top"/>
          </w:tcPr>
          <w:p w14:paraId="77D997B8">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≤2.0</w:t>
            </w:r>
          </w:p>
        </w:tc>
        <w:tc>
          <w:tcPr>
            <w:tcW w:w="1418" w:type="dxa"/>
            <w:tcBorders>
              <w:top w:val="single" w:color="auto" w:sz="4" w:space="0"/>
              <w:left w:val="single" w:color="auto" w:sz="4" w:space="0"/>
              <w:bottom w:val="single" w:color="auto" w:sz="8" w:space="0"/>
              <w:right w:val="single" w:color="auto" w:sz="8" w:space="0"/>
            </w:tcBorders>
            <w:noWrap w:val="0"/>
            <w:tcMar>
              <w:top w:w="0" w:type="dxa"/>
              <w:left w:w="108" w:type="dxa"/>
              <w:bottom w:w="0" w:type="dxa"/>
              <w:right w:w="108" w:type="dxa"/>
            </w:tcMar>
            <w:vAlign w:val="top"/>
          </w:tcPr>
          <w:p w14:paraId="1062DE72">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≤8</w:t>
            </w:r>
          </w:p>
        </w:tc>
      </w:tr>
      <w:tr w14:paraId="7217C963">
        <w:tblPrEx>
          <w:tblCellMar>
            <w:top w:w="0" w:type="dxa"/>
            <w:left w:w="0" w:type="dxa"/>
            <w:bottom w:w="0" w:type="dxa"/>
            <w:right w:w="0" w:type="dxa"/>
          </w:tblCellMar>
        </w:tblPrEx>
        <w:trPr>
          <w:cantSplit/>
          <w:trHeight w:val="1051" w:hRule="exact"/>
          <w:jc w:val="center"/>
        </w:trPr>
        <w:tc>
          <w:tcPr>
            <w:tcW w:w="1975" w:type="dxa"/>
            <w:gridSpan w:val="2"/>
            <w:tcBorders>
              <w:top w:val="single" w:color="auto" w:sz="8"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5CA36735">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广场类型</w:t>
            </w:r>
          </w:p>
        </w:tc>
        <w:tc>
          <w:tcPr>
            <w:tcW w:w="1417" w:type="dxa"/>
            <w:tcBorders>
              <w:top w:val="single" w:color="auto" w:sz="8"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2E1A896">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瓜果皮壳(片/100m2)</w:t>
            </w:r>
          </w:p>
        </w:tc>
        <w:tc>
          <w:tcPr>
            <w:tcW w:w="1418" w:type="dxa"/>
            <w:tcBorders>
              <w:top w:val="single" w:color="auto" w:sz="8"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EF5E261">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纸片塑膜(片/100m2)</w:t>
            </w:r>
          </w:p>
        </w:tc>
        <w:tc>
          <w:tcPr>
            <w:tcW w:w="1276" w:type="dxa"/>
            <w:tcBorders>
              <w:top w:val="single" w:color="auto" w:sz="8"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B522BDE">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烟蒂(个/100m2)</w:t>
            </w:r>
          </w:p>
        </w:tc>
        <w:tc>
          <w:tcPr>
            <w:tcW w:w="1275" w:type="dxa"/>
            <w:tcBorders>
              <w:top w:val="single" w:color="auto" w:sz="8"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52106AB">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痰迹(处/100m2)</w:t>
            </w:r>
          </w:p>
        </w:tc>
        <w:tc>
          <w:tcPr>
            <w:tcW w:w="1418" w:type="dxa"/>
            <w:tcBorders>
              <w:top w:val="single" w:color="auto" w:sz="8" w:space="0"/>
              <w:left w:val="single" w:color="auto" w:sz="4" w:space="0"/>
              <w:bottom w:val="single" w:color="auto" w:sz="4" w:space="0"/>
              <w:right w:val="single" w:color="auto" w:sz="8" w:space="0"/>
            </w:tcBorders>
            <w:noWrap w:val="0"/>
            <w:tcMar>
              <w:top w:w="0" w:type="dxa"/>
              <w:left w:w="108" w:type="dxa"/>
              <w:bottom w:w="0" w:type="dxa"/>
              <w:right w:w="108" w:type="dxa"/>
            </w:tcMar>
            <w:vAlign w:val="top"/>
          </w:tcPr>
          <w:p w14:paraId="34C568FE">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其它杂物（处/100m2)</w:t>
            </w:r>
          </w:p>
        </w:tc>
      </w:tr>
      <w:tr w14:paraId="1E32B2A5">
        <w:tblPrEx>
          <w:tblCellMar>
            <w:top w:w="0" w:type="dxa"/>
            <w:left w:w="0" w:type="dxa"/>
            <w:bottom w:w="0" w:type="dxa"/>
            <w:right w:w="0" w:type="dxa"/>
          </w:tblCellMar>
        </w:tblPrEx>
        <w:trPr>
          <w:cantSplit/>
          <w:trHeight w:val="696" w:hRule="exact"/>
          <w:jc w:val="center"/>
        </w:trPr>
        <w:tc>
          <w:tcPr>
            <w:tcW w:w="1975" w:type="dxa"/>
            <w:gridSpan w:val="2"/>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19F1A6F5">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文化娱乐展览</w:t>
            </w:r>
          </w:p>
        </w:tc>
        <w:tc>
          <w:tcPr>
            <w:tcW w:w="14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5C762FD">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w:t>
            </w:r>
          </w:p>
        </w:tc>
        <w:tc>
          <w:tcPr>
            <w:tcW w:w="14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9824341">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w:t>
            </w:r>
          </w:p>
        </w:tc>
        <w:tc>
          <w:tcPr>
            <w:tcW w:w="127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DFA0C46">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无</w:t>
            </w:r>
          </w:p>
        </w:tc>
        <w:tc>
          <w:tcPr>
            <w:tcW w:w="127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0B087E9">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无</w:t>
            </w:r>
          </w:p>
        </w:tc>
        <w:tc>
          <w:tcPr>
            <w:tcW w:w="1418" w:type="dxa"/>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top"/>
          </w:tcPr>
          <w:p w14:paraId="350B912B">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w:t>
            </w:r>
          </w:p>
        </w:tc>
      </w:tr>
      <w:tr w14:paraId="3DD19D08">
        <w:tblPrEx>
          <w:tblCellMar>
            <w:top w:w="0" w:type="dxa"/>
            <w:left w:w="0" w:type="dxa"/>
            <w:bottom w:w="0" w:type="dxa"/>
            <w:right w:w="0" w:type="dxa"/>
          </w:tblCellMar>
        </w:tblPrEx>
        <w:trPr>
          <w:cantSplit/>
          <w:trHeight w:val="708" w:hRule="exact"/>
          <w:jc w:val="center"/>
        </w:trPr>
        <w:tc>
          <w:tcPr>
            <w:tcW w:w="1975" w:type="dxa"/>
            <w:gridSpan w:val="2"/>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2C906335">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机场</w:t>
            </w:r>
          </w:p>
        </w:tc>
        <w:tc>
          <w:tcPr>
            <w:tcW w:w="14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4948D38">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w:t>
            </w:r>
          </w:p>
        </w:tc>
        <w:tc>
          <w:tcPr>
            <w:tcW w:w="14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B0019BC">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w:t>
            </w:r>
          </w:p>
        </w:tc>
        <w:tc>
          <w:tcPr>
            <w:tcW w:w="127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CBECE9F">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无</w:t>
            </w:r>
          </w:p>
        </w:tc>
        <w:tc>
          <w:tcPr>
            <w:tcW w:w="127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902F98A">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无</w:t>
            </w:r>
          </w:p>
        </w:tc>
        <w:tc>
          <w:tcPr>
            <w:tcW w:w="1418" w:type="dxa"/>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top"/>
          </w:tcPr>
          <w:p w14:paraId="104C6DBA">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w:t>
            </w:r>
          </w:p>
        </w:tc>
      </w:tr>
      <w:tr w14:paraId="6BEB36E9">
        <w:tblPrEx>
          <w:tblCellMar>
            <w:top w:w="0" w:type="dxa"/>
            <w:left w:w="0" w:type="dxa"/>
            <w:bottom w:w="0" w:type="dxa"/>
            <w:right w:w="0" w:type="dxa"/>
          </w:tblCellMar>
        </w:tblPrEx>
        <w:trPr>
          <w:cantSplit/>
          <w:trHeight w:val="719" w:hRule="exact"/>
          <w:jc w:val="center"/>
        </w:trPr>
        <w:tc>
          <w:tcPr>
            <w:tcW w:w="1975" w:type="dxa"/>
            <w:gridSpan w:val="2"/>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5D2556DE">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火车站、码头</w:t>
            </w:r>
          </w:p>
        </w:tc>
        <w:tc>
          <w:tcPr>
            <w:tcW w:w="14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DDC310B">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w:t>
            </w:r>
          </w:p>
        </w:tc>
        <w:tc>
          <w:tcPr>
            <w:tcW w:w="14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151727D">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w:t>
            </w:r>
          </w:p>
        </w:tc>
        <w:tc>
          <w:tcPr>
            <w:tcW w:w="127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98B4BFF">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w:t>
            </w:r>
          </w:p>
        </w:tc>
        <w:tc>
          <w:tcPr>
            <w:tcW w:w="127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295FF2F">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≤2</w:t>
            </w:r>
          </w:p>
        </w:tc>
        <w:tc>
          <w:tcPr>
            <w:tcW w:w="1418" w:type="dxa"/>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top"/>
          </w:tcPr>
          <w:p w14:paraId="792C1C62">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w:t>
            </w:r>
          </w:p>
        </w:tc>
      </w:tr>
      <w:tr w14:paraId="73E19DD6">
        <w:tblPrEx>
          <w:tblCellMar>
            <w:top w:w="0" w:type="dxa"/>
            <w:left w:w="0" w:type="dxa"/>
            <w:bottom w:w="0" w:type="dxa"/>
            <w:right w:w="0" w:type="dxa"/>
          </w:tblCellMar>
        </w:tblPrEx>
        <w:trPr>
          <w:cantSplit/>
          <w:trHeight w:val="686" w:hRule="exact"/>
          <w:jc w:val="center"/>
        </w:trPr>
        <w:tc>
          <w:tcPr>
            <w:tcW w:w="1975" w:type="dxa"/>
            <w:gridSpan w:val="2"/>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0D146BC9">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体育场馆</w:t>
            </w:r>
          </w:p>
        </w:tc>
        <w:tc>
          <w:tcPr>
            <w:tcW w:w="14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D3F4A75">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w:t>
            </w:r>
          </w:p>
        </w:tc>
        <w:tc>
          <w:tcPr>
            <w:tcW w:w="14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A9153DF">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w:t>
            </w:r>
          </w:p>
        </w:tc>
        <w:tc>
          <w:tcPr>
            <w:tcW w:w="127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6B52C82">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w:t>
            </w:r>
          </w:p>
        </w:tc>
        <w:tc>
          <w:tcPr>
            <w:tcW w:w="127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EA9DC93">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≤2</w:t>
            </w:r>
          </w:p>
        </w:tc>
        <w:tc>
          <w:tcPr>
            <w:tcW w:w="1418" w:type="dxa"/>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top"/>
          </w:tcPr>
          <w:p w14:paraId="57FA5197">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w:t>
            </w:r>
          </w:p>
        </w:tc>
      </w:tr>
      <w:tr w14:paraId="1BCC6A59">
        <w:tblPrEx>
          <w:tblCellMar>
            <w:top w:w="0" w:type="dxa"/>
            <w:left w:w="0" w:type="dxa"/>
            <w:bottom w:w="0" w:type="dxa"/>
            <w:right w:w="0" w:type="dxa"/>
          </w:tblCellMar>
        </w:tblPrEx>
        <w:trPr>
          <w:cantSplit/>
          <w:trHeight w:val="664" w:hRule="exact"/>
          <w:jc w:val="center"/>
        </w:trPr>
        <w:tc>
          <w:tcPr>
            <w:tcW w:w="1975" w:type="dxa"/>
            <w:gridSpan w:val="2"/>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35A32E70">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长途车站</w:t>
            </w:r>
          </w:p>
        </w:tc>
        <w:tc>
          <w:tcPr>
            <w:tcW w:w="14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5D06B61">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w:t>
            </w:r>
          </w:p>
        </w:tc>
        <w:tc>
          <w:tcPr>
            <w:tcW w:w="14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B3E54ED">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≤2</w:t>
            </w:r>
          </w:p>
        </w:tc>
        <w:tc>
          <w:tcPr>
            <w:tcW w:w="127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87D6360">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≤2</w:t>
            </w:r>
          </w:p>
        </w:tc>
        <w:tc>
          <w:tcPr>
            <w:tcW w:w="127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C3CC6B7">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≤3</w:t>
            </w:r>
          </w:p>
        </w:tc>
        <w:tc>
          <w:tcPr>
            <w:tcW w:w="1418" w:type="dxa"/>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top"/>
          </w:tcPr>
          <w:p w14:paraId="507F3B01">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≤2</w:t>
            </w:r>
          </w:p>
        </w:tc>
      </w:tr>
      <w:tr w14:paraId="6517370E">
        <w:tblPrEx>
          <w:tblCellMar>
            <w:top w:w="0" w:type="dxa"/>
            <w:left w:w="0" w:type="dxa"/>
            <w:bottom w:w="0" w:type="dxa"/>
            <w:right w:w="0" w:type="dxa"/>
          </w:tblCellMar>
        </w:tblPrEx>
        <w:trPr>
          <w:cantSplit/>
          <w:trHeight w:val="688" w:hRule="exact"/>
          <w:jc w:val="center"/>
        </w:trPr>
        <w:tc>
          <w:tcPr>
            <w:tcW w:w="1975" w:type="dxa"/>
            <w:gridSpan w:val="2"/>
            <w:tcBorders>
              <w:top w:val="single" w:color="auto" w:sz="4" w:space="0"/>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23729182">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大型公共广场</w:t>
            </w:r>
          </w:p>
        </w:tc>
        <w:tc>
          <w:tcPr>
            <w:tcW w:w="1417" w:type="dxa"/>
            <w:tcBorders>
              <w:top w:val="single" w:color="auto" w:sz="4" w:space="0"/>
              <w:left w:val="single" w:color="auto" w:sz="4" w:space="0"/>
              <w:bottom w:val="single" w:color="auto" w:sz="8" w:space="0"/>
              <w:right w:val="single" w:color="auto" w:sz="4" w:space="0"/>
            </w:tcBorders>
            <w:noWrap w:val="0"/>
            <w:tcMar>
              <w:top w:w="0" w:type="dxa"/>
              <w:left w:w="108" w:type="dxa"/>
              <w:bottom w:w="0" w:type="dxa"/>
              <w:right w:w="108" w:type="dxa"/>
            </w:tcMar>
            <w:vAlign w:val="top"/>
          </w:tcPr>
          <w:p w14:paraId="7E299C99">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≤1</w:t>
            </w:r>
          </w:p>
        </w:tc>
        <w:tc>
          <w:tcPr>
            <w:tcW w:w="1418" w:type="dxa"/>
            <w:tcBorders>
              <w:top w:val="single" w:color="auto" w:sz="4" w:space="0"/>
              <w:left w:val="single" w:color="auto" w:sz="4" w:space="0"/>
              <w:bottom w:val="single" w:color="auto" w:sz="8" w:space="0"/>
              <w:right w:val="single" w:color="auto" w:sz="4" w:space="0"/>
            </w:tcBorders>
            <w:noWrap w:val="0"/>
            <w:tcMar>
              <w:top w:w="0" w:type="dxa"/>
              <w:left w:w="108" w:type="dxa"/>
              <w:bottom w:w="0" w:type="dxa"/>
              <w:right w:w="108" w:type="dxa"/>
            </w:tcMar>
            <w:vAlign w:val="top"/>
          </w:tcPr>
          <w:p w14:paraId="58B1A705">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≤3</w:t>
            </w:r>
          </w:p>
        </w:tc>
        <w:tc>
          <w:tcPr>
            <w:tcW w:w="1276" w:type="dxa"/>
            <w:tcBorders>
              <w:top w:val="single" w:color="auto" w:sz="4" w:space="0"/>
              <w:left w:val="single" w:color="auto" w:sz="4" w:space="0"/>
              <w:bottom w:val="single" w:color="auto" w:sz="8" w:space="0"/>
              <w:right w:val="single" w:color="auto" w:sz="4" w:space="0"/>
            </w:tcBorders>
            <w:noWrap w:val="0"/>
            <w:tcMar>
              <w:top w:w="0" w:type="dxa"/>
              <w:left w:w="108" w:type="dxa"/>
              <w:bottom w:w="0" w:type="dxa"/>
              <w:right w:w="108" w:type="dxa"/>
            </w:tcMar>
            <w:vAlign w:val="top"/>
          </w:tcPr>
          <w:p w14:paraId="3F2BB7B3">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≤3</w:t>
            </w:r>
          </w:p>
        </w:tc>
        <w:tc>
          <w:tcPr>
            <w:tcW w:w="1275" w:type="dxa"/>
            <w:tcBorders>
              <w:top w:val="single" w:color="auto" w:sz="4" w:space="0"/>
              <w:left w:val="single" w:color="auto" w:sz="4" w:space="0"/>
              <w:bottom w:val="single" w:color="auto" w:sz="8" w:space="0"/>
              <w:right w:val="single" w:color="auto" w:sz="4" w:space="0"/>
            </w:tcBorders>
            <w:noWrap w:val="0"/>
            <w:tcMar>
              <w:top w:w="0" w:type="dxa"/>
              <w:left w:w="108" w:type="dxa"/>
              <w:bottom w:w="0" w:type="dxa"/>
              <w:right w:w="108" w:type="dxa"/>
            </w:tcMar>
            <w:vAlign w:val="top"/>
          </w:tcPr>
          <w:p w14:paraId="2C6518A2">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≤3</w:t>
            </w:r>
          </w:p>
        </w:tc>
        <w:tc>
          <w:tcPr>
            <w:tcW w:w="1418" w:type="dxa"/>
            <w:tcBorders>
              <w:top w:val="single" w:color="auto" w:sz="4" w:space="0"/>
              <w:left w:val="single" w:color="auto" w:sz="4" w:space="0"/>
              <w:bottom w:val="single" w:color="auto" w:sz="8" w:space="0"/>
              <w:right w:val="single" w:color="auto" w:sz="8" w:space="0"/>
            </w:tcBorders>
            <w:noWrap w:val="0"/>
            <w:tcMar>
              <w:top w:w="0" w:type="dxa"/>
              <w:left w:w="108" w:type="dxa"/>
              <w:bottom w:w="0" w:type="dxa"/>
              <w:right w:w="108" w:type="dxa"/>
            </w:tcMar>
            <w:vAlign w:val="top"/>
          </w:tcPr>
          <w:p w14:paraId="57DD3717">
            <w:pPr>
              <w:widowControl/>
              <w:adjustRightInd w:val="0"/>
              <w:snapToGrid w:val="0"/>
              <w:spacing w:before="240" w:after="240"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≤3</w:t>
            </w:r>
          </w:p>
        </w:tc>
      </w:tr>
    </w:tbl>
    <w:p w14:paraId="2E993A14">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（3）保洁要求</w:t>
      </w:r>
    </w:p>
    <w:p w14:paraId="4117DFA3">
      <w:pPr>
        <w:keepNext w:val="0"/>
        <w:keepLines w:val="0"/>
        <w:pageBreakBefore w:val="0"/>
        <w:kinsoku/>
        <w:wordWrap/>
        <w:overflowPunct/>
        <w:topLinePunct w:val="0"/>
        <w:autoSpaceDE/>
        <w:autoSpaceDN/>
        <w:bidi w:val="0"/>
        <w:adjustRightInd w:val="0"/>
        <w:snapToGrid w:val="0"/>
        <w:spacing w:line="560" w:lineRule="exact"/>
        <w:ind w:left="643"/>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①作业方式及时间</w:t>
      </w:r>
    </w:p>
    <w:p w14:paraId="46FD5830">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每天一次大扫和连续性保洁，</w:t>
      </w:r>
      <w:r>
        <w:rPr>
          <w:rFonts w:hint="eastAsia" w:ascii="仿宋_GB2312" w:hAnsi="仿宋_GB2312" w:eastAsia="仿宋_GB2312" w:cs="仿宋_GB2312"/>
          <w:sz w:val="28"/>
          <w:szCs w:val="28"/>
        </w:rPr>
        <w:t>并根据季节、人流量增加和</w:t>
      </w:r>
      <w:r>
        <w:rPr>
          <w:rFonts w:hint="eastAsia" w:ascii="仿宋_GB2312" w:hAnsi="仿宋_GB2312" w:eastAsia="仿宋_GB2312" w:cs="仿宋_GB2312"/>
          <w:color w:val="000000"/>
          <w:sz w:val="28"/>
          <w:szCs w:val="28"/>
        </w:rPr>
        <w:t>路面情况增加大扫次数，</w:t>
      </w:r>
      <w:r>
        <w:rPr>
          <w:rFonts w:hint="eastAsia" w:ascii="仿宋_GB2312" w:hAnsi="仿宋_GB2312" w:eastAsia="仿宋_GB2312" w:cs="仿宋_GB2312"/>
          <w:sz w:val="28"/>
          <w:szCs w:val="28"/>
        </w:rPr>
        <w:t>其余时间不间断巡回保洁。雨雪天气可不进行大扫，但要巡回保洁。</w:t>
      </w:r>
    </w:p>
    <w:p w14:paraId="691507DB">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323232"/>
          <w:sz w:val="28"/>
          <w:szCs w:val="28"/>
        </w:rPr>
      </w:pPr>
      <w:r>
        <w:rPr>
          <w:rFonts w:hint="eastAsia" w:ascii="仿宋_GB2312" w:hAnsi="仿宋_GB2312" w:eastAsia="仿宋_GB2312" w:cs="仿宋_GB2312"/>
          <w:color w:val="000000"/>
          <w:sz w:val="28"/>
          <w:szCs w:val="28"/>
        </w:rPr>
        <w:t>人工、机械大扫</w:t>
      </w:r>
      <w:r>
        <w:rPr>
          <w:rFonts w:hint="eastAsia" w:ascii="仿宋_GB2312" w:hAnsi="仿宋_GB2312" w:eastAsia="仿宋_GB2312" w:cs="仿宋_GB2312"/>
          <w:color w:val="323232"/>
          <w:sz w:val="28"/>
          <w:szCs w:val="28"/>
        </w:rPr>
        <w:t>作业时间：</w:t>
      </w:r>
      <w:r>
        <w:rPr>
          <w:rFonts w:hint="eastAsia" w:ascii="仿宋_GB2312" w:hAnsi="仿宋_GB2312" w:eastAsia="仿宋_GB2312" w:cs="仿宋_GB2312"/>
          <w:color w:val="000000"/>
          <w:sz w:val="28"/>
          <w:szCs w:val="28"/>
        </w:rPr>
        <w:t>夏季早7:30</w:t>
      </w:r>
      <w:r>
        <w:rPr>
          <w:rFonts w:hint="eastAsia" w:ascii="仿宋_GB2312" w:hAnsi="仿宋_GB2312" w:eastAsia="仿宋_GB2312" w:cs="仿宋_GB2312"/>
          <w:color w:val="000000"/>
          <w:spacing w:val="31"/>
          <w:sz w:val="28"/>
          <w:szCs w:val="28"/>
        </w:rPr>
        <w:t>前结束清扫工作，</w:t>
      </w:r>
      <w:r>
        <w:rPr>
          <w:rFonts w:hint="eastAsia" w:ascii="仿宋_GB2312" w:hAnsi="仿宋_GB2312" w:eastAsia="仿宋_GB2312" w:cs="仿宋_GB2312"/>
          <w:color w:val="000000"/>
          <w:sz w:val="28"/>
          <w:szCs w:val="28"/>
        </w:rPr>
        <w:t>冬季8:30</w:t>
      </w:r>
      <w:r>
        <w:rPr>
          <w:rFonts w:hint="eastAsia" w:ascii="仿宋_GB2312" w:hAnsi="仿宋_GB2312" w:eastAsia="仿宋_GB2312" w:cs="仿宋_GB2312"/>
          <w:color w:val="000000"/>
          <w:spacing w:val="31"/>
          <w:sz w:val="28"/>
          <w:szCs w:val="28"/>
        </w:rPr>
        <w:t>前结束清扫工作</w:t>
      </w:r>
    </w:p>
    <w:p w14:paraId="564B8910">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连续性保洁时间：夏季早7:30至晚22:30，冬季早8:30至晚21:30。</w:t>
      </w:r>
    </w:p>
    <w:p w14:paraId="11AC81E4">
      <w:pPr>
        <w:keepNext w:val="0"/>
        <w:keepLines w:val="0"/>
        <w:pageBreakBefore w:val="0"/>
        <w:widowControl/>
        <w:kinsoku/>
        <w:wordWrap/>
        <w:overflowPunct/>
        <w:topLinePunct w:val="0"/>
        <w:autoSpaceDE/>
        <w:autoSpaceDN/>
        <w:bidi w:val="0"/>
        <w:adjustRightInd w:val="0"/>
        <w:snapToGrid w:val="0"/>
        <w:spacing w:line="560" w:lineRule="exact"/>
        <w:ind w:left="643"/>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②日常保洁</w:t>
      </w:r>
    </w:p>
    <w:p w14:paraId="0279C2A5">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扫时，对堤顶道路、广场、园路、人行道、栈道进行全面清扫。做到“五无五净”（五无：无堆积物、无果皮纸屑、无砖瓦土石、无污泥积水、无痰涕烟蒂；五净：路面净、果皮箱净、绿化带净、坐凳净，树眼周围净）。</w:t>
      </w:r>
    </w:p>
    <w:p w14:paraId="3462ACC9">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连续性</w:t>
      </w:r>
      <w:r>
        <w:rPr>
          <w:rFonts w:hint="eastAsia" w:ascii="仿宋_GB2312" w:hAnsi="仿宋_GB2312" w:eastAsia="仿宋_GB2312" w:cs="仿宋_GB2312"/>
          <w:sz w:val="28"/>
          <w:szCs w:val="28"/>
        </w:rPr>
        <w:t>保洁时，保洁人员应巡回走动，用小扫把、撮箕、垃圾钳等工具清理路面、绿化带内较为明显的纸屑、果皮、饮料瓶等垃圾，清除硬化区域地砖间杂草，做到勤走、勤看、勤扫，确保景区整洁。</w:t>
      </w:r>
    </w:p>
    <w:p w14:paraId="168C27AB">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绿地、绿化隔离带</w:t>
      </w:r>
      <w:r>
        <w:rPr>
          <w:rFonts w:hint="eastAsia" w:ascii="仿宋_GB2312" w:hAnsi="仿宋_GB2312" w:eastAsia="仿宋_GB2312" w:cs="仿宋_GB2312"/>
          <w:sz w:val="28"/>
          <w:szCs w:val="28"/>
        </w:rPr>
        <w:t>每日至少彻底清扫一次绿化带内落叶、清除人畜粪便等污物，其余时间不间断巡回捡拾绿化带内的饮料瓶、果皮纸屑、烟头等小杂物。</w:t>
      </w:r>
    </w:p>
    <w:p w14:paraId="5856ACBB">
      <w:pPr>
        <w:pStyle w:val="7"/>
        <w:keepNext w:val="0"/>
        <w:keepLines w:val="0"/>
        <w:pageBreakBefore w:val="0"/>
        <w:widowControl/>
        <w:kinsoku/>
        <w:wordWrap/>
        <w:overflowPunct/>
        <w:topLinePunct w:val="0"/>
        <w:autoSpaceDE/>
        <w:autoSpaceDN/>
        <w:bidi w:val="0"/>
        <w:adjustRightInd w:val="0"/>
        <w:snapToGrid w:val="0"/>
        <w:spacing w:line="560" w:lineRule="exact"/>
        <w:ind w:firstLine="64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③公共设施保洁</w:t>
      </w:r>
    </w:p>
    <w:p w14:paraId="70DA4907">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花池台、坐凳、风雨亭、警示牌、宣传栏、灯柱等公共设施应随时擦洗，确保无广告张贴、无积泥积灰、无青苔、无蜘蛛网等污渍。</w:t>
      </w:r>
    </w:p>
    <w:p w14:paraId="711B9372">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亭台、楼阁、雕塑、诗碑等主要景点构筑物的保持无落叶、蜘蛛网、灰尘、青苔等污渍。</w:t>
      </w:r>
    </w:p>
    <w:p w14:paraId="226DCF85">
      <w:pPr>
        <w:keepNext w:val="0"/>
        <w:keepLines w:val="0"/>
        <w:pageBreakBefore w:val="0"/>
        <w:widowControl/>
        <w:kinsoku/>
        <w:wordWrap/>
        <w:overflowPunct/>
        <w:topLinePunct w:val="0"/>
        <w:autoSpaceDE/>
        <w:autoSpaceDN/>
        <w:bidi w:val="0"/>
        <w:adjustRightInd w:val="0"/>
        <w:snapToGrid w:val="0"/>
        <w:spacing w:line="560" w:lineRule="exact"/>
        <w:ind w:left="71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④清洗保洁</w:t>
      </w:r>
    </w:p>
    <w:p w14:paraId="73D23154">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路面、广场、人行道保证定期冲洗、降尘，夏季每月至少二次、冬季每月至少一次。</w:t>
      </w:r>
    </w:p>
    <w:p w14:paraId="32408DC4">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汉白玉护栏、雕塑、景石每季度至少清洗一次，确保表面无青苔、污垢，冲洗后清洗面应见本色，无污垢。</w:t>
      </w:r>
    </w:p>
    <w:p w14:paraId="45F3C7F3">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垃圾箱</w:t>
      </w:r>
      <w:r>
        <w:rPr>
          <w:rFonts w:hint="eastAsia" w:ascii="仿宋_GB2312" w:hAnsi="仿宋_GB2312" w:eastAsia="仿宋_GB2312" w:cs="仿宋_GB2312"/>
          <w:color w:val="000000"/>
          <w:sz w:val="28"/>
          <w:szCs w:val="28"/>
        </w:rPr>
        <w:t>外箱体每天需清洗一次，果皮箱外观应整洁、无污垢、无痰迹、无尘土、无小广告；</w:t>
      </w:r>
      <w:r>
        <w:rPr>
          <w:rFonts w:hint="eastAsia" w:ascii="仿宋_GB2312" w:hAnsi="仿宋_GB2312" w:eastAsia="仿宋_GB2312" w:cs="仿宋_GB2312"/>
          <w:color w:val="000000"/>
          <w:kern w:val="0"/>
          <w:sz w:val="28"/>
          <w:szCs w:val="28"/>
        </w:rPr>
        <w:t>蝇、蚊孳生季节，应定时喷洒消毒、灭蚊蝇药物。</w:t>
      </w:r>
      <w:r>
        <w:rPr>
          <w:rFonts w:hint="eastAsia" w:ascii="仿宋_GB2312" w:hAnsi="仿宋_GB2312" w:eastAsia="仿宋_GB2312" w:cs="仿宋_GB2312"/>
          <w:color w:val="000000"/>
          <w:sz w:val="28"/>
          <w:szCs w:val="28"/>
        </w:rPr>
        <w:t>箱内视污染程度及时清洗。</w:t>
      </w:r>
    </w:p>
    <w:p w14:paraId="5E63DD68">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Cs/>
          <w:color w:val="000000"/>
          <w:kern w:val="0"/>
          <w:sz w:val="28"/>
          <w:szCs w:val="28"/>
        </w:rPr>
        <w:t>⑤垃圾收集、运输和处理</w:t>
      </w:r>
    </w:p>
    <w:p w14:paraId="052D0F25">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果皮箱内的垃圾应在每日早7点至晚9点巡回清掏，做到随清随运。箱内垃圾不得溢满，周围0.5～1m内应整洁，确保无散落、存留垃圾和污水。如因人流量大造成箱内垃圾多不能当日清掏完的，必须在次日上午10时前清运完毕。</w:t>
      </w:r>
    </w:p>
    <w:p w14:paraId="64849D8B">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pacing w:val="31"/>
          <w:sz w:val="28"/>
          <w:szCs w:val="28"/>
        </w:rPr>
      </w:pPr>
      <w:r>
        <w:rPr>
          <w:rFonts w:hint="eastAsia" w:ascii="仿宋_GB2312" w:hAnsi="仿宋_GB2312" w:eastAsia="仿宋_GB2312" w:cs="仿宋_GB2312"/>
          <w:sz w:val="28"/>
          <w:szCs w:val="28"/>
        </w:rPr>
        <w:t>禁止保洁人员在果皮箱、垃圾收集站点内翻捡废品，禁止用箩筐或编织袋装垃圾。</w:t>
      </w:r>
    </w:p>
    <w:p w14:paraId="055E6C42">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垃圾收容转运</w:t>
      </w:r>
      <w:r>
        <w:rPr>
          <w:rFonts w:hint="eastAsia" w:ascii="仿宋_GB2312" w:hAnsi="仿宋_GB2312" w:eastAsia="仿宋_GB2312" w:cs="仿宋_GB2312"/>
          <w:color w:val="000000"/>
          <w:kern w:val="0"/>
          <w:sz w:val="28"/>
          <w:szCs w:val="28"/>
        </w:rPr>
        <w:t>车应加盖密闭，车容应整洁美观，车体外部无污物、灰垢，标志应清晰。在运输过程中无垃圾扬、撒、拖挂和污水滴漏。作业结束，应将车辆清洗干净停放整齐。</w:t>
      </w:r>
    </w:p>
    <w:p w14:paraId="73968B18">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装卸垃圾应符合作业要求，垃圾倾倒应</w:t>
      </w:r>
      <w:r>
        <w:rPr>
          <w:rFonts w:hint="eastAsia" w:ascii="仿宋_GB2312" w:hAnsi="仿宋_GB2312" w:eastAsia="仿宋_GB2312" w:cs="仿宋_GB2312"/>
          <w:color w:val="000000"/>
          <w:sz w:val="28"/>
          <w:szCs w:val="28"/>
        </w:rPr>
        <w:t>自行清运至环卫指定的垃圾倾倒点，</w:t>
      </w:r>
      <w:r>
        <w:rPr>
          <w:rFonts w:hint="eastAsia" w:ascii="仿宋_GB2312" w:hAnsi="仿宋_GB2312" w:eastAsia="仿宋_GB2312" w:cs="仿宋_GB2312"/>
          <w:color w:val="000000"/>
          <w:kern w:val="0"/>
          <w:sz w:val="28"/>
          <w:szCs w:val="28"/>
        </w:rPr>
        <w:t>不得乱倒、乱卸、乱抛垃圾或就地焚烧。</w:t>
      </w:r>
    </w:p>
    <w:p w14:paraId="50D9C831">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⑥工具房及工具存放</w:t>
      </w:r>
    </w:p>
    <w:p w14:paraId="36DD1B41">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工具房只能存放保洁工具，不得堆放其他杂物或改作其他用途，严禁存放易燃易爆品。</w:t>
      </w:r>
    </w:p>
    <w:p w14:paraId="59808B37">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有工具房的路段，工具应存放于工具房内，保持工具房整洁。无工具房的路段，不得将保洁车辆、保洁工具乱停乱放，应摆放整齐、干净整洁。</w:t>
      </w:r>
    </w:p>
    <w:p w14:paraId="6E9EE568">
      <w:pPr>
        <w:keepNext w:val="0"/>
        <w:keepLines w:val="0"/>
        <w:pageBreakBefore w:val="0"/>
        <w:kinsoku/>
        <w:wordWrap/>
        <w:overflowPunct/>
        <w:topLinePunct w:val="0"/>
        <w:autoSpaceDE/>
        <w:autoSpaceDN/>
        <w:bidi w:val="0"/>
        <w:adjustRightInd w:val="0"/>
        <w:snapToGrid w:val="0"/>
        <w:spacing w:line="560" w:lineRule="exact"/>
        <w:ind w:firstLine="627" w:firstLineChars="224"/>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color w:val="000000"/>
          <w:kern w:val="0"/>
          <w:sz w:val="28"/>
          <w:szCs w:val="28"/>
        </w:rPr>
        <w:t>公厕保洁标准及管理规定</w:t>
      </w:r>
    </w:p>
    <w:p w14:paraId="7115315A">
      <w:pPr>
        <w:keepNext w:val="0"/>
        <w:keepLines w:val="0"/>
        <w:pageBreakBefore w:val="0"/>
        <w:kinsoku/>
        <w:wordWrap/>
        <w:overflowPunct/>
        <w:topLinePunct w:val="0"/>
        <w:autoSpaceDE/>
        <w:autoSpaceDN/>
        <w:bidi w:val="0"/>
        <w:adjustRightInd w:val="0"/>
        <w:snapToGrid w:val="0"/>
        <w:spacing w:line="560" w:lineRule="exact"/>
        <w:ind w:firstLine="630" w:firstLineChars="225"/>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按照</w:t>
      </w:r>
      <w:r>
        <w:rPr>
          <w:rFonts w:hint="eastAsia" w:ascii="仿宋_GB2312" w:hAnsi="仿宋_GB2312" w:eastAsia="仿宋_GB2312" w:cs="仿宋_GB2312"/>
          <w:color w:val="000000"/>
          <w:sz w:val="28"/>
          <w:szCs w:val="28"/>
          <w:shd w:val="clear" w:color="auto" w:fill="FFFFFF"/>
        </w:rPr>
        <w:t>《</w:t>
      </w:r>
      <w:r>
        <w:rPr>
          <w:rFonts w:hint="eastAsia" w:ascii="仿宋_GB2312" w:hAnsi="仿宋_GB2312" w:eastAsia="仿宋_GB2312" w:cs="仿宋_GB2312"/>
          <w:bCs/>
          <w:color w:val="111111"/>
          <w:kern w:val="0"/>
          <w:sz w:val="28"/>
          <w:szCs w:val="28"/>
        </w:rPr>
        <w:t>城市环境卫生质量标准</w:t>
      </w:r>
      <w:r>
        <w:rPr>
          <w:rFonts w:hint="eastAsia" w:ascii="仿宋_GB2312" w:hAnsi="仿宋_GB2312" w:eastAsia="仿宋_GB2312" w:cs="仿宋_GB2312"/>
          <w:color w:val="000000"/>
          <w:kern w:val="0"/>
          <w:sz w:val="28"/>
          <w:szCs w:val="28"/>
        </w:rPr>
        <w:t>(建设部建城［1997］21号文件)》中二类公厕卫生质量要求执行。</w:t>
      </w:r>
    </w:p>
    <w:p w14:paraId="7F219F04">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①公厕卫生保洁质量控制指标</w:t>
      </w:r>
    </w:p>
    <w:tbl>
      <w:tblPr>
        <w:tblStyle w:val="4"/>
        <w:tblW w:w="4709" w:type="pct"/>
        <w:jc w:val="center"/>
        <w:tblLayout w:type="autofit"/>
        <w:tblCellMar>
          <w:top w:w="0" w:type="dxa"/>
          <w:left w:w="0" w:type="dxa"/>
          <w:bottom w:w="0" w:type="dxa"/>
          <w:right w:w="0" w:type="dxa"/>
        </w:tblCellMar>
      </w:tblPr>
      <w:tblGrid>
        <w:gridCol w:w="2668"/>
        <w:gridCol w:w="1454"/>
        <w:gridCol w:w="1954"/>
        <w:gridCol w:w="1950"/>
      </w:tblGrid>
      <w:tr w14:paraId="0CF65612">
        <w:tblPrEx>
          <w:tblCellMar>
            <w:top w:w="0" w:type="dxa"/>
            <w:left w:w="0" w:type="dxa"/>
            <w:bottom w:w="0" w:type="dxa"/>
            <w:right w:w="0" w:type="dxa"/>
          </w:tblCellMar>
        </w:tblPrEx>
        <w:trPr>
          <w:cantSplit/>
          <w:trHeight w:val="557" w:hRule="exact"/>
          <w:jc w:val="center"/>
        </w:trPr>
        <w:tc>
          <w:tcPr>
            <w:tcW w:w="1662" w:type="pct"/>
            <w:tcBorders>
              <w:top w:val="single" w:color="auto" w:sz="8"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7FE8BD72">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项目</w:t>
            </w:r>
          </w:p>
        </w:tc>
        <w:tc>
          <w:tcPr>
            <w:tcW w:w="906" w:type="pct"/>
            <w:tcBorders>
              <w:top w:val="single" w:color="auto" w:sz="8"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C77410D">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一类公厕</w:t>
            </w:r>
          </w:p>
        </w:tc>
        <w:tc>
          <w:tcPr>
            <w:tcW w:w="1217" w:type="pct"/>
            <w:tcBorders>
              <w:top w:val="single" w:color="auto" w:sz="8"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69F0F46">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二类公厕</w:t>
            </w:r>
          </w:p>
        </w:tc>
        <w:tc>
          <w:tcPr>
            <w:tcW w:w="1215" w:type="pct"/>
            <w:tcBorders>
              <w:top w:val="single" w:color="auto" w:sz="8"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14:paraId="7189A132">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三类公厕</w:t>
            </w:r>
          </w:p>
        </w:tc>
      </w:tr>
      <w:tr w14:paraId="681647D0">
        <w:tblPrEx>
          <w:tblCellMar>
            <w:top w:w="0" w:type="dxa"/>
            <w:left w:w="0" w:type="dxa"/>
            <w:bottom w:w="0" w:type="dxa"/>
            <w:right w:w="0" w:type="dxa"/>
          </w:tblCellMar>
        </w:tblPrEx>
        <w:trPr>
          <w:cantSplit/>
          <w:trHeight w:val="568" w:hRule="exact"/>
          <w:jc w:val="center"/>
        </w:trPr>
        <w:tc>
          <w:tcPr>
            <w:tcW w:w="1662" w:type="pct"/>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0E04CACD">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纸片(块)</w:t>
            </w:r>
          </w:p>
        </w:tc>
        <w:tc>
          <w:tcPr>
            <w:tcW w:w="906"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56A1F7C">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无</w:t>
            </w:r>
          </w:p>
        </w:tc>
        <w:tc>
          <w:tcPr>
            <w:tcW w:w="121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1BBA92E">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w:t>
            </w:r>
          </w:p>
        </w:tc>
        <w:tc>
          <w:tcPr>
            <w:tcW w:w="1215" w:type="pct"/>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14:paraId="587064BC">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≤2</w:t>
            </w:r>
          </w:p>
        </w:tc>
      </w:tr>
      <w:tr w14:paraId="225F171F">
        <w:tblPrEx>
          <w:tblCellMar>
            <w:top w:w="0" w:type="dxa"/>
            <w:left w:w="0" w:type="dxa"/>
            <w:bottom w:w="0" w:type="dxa"/>
            <w:right w:w="0" w:type="dxa"/>
          </w:tblCellMar>
        </w:tblPrEx>
        <w:trPr>
          <w:cantSplit/>
          <w:trHeight w:val="562" w:hRule="exact"/>
          <w:jc w:val="center"/>
        </w:trPr>
        <w:tc>
          <w:tcPr>
            <w:tcW w:w="1662" w:type="pct"/>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6613F20C">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烟蒂(个)</w:t>
            </w:r>
          </w:p>
        </w:tc>
        <w:tc>
          <w:tcPr>
            <w:tcW w:w="906"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CF418B0">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无</w:t>
            </w:r>
          </w:p>
        </w:tc>
        <w:tc>
          <w:tcPr>
            <w:tcW w:w="121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B3CB13A">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w:t>
            </w:r>
          </w:p>
        </w:tc>
        <w:tc>
          <w:tcPr>
            <w:tcW w:w="1215" w:type="pct"/>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14:paraId="2C9CB91D">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≤2</w:t>
            </w:r>
          </w:p>
        </w:tc>
      </w:tr>
      <w:tr w14:paraId="38A7269A">
        <w:tblPrEx>
          <w:tblCellMar>
            <w:top w:w="0" w:type="dxa"/>
            <w:left w:w="0" w:type="dxa"/>
            <w:bottom w:w="0" w:type="dxa"/>
            <w:right w:w="0" w:type="dxa"/>
          </w:tblCellMar>
        </w:tblPrEx>
        <w:trPr>
          <w:cantSplit/>
          <w:trHeight w:val="570" w:hRule="exact"/>
          <w:jc w:val="center"/>
        </w:trPr>
        <w:tc>
          <w:tcPr>
            <w:tcW w:w="1662" w:type="pct"/>
            <w:tcBorders>
              <w:top w:val="single" w:color="auto" w:sz="4" w:space="0"/>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2344E00B">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粪迹处)</w:t>
            </w:r>
          </w:p>
        </w:tc>
        <w:tc>
          <w:tcPr>
            <w:tcW w:w="906" w:type="pct"/>
            <w:tcBorders>
              <w:top w:val="single" w:color="auto" w:sz="4" w:space="0"/>
              <w:left w:val="single" w:color="auto" w:sz="4" w:space="0"/>
              <w:bottom w:val="single" w:color="auto" w:sz="8" w:space="0"/>
              <w:right w:val="single" w:color="auto" w:sz="4" w:space="0"/>
            </w:tcBorders>
            <w:noWrap w:val="0"/>
            <w:tcMar>
              <w:top w:w="0" w:type="dxa"/>
              <w:left w:w="108" w:type="dxa"/>
              <w:bottom w:w="0" w:type="dxa"/>
              <w:right w:w="108" w:type="dxa"/>
            </w:tcMar>
            <w:vAlign w:val="center"/>
          </w:tcPr>
          <w:p w14:paraId="1F483E97">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无</w:t>
            </w:r>
          </w:p>
        </w:tc>
        <w:tc>
          <w:tcPr>
            <w:tcW w:w="1217" w:type="pct"/>
            <w:tcBorders>
              <w:top w:val="single" w:color="auto" w:sz="4" w:space="0"/>
              <w:left w:val="single" w:color="auto" w:sz="4" w:space="0"/>
              <w:bottom w:val="single" w:color="auto" w:sz="8" w:space="0"/>
              <w:right w:val="single" w:color="auto" w:sz="4" w:space="0"/>
            </w:tcBorders>
            <w:noWrap w:val="0"/>
            <w:tcMar>
              <w:top w:w="0" w:type="dxa"/>
              <w:left w:w="108" w:type="dxa"/>
              <w:bottom w:w="0" w:type="dxa"/>
              <w:right w:w="108" w:type="dxa"/>
            </w:tcMar>
            <w:vAlign w:val="center"/>
          </w:tcPr>
          <w:p w14:paraId="0077912C">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无</w:t>
            </w:r>
          </w:p>
        </w:tc>
        <w:tc>
          <w:tcPr>
            <w:tcW w:w="1215" w:type="pct"/>
            <w:tcBorders>
              <w:top w:val="single" w:color="auto" w:sz="4" w:space="0"/>
              <w:left w:val="single" w:color="auto" w:sz="4" w:space="0"/>
              <w:bottom w:val="single" w:color="auto" w:sz="8" w:space="0"/>
              <w:right w:val="single" w:color="auto" w:sz="8" w:space="0"/>
            </w:tcBorders>
            <w:noWrap w:val="0"/>
            <w:tcMar>
              <w:top w:w="0" w:type="dxa"/>
              <w:left w:w="108" w:type="dxa"/>
              <w:bottom w:w="0" w:type="dxa"/>
              <w:right w:w="108" w:type="dxa"/>
            </w:tcMar>
            <w:vAlign w:val="center"/>
          </w:tcPr>
          <w:p w14:paraId="54FEB8A1">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无</w:t>
            </w:r>
          </w:p>
        </w:tc>
      </w:tr>
      <w:tr w14:paraId="25D395A2">
        <w:tblPrEx>
          <w:tblCellMar>
            <w:top w:w="0" w:type="dxa"/>
            <w:left w:w="0" w:type="dxa"/>
            <w:bottom w:w="0" w:type="dxa"/>
            <w:right w:w="0" w:type="dxa"/>
          </w:tblCellMar>
        </w:tblPrEx>
        <w:trPr>
          <w:cantSplit/>
          <w:trHeight w:val="574" w:hRule="exact"/>
          <w:jc w:val="center"/>
        </w:trPr>
        <w:tc>
          <w:tcPr>
            <w:tcW w:w="1662" w:type="pct"/>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74E13B5D">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痰迹(处)</w:t>
            </w:r>
          </w:p>
        </w:tc>
        <w:tc>
          <w:tcPr>
            <w:tcW w:w="906"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9B7F8FA">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无</w:t>
            </w:r>
          </w:p>
        </w:tc>
        <w:tc>
          <w:tcPr>
            <w:tcW w:w="121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A794C03">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w:t>
            </w:r>
          </w:p>
        </w:tc>
        <w:tc>
          <w:tcPr>
            <w:tcW w:w="1215" w:type="pct"/>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14:paraId="12962C58">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≤2</w:t>
            </w:r>
          </w:p>
        </w:tc>
      </w:tr>
      <w:tr w14:paraId="22A46ADF">
        <w:tblPrEx>
          <w:tblCellMar>
            <w:top w:w="0" w:type="dxa"/>
            <w:left w:w="0" w:type="dxa"/>
            <w:bottom w:w="0" w:type="dxa"/>
            <w:right w:w="0" w:type="dxa"/>
          </w:tblCellMar>
        </w:tblPrEx>
        <w:trPr>
          <w:cantSplit/>
          <w:trHeight w:val="545" w:hRule="exact"/>
          <w:jc w:val="center"/>
        </w:trPr>
        <w:tc>
          <w:tcPr>
            <w:tcW w:w="1662" w:type="pct"/>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2E38DC1C">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窗格积灰</w:t>
            </w:r>
          </w:p>
        </w:tc>
        <w:tc>
          <w:tcPr>
            <w:tcW w:w="906"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2A60C8C">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无</w:t>
            </w:r>
          </w:p>
        </w:tc>
        <w:tc>
          <w:tcPr>
            <w:tcW w:w="121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1778CA9">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无</w:t>
            </w:r>
          </w:p>
        </w:tc>
        <w:tc>
          <w:tcPr>
            <w:tcW w:w="1215" w:type="pct"/>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14:paraId="57F9B775">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微</w:t>
            </w:r>
          </w:p>
        </w:tc>
      </w:tr>
      <w:tr w14:paraId="6A4F916C">
        <w:tblPrEx>
          <w:tblCellMar>
            <w:top w:w="0" w:type="dxa"/>
            <w:left w:w="0" w:type="dxa"/>
            <w:bottom w:w="0" w:type="dxa"/>
            <w:right w:w="0" w:type="dxa"/>
          </w:tblCellMar>
        </w:tblPrEx>
        <w:trPr>
          <w:cantSplit/>
          <w:trHeight w:val="580" w:hRule="exact"/>
          <w:jc w:val="center"/>
        </w:trPr>
        <w:tc>
          <w:tcPr>
            <w:tcW w:w="1662" w:type="pct"/>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3420FB8B">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水厕</w:t>
            </w:r>
          </w:p>
        </w:tc>
        <w:tc>
          <w:tcPr>
            <w:tcW w:w="906"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B4ED5FB">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臭味(级) ≤0</w:t>
            </w:r>
          </w:p>
        </w:tc>
        <w:tc>
          <w:tcPr>
            <w:tcW w:w="121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5E999A5">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臭味(级)≤1</w:t>
            </w:r>
          </w:p>
        </w:tc>
        <w:tc>
          <w:tcPr>
            <w:tcW w:w="1215" w:type="pct"/>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14:paraId="054EC55A">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臭味(级)≤1</w:t>
            </w:r>
          </w:p>
        </w:tc>
      </w:tr>
      <w:tr w14:paraId="0A76758F">
        <w:tblPrEx>
          <w:tblCellMar>
            <w:top w:w="0" w:type="dxa"/>
            <w:left w:w="0" w:type="dxa"/>
            <w:bottom w:w="0" w:type="dxa"/>
            <w:right w:w="0" w:type="dxa"/>
          </w:tblCellMar>
        </w:tblPrEx>
        <w:trPr>
          <w:cantSplit/>
          <w:trHeight w:val="560" w:hRule="exact"/>
          <w:jc w:val="center"/>
        </w:trPr>
        <w:tc>
          <w:tcPr>
            <w:tcW w:w="1662" w:type="pct"/>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61577A11">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非水厕</w:t>
            </w:r>
          </w:p>
        </w:tc>
        <w:tc>
          <w:tcPr>
            <w:tcW w:w="906"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11389D1">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臭味(级) ≤0</w:t>
            </w:r>
          </w:p>
        </w:tc>
        <w:tc>
          <w:tcPr>
            <w:tcW w:w="121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9CAB020">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臭味(级)≤2</w:t>
            </w:r>
          </w:p>
        </w:tc>
        <w:tc>
          <w:tcPr>
            <w:tcW w:w="1215" w:type="pct"/>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14:paraId="388F9B73">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臭味(级)≤3</w:t>
            </w:r>
          </w:p>
        </w:tc>
      </w:tr>
      <w:tr w14:paraId="2BCA1E01">
        <w:tblPrEx>
          <w:tblCellMar>
            <w:top w:w="0" w:type="dxa"/>
            <w:left w:w="0" w:type="dxa"/>
            <w:bottom w:w="0" w:type="dxa"/>
            <w:right w:w="0" w:type="dxa"/>
          </w:tblCellMar>
        </w:tblPrEx>
        <w:trPr>
          <w:cantSplit/>
          <w:trHeight w:val="568" w:hRule="exact"/>
          <w:jc w:val="center"/>
        </w:trPr>
        <w:tc>
          <w:tcPr>
            <w:tcW w:w="1662" w:type="pct"/>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693033F4">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水厕</w:t>
            </w:r>
          </w:p>
        </w:tc>
        <w:tc>
          <w:tcPr>
            <w:tcW w:w="906"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C31ECE7">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苍蝇(只) 无</w:t>
            </w:r>
          </w:p>
        </w:tc>
        <w:tc>
          <w:tcPr>
            <w:tcW w:w="121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11537F5">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苍蝇(只) 无</w:t>
            </w:r>
          </w:p>
        </w:tc>
        <w:tc>
          <w:tcPr>
            <w:tcW w:w="1215" w:type="pct"/>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14:paraId="623DF164">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苍蝇(只)＜3</w:t>
            </w:r>
          </w:p>
        </w:tc>
      </w:tr>
      <w:tr w14:paraId="62D39078">
        <w:tblPrEx>
          <w:tblCellMar>
            <w:top w:w="0" w:type="dxa"/>
            <w:left w:w="0" w:type="dxa"/>
            <w:bottom w:w="0" w:type="dxa"/>
            <w:right w:w="0" w:type="dxa"/>
          </w:tblCellMar>
        </w:tblPrEx>
        <w:trPr>
          <w:cantSplit/>
          <w:trHeight w:val="576" w:hRule="exact"/>
          <w:jc w:val="center"/>
        </w:trPr>
        <w:tc>
          <w:tcPr>
            <w:tcW w:w="1662" w:type="pct"/>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14:paraId="77C416D7">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非水厕</w:t>
            </w:r>
          </w:p>
        </w:tc>
        <w:tc>
          <w:tcPr>
            <w:tcW w:w="906"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1E14746">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苍蝇(只) 无</w:t>
            </w:r>
          </w:p>
        </w:tc>
        <w:tc>
          <w:tcPr>
            <w:tcW w:w="121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7768FC1">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苍蝇(只)＜3</w:t>
            </w:r>
          </w:p>
        </w:tc>
        <w:tc>
          <w:tcPr>
            <w:tcW w:w="1215" w:type="pct"/>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14:paraId="241C6E98">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苍蝇(只)≤5</w:t>
            </w:r>
          </w:p>
        </w:tc>
      </w:tr>
      <w:tr w14:paraId="0488CF44">
        <w:tblPrEx>
          <w:tblCellMar>
            <w:top w:w="0" w:type="dxa"/>
            <w:left w:w="0" w:type="dxa"/>
            <w:bottom w:w="0" w:type="dxa"/>
            <w:right w:w="0" w:type="dxa"/>
          </w:tblCellMar>
        </w:tblPrEx>
        <w:trPr>
          <w:cantSplit/>
          <w:trHeight w:val="570" w:hRule="exact"/>
          <w:jc w:val="center"/>
        </w:trPr>
        <w:tc>
          <w:tcPr>
            <w:tcW w:w="1662" w:type="pct"/>
            <w:tcBorders>
              <w:top w:val="single" w:color="auto" w:sz="4" w:space="0"/>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519C7879">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蛛网</w:t>
            </w:r>
          </w:p>
        </w:tc>
        <w:tc>
          <w:tcPr>
            <w:tcW w:w="906" w:type="pct"/>
            <w:tcBorders>
              <w:top w:val="single" w:color="auto" w:sz="4" w:space="0"/>
              <w:left w:val="single" w:color="auto" w:sz="4" w:space="0"/>
              <w:bottom w:val="single" w:color="auto" w:sz="8" w:space="0"/>
              <w:right w:val="single" w:color="auto" w:sz="4" w:space="0"/>
            </w:tcBorders>
            <w:noWrap w:val="0"/>
            <w:tcMar>
              <w:top w:w="0" w:type="dxa"/>
              <w:left w:w="108" w:type="dxa"/>
              <w:bottom w:w="0" w:type="dxa"/>
              <w:right w:w="108" w:type="dxa"/>
            </w:tcMar>
            <w:vAlign w:val="center"/>
          </w:tcPr>
          <w:p w14:paraId="241DE77F">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无</w:t>
            </w:r>
          </w:p>
        </w:tc>
        <w:tc>
          <w:tcPr>
            <w:tcW w:w="1217" w:type="pct"/>
            <w:tcBorders>
              <w:top w:val="single" w:color="auto" w:sz="4" w:space="0"/>
              <w:left w:val="single" w:color="auto" w:sz="4" w:space="0"/>
              <w:bottom w:val="single" w:color="auto" w:sz="8" w:space="0"/>
              <w:right w:val="single" w:color="auto" w:sz="4" w:space="0"/>
            </w:tcBorders>
            <w:noWrap w:val="0"/>
            <w:tcMar>
              <w:top w:w="0" w:type="dxa"/>
              <w:left w:w="108" w:type="dxa"/>
              <w:bottom w:w="0" w:type="dxa"/>
              <w:right w:w="108" w:type="dxa"/>
            </w:tcMar>
            <w:vAlign w:val="center"/>
          </w:tcPr>
          <w:p w14:paraId="1EB03FDA">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无</w:t>
            </w:r>
          </w:p>
        </w:tc>
        <w:tc>
          <w:tcPr>
            <w:tcW w:w="1215" w:type="pct"/>
            <w:tcBorders>
              <w:top w:val="single" w:color="auto" w:sz="4" w:space="0"/>
              <w:left w:val="single" w:color="auto" w:sz="4" w:space="0"/>
              <w:bottom w:val="single" w:color="auto" w:sz="8" w:space="0"/>
              <w:right w:val="single" w:color="auto" w:sz="8" w:space="0"/>
            </w:tcBorders>
            <w:noWrap w:val="0"/>
            <w:tcMar>
              <w:top w:w="0" w:type="dxa"/>
              <w:left w:w="108" w:type="dxa"/>
              <w:bottom w:w="0" w:type="dxa"/>
              <w:right w:w="108" w:type="dxa"/>
            </w:tcMar>
            <w:vAlign w:val="center"/>
          </w:tcPr>
          <w:p w14:paraId="3D8454D9">
            <w:pPr>
              <w:widowControl/>
              <w:adjustRightInd w:val="0"/>
              <w:snapToGrid w:val="0"/>
              <w:spacing w:before="240" w:after="24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无</w:t>
            </w:r>
          </w:p>
        </w:tc>
      </w:tr>
    </w:tbl>
    <w:p w14:paraId="34ECB5E4">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111111"/>
          <w:kern w:val="0"/>
          <w:sz w:val="28"/>
          <w:szCs w:val="28"/>
        </w:rPr>
      </w:pPr>
      <w:r>
        <w:rPr>
          <w:rFonts w:hint="eastAsia" w:ascii="仿宋_GB2312" w:hAnsi="仿宋_GB2312" w:eastAsia="仿宋_GB2312" w:cs="仿宋_GB2312"/>
          <w:color w:val="000000"/>
          <w:kern w:val="0"/>
          <w:sz w:val="28"/>
          <w:szCs w:val="28"/>
        </w:rPr>
        <w:t>②公厕保洁标准</w:t>
      </w:r>
    </w:p>
    <w:p w14:paraId="5B54AFE8">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111111"/>
          <w:kern w:val="0"/>
          <w:sz w:val="28"/>
          <w:szCs w:val="28"/>
        </w:rPr>
      </w:pPr>
      <w:r>
        <w:rPr>
          <w:rFonts w:hint="eastAsia" w:ascii="仿宋_GB2312" w:hAnsi="仿宋_GB2312" w:eastAsia="仿宋_GB2312" w:cs="仿宋_GB2312"/>
          <w:color w:val="000000"/>
          <w:kern w:val="0"/>
          <w:sz w:val="28"/>
          <w:szCs w:val="28"/>
        </w:rPr>
        <w:t>公厕外环境应整洁，无乱堆杂物，保洁工具应放置整齐。</w:t>
      </w:r>
    </w:p>
    <w:p w14:paraId="0B7166C7">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111111"/>
          <w:kern w:val="0"/>
          <w:sz w:val="28"/>
          <w:szCs w:val="28"/>
        </w:rPr>
      </w:pPr>
      <w:r>
        <w:rPr>
          <w:rFonts w:hint="eastAsia" w:ascii="仿宋_GB2312" w:hAnsi="仿宋_GB2312" w:eastAsia="仿宋_GB2312" w:cs="仿宋_GB2312"/>
          <w:color w:val="000000"/>
          <w:kern w:val="0"/>
          <w:sz w:val="28"/>
          <w:szCs w:val="28"/>
        </w:rPr>
        <w:t>公厕内采光、照明和通风应良好，无明显臭味，地面应光洁无积水。</w:t>
      </w:r>
    </w:p>
    <w:p w14:paraId="3A59C1A5">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111111"/>
          <w:kern w:val="0"/>
          <w:sz w:val="28"/>
          <w:szCs w:val="28"/>
        </w:rPr>
      </w:pPr>
      <w:r>
        <w:rPr>
          <w:rFonts w:hint="eastAsia" w:ascii="仿宋_GB2312" w:hAnsi="仿宋_GB2312" w:eastAsia="仿宋_GB2312" w:cs="仿宋_GB2312"/>
          <w:color w:val="000000"/>
          <w:kern w:val="0"/>
          <w:sz w:val="28"/>
          <w:szCs w:val="28"/>
        </w:rPr>
        <w:t>公厕内墙面、天花板、门窗、隔离板、镜子应无积灰、污迹、蛛网、广告张贴。</w:t>
      </w:r>
    </w:p>
    <w:p w14:paraId="4C4D5C92">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111111"/>
          <w:kern w:val="0"/>
          <w:sz w:val="28"/>
          <w:szCs w:val="28"/>
        </w:rPr>
      </w:pPr>
      <w:r>
        <w:rPr>
          <w:rFonts w:hint="eastAsia" w:ascii="仿宋_GB2312" w:hAnsi="仿宋_GB2312" w:eastAsia="仿宋_GB2312" w:cs="仿宋_GB2312"/>
          <w:color w:val="000000"/>
          <w:kern w:val="0"/>
          <w:sz w:val="28"/>
          <w:szCs w:val="28"/>
        </w:rPr>
        <w:t>公厕内照明灯具、烘手器、洗冲水设备完好，使用正常。</w:t>
      </w:r>
    </w:p>
    <w:p w14:paraId="4B1E0DC9">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便池应洁净见底基本无臭味。大便池两侧应无粪便污物，槽内无积粪，小便槽(斗)应无尿垢、水锈，管道保持畅通。</w:t>
      </w:r>
    </w:p>
    <w:p w14:paraId="42FA0CBA">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111111"/>
          <w:kern w:val="0"/>
          <w:sz w:val="28"/>
          <w:szCs w:val="28"/>
        </w:rPr>
      </w:pPr>
      <w:r>
        <w:rPr>
          <w:rFonts w:hint="eastAsia" w:ascii="仿宋_GB2312" w:hAnsi="仿宋_GB2312" w:eastAsia="仿宋_GB2312" w:cs="仿宋_GB2312"/>
          <w:color w:val="000000"/>
          <w:sz w:val="28"/>
          <w:szCs w:val="28"/>
        </w:rPr>
        <w:t>抽取式蓄粪池</w:t>
      </w:r>
      <w:r>
        <w:rPr>
          <w:rFonts w:hint="eastAsia" w:ascii="仿宋_GB2312" w:hAnsi="仿宋_GB2312" w:eastAsia="仿宋_GB2312" w:cs="仿宋_GB2312"/>
          <w:sz w:val="28"/>
          <w:szCs w:val="28"/>
        </w:rPr>
        <w:t>公厕应定期抽取蓄粪池积液，不得溢满外流。</w:t>
      </w:r>
    </w:p>
    <w:p w14:paraId="123429AD">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111111"/>
          <w:kern w:val="0"/>
          <w:sz w:val="28"/>
          <w:szCs w:val="28"/>
        </w:rPr>
      </w:pPr>
      <w:r>
        <w:rPr>
          <w:rFonts w:hint="eastAsia" w:ascii="仿宋_GB2312" w:hAnsi="仿宋_GB2312" w:eastAsia="仿宋_GB2312" w:cs="仿宋_GB2312"/>
          <w:color w:val="000000"/>
          <w:kern w:val="0"/>
          <w:sz w:val="28"/>
          <w:szCs w:val="28"/>
        </w:rPr>
        <w:t>蝇蚊孳生季节，应定时喷洒灭蚊蝇药物，有效控制蝇蛆孳生。</w:t>
      </w:r>
    </w:p>
    <w:p w14:paraId="428EC7EE">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③公厕管理规定</w:t>
      </w:r>
    </w:p>
    <w:p w14:paraId="622040C1">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保洁员统一着装挂牌上岗，衣着整洁，态度和蔼，树立良好服务形象。</w:t>
      </w:r>
    </w:p>
    <w:p w14:paraId="3C52F245">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按规定时间免费开放，定时清扫、按时保洁。</w:t>
      </w:r>
    </w:p>
    <w:p w14:paraId="6DFC65B9">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不得从事与公厕管理无关的经营活动，禁止对外接电、接水。</w:t>
      </w:r>
    </w:p>
    <w:p w14:paraId="78A25F39">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及时维修小型易损件</w:t>
      </w:r>
      <w:r>
        <w:rPr>
          <w:rFonts w:hint="eastAsia" w:ascii="仿宋_GB2312" w:hAnsi="仿宋_GB2312" w:eastAsia="仿宋_GB2312" w:cs="仿宋_GB2312"/>
          <w:sz w:val="28"/>
          <w:szCs w:val="28"/>
        </w:rPr>
        <w:t>，大型维修报管理部门</w:t>
      </w:r>
      <w:r>
        <w:rPr>
          <w:rFonts w:hint="eastAsia" w:ascii="仿宋_GB2312" w:hAnsi="仿宋_GB2312" w:eastAsia="仿宋_GB2312" w:cs="仿宋_GB2312"/>
          <w:color w:val="000000"/>
          <w:sz w:val="28"/>
          <w:szCs w:val="28"/>
        </w:rPr>
        <w:t>。</w:t>
      </w:r>
    </w:p>
    <w:p w14:paraId="5403CA92">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Cs/>
          <w:color w:val="000000"/>
          <w:kern w:val="0"/>
          <w:sz w:val="28"/>
          <w:szCs w:val="28"/>
        </w:rPr>
        <w:t>（5）应急处理保洁</w:t>
      </w:r>
    </w:p>
    <w:p w14:paraId="188C74AC">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color w:val="000000"/>
          <w:kern w:val="0"/>
          <w:sz w:val="28"/>
          <w:szCs w:val="28"/>
        </w:rPr>
        <w:t>①遇</w:t>
      </w:r>
      <w:r>
        <w:rPr>
          <w:rFonts w:hint="eastAsia" w:ascii="仿宋_GB2312" w:hAnsi="仿宋_GB2312" w:eastAsia="仿宋_GB2312" w:cs="仿宋_GB2312"/>
          <w:sz w:val="28"/>
          <w:szCs w:val="28"/>
        </w:rPr>
        <w:t xml:space="preserve">重大节日、重大活动、重大检查时应加大保洁力度，增派保洁人员，确保圆满完成任务。     </w:t>
      </w:r>
    </w:p>
    <w:p w14:paraId="2F123A2D">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②洪水上滩退水后的突击保洁及清理应快速做出响应，第一时间投入人力物力尽快恢复景区原貌。</w:t>
      </w:r>
    </w:p>
    <w:p w14:paraId="637C422F">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sz w:val="28"/>
          <w:szCs w:val="28"/>
        </w:rPr>
        <w:t>③应提前预估并做出应急预案，在接到不同等级洪水通知后及时启动应急预案进行处置。</w:t>
      </w:r>
    </w:p>
    <w:p w14:paraId="42A3434B">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（6）病媒生物防治</w:t>
      </w:r>
    </w:p>
    <w:p w14:paraId="03768735">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①</w:t>
      </w:r>
      <w:r>
        <w:rPr>
          <w:rFonts w:hint="eastAsia" w:ascii="仿宋_GB2312" w:hAnsi="仿宋_GB2312" w:eastAsia="仿宋_GB2312" w:cs="仿宋_GB2312"/>
          <w:sz w:val="28"/>
          <w:szCs w:val="28"/>
        </w:rPr>
        <w:t>按照国家卫生城市标准，科学有效的使用化学杀虫药剂，将景区内的鼠、蚊、蝇、蟑螂的密度水平控制在《全国爱卫办发布的GB-2011》规定的标准以内。</w:t>
      </w:r>
    </w:p>
    <w:p w14:paraId="5018183F">
      <w:pPr>
        <w:keepNext w:val="0"/>
        <w:keepLines w:val="0"/>
        <w:pageBreakBefore w:val="0"/>
        <w:kinsoku/>
        <w:wordWrap/>
        <w:overflowPunct/>
        <w:topLinePunct w:val="0"/>
        <w:autoSpaceDE/>
        <w:autoSpaceDN/>
        <w:bidi w:val="0"/>
        <w:adjustRightInd w:val="0"/>
        <w:snapToGrid w:val="0"/>
        <w:spacing w:line="560" w:lineRule="exact"/>
        <w:ind w:firstLine="8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drawing>
          <wp:anchor distT="0" distB="0" distL="114300" distR="114300" simplePos="0" relativeHeight="251661312" behindDoc="0" locked="0" layoutInCell="1" allowOverlap="1">
            <wp:simplePos x="0" y="0"/>
            <wp:positionH relativeFrom="column">
              <wp:posOffset>121920</wp:posOffset>
            </wp:positionH>
            <wp:positionV relativeFrom="paragraph">
              <wp:posOffset>1271905</wp:posOffset>
            </wp:positionV>
            <wp:extent cx="5401945" cy="1216660"/>
            <wp:effectExtent l="0" t="0" r="8255" b="2540"/>
            <wp:wrapSquare wrapText="bothSides"/>
            <wp:docPr id="2" name="图片 4" descr="C:\Documents and Settings\Administrator\Application Data\Tencent\Users\466432406\QQ\WinTemp\RichOle\C3O17D)XR_EO8E~(VU]1G0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C:\Documents and Settings\Administrator\Application Data\Tencent\Users\466432406\QQ\WinTemp\RichOle\C3O17D)XR_EO8E~(VU]1G0S.png"/>
                    <pic:cNvPicPr>
                      <a:picLocks noChangeAspect="1"/>
                    </pic:cNvPicPr>
                  </pic:nvPicPr>
                  <pic:blipFill>
                    <a:blip r:embed="rId4"/>
                    <a:stretch>
                      <a:fillRect/>
                    </a:stretch>
                  </pic:blipFill>
                  <pic:spPr>
                    <a:xfrm>
                      <a:off x="0" y="0"/>
                      <a:ext cx="5401945" cy="1216660"/>
                    </a:xfrm>
                    <a:prstGeom prst="rect">
                      <a:avLst/>
                    </a:prstGeom>
                    <a:noFill/>
                    <a:ln>
                      <a:noFill/>
                    </a:ln>
                  </pic:spPr>
                </pic:pic>
              </a:graphicData>
            </a:graphic>
          </wp:anchor>
        </w:drawing>
      </w:r>
      <w:r>
        <w:rPr>
          <w:rFonts w:hint="eastAsia" w:ascii="仿宋_GB2312" w:hAnsi="仿宋_GB2312" w:eastAsia="仿宋_GB2312" w:cs="仿宋_GB2312"/>
          <w:sz w:val="28"/>
          <w:szCs w:val="28"/>
        </w:rPr>
        <w:t>②严格按照规范定期进行消杀作业，消杀药物必须使用GB-2011规定的药物，</w:t>
      </w:r>
      <w:r>
        <w:rPr>
          <w:rFonts w:hint="eastAsia" w:ascii="仿宋_GB2312" w:hAnsi="仿宋_GB2312" w:eastAsia="仿宋_GB2312" w:cs="仿宋_GB2312"/>
          <w:bCs/>
          <w:sz w:val="28"/>
          <w:szCs w:val="28"/>
        </w:rPr>
        <w:t>消杀药物由中标方购买，费用由中标方承担</w:t>
      </w:r>
      <w:r>
        <w:rPr>
          <w:rFonts w:hint="eastAsia" w:ascii="仿宋_GB2312" w:hAnsi="仿宋_GB2312" w:eastAsia="仿宋_GB2312" w:cs="仿宋_GB2312"/>
          <w:sz w:val="28"/>
          <w:szCs w:val="28"/>
        </w:rPr>
        <w:t>，购买的药品必须经过招标方查验合格后方可使用，购买发票和消杀记录、影像资料备案待查。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217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0" w:hRule="atLeast"/>
        </w:trPr>
        <w:tc>
          <w:tcPr>
            <w:tcW w:w="8522" w:type="dxa"/>
            <w:tcBorders>
              <w:top w:val="nil"/>
              <w:left w:val="nil"/>
              <w:bottom w:val="nil"/>
              <w:right w:val="nil"/>
            </w:tcBorders>
            <w:noWrap w:val="0"/>
            <w:vAlign w:val="top"/>
          </w:tcPr>
          <w:p w14:paraId="4734F412">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0288" behindDoc="0" locked="0" layoutInCell="1" allowOverlap="1">
                  <wp:simplePos x="0" y="0"/>
                  <wp:positionH relativeFrom="column">
                    <wp:posOffset>5715</wp:posOffset>
                  </wp:positionH>
                  <wp:positionV relativeFrom="paragraph">
                    <wp:posOffset>2385060</wp:posOffset>
                  </wp:positionV>
                  <wp:extent cx="5299075" cy="2421255"/>
                  <wp:effectExtent l="0" t="0" r="15875" b="17145"/>
                  <wp:wrapTopAndBottom/>
                  <wp:docPr id="1" name="图片 6" descr="C:\Documents and Settings\Administrator\Application Data\Tencent\Users\466432406\QQ\WinTemp\RichOle\LNOV7(@ZQP(D%)@$%9D}](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C:\Documents and Settings\Administrator\Application Data\Tencent\Users\466432406\QQ\WinTemp\RichOle\LNOV7(@ZQP(D%)@$%9D}](W.png"/>
                          <pic:cNvPicPr>
                            <a:picLocks noChangeAspect="1"/>
                          </pic:cNvPicPr>
                        </pic:nvPicPr>
                        <pic:blipFill>
                          <a:blip r:embed="rId5"/>
                          <a:stretch>
                            <a:fillRect/>
                          </a:stretch>
                        </pic:blipFill>
                        <pic:spPr>
                          <a:xfrm>
                            <a:off x="0" y="0"/>
                            <a:ext cx="5299075" cy="2421255"/>
                          </a:xfrm>
                          <a:prstGeom prst="rect">
                            <a:avLst/>
                          </a:prstGeom>
                          <a:noFill/>
                          <a:ln>
                            <a:noFill/>
                          </a:ln>
                        </pic:spPr>
                      </pic:pic>
                    </a:graphicData>
                  </a:graphic>
                </wp:anchor>
              </w:drawing>
            </w: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-20955</wp:posOffset>
                  </wp:positionH>
                  <wp:positionV relativeFrom="paragraph">
                    <wp:posOffset>57785</wp:posOffset>
                  </wp:positionV>
                  <wp:extent cx="5313680" cy="2265680"/>
                  <wp:effectExtent l="0" t="0" r="1270" b="1270"/>
                  <wp:wrapTopAndBottom/>
                  <wp:docPr id="3" name="图片 5" descr="C:\Documents and Settings\Administrator\Application Data\Tencent\Users\466432406\QQ\WinTemp\RichOle\0ODO9$2%J94XY_OP8)Z917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C:\Documents and Settings\Administrator\Application Data\Tencent\Users\466432406\QQ\WinTemp\RichOle\0ODO9$2%J94XY_OP8)Z917J.png"/>
                          <pic:cNvPicPr>
                            <a:picLocks noChangeAspect="1"/>
                          </pic:cNvPicPr>
                        </pic:nvPicPr>
                        <pic:blipFill>
                          <a:blip r:embed="rId6"/>
                          <a:stretch>
                            <a:fillRect/>
                          </a:stretch>
                        </pic:blipFill>
                        <pic:spPr>
                          <a:xfrm>
                            <a:off x="0" y="0"/>
                            <a:ext cx="5313680" cy="2265680"/>
                          </a:xfrm>
                          <a:prstGeom prst="rect">
                            <a:avLst/>
                          </a:prstGeom>
                          <a:noFill/>
                          <a:ln>
                            <a:noFill/>
                          </a:ln>
                        </pic:spPr>
                      </pic:pic>
                    </a:graphicData>
                  </a:graphic>
                </wp:anchor>
              </w:drawing>
            </w:r>
          </w:p>
        </w:tc>
      </w:tr>
    </w:tbl>
    <w:p w14:paraId="00190BE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kern w:val="0"/>
          <w:sz w:val="28"/>
          <w:szCs w:val="28"/>
        </w:rPr>
        <w:t>技术要求（</w:t>
      </w:r>
      <w:r>
        <w:rPr>
          <w:rFonts w:hint="eastAsia" w:ascii="仿宋_GB2312" w:hAnsi="仿宋_GB2312" w:eastAsia="仿宋_GB2312" w:cs="仿宋_GB2312"/>
          <w:sz w:val="28"/>
          <w:szCs w:val="28"/>
        </w:rPr>
        <w:t>绿化</w:t>
      </w:r>
      <w:r>
        <w:rPr>
          <w:rFonts w:hint="eastAsia" w:ascii="仿宋_GB2312" w:hAnsi="仿宋_GB2312" w:eastAsia="仿宋_GB2312" w:cs="仿宋_GB2312"/>
          <w:kern w:val="0"/>
          <w:sz w:val="28"/>
          <w:szCs w:val="28"/>
        </w:rPr>
        <w:t>养护）</w:t>
      </w:r>
    </w:p>
    <w:p w14:paraId="2EEECF53">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2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28"/>
          <w:szCs w:val="28"/>
        </w:rPr>
        <w:t>本次绿化养护实行分区域分级别养护，根据不同重点程度、景观效果分为三个养护等级，区域划分和养护等级见下表：</w:t>
      </w:r>
    </w:p>
    <w:tbl>
      <w:tblPr>
        <w:tblStyle w:val="4"/>
        <w:tblW w:w="898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1"/>
        <w:gridCol w:w="2559"/>
        <w:gridCol w:w="851"/>
        <w:gridCol w:w="850"/>
        <w:gridCol w:w="1164"/>
        <w:gridCol w:w="1537"/>
      </w:tblGrid>
      <w:tr w14:paraId="6B91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982" w:type="dxa"/>
            <w:gridSpan w:val="6"/>
            <w:noWrap/>
            <w:vAlign w:val="center"/>
          </w:tcPr>
          <w:p w14:paraId="4B5662E3">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汉中市一江两岸天汉湿地公园绿化分级养护统计表  单位：平方米</w:t>
            </w:r>
          </w:p>
        </w:tc>
      </w:tr>
      <w:tr w14:paraId="11A8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021" w:type="dxa"/>
            <w:noWrap/>
            <w:vAlign w:val="center"/>
          </w:tcPr>
          <w:p w14:paraId="751388E4">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总面积</w:t>
            </w:r>
          </w:p>
        </w:tc>
        <w:tc>
          <w:tcPr>
            <w:tcW w:w="4260" w:type="dxa"/>
            <w:gridSpan w:val="3"/>
            <w:noWrap/>
            <w:vAlign w:val="center"/>
          </w:tcPr>
          <w:p w14:paraId="4CF25AD5">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一级养护位置及面积</w:t>
            </w:r>
          </w:p>
        </w:tc>
        <w:tc>
          <w:tcPr>
            <w:tcW w:w="1164" w:type="dxa"/>
            <w:noWrap w:val="0"/>
            <w:vAlign w:val="center"/>
          </w:tcPr>
          <w:p w14:paraId="6724B31E">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二级养护面积</w:t>
            </w:r>
          </w:p>
        </w:tc>
        <w:tc>
          <w:tcPr>
            <w:tcW w:w="1537" w:type="dxa"/>
            <w:noWrap/>
            <w:vAlign w:val="center"/>
          </w:tcPr>
          <w:p w14:paraId="0E80B800">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三级养护面积</w:t>
            </w:r>
            <w:r>
              <w:rPr>
                <w:rFonts w:hint="eastAsia" w:ascii="仿宋_GB2312" w:hAnsi="仿宋_GB2312" w:eastAsia="仿宋_GB2312" w:cs="仿宋_GB2312"/>
                <w:b/>
                <w:bCs/>
                <w:color w:val="000000"/>
                <w:kern w:val="0"/>
                <w:sz w:val="18"/>
                <w:szCs w:val="24"/>
              </w:rPr>
              <w:t>（芒草类）</w:t>
            </w:r>
          </w:p>
        </w:tc>
      </w:tr>
      <w:tr w14:paraId="6D1E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2021" w:type="dxa"/>
            <w:vMerge w:val="restart"/>
            <w:noWrap w:val="0"/>
            <w:vAlign w:val="center"/>
          </w:tcPr>
          <w:p w14:paraId="04327EBD">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color w:val="000000"/>
                <w:sz w:val="24"/>
                <w:szCs w:val="24"/>
              </w:rPr>
              <w:t>293174</w:t>
            </w:r>
          </w:p>
        </w:tc>
        <w:tc>
          <w:tcPr>
            <w:tcW w:w="2559" w:type="dxa"/>
            <w:noWrap w:val="0"/>
            <w:vAlign w:val="center"/>
          </w:tcPr>
          <w:p w14:paraId="10717837">
            <w:pPr>
              <w:widowControl/>
              <w:adjustRightInd w:val="0"/>
              <w:snapToGrid w:val="0"/>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龙岗广场（飘带接头-越堤路停车场）</w:t>
            </w:r>
          </w:p>
        </w:tc>
        <w:tc>
          <w:tcPr>
            <w:tcW w:w="851" w:type="dxa"/>
            <w:noWrap/>
            <w:vAlign w:val="center"/>
          </w:tcPr>
          <w:p w14:paraId="46FCC5D2">
            <w:pPr>
              <w:widowControl/>
              <w:adjustRightInd w:val="0"/>
              <w:snapToGrid w:val="0"/>
              <w:spacing w:line="360" w:lineRule="auto"/>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8000</w:t>
            </w:r>
          </w:p>
        </w:tc>
        <w:tc>
          <w:tcPr>
            <w:tcW w:w="850" w:type="dxa"/>
            <w:vMerge w:val="restart"/>
            <w:noWrap w:val="0"/>
            <w:vAlign w:val="center"/>
          </w:tcPr>
          <w:p w14:paraId="4542582C">
            <w:pPr>
              <w:adjustRightInd w:val="0"/>
              <w:snapToGrid w:val="0"/>
              <w:spacing w:line="36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26000</w:t>
            </w:r>
          </w:p>
        </w:tc>
        <w:tc>
          <w:tcPr>
            <w:tcW w:w="1164" w:type="dxa"/>
            <w:vMerge w:val="restart"/>
            <w:noWrap w:val="0"/>
            <w:vAlign w:val="center"/>
          </w:tcPr>
          <w:p w14:paraId="64FB33A3">
            <w:pPr>
              <w:adjustRightInd w:val="0"/>
              <w:snapToGrid w:val="0"/>
              <w:spacing w:line="36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107359</w:t>
            </w:r>
          </w:p>
        </w:tc>
        <w:tc>
          <w:tcPr>
            <w:tcW w:w="1537" w:type="dxa"/>
            <w:vMerge w:val="restart"/>
            <w:noWrap/>
            <w:vAlign w:val="center"/>
          </w:tcPr>
          <w:p w14:paraId="517EC71C">
            <w:pPr>
              <w:adjustRightInd w:val="0"/>
              <w:snapToGrid w:val="0"/>
              <w:spacing w:line="36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159815</w:t>
            </w:r>
          </w:p>
        </w:tc>
      </w:tr>
      <w:tr w14:paraId="4F368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021" w:type="dxa"/>
            <w:vMerge w:val="continue"/>
            <w:noWrap w:val="0"/>
            <w:vAlign w:val="center"/>
          </w:tcPr>
          <w:p w14:paraId="3C8FB0EC">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2559" w:type="dxa"/>
            <w:noWrap w:val="0"/>
            <w:vAlign w:val="center"/>
          </w:tcPr>
          <w:p w14:paraId="50FFBF0A">
            <w:pPr>
              <w:widowControl/>
              <w:adjustRightInd w:val="0"/>
              <w:snapToGrid w:val="0"/>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水滴雕塑草坪</w:t>
            </w:r>
          </w:p>
        </w:tc>
        <w:tc>
          <w:tcPr>
            <w:tcW w:w="851" w:type="dxa"/>
            <w:noWrap/>
            <w:vAlign w:val="center"/>
          </w:tcPr>
          <w:p w14:paraId="21B30724">
            <w:pPr>
              <w:widowControl/>
              <w:adjustRightInd w:val="0"/>
              <w:snapToGrid w:val="0"/>
              <w:spacing w:line="360" w:lineRule="auto"/>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6000</w:t>
            </w:r>
          </w:p>
        </w:tc>
        <w:tc>
          <w:tcPr>
            <w:tcW w:w="850" w:type="dxa"/>
            <w:vMerge w:val="continue"/>
            <w:noWrap w:val="0"/>
            <w:vAlign w:val="center"/>
          </w:tcPr>
          <w:p w14:paraId="166440F6">
            <w:pPr>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1164" w:type="dxa"/>
            <w:vMerge w:val="continue"/>
            <w:noWrap w:val="0"/>
            <w:vAlign w:val="center"/>
          </w:tcPr>
          <w:p w14:paraId="24DFF012">
            <w:pPr>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1537" w:type="dxa"/>
            <w:vMerge w:val="continue"/>
            <w:noWrap/>
            <w:vAlign w:val="center"/>
          </w:tcPr>
          <w:p w14:paraId="712DE1FF">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r>
      <w:tr w14:paraId="23E8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2021" w:type="dxa"/>
            <w:vMerge w:val="continue"/>
            <w:noWrap w:val="0"/>
            <w:vAlign w:val="center"/>
          </w:tcPr>
          <w:p w14:paraId="291A64D7">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2559" w:type="dxa"/>
            <w:noWrap w:val="0"/>
            <w:vAlign w:val="center"/>
          </w:tcPr>
          <w:p w14:paraId="05799F03">
            <w:pPr>
              <w:widowControl/>
              <w:adjustRightInd w:val="0"/>
              <w:snapToGrid w:val="0"/>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翻板闸广场（拱桥-越堤路雪松林边）</w:t>
            </w:r>
          </w:p>
        </w:tc>
        <w:tc>
          <w:tcPr>
            <w:tcW w:w="851" w:type="dxa"/>
            <w:noWrap/>
            <w:vAlign w:val="center"/>
          </w:tcPr>
          <w:p w14:paraId="365BF36D">
            <w:pPr>
              <w:widowControl/>
              <w:adjustRightInd w:val="0"/>
              <w:snapToGrid w:val="0"/>
              <w:spacing w:line="360" w:lineRule="auto"/>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12000</w:t>
            </w:r>
          </w:p>
        </w:tc>
        <w:tc>
          <w:tcPr>
            <w:tcW w:w="850" w:type="dxa"/>
            <w:vMerge w:val="continue"/>
            <w:noWrap w:val="0"/>
            <w:vAlign w:val="top"/>
          </w:tcPr>
          <w:p w14:paraId="709DCAE2">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1164" w:type="dxa"/>
            <w:vMerge w:val="continue"/>
            <w:noWrap w:val="0"/>
            <w:vAlign w:val="top"/>
          </w:tcPr>
          <w:p w14:paraId="4A64D428">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c>
          <w:tcPr>
            <w:tcW w:w="1537" w:type="dxa"/>
            <w:vMerge w:val="continue"/>
            <w:noWrap w:val="0"/>
            <w:vAlign w:val="center"/>
          </w:tcPr>
          <w:p w14:paraId="378101C8">
            <w:pPr>
              <w:widowControl/>
              <w:adjustRightInd w:val="0"/>
              <w:snapToGrid w:val="0"/>
              <w:spacing w:line="360" w:lineRule="auto"/>
              <w:jc w:val="center"/>
              <w:rPr>
                <w:rFonts w:hint="eastAsia" w:ascii="仿宋_GB2312" w:hAnsi="仿宋_GB2312" w:eastAsia="仿宋_GB2312" w:cs="仿宋_GB2312"/>
                <w:b/>
                <w:bCs/>
                <w:color w:val="000000"/>
                <w:kern w:val="0"/>
                <w:sz w:val="24"/>
                <w:szCs w:val="24"/>
              </w:rPr>
            </w:pPr>
          </w:p>
        </w:tc>
      </w:tr>
    </w:tbl>
    <w:p w14:paraId="082597E4">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1.一级绿地养护标准</w:t>
      </w:r>
    </w:p>
    <w:p w14:paraId="302FCDA8">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（1）草坪养护标准</w:t>
      </w:r>
    </w:p>
    <w:p w14:paraId="20FEE48F">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①草地内无杂物，同品种草坪内无异类（阔叶类）杂草，每平方米面积内杂草不得超过10株。</w:t>
      </w:r>
    </w:p>
    <w:p w14:paraId="2B7F6F00">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②草坪生长茂盛，叶色浓绿，无病虫危害。</w:t>
      </w:r>
    </w:p>
    <w:p w14:paraId="3E13B2FF">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③草坪高度保持10公分以下，修剪整齐，及时清理，保持干净卫生。</w:t>
      </w:r>
    </w:p>
    <w:p w14:paraId="6E6C05A2">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（2）观花植物养护标准：</w:t>
      </w:r>
    </w:p>
    <w:p w14:paraId="295FB6EC">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①修剪：花后及时修剪残花，及时修剪病残枝和枯黄部分。</w:t>
      </w:r>
    </w:p>
    <w:p w14:paraId="1C0350F2">
      <w:pPr>
        <w:keepNext w:val="0"/>
        <w:keepLines w:val="0"/>
        <w:pageBreakBefore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②无缺苗、无死株、无斑秃。</w:t>
      </w:r>
    </w:p>
    <w:p w14:paraId="0E2B5A73">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③及时施肥，保证开花期营养和花后复壮。</w:t>
      </w:r>
    </w:p>
    <w:p w14:paraId="00D30932">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（3）芒草类植物养护标准:</w:t>
      </w:r>
    </w:p>
    <w:p w14:paraId="3194EA7E">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①修剪</w:t>
      </w:r>
    </w:p>
    <w:p w14:paraId="2CD46D53">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冬季干枯型的芒草：在入冬之后，保持以防火为重点养护内容。木质构筑物附近的芒草干枯后全面修剪；景观区域的芒草可以在来年春季温度回升后进行全面修剪。</w:t>
      </w:r>
    </w:p>
    <w:p w14:paraId="5E98FA61">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常绿型芒草：以施肥、修剪干枯部分，适时分栽为主。</w:t>
      </w:r>
    </w:p>
    <w:p w14:paraId="33B90DB5">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②施肥</w:t>
      </w:r>
    </w:p>
    <w:p w14:paraId="3051FD8C">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每年在开春前施以磷钾肥为主的复合型肥料,按照每平方米5至10克进行控制。</w:t>
      </w:r>
    </w:p>
    <w:p w14:paraId="5DB72735">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③移栽</w:t>
      </w:r>
    </w:p>
    <w:p w14:paraId="50F48981">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在对于密度过大的芒草类植物要适当进行分株和移栽，保证合理的成长量。</w:t>
      </w:r>
    </w:p>
    <w:p w14:paraId="6E85DF4E">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④检查标准：在正常生长季节，每平方米干枯或病虫害数量不能超过2%，冬季杜绝火灾，不得出现垃圾和干枯的植物残体。</w:t>
      </w:r>
    </w:p>
    <w:p w14:paraId="1991371D">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（4）其他主要养护措施</w:t>
      </w:r>
    </w:p>
    <w:p w14:paraId="21BF6889">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①树木整形：</w:t>
      </w:r>
    </w:p>
    <w:p w14:paraId="330165DE">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根据树木生长情况，每年对树木进行整形修剪，分枝分布均匀，疏密适当，树冠完整美观。</w:t>
      </w:r>
    </w:p>
    <w:p w14:paraId="5E241AF2">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②浇水</w:t>
      </w:r>
    </w:p>
    <w:p w14:paraId="01A1513C">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根据天气和树木、绿篱缺水情况确定浇水时间和次数，避免夏季中午阳光直射时浇水，保证植物有充足的水分，不受旱、不萎蔫、不枯黄。重点浇水为新栽苗木、绿地、草坪。</w:t>
      </w:r>
    </w:p>
    <w:p w14:paraId="1DBA3C90">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③苗木补栽及施肥：每年冬季落叶后，对树木缺苗情况进行一次全面普查，并在来年植树季节，保质保量补栽到位。每年施肥次数不少于3次，肥料品种不低于3种，保证植物生长要求。</w:t>
      </w:r>
    </w:p>
    <w:p w14:paraId="67488020">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④树盘修复：树盘用覆盖物整理规范美观，不得有其它植物成长。</w:t>
      </w:r>
    </w:p>
    <w:p w14:paraId="2A97EA97">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⑤枯树、枯枝清理：不得出现枯枝败叶和植株死亡。</w:t>
      </w:r>
    </w:p>
    <w:p w14:paraId="5A96462A">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⑥防虫打药：根据不同树木种类，病虫害种类，本着以“预防为主、防治结合”的原则预防用药，并根据园区病媒生物防治要求按照规范进行消杀。芒草类主要以地下害虫为主，及时检查发现大量蔓延之前必须进行人工和化学药剂的防治。</w:t>
      </w:r>
    </w:p>
    <w:p w14:paraId="5888197F">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2.二级绿地养护标准</w:t>
      </w:r>
    </w:p>
    <w:p w14:paraId="1A7591A7">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（1）草坪养护质量标准</w:t>
      </w:r>
    </w:p>
    <w:p w14:paraId="7FBDDB68">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①草地内无砖块、白色垃圾等，同品种草坪内无明显异类（阔叶类）、超高杂草，在每平方米面积内杂草不得超过10%。</w:t>
      </w:r>
    </w:p>
    <w:p w14:paraId="35D4E7BF">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②草坪生长正常，叶色浓绿，无病虫危害。</w:t>
      </w:r>
    </w:p>
    <w:p w14:paraId="1712ADAB">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③草坪高度不得超出20公分，修剪草坪整齐，及时清除草叶，保持干净卫生。</w:t>
      </w:r>
    </w:p>
    <w:p w14:paraId="6AE40C09">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（2）绿篱养护标准</w:t>
      </w:r>
    </w:p>
    <w:p w14:paraId="70847FB1">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①修剪：在生长期（4月至11月）每半个月修剪一次；</w:t>
      </w:r>
    </w:p>
    <w:p w14:paraId="51ACF0D8">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②外观：无死株、无斑秃，绿篱平整、无冒枝；</w:t>
      </w:r>
    </w:p>
    <w:p w14:paraId="79B4D70C">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③树木整形：根据树木生长情况，每2年对辖区树木进行一次整形，侧枝分布均匀，枝条疏密适当，树冠完整美观。</w:t>
      </w:r>
    </w:p>
    <w:p w14:paraId="091FB459">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④浇水：根据天气和树木、绿篱缺水情况确定浇水时间和次数，避免夏季中午阳光直射时浇水，保证植物有充足的水分，不受旱、不枯黄。重点为新栽苗木和水分敏感植物。</w:t>
      </w:r>
    </w:p>
    <w:p w14:paraId="31F54842">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⑤苗木补栽及施肥：每年冬季落叶后，对树木缺苗情况进行一次全面普查，并在来年植树季节，保质保量补栽到位。每年施肥次数不少于2次，肥料品种不低于2种，保证植物生长要求。</w:t>
      </w:r>
    </w:p>
    <w:p w14:paraId="3368729D">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⑥枯树、枯枝清理：做好倾斜树木的扶正，如遇灾害性天气使树木歪斜或倒树断枝，及时做好枯死树木、树枝、枯叶、腐败植物的清挖和清除，防止造成危害。</w:t>
      </w:r>
    </w:p>
    <w:p w14:paraId="7FA9BFD6">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⑦防虫打药：根据不同树木种类和病虫害种类，本着以防为主、防治结合的原则预防用药，并根据园区病媒生物防治要求按照规范进行消杀。芒草类主要以地下害虫为主，及时检查发现大量蔓延之前必须进行人工和化学药剂的防治。</w:t>
      </w:r>
    </w:p>
    <w:p w14:paraId="4AB26851">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3.三级绿地（低维护芒草类植物）养护标准:</w:t>
      </w:r>
    </w:p>
    <w:p w14:paraId="196E0F44">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修剪：冬季干枯型的芒草在入冬之后，保持以防火为重点养护内容。木质构筑物附近的芒草干枯后全面修剪；景观区域的芒草可以在来年春季温度回升后进行全面修剪。常绿型芒草及时修剪干枯部分，适时分栽。</w:t>
      </w:r>
    </w:p>
    <w:p w14:paraId="76B61D94">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（2）施肥：每年在开春前施以磷钾肥为主的复合型肥料。按照每平方米3-5克进行控制。</w:t>
      </w:r>
    </w:p>
    <w:p w14:paraId="788C8C07">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（3）移栽：在对于密度过大的芒草类植物要适当进行分株和移栽，保证合理的成长量。</w:t>
      </w:r>
    </w:p>
    <w:p w14:paraId="333C07F1">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4.其他工作要求</w:t>
      </w:r>
    </w:p>
    <w:p w14:paraId="4078FFE8">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（1）人员配备和队伍：绿化养护人员具备园林养护专业知识和丰富的工作经验，熟悉辖区植物，现场工作人员熟练掌握养护机具，规范文明作业。</w:t>
      </w:r>
    </w:p>
    <w:p w14:paraId="0CCEC8B6">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（2）工作资料：每月报送当月绿化养护工作总结和次月工作计划。</w:t>
      </w:r>
    </w:p>
    <w:p w14:paraId="3D352DA3">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（3）养护药物和肥料管理：用于绿化养护所需的肥料、农药由中标方购买，购买费用由中标方承担，购买的药品必须经过招标方查验合格后方可使用，购买发票和施肥记录备案待查。</w:t>
      </w:r>
    </w:p>
    <w:p w14:paraId="0253F07D">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5.作业人员和作业管理 ：</w:t>
      </w:r>
    </w:p>
    <w:p w14:paraId="47D41432">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（1）作业人员须遵守景区管理规定，服从招标人管理。</w:t>
      </w:r>
    </w:p>
    <w:p w14:paraId="35539491">
      <w:pPr>
        <w:keepNext w:val="0"/>
        <w:keepLines w:val="0"/>
        <w:pageBreakBefore w:val="0"/>
        <w:widowControl/>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（2）作业人员年龄要有一定的限制，要有一定的保险措施。</w:t>
      </w:r>
    </w:p>
    <w:p w14:paraId="28B964C7">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（3）作业人员统一着装、佩带工号章，着装要干净整齐，无破损，不得穿拖鞋或赤脚、赤膊上岗作业。</w:t>
      </w:r>
    </w:p>
    <w:p w14:paraId="727ED6CA">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（4）修剪、掉落、清扫的枝条、树叶、垃圾不得倾倒和扫入河道，不得在景区内填埋、焚烧。</w:t>
      </w:r>
    </w:p>
    <w:p w14:paraId="73B909C3">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加强作业人员的劳动保护，落实各项防暑降温措施，视情调整户外作业时间。中标单位工作人员基本工资、五金一险、加班费、商业保险、高温费以及政策性调增等所有费用由中标单位负责，中标单位须保证员工不因劳资纠纷等内部矛盾出现怠工、罢工等损害招标人利益的行为。</w:t>
      </w:r>
    </w:p>
    <w:p w14:paraId="1699DAE6">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r>
        <w:rPr>
          <w:rFonts w:hint="eastAsia" w:ascii="仿宋_GB2312" w:hAnsi="仿宋_GB2312" w:eastAsia="仿宋_GB2312" w:cs="仿宋_GB2312"/>
          <w:color w:val="2A2A2A"/>
          <w:kern w:val="0"/>
          <w:sz w:val="28"/>
          <w:szCs w:val="28"/>
        </w:rPr>
        <w:t>中标单位聘用人员应加强安全生产教育，在工作过程中，所发生的安全事故、责任由</w:t>
      </w:r>
      <w:r>
        <w:rPr>
          <w:rFonts w:hint="eastAsia" w:ascii="仿宋_GB2312" w:hAnsi="仿宋_GB2312" w:eastAsia="仿宋_GB2312" w:cs="仿宋_GB2312"/>
          <w:color w:val="000000"/>
          <w:sz w:val="28"/>
          <w:szCs w:val="28"/>
        </w:rPr>
        <w:t>中标单位</w:t>
      </w:r>
      <w:r>
        <w:rPr>
          <w:rFonts w:hint="eastAsia" w:ascii="仿宋_GB2312" w:hAnsi="仿宋_GB2312" w:eastAsia="仿宋_GB2312" w:cs="仿宋_GB2312"/>
          <w:color w:val="2A2A2A"/>
          <w:kern w:val="0"/>
          <w:sz w:val="28"/>
          <w:szCs w:val="28"/>
        </w:rPr>
        <w:t>负责</w:t>
      </w:r>
      <w:r>
        <w:rPr>
          <w:rFonts w:hint="eastAsia" w:ascii="仿宋_GB2312" w:hAnsi="仿宋_GB2312" w:eastAsia="仿宋_GB2312" w:cs="仿宋_GB2312"/>
          <w:sz w:val="28"/>
          <w:szCs w:val="28"/>
        </w:rPr>
        <w:t>。</w:t>
      </w:r>
    </w:p>
    <w:p w14:paraId="3A845615">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（7）中标单位应把在景区工作的人员的名单交给招标人备查，每月考勤需经招标人管理人员审核；中标单位应保持员工队伍的基本稳定，每月的流动率不得超过10%。</w:t>
      </w:r>
    </w:p>
    <w:p w14:paraId="63C4E9F8">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（8）招标人因举办大型活动、迎接上级部门检查，或大雨、大雪、洪水</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干旱</w:t>
      </w:r>
      <w:r>
        <w:rPr>
          <w:rFonts w:hint="eastAsia" w:ascii="仿宋_GB2312" w:hAnsi="仿宋_GB2312" w:eastAsia="仿宋_GB2312" w:cs="仿宋_GB2312"/>
          <w:color w:val="000000"/>
          <w:sz w:val="28"/>
          <w:szCs w:val="28"/>
        </w:rPr>
        <w:t>等</w:t>
      </w:r>
      <w:r>
        <w:rPr>
          <w:rFonts w:hint="eastAsia" w:ascii="仿宋_GB2312" w:hAnsi="仿宋_GB2312" w:eastAsia="仿宋_GB2312" w:cs="仿宋_GB2312"/>
          <w:color w:val="000000"/>
          <w:sz w:val="28"/>
          <w:szCs w:val="28"/>
          <w:lang w:val="en-US" w:eastAsia="zh-CN"/>
        </w:rPr>
        <w:t>灾害性</w:t>
      </w:r>
      <w:r>
        <w:rPr>
          <w:rFonts w:hint="eastAsia" w:ascii="仿宋_GB2312" w:hAnsi="仿宋_GB2312" w:eastAsia="仿宋_GB2312" w:cs="仿宋_GB2312"/>
          <w:color w:val="000000"/>
          <w:sz w:val="28"/>
          <w:szCs w:val="28"/>
        </w:rPr>
        <w:t>天气导致工作任务增加，向中标单位提出增派人员及设备，中标单位应予无条件配合，并合理安排、调配工作人员，确保圆满完成工作任务。</w:t>
      </w:r>
    </w:p>
    <w:p w14:paraId="047FFF28">
      <w:pPr>
        <w:spacing w:line="600" w:lineRule="exact"/>
        <w:ind w:firstLine="480"/>
        <w:rPr>
          <w:rFonts w:hint="eastAsia" w:ascii="仿宋_GB2312" w:hAnsi="仿宋_GB2312" w:eastAsia="仿宋_GB2312" w:cs="仿宋_GB2312"/>
          <w:b/>
          <w:bCs/>
          <w:color w:val="000000"/>
          <w:sz w:val="28"/>
          <w:szCs w:val="28"/>
          <w:lang w:val="zh-TW"/>
        </w:rPr>
      </w:pPr>
    </w:p>
    <w:p w14:paraId="1627B605">
      <w:pPr>
        <w:spacing w:line="600" w:lineRule="exact"/>
        <w:ind w:firstLine="480"/>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sz w:val="28"/>
          <w:szCs w:val="28"/>
          <w:lang w:val="zh-TW"/>
        </w:rPr>
        <w:t>备注：</w:t>
      </w:r>
      <w:r>
        <w:rPr>
          <w:rFonts w:hint="eastAsia" w:ascii="仿宋_GB2312" w:hAnsi="仿宋_GB2312" w:eastAsia="仿宋_GB2312" w:cs="仿宋_GB2312"/>
          <w:b/>
          <w:bCs/>
          <w:color w:val="000000"/>
          <w:sz w:val="28"/>
          <w:szCs w:val="28"/>
          <w:lang w:val="en-US" w:eastAsia="zh-CN"/>
        </w:rPr>
        <w:t>以上均是</w:t>
      </w:r>
      <w:r>
        <w:rPr>
          <w:rFonts w:hint="eastAsia" w:ascii="仿宋_GB2312" w:hAnsi="仿宋_GB2312" w:eastAsia="仿宋_GB2312" w:cs="仿宋_GB2312"/>
          <w:b/>
          <w:bCs/>
          <w:color w:val="000000"/>
          <w:sz w:val="28"/>
          <w:szCs w:val="28"/>
          <w:lang w:val="zh-TW"/>
        </w:rPr>
        <w:t>★</w:t>
      </w:r>
      <w:r>
        <w:rPr>
          <w:rFonts w:hint="eastAsia" w:ascii="仿宋_GB2312" w:hAnsi="仿宋_GB2312" w:eastAsia="仿宋_GB2312" w:cs="仿宋_GB2312"/>
          <w:b/>
          <w:bCs/>
          <w:color w:val="000000"/>
          <w:sz w:val="28"/>
          <w:szCs w:val="28"/>
          <w:lang w:val="en-US" w:eastAsia="zh-CN"/>
        </w:rPr>
        <w:t>内容，</w:t>
      </w:r>
      <w:r>
        <w:rPr>
          <w:rFonts w:hint="eastAsia" w:ascii="仿宋_GB2312" w:hAnsi="仿宋_GB2312" w:eastAsia="仿宋_GB2312" w:cs="仿宋_GB2312"/>
          <w:b/>
          <w:bCs/>
          <w:color w:val="000000"/>
          <w:sz w:val="28"/>
          <w:szCs w:val="28"/>
          <w:lang w:val="zh-TW"/>
        </w:rPr>
        <w:t>为实质性要求，投标人未逐条响应、有缺漏或负偏离将视为无效</w:t>
      </w:r>
      <w:r>
        <w:rPr>
          <w:rFonts w:hint="eastAsia" w:ascii="仿宋_GB2312" w:hAnsi="仿宋_GB2312" w:eastAsia="仿宋_GB2312" w:cs="仿宋_GB2312"/>
          <w:b/>
          <w:bCs/>
          <w:color w:val="000000"/>
          <w:sz w:val="28"/>
          <w:szCs w:val="28"/>
          <w:lang w:val="en-US" w:eastAsia="zh-CN"/>
        </w:rPr>
        <w:t>响应</w:t>
      </w:r>
      <w:r>
        <w:rPr>
          <w:rFonts w:hint="eastAsia" w:ascii="仿宋_GB2312" w:hAnsi="仿宋_GB2312" w:eastAsia="仿宋_GB2312" w:cs="仿宋_GB2312"/>
          <w:b/>
          <w:bCs/>
          <w:color w:val="000000"/>
          <w:sz w:val="28"/>
          <w:szCs w:val="28"/>
          <w:lang w:val="zh-TW" w:eastAsia="zh-CN"/>
        </w:rPr>
        <w:t>。</w:t>
      </w:r>
    </w:p>
    <w:p w14:paraId="293A48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7C4A6A"/>
    <w:rsid w:val="167C4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styleId="3">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List Paragraph"/>
    <w:basedOn w:val="1"/>
    <w:qFormat/>
    <w:uiPriority w:val="0"/>
    <w:pPr>
      <w:snapToGrid w:val="0"/>
      <w:spacing w:line="360" w:lineRule="auto"/>
      <w:ind w:firstLine="420" w:firstLineChars="200"/>
    </w:pPr>
    <w:rPr>
      <w:snapToGrid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2025-10-22T07:34:00Z</dcterms:created>
  <dc:creator>大漠苍狼</dc:creator>
  <cp:lastModifiedBy>大漠苍狼</cp:lastModifiedBy>
  <dcterms:modified xsi:type="dcterms:W3CDTF">2025-10-22T07:37:33Z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BCD6D566BFDF4934AD27985E3B71684C_11</vt:lpwstr>
  </property>
  <property fmtid="{D5CDD505-2E9C-101B-9397-08002B2CF9AE}" pid="4" name="KSOTemplateDocerSaveRecord">
    <vt:lpwstr>eyJoZGlkIjoiZjljYWZhYTQ2MTJjMjYyZTIzNDY2Y2I3NzZjNmYyMWQiLCJ1c2VySWQiOiI1NzM2OTk2MzAifQ==</vt:lpwstr>
  </property>
</Properties>
</file>