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89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bookmarkStart w:id="0" w:name="_GoBack"/>
      <w:r>
        <w:rPr>
          <w:rFonts w:ascii="宋体" w:hAnsi="宋体" w:eastAsia="宋体" w:cs="宋体"/>
          <w:b/>
          <w:bCs/>
          <w:color w:val="0A82E5"/>
          <w:kern w:val="0"/>
          <w:sz w:val="36"/>
          <w:szCs w:val="36"/>
          <w:bdr w:val="none" w:color="auto" w:sz="0" w:space="0"/>
          <w:shd w:val="clear" w:fill="FFFFFF"/>
          <w:lang w:val="en-US" w:eastAsia="zh-CN" w:bidi="ar"/>
        </w:rPr>
        <w:t>汉中融媒体发布端服务采购项目</w:t>
      </w:r>
      <w:bookmarkEnd w:id="0"/>
      <w:r>
        <w:rPr>
          <w:rFonts w:ascii="宋体" w:hAnsi="宋体" w:eastAsia="宋体" w:cs="宋体"/>
          <w:b/>
          <w:bCs/>
          <w:color w:val="0A82E5"/>
          <w:kern w:val="0"/>
          <w:sz w:val="36"/>
          <w:szCs w:val="36"/>
          <w:bdr w:val="none" w:color="auto" w:sz="0" w:space="0"/>
          <w:shd w:val="clear" w:fill="FFFFFF"/>
          <w:lang w:val="en-US" w:eastAsia="zh-CN" w:bidi="ar"/>
        </w:rPr>
        <w:t>招标公告</w:t>
      </w:r>
    </w:p>
    <w:p w14:paraId="442824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7"/>
          <w:b/>
          <w:bCs/>
          <w:sz w:val="21"/>
          <w:szCs w:val="21"/>
          <w:bdr w:val="none" w:color="auto" w:sz="0" w:space="0"/>
          <w:shd w:val="clear" w:fill="FFFFFF"/>
        </w:rPr>
        <w:t>项目概况</w:t>
      </w:r>
    </w:p>
    <w:p w14:paraId="23FFDC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shd w:val="clear" w:fill="FFFFFF"/>
        </w:rPr>
        <w:t>汉中融媒体发布端服务采购项目</w:t>
      </w:r>
      <w:r>
        <w:rPr>
          <w:rFonts w:hint="eastAsia" w:ascii="微软雅黑" w:hAnsi="微软雅黑" w:eastAsia="微软雅黑" w:cs="微软雅黑"/>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color w:val="0A82E5"/>
          <w:sz w:val="21"/>
          <w:szCs w:val="21"/>
          <w:bdr w:val="none" w:color="auto" w:sz="0" w:space="0"/>
          <w:shd w:val="clear" w:fill="FFFFFF"/>
        </w:rPr>
        <w:t> 2025年11月13日 09时30分 </w:t>
      </w:r>
      <w:r>
        <w:rPr>
          <w:rFonts w:hint="eastAsia" w:ascii="微软雅黑" w:hAnsi="微软雅黑" w:eastAsia="微软雅黑" w:cs="微软雅黑"/>
          <w:sz w:val="21"/>
          <w:szCs w:val="21"/>
          <w:bdr w:val="none" w:color="auto" w:sz="0" w:space="0"/>
          <w:shd w:val="clear" w:fill="FFFFFF"/>
        </w:rPr>
        <w:t>（北京时间）前递交投标文件。</w:t>
      </w:r>
    </w:p>
    <w:p w14:paraId="0EA2CE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一、项目基本情况</w:t>
      </w:r>
    </w:p>
    <w:p w14:paraId="75A2F8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项目编号：TZZB-HZ-2025289C</w:t>
      </w:r>
    </w:p>
    <w:p w14:paraId="6944F3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项目名称：汉中融媒体发布端服务采购项目</w:t>
      </w:r>
    </w:p>
    <w:p w14:paraId="4180F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采购方式：公开招标</w:t>
      </w:r>
    </w:p>
    <w:p w14:paraId="4790B7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预算金额：2,000,000.00元</w:t>
      </w:r>
    </w:p>
    <w:p w14:paraId="668EB5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采购需求：详见采购需求附件</w:t>
      </w:r>
    </w:p>
    <w:p w14:paraId="18E317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合同履行期限：</w:t>
      </w:r>
    </w:p>
    <w:p w14:paraId="54F03C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960"/>
        <w:jc w:val="both"/>
        <w:rPr>
          <w:sz w:val="21"/>
          <w:szCs w:val="21"/>
        </w:rPr>
      </w:pPr>
      <w:r>
        <w:rPr>
          <w:rFonts w:hint="eastAsia" w:ascii="微软雅黑" w:hAnsi="微软雅黑" w:eastAsia="微软雅黑" w:cs="微软雅黑"/>
          <w:sz w:val="21"/>
          <w:szCs w:val="21"/>
          <w:bdr w:val="none" w:color="auto" w:sz="0" w:space="0"/>
          <w:shd w:val="clear" w:fill="FFFFFF"/>
        </w:rPr>
        <w:t>采购包1：合同签订后25日内正常运行</w:t>
      </w:r>
    </w:p>
    <w:p w14:paraId="7D023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本项目是否接受联合体投标：</w:t>
      </w:r>
    </w:p>
    <w:p w14:paraId="07A812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960"/>
        <w:jc w:val="both"/>
        <w:rPr>
          <w:sz w:val="21"/>
          <w:szCs w:val="21"/>
        </w:rPr>
      </w:pPr>
      <w:r>
        <w:rPr>
          <w:rFonts w:hint="eastAsia" w:ascii="微软雅黑" w:hAnsi="微软雅黑" w:eastAsia="微软雅黑" w:cs="微软雅黑"/>
          <w:sz w:val="21"/>
          <w:szCs w:val="21"/>
          <w:bdr w:val="none" w:color="auto" w:sz="0" w:space="0"/>
          <w:shd w:val="clear" w:fill="FFFFFF"/>
        </w:rPr>
        <w:t>采购包1：不接受联合体投标</w:t>
      </w:r>
    </w:p>
    <w:p w14:paraId="77E92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二、申请人的资格要求：</w:t>
      </w:r>
    </w:p>
    <w:p w14:paraId="1B538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14:paraId="501833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14:paraId="4AE8C8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合同包1(汉中融媒体发布端服务采购)落实政府采购政策需满足的资格要求如下:</w:t>
      </w:r>
    </w:p>
    <w:p w14:paraId="5C07EE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参与的供应商（联合体）服务全部由符合政策要求的中小企业承接。</w:t>
      </w:r>
    </w:p>
    <w:p w14:paraId="1BF534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14:paraId="4F1145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合同包1(汉中融媒体发布端服务采购)特定资格要求如下:</w:t>
      </w:r>
    </w:p>
    <w:p w14:paraId="2394A3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(1)出具合法有效的营业执照或事业单位法人证书等国家规定的相关证明，自然人参与的提供其身份证明。</w:t>
      </w:r>
    </w:p>
    <w:p w14:paraId="3334EF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法定代表人直接参加投标的，须出具法人身份证（附法定代表人身份证复印件）；法定代表人授权代表参加投标的，须出具法定代表人授权书及授权代表身份证（附法定代表人身份证复印件及被授权人身份证复印件）。</w:t>
      </w:r>
    </w:p>
    <w:p w14:paraId="497CAB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(3)投标人须提供《汉中市政府采购供应商资格承诺函》。</w:t>
      </w:r>
    </w:p>
    <w:p w14:paraId="134FE4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三、获取招标文件</w:t>
      </w:r>
    </w:p>
    <w:p w14:paraId="2B93D5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2025年10月23日 至 2025年10月29日 ，每天上午 00:00:00 至 12:00:00 ，下午 12:00:00 至 23:59:59 （北京时间）</w:t>
      </w:r>
    </w:p>
    <w:p w14:paraId="76FBB4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项目电子化交易系统（交易执行-选择项目所属区划-应标-项目投标-未获取页面）选择本项目报名参与并获取采购文件</w:t>
      </w:r>
    </w:p>
    <w:p w14:paraId="63E037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投标人有意参加本项目的，应在陕西省政府采购网（www.ccgp-shaanxi.gov.cn）登录项目电子化交易系统申请获取采购文件</w:t>
      </w:r>
    </w:p>
    <w:p w14:paraId="055F68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14:paraId="7BFFC5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四、提交投标文件截止时间、开标时间和地点</w:t>
      </w:r>
    </w:p>
    <w:p w14:paraId="63B85C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2025年11月13日 09时30分00秒 </w:t>
      </w:r>
      <w:r>
        <w:rPr>
          <w:rFonts w:hint="eastAsia" w:ascii="微软雅黑" w:hAnsi="微软雅黑" w:eastAsia="微软雅黑" w:cs="微软雅黑"/>
          <w:sz w:val="21"/>
          <w:szCs w:val="21"/>
          <w:bdr w:val="none" w:color="auto" w:sz="0" w:space="0"/>
          <w:shd w:val="clear" w:fill="FFFFFF"/>
        </w:rPr>
        <w:t>（北京时间）</w:t>
      </w:r>
    </w:p>
    <w:p w14:paraId="3E29BB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项目电子化交易系统（交易执行-选择项目所属区划-应标-项目投标-已获取-投标（响应）管理）上传投标（响应）文件</w:t>
      </w:r>
    </w:p>
    <w:p w14:paraId="087FE5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项目电子化交易系统（交易执行-选择项目所属区划-开标-供应商开标大厅）参与线上开标</w:t>
      </w:r>
    </w:p>
    <w:p w14:paraId="4AB032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五、公告期限</w:t>
      </w:r>
    </w:p>
    <w:p w14:paraId="143669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5</w:t>
      </w:r>
      <w:r>
        <w:rPr>
          <w:rFonts w:hint="eastAsia" w:ascii="微软雅黑" w:hAnsi="微软雅黑" w:eastAsia="微软雅黑" w:cs="微软雅黑"/>
          <w:sz w:val="21"/>
          <w:szCs w:val="21"/>
          <w:bdr w:val="none" w:color="auto" w:sz="0" w:space="0"/>
          <w:shd w:val="clear" w:fill="FFFFFF"/>
        </w:rPr>
        <w:t>个工作日。</w:t>
      </w:r>
    </w:p>
    <w:p w14:paraId="6C40F8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六、其他补充事宜</w:t>
      </w:r>
    </w:p>
    <w:p w14:paraId="03FF5B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69A73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3592C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65AF6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E710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F5F81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（三）供应商应当自行准备电子化采购所需的计算机终端、软硬件及网络环境，承担因准备不足产生的不利后果。</w:t>
      </w:r>
    </w:p>
    <w:p w14:paraId="313F3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（四）开标/开启前30分钟内，供应商需登录项目电子化交易系统-“供应商开标大厅”-进入开标选择对应项目包组操作签到</w:t>
      </w:r>
    </w:p>
    <w:p w14:paraId="688FED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（五）政府采购平台技术支持：</w:t>
      </w:r>
    </w:p>
    <w:p w14:paraId="3443C5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在线客服：通过陕西省政府采购网-在线客服进行咨询</w:t>
      </w:r>
    </w:p>
    <w:p w14:paraId="4FD015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技术服务电话：029-96702</w:t>
      </w:r>
    </w:p>
    <w:p w14:paraId="46FA47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CA及签章服务：通过陕西省政府采购网-办事指南进行查询</w:t>
      </w:r>
    </w:p>
    <w:p w14:paraId="35BE9E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6C9B15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bdr w:val="none" w:color="auto" w:sz="0" w:space="0"/>
          <w:shd w:val="clear" w:fill="FFFFFF"/>
        </w:rPr>
        <w:t>七、对本次招标提出询问，请按以下方式联系。</w:t>
      </w:r>
    </w:p>
    <w:p w14:paraId="23E71F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1.采购人信息</w:t>
      </w:r>
    </w:p>
    <w:p w14:paraId="0D1BE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汉中广播电视台</w:t>
      </w:r>
    </w:p>
    <w:p w14:paraId="779D67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汉中市汉台区望江路1260号</w:t>
      </w:r>
    </w:p>
    <w:p w14:paraId="6A9922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0916-2188301</w:t>
      </w:r>
    </w:p>
    <w:p w14:paraId="7BC213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2.采购代理机构信息</w:t>
      </w:r>
    </w:p>
    <w:p w14:paraId="4A3EAC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同正项目管理有限公司</w:t>
      </w:r>
    </w:p>
    <w:p w14:paraId="4FA0F2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中市汉台区西一环路蓝天御苑小区商铺二层门面房南侧</w:t>
      </w:r>
    </w:p>
    <w:p w14:paraId="045D76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 0916-8897702</w:t>
      </w:r>
    </w:p>
    <w:p w14:paraId="516A97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3.项目联系方式</w:t>
      </w:r>
    </w:p>
    <w:p w14:paraId="14D198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王丽</w:t>
      </w:r>
    </w:p>
    <w:p w14:paraId="5009F5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 0916-8897702</w:t>
      </w:r>
    </w:p>
    <w:p w14:paraId="5CC3B5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同正项目管理有限公司</w:t>
      </w:r>
    </w:p>
    <w:p w14:paraId="19A97ECB">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4D024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p>
    <w:tbl>
      <w:tblPr>
        <w:tblW w:w="1866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741"/>
        <w:gridCol w:w="3726"/>
        <w:gridCol w:w="3726"/>
        <w:gridCol w:w="3726"/>
        <w:gridCol w:w="3741"/>
      </w:tblGrid>
      <w:tr w14:paraId="1C62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2D2B2B12">
            <w:pPr>
              <w:jc w:val="center"/>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5EB7603B">
            <w:pPr>
              <w:jc w:val="left"/>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1B5D25D4">
            <w:pPr>
              <w:jc w:val="left"/>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5E39196D">
            <w:pPr>
              <w:jc w:val="left"/>
              <w:rPr>
                <w:rFonts w:hint="eastAsia" w:ascii="宋体"/>
                <w:b/>
                <w:bCs/>
                <w:color w:val="333333"/>
                <w:sz w:val="21"/>
                <w:szCs w:val="21"/>
              </w:rPr>
            </w:pPr>
          </w:p>
        </w:tc>
        <w:tc>
          <w:tcPr>
            <w:tcW w:w="0" w:type="auto"/>
            <w:tcBorders>
              <w:top w:val="nil"/>
              <w:left w:val="nil"/>
              <w:bottom w:val="single" w:color="E5E5E5" w:sz="6" w:space="0"/>
              <w:right w:val="single" w:color="E5E5E5" w:sz="6" w:space="0"/>
            </w:tcBorders>
            <w:shd w:val="clear" w:color="auto" w:fill="F5F5F5"/>
            <w:tcMar>
              <w:top w:w="0" w:type="dxa"/>
              <w:left w:w="0" w:type="dxa"/>
              <w:bottom w:w="0" w:type="dxa"/>
              <w:right w:w="0" w:type="dxa"/>
            </w:tcMar>
            <w:vAlign w:val="center"/>
          </w:tcPr>
          <w:p w14:paraId="735F11E4">
            <w:pPr>
              <w:jc w:val="left"/>
              <w:rPr>
                <w:rFonts w:hint="eastAsia" w:ascii="宋体"/>
                <w:b/>
                <w:bCs/>
                <w:color w:val="333333"/>
                <w:sz w:val="21"/>
                <w:szCs w:val="21"/>
              </w:rPr>
            </w:pPr>
          </w:p>
        </w:tc>
      </w:tr>
      <w:tr w14:paraId="1D10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gridSpan w:val="5"/>
            <w:tcBorders>
              <w:top w:val="nil"/>
              <w:left w:val="nil"/>
              <w:bottom w:val="single" w:color="E5E5E5" w:sz="6" w:space="0"/>
              <w:right w:val="single" w:color="E5E5E5" w:sz="6" w:space="0"/>
            </w:tcBorders>
            <w:shd w:val="clear" w:color="auto" w:fill="FFFFFF"/>
            <w:tcMar>
              <w:top w:w="0" w:type="dxa"/>
              <w:left w:w="0" w:type="dxa"/>
              <w:bottom w:w="0" w:type="dxa"/>
              <w:right w:w="0" w:type="dxa"/>
            </w:tcMar>
            <w:vAlign w:val="center"/>
          </w:tcPr>
          <w:p w14:paraId="5276F5C7">
            <w:pPr>
              <w:rPr>
                <w:rFonts w:hint="eastAsia" w:ascii="宋体"/>
                <w:sz w:val="21"/>
                <w:szCs w:val="21"/>
              </w:rPr>
            </w:pPr>
          </w:p>
        </w:tc>
      </w:tr>
    </w:tbl>
    <w:p w14:paraId="3CB3E4CF">
      <w:pPr>
        <w:pStyle w:val="8"/>
      </w:pPr>
      <w:r>
        <w:t>窗体顶端</w:t>
      </w:r>
    </w:p>
    <w:p w14:paraId="7AC47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 w:afterAutospacing="0" w:line="480" w:lineRule="atLeast"/>
        <w:ind w:left="150"/>
        <w:jc w:val="left"/>
        <w:textAlignment w:val="top"/>
        <w:rPr>
          <w:color w:val="333333"/>
          <w:sz w:val="21"/>
          <w:szCs w:val="21"/>
        </w:rPr>
      </w:pPr>
      <w:r>
        <w:rPr>
          <w:rFonts w:ascii="宋体" w:hAnsi="宋体" w:eastAsia="宋体" w:cs="宋体"/>
          <w:color w:val="333333"/>
          <w:kern w:val="0"/>
          <w:sz w:val="21"/>
          <w:szCs w:val="21"/>
          <w:shd w:val="clear" w:fill="FFFFFF"/>
          <w:lang w:val="en-US" w:eastAsia="zh-CN" w:bidi="ar"/>
        </w:rPr>
        <w:t>1、获取招标文件相关时间</w:t>
      </w:r>
    </w:p>
    <w:p w14:paraId="7CBD58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150" w:afterAutospacing="0"/>
        <w:ind w:left="150"/>
        <w:jc w:val="right"/>
      </w:pPr>
      <w:r>
        <w:rPr>
          <w:rFonts w:ascii="宋体" w:hAnsi="宋体" w:eastAsia="宋体" w:cs="宋体"/>
          <w:kern w:val="0"/>
          <w:sz w:val="24"/>
          <w:szCs w:val="24"/>
          <w:bdr w:val="none" w:color="auto" w:sz="0" w:space="0"/>
          <w:shd w:val="clear" w:fill="FFFFFF"/>
          <w:lang w:val="en-US" w:eastAsia="zh-CN" w:bidi="ar"/>
        </w:rPr>
        <w:t>编辑</w:t>
      </w:r>
    </w:p>
    <w:p w14:paraId="67B7E8F3">
      <w:pPr>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90" w:beforeAutospacing="0" w:after="150" w:afterAutospacing="0" w:line="315" w:lineRule="atLeast"/>
        <w:ind w:left="150" w:firstLine="0"/>
        <w:jc w:val="left"/>
        <w:rPr>
          <w:rFonts w:hint="default" w:ascii="微软雅黑" w:hAnsi="微软雅黑" w:eastAsia="微软雅黑" w:cs="微软雅黑"/>
          <w:i w:val="0"/>
          <w:iCs w:val="0"/>
          <w:caps w:val="0"/>
          <w:color w:val="999999"/>
          <w:spacing w:val="0"/>
          <w:sz w:val="18"/>
          <w:szCs w:val="18"/>
        </w:rPr>
      </w:pPr>
      <w:r>
        <w:rPr>
          <w:rFonts w:hint="eastAsia" w:ascii="微软雅黑" w:hAnsi="微软雅黑" w:eastAsia="微软雅黑" w:cs="微软雅黑"/>
          <w:i w:val="0"/>
          <w:iCs w:val="0"/>
          <w:caps w:val="0"/>
          <w:color w:val="999999"/>
          <w:spacing w:val="0"/>
          <w:kern w:val="0"/>
          <w:sz w:val="18"/>
          <w:szCs w:val="18"/>
          <w:bdr w:val="none" w:color="auto" w:sz="0" w:space="0"/>
          <w:shd w:val="clear" w:fill="FAFAFA"/>
          <w:lang w:val="en-US" w:eastAsia="zh-CN" w:bidi="ar"/>
        </w:rPr>
        <w:t>提示：获取招标文件的起止日期中的开始时间和获取招标文件的起止日期中的结束时间之间至少需要间隔5个工作日 ，投标文件提交截止时间必须晚于获取招标文件的起止日期中的开始时间至少20个日历日 ，开始当天不计入，从次日开始计算，投标文件提交截止时间不得早于获取招标文件的起止日期中的结束时间，开标时间不得早于投标文件提交截止时间</w:t>
      </w:r>
    </w:p>
    <w:p w14:paraId="386CD5B6">
      <w:pPr>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90" w:beforeAutospacing="0" w:after="150" w:afterAutospacing="0" w:line="315" w:lineRule="atLeast"/>
        <w:ind w:left="150" w:firstLine="0"/>
        <w:jc w:val="left"/>
        <w:rPr>
          <w:rFonts w:hint="eastAsia" w:ascii="微软雅黑" w:hAnsi="微软雅黑" w:eastAsia="微软雅黑" w:cs="微软雅黑"/>
          <w:i w:val="0"/>
          <w:iCs w:val="0"/>
          <w:caps w:val="0"/>
          <w:color w:val="999999"/>
          <w:spacing w:val="0"/>
          <w:sz w:val="18"/>
          <w:szCs w:val="18"/>
        </w:rPr>
      </w:pPr>
    </w:p>
    <w:p w14:paraId="0BE5B654">
      <w:pPr>
        <w:pStyle w:val="9"/>
      </w:pPr>
      <w:r>
        <w:t>窗体底端</w:t>
      </w:r>
    </w:p>
    <w:p w14:paraId="26D975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C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2025-10-22T09:20:20Z</dcterms:created>
  <dc:creator>0003</dc:creator>
  <cp:lastModifiedBy>soul</cp:lastModifiedBy>
  <dcterms:modified xsi:type="dcterms:W3CDTF">2025-10-22T09:20:30Z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C6215EA388F447899A084F8F49F914B9_12</vt:lpwstr>
  </property>
</Properties>
</file>