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5601">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项目编号：HYGH2025-ZCCS-0921</w:t>
      </w:r>
    </w:p>
    <w:p w14:paraId="746A5679">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14:paraId="771164E5">
      <w:pPr>
        <w:jc w:val="both"/>
        <w:rPr>
          <w:rFonts w:hint="eastAsia" w:hAnsi="宋体" w:eastAsia="宋体" w:cs="宋体"/>
          <w:b/>
          <w:sz w:val="56"/>
          <w:szCs w:val="56"/>
          <w:highlight w:val="none"/>
          <w:lang w:eastAsia="zh-CN"/>
        </w:rPr>
      </w:pPr>
    </w:p>
    <w:p w14:paraId="7A03CC97">
      <w:pPr>
        <w:keepNext w:val="0"/>
        <w:keepLines w:val="0"/>
        <w:widowControl/>
        <w:suppressLineNumbers w:val="0"/>
        <w:jc w:val="center"/>
        <w:rPr>
          <w:sz w:val="18"/>
          <w:szCs w:val="13"/>
        </w:rPr>
      </w:pPr>
      <w:r>
        <w:rPr>
          <w:rFonts w:hint="eastAsia" w:hAnsi="宋体" w:cs="宋体"/>
          <w:b/>
          <w:sz w:val="52"/>
          <w:szCs w:val="52"/>
          <w:highlight w:val="none"/>
          <w:lang w:val="en-US" w:eastAsia="zh-CN"/>
        </w:rPr>
        <w:t>柞水县2025年重点区域绿化补助项目</w:t>
      </w:r>
    </w:p>
    <w:p w14:paraId="5400C462">
      <w:pPr>
        <w:jc w:val="center"/>
        <w:rPr>
          <w:rFonts w:hint="eastAsia" w:ascii="宋体" w:hAnsi="宋体" w:eastAsia="宋体" w:cs="宋体"/>
          <w:b/>
          <w:sz w:val="36"/>
          <w:szCs w:val="36"/>
          <w:highlight w:val="none"/>
        </w:rPr>
      </w:pPr>
    </w:p>
    <w:p w14:paraId="05A65171">
      <w:pPr>
        <w:spacing w:line="780" w:lineRule="auto"/>
        <w:jc w:val="both"/>
        <w:rPr>
          <w:rFonts w:hint="eastAsia" w:ascii="宋体" w:hAnsi="宋体" w:eastAsia="宋体" w:cs="宋体"/>
          <w:b/>
          <w:sz w:val="72"/>
          <w:szCs w:val="72"/>
          <w:highlight w:val="none"/>
        </w:rPr>
      </w:pPr>
    </w:p>
    <w:p w14:paraId="265D560A">
      <w:pPr>
        <w:spacing w:line="780" w:lineRule="auto"/>
        <w:jc w:val="both"/>
        <w:rPr>
          <w:rFonts w:hint="eastAsia" w:ascii="宋体" w:hAnsi="宋体" w:eastAsia="宋体" w:cs="宋体"/>
          <w:b/>
          <w:sz w:val="72"/>
          <w:szCs w:val="72"/>
          <w:highlight w:val="none"/>
        </w:rPr>
      </w:pPr>
    </w:p>
    <w:p w14:paraId="67F6B1B7">
      <w:pPr>
        <w:spacing w:line="780" w:lineRule="auto"/>
        <w:jc w:val="both"/>
        <w:rPr>
          <w:rFonts w:hint="eastAsia" w:ascii="宋体" w:hAnsi="宋体" w:eastAsia="宋体" w:cs="宋体"/>
          <w:b/>
          <w:sz w:val="72"/>
          <w:szCs w:val="72"/>
          <w:highlight w:val="none"/>
        </w:rPr>
      </w:pPr>
    </w:p>
    <w:p w14:paraId="139C4F36">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14:paraId="013E49D8">
      <w:pPr>
        <w:rPr>
          <w:rFonts w:hint="eastAsia" w:ascii="宋体" w:hAnsi="宋体" w:eastAsia="宋体" w:cs="宋体"/>
          <w:highlight w:val="none"/>
        </w:rPr>
      </w:pPr>
      <w:bookmarkStart w:id="0" w:name="_Toc363463325"/>
    </w:p>
    <w:p w14:paraId="6DF043EA">
      <w:pPr>
        <w:rPr>
          <w:rFonts w:hint="eastAsia" w:ascii="宋体" w:hAnsi="宋体" w:eastAsia="宋体" w:cs="宋体"/>
          <w:highlight w:val="none"/>
        </w:rPr>
      </w:pPr>
    </w:p>
    <w:p w14:paraId="454E1A96">
      <w:pPr>
        <w:rPr>
          <w:rFonts w:hint="eastAsia" w:ascii="宋体" w:hAnsi="宋体" w:eastAsia="宋体" w:cs="宋体"/>
          <w:highlight w:val="none"/>
        </w:rPr>
      </w:pPr>
    </w:p>
    <w:bookmarkEnd w:id="0"/>
    <w:p w14:paraId="5DE510CC">
      <w:pPr>
        <w:rPr>
          <w:rFonts w:hint="eastAsia" w:ascii="宋体" w:hAnsi="宋体" w:eastAsia="宋体" w:cs="宋体"/>
          <w:sz w:val="18"/>
          <w:szCs w:val="18"/>
          <w:highlight w:val="none"/>
        </w:rPr>
      </w:pPr>
    </w:p>
    <w:p w14:paraId="563ACD36">
      <w:pPr>
        <w:pStyle w:val="15"/>
        <w:ind w:left="0" w:leftChars="0" w:firstLine="0" w:firstLineChars="0"/>
        <w:rPr>
          <w:rFonts w:hint="eastAsia" w:hAnsi="宋体" w:cs="宋体"/>
          <w:b/>
          <w:bCs/>
          <w:sz w:val="32"/>
          <w:szCs w:val="32"/>
          <w:highlight w:val="none"/>
          <w:lang w:eastAsia="zh-CN"/>
        </w:rPr>
      </w:pPr>
    </w:p>
    <w:p w14:paraId="36F5633D">
      <w:pPr>
        <w:rPr>
          <w:rFonts w:hint="eastAsia" w:hAnsi="宋体" w:cs="宋体"/>
          <w:b/>
          <w:bCs/>
          <w:sz w:val="32"/>
          <w:szCs w:val="32"/>
          <w:highlight w:val="none"/>
          <w:lang w:eastAsia="zh-CN"/>
        </w:rPr>
      </w:pPr>
    </w:p>
    <w:p w14:paraId="0E6891C2">
      <w:pPr>
        <w:jc w:val="center"/>
        <w:rPr>
          <w:rFonts w:hint="eastAsia" w:hAnsi="宋体" w:cs="宋体"/>
          <w:b/>
          <w:bCs/>
          <w:sz w:val="32"/>
          <w:szCs w:val="32"/>
          <w:highlight w:val="none"/>
          <w:lang w:eastAsia="zh-CN"/>
        </w:rPr>
      </w:pPr>
    </w:p>
    <w:p w14:paraId="0DBC988A">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陕西海源广合项目管理有限公司</w:t>
      </w:r>
    </w:p>
    <w:p w14:paraId="49CF4C87">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十</w:t>
      </w:r>
      <w:r>
        <w:rPr>
          <w:rFonts w:hint="eastAsia" w:ascii="宋体" w:hAnsi="宋体" w:eastAsia="宋体" w:cs="宋体"/>
          <w:b/>
          <w:bCs/>
          <w:sz w:val="32"/>
          <w:szCs w:val="32"/>
          <w:highlight w:val="none"/>
        </w:rPr>
        <w:t>月</w:t>
      </w:r>
    </w:p>
    <w:p w14:paraId="6DCEAF8E">
      <w:pPr>
        <w:rPr>
          <w:rFonts w:hint="eastAsia" w:ascii="宋体" w:hAnsi="宋体" w:eastAsia="宋体" w:cs="宋体"/>
          <w:highlight w:val="none"/>
        </w:rPr>
      </w:pPr>
    </w:p>
    <w:p w14:paraId="056AF34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185242E6">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bookmarkStart w:id="1" w:name="_Toc20858"/>
      <w:bookmarkStart w:id="2" w:name="_Toc19886"/>
      <w:bookmarkStart w:id="3" w:name="_Toc5293"/>
      <w:bookmarkStart w:id="4" w:name="_Toc389582033"/>
      <w:bookmarkStart w:id="5" w:name="_Toc16218"/>
      <w:bookmarkStart w:id="6" w:name="_Toc20652"/>
      <w:bookmarkStart w:id="7" w:name="_Toc21518"/>
      <w:bookmarkStart w:id="8" w:name="_Toc27420"/>
      <w:bookmarkStart w:id="9" w:name="_Toc363473971"/>
      <w:bookmarkStart w:id="10" w:name="_Toc363474016"/>
      <w:bookmarkStart w:id="11" w:name="_Toc403077638"/>
      <w:r>
        <w:rPr>
          <w:rFonts w:hint="eastAsia" w:ascii="宋体" w:hAnsi="宋体" w:eastAsia="宋体" w:cs="宋体"/>
          <w:bCs/>
          <w:sz w:val="48"/>
          <w:szCs w:val="48"/>
          <w:highlight w:val="none"/>
        </w:rPr>
        <w:fldChar w:fldCharType="begin"/>
      </w:r>
      <w:r>
        <w:rPr>
          <w:rFonts w:hint="eastAsia" w:ascii="宋体" w:hAnsi="宋体" w:eastAsia="宋体" w:cs="宋体"/>
          <w:bCs/>
          <w:sz w:val="48"/>
          <w:szCs w:val="48"/>
          <w:highlight w:val="none"/>
        </w:rPr>
        <w:instrText xml:space="preserve">TOC \o "1-4" \h \u </w:instrText>
      </w:r>
      <w:r>
        <w:rPr>
          <w:rFonts w:hint="eastAsia" w:ascii="宋体" w:hAnsi="宋体" w:eastAsia="宋体" w:cs="宋体"/>
          <w:bCs/>
          <w:sz w:val="48"/>
          <w:szCs w:val="48"/>
          <w:highlight w:val="none"/>
        </w:rPr>
        <w:fldChar w:fldCharType="separate"/>
      </w: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_Toc12903 </w:instrText>
      </w:r>
      <w:r>
        <w:rPr>
          <w:rFonts w:hint="eastAsia" w:ascii="宋体" w:hAnsi="宋体" w:eastAsia="宋体" w:cs="宋体"/>
          <w:bCs/>
          <w:sz w:val="28"/>
          <w:szCs w:val="48"/>
          <w:highlight w:val="none"/>
        </w:rPr>
        <w:fldChar w:fldCharType="separate"/>
      </w:r>
      <w:r>
        <w:rPr>
          <w:rFonts w:hint="eastAsia" w:ascii="宋体" w:hAnsi="宋体" w:eastAsia="宋体" w:cs="宋体"/>
          <w:bCs/>
          <w:sz w:val="28"/>
          <w:szCs w:val="40"/>
          <w:highlight w:val="none"/>
        </w:rPr>
        <w:t>第一章  竞争性磋商公告</w:t>
      </w:r>
      <w:r>
        <w:rPr>
          <w:sz w:val="28"/>
          <w:szCs w:val="21"/>
        </w:rPr>
        <w:tab/>
      </w:r>
      <w:r>
        <w:rPr>
          <w:sz w:val="28"/>
          <w:szCs w:val="21"/>
        </w:rPr>
        <w:fldChar w:fldCharType="begin"/>
      </w:r>
      <w:r>
        <w:rPr>
          <w:sz w:val="28"/>
          <w:szCs w:val="21"/>
        </w:rPr>
        <w:instrText xml:space="preserve"> PAGEREF _Toc12903 \h </w:instrText>
      </w:r>
      <w:r>
        <w:rPr>
          <w:sz w:val="28"/>
          <w:szCs w:val="21"/>
        </w:rPr>
        <w:fldChar w:fldCharType="separate"/>
      </w:r>
      <w:r>
        <w:rPr>
          <w:sz w:val="28"/>
          <w:szCs w:val="21"/>
        </w:rPr>
        <w:t>1</w:t>
      </w:r>
      <w:r>
        <w:rPr>
          <w:sz w:val="28"/>
          <w:szCs w:val="21"/>
        </w:rPr>
        <w:fldChar w:fldCharType="end"/>
      </w:r>
      <w:r>
        <w:rPr>
          <w:rFonts w:hint="eastAsia" w:ascii="宋体" w:hAnsi="宋体" w:eastAsia="宋体" w:cs="宋体"/>
          <w:bCs/>
          <w:sz w:val="28"/>
          <w:szCs w:val="48"/>
          <w:highlight w:val="none"/>
        </w:rPr>
        <w:fldChar w:fldCharType="end"/>
      </w:r>
    </w:p>
    <w:p w14:paraId="47888949">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_Toc237 </w:instrText>
      </w:r>
      <w:r>
        <w:rPr>
          <w:rFonts w:hint="eastAsia" w:ascii="宋体" w:hAnsi="宋体" w:eastAsia="宋体" w:cs="宋体"/>
          <w:bCs/>
          <w:sz w:val="28"/>
          <w:szCs w:val="48"/>
          <w:highlight w:val="none"/>
        </w:rPr>
        <w:fldChar w:fldCharType="separate"/>
      </w:r>
      <w:r>
        <w:rPr>
          <w:rFonts w:hint="eastAsia" w:ascii="宋体" w:hAnsi="宋体" w:eastAsia="宋体" w:cs="宋体"/>
          <w:bCs/>
          <w:kern w:val="2"/>
          <w:sz w:val="28"/>
          <w:szCs w:val="40"/>
          <w:highlight w:val="none"/>
        </w:rPr>
        <w:t>第二章  供应商须知</w:t>
      </w:r>
      <w:r>
        <w:rPr>
          <w:sz w:val="28"/>
          <w:szCs w:val="21"/>
        </w:rPr>
        <w:tab/>
      </w:r>
      <w:r>
        <w:rPr>
          <w:sz w:val="28"/>
          <w:szCs w:val="21"/>
        </w:rPr>
        <w:fldChar w:fldCharType="begin"/>
      </w:r>
      <w:r>
        <w:rPr>
          <w:sz w:val="28"/>
          <w:szCs w:val="21"/>
        </w:rPr>
        <w:instrText xml:space="preserve"> PAGEREF _Toc237 \h </w:instrText>
      </w:r>
      <w:r>
        <w:rPr>
          <w:sz w:val="28"/>
          <w:szCs w:val="21"/>
        </w:rPr>
        <w:fldChar w:fldCharType="separate"/>
      </w:r>
      <w:r>
        <w:rPr>
          <w:sz w:val="28"/>
          <w:szCs w:val="21"/>
        </w:rPr>
        <w:t>5</w:t>
      </w:r>
      <w:r>
        <w:rPr>
          <w:sz w:val="28"/>
          <w:szCs w:val="21"/>
        </w:rPr>
        <w:fldChar w:fldCharType="end"/>
      </w:r>
      <w:r>
        <w:rPr>
          <w:rFonts w:hint="eastAsia" w:ascii="宋体" w:hAnsi="宋体" w:eastAsia="宋体" w:cs="宋体"/>
          <w:bCs/>
          <w:sz w:val="28"/>
          <w:szCs w:val="48"/>
          <w:highlight w:val="none"/>
        </w:rPr>
        <w:fldChar w:fldCharType="end"/>
      </w:r>
    </w:p>
    <w:p w14:paraId="712DAC43">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_Toc6488 </w:instrText>
      </w:r>
      <w:r>
        <w:rPr>
          <w:rFonts w:hint="eastAsia" w:ascii="宋体" w:hAnsi="宋体" w:eastAsia="宋体" w:cs="宋体"/>
          <w:bCs/>
          <w:sz w:val="28"/>
          <w:szCs w:val="48"/>
          <w:highlight w:val="none"/>
        </w:rPr>
        <w:fldChar w:fldCharType="separate"/>
      </w:r>
      <w:r>
        <w:rPr>
          <w:rFonts w:hint="eastAsia" w:ascii="宋体" w:hAnsi="宋体" w:eastAsia="宋体" w:cs="宋体"/>
          <w:sz w:val="28"/>
          <w:szCs w:val="21"/>
        </w:rPr>
        <w:t xml:space="preserve">第三章 </w:t>
      </w:r>
      <w:r>
        <w:rPr>
          <w:rFonts w:hint="eastAsia" w:ascii="宋体" w:hAnsi="宋体" w:eastAsia="宋体" w:cs="宋体"/>
          <w:bCs/>
          <w:sz w:val="28"/>
          <w:szCs w:val="40"/>
          <w:highlight w:val="none"/>
        </w:rPr>
        <w:t>评审方法</w:t>
      </w:r>
      <w:r>
        <w:rPr>
          <w:sz w:val="28"/>
          <w:szCs w:val="21"/>
        </w:rPr>
        <w:tab/>
      </w:r>
      <w:r>
        <w:rPr>
          <w:sz w:val="28"/>
          <w:szCs w:val="21"/>
        </w:rPr>
        <w:fldChar w:fldCharType="begin"/>
      </w:r>
      <w:r>
        <w:rPr>
          <w:sz w:val="28"/>
          <w:szCs w:val="21"/>
        </w:rPr>
        <w:instrText xml:space="preserve"> PAGEREF _Toc6488 \h </w:instrText>
      </w:r>
      <w:r>
        <w:rPr>
          <w:sz w:val="28"/>
          <w:szCs w:val="21"/>
        </w:rPr>
        <w:fldChar w:fldCharType="separate"/>
      </w:r>
      <w:r>
        <w:rPr>
          <w:sz w:val="28"/>
          <w:szCs w:val="21"/>
        </w:rPr>
        <w:t>21</w:t>
      </w:r>
      <w:r>
        <w:rPr>
          <w:sz w:val="28"/>
          <w:szCs w:val="21"/>
        </w:rPr>
        <w:fldChar w:fldCharType="end"/>
      </w:r>
      <w:r>
        <w:rPr>
          <w:rFonts w:hint="eastAsia" w:ascii="宋体" w:hAnsi="宋体" w:eastAsia="宋体" w:cs="宋体"/>
          <w:bCs/>
          <w:sz w:val="28"/>
          <w:szCs w:val="48"/>
          <w:highlight w:val="none"/>
        </w:rPr>
        <w:fldChar w:fldCharType="end"/>
      </w:r>
    </w:p>
    <w:p w14:paraId="3FCDC75A">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_Toc29755 </w:instrText>
      </w:r>
      <w:r>
        <w:rPr>
          <w:rFonts w:hint="eastAsia" w:ascii="宋体" w:hAnsi="宋体" w:eastAsia="宋体" w:cs="宋体"/>
          <w:bCs/>
          <w:sz w:val="28"/>
          <w:szCs w:val="48"/>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rPr>
        <w:tab/>
      </w:r>
      <w:r>
        <w:rPr>
          <w:sz w:val="28"/>
          <w:szCs w:val="21"/>
        </w:rPr>
        <w:fldChar w:fldCharType="begin"/>
      </w:r>
      <w:r>
        <w:rPr>
          <w:sz w:val="28"/>
          <w:szCs w:val="21"/>
        </w:rPr>
        <w:instrText xml:space="preserve"> PAGEREF _Toc29755 \h </w:instrText>
      </w:r>
      <w:r>
        <w:rPr>
          <w:sz w:val="28"/>
          <w:szCs w:val="21"/>
        </w:rPr>
        <w:fldChar w:fldCharType="separate"/>
      </w:r>
      <w:r>
        <w:rPr>
          <w:sz w:val="28"/>
          <w:szCs w:val="21"/>
        </w:rPr>
        <w:t>25</w:t>
      </w:r>
      <w:r>
        <w:rPr>
          <w:sz w:val="28"/>
          <w:szCs w:val="21"/>
        </w:rPr>
        <w:fldChar w:fldCharType="end"/>
      </w:r>
      <w:r>
        <w:rPr>
          <w:rFonts w:hint="eastAsia" w:ascii="宋体" w:hAnsi="宋体" w:eastAsia="宋体" w:cs="宋体"/>
          <w:bCs/>
          <w:sz w:val="28"/>
          <w:szCs w:val="48"/>
          <w:highlight w:val="none"/>
        </w:rPr>
        <w:fldChar w:fldCharType="end"/>
      </w:r>
    </w:p>
    <w:p w14:paraId="4A35B3F6">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_Toc15604 </w:instrText>
      </w:r>
      <w:r>
        <w:rPr>
          <w:rFonts w:hint="eastAsia" w:ascii="宋体" w:hAnsi="宋体" w:eastAsia="宋体" w:cs="宋体"/>
          <w:bCs/>
          <w:sz w:val="28"/>
          <w:szCs w:val="48"/>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rPr>
        <w:tab/>
      </w:r>
      <w:r>
        <w:rPr>
          <w:sz w:val="28"/>
          <w:szCs w:val="21"/>
        </w:rPr>
        <w:fldChar w:fldCharType="begin"/>
      </w:r>
      <w:r>
        <w:rPr>
          <w:sz w:val="28"/>
          <w:szCs w:val="21"/>
        </w:rPr>
        <w:instrText xml:space="preserve"> PAGEREF _Toc15604 \h </w:instrText>
      </w:r>
      <w:r>
        <w:rPr>
          <w:sz w:val="28"/>
          <w:szCs w:val="21"/>
        </w:rPr>
        <w:fldChar w:fldCharType="separate"/>
      </w:r>
      <w:r>
        <w:rPr>
          <w:sz w:val="28"/>
          <w:szCs w:val="21"/>
        </w:rPr>
        <w:t>40</w:t>
      </w:r>
      <w:r>
        <w:rPr>
          <w:sz w:val="28"/>
          <w:szCs w:val="21"/>
        </w:rPr>
        <w:fldChar w:fldCharType="end"/>
      </w:r>
      <w:r>
        <w:rPr>
          <w:rFonts w:hint="eastAsia" w:ascii="宋体" w:hAnsi="宋体" w:eastAsia="宋体" w:cs="宋体"/>
          <w:bCs/>
          <w:sz w:val="28"/>
          <w:szCs w:val="48"/>
          <w:highlight w:val="none"/>
        </w:rPr>
        <w:fldChar w:fldCharType="end"/>
      </w:r>
    </w:p>
    <w:p w14:paraId="7F9BB910">
      <w:pPr>
        <w:pStyle w:val="14"/>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8"/>
          <w:highlight w:val="none"/>
        </w:rPr>
        <w:fldChar w:fldCharType="begin"/>
      </w:r>
      <w:r>
        <w:rPr>
          <w:rFonts w:hint="eastAsia" w:ascii="宋体" w:hAnsi="宋体" w:eastAsia="宋体" w:cs="宋体"/>
          <w:bCs/>
          <w:sz w:val="28"/>
          <w:szCs w:val="48"/>
          <w:highlight w:val="none"/>
        </w:rPr>
        <w:instrText xml:space="preserve"> HYPERLINK \l _Toc10960 </w:instrText>
      </w:r>
      <w:r>
        <w:rPr>
          <w:rFonts w:hint="eastAsia" w:ascii="宋体" w:hAnsi="宋体" w:eastAsia="宋体" w:cs="宋体"/>
          <w:bCs/>
          <w:sz w:val="28"/>
          <w:szCs w:val="48"/>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rPr>
        <w:tab/>
      </w:r>
      <w:r>
        <w:rPr>
          <w:sz w:val="28"/>
          <w:szCs w:val="21"/>
        </w:rPr>
        <w:fldChar w:fldCharType="begin"/>
      </w:r>
      <w:r>
        <w:rPr>
          <w:sz w:val="28"/>
          <w:szCs w:val="21"/>
        </w:rPr>
        <w:instrText xml:space="preserve"> PAGEREF _Toc10960 \h </w:instrText>
      </w:r>
      <w:r>
        <w:rPr>
          <w:sz w:val="28"/>
          <w:szCs w:val="21"/>
        </w:rPr>
        <w:fldChar w:fldCharType="separate"/>
      </w:r>
      <w:r>
        <w:rPr>
          <w:sz w:val="28"/>
          <w:szCs w:val="21"/>
        </w:rPr>
        <w:t>51</w:t>
      </w:r>
      <w:r>
        <w:rPr>
          <w:sz w:val="28"/>
          <w:szCs w:val="21"/>
        </w:rPr>
        <w:fldChar w:fldCharType="end"/>
      </w:r>
      <w:r>
        <w:rPr>
          <w:rFonts w:hint="eastAsia" w:ascii="宋体" w:hAnsi="宋体" w:eastAsia="宋体" w:cs="宋体"/>
          <w:bCs/>
          <w:sz w:val="28"/>
          <w:szCs w:val="48"/>
          <w:highlight w:val="none"/>
        </w:rPr>
        <w:fldChar w:fldCharType="end"/>
      </w:r>
    </w:p>
    <w:p w14:paraId="5C9CA0C6">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8"/>
          <w:highlight w:val="none"/>
        </w:rPr>
        <w:fldChar w:fldCharType="end"/>
      </w:r>
    </w:p>
    <w:p w14:paraId="12582E31">
      <w:pPr>
        <w:pStyle w:val="2"/>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14:paraId="6059A5F4">
      <w:pPr>
        <w:pStyle w:val="2"/>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12903"/>
      <w:bookmarkStart w:id="13" w:name="_Toc423973071"/>
      <w:bookmarkStart w:id="14" w:name="_Toc2705"/>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14:paraId="2C0BEE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bookmarkStart w:id="15" w:name="_Toc389582035"/>
      <w:bookmarkStart w:id="16" w:name="_Toc2929"/>
      <w:bookmarkStart w:id="17" w:name="_Toc29249"/>
      <w:bookmarkStart w:id="18" w:name="_Toc423973072"/>
      <w:r>
        <w:rPr>
          <w:rFonts w:hint="eastAsia" w:ascii="宋体" w:hAnsi="宋体" w:eastAsia="宋体" w:cs="宋体"/>
          <w:b/>
          <w:bCs/>
          <w:highlight w:val="none"/>
        </w:rPr>
        <w:t>项目概况</w:t>
      </w:r>
    </w:p>
    <w:p w14:paraId="7ACB2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柞水县2025年重点区域绿化补助项目采购项目的潜在供应商应在陕西省西安市经济技术开发区未央路171-1号银池道拉斯财富中心21楼03室获取采购文件，并于2025年10月21日14时30分（北京时间）前提交响应文件。</w:t>
      </w:r>
    </w:p>
    <w:p w14:paraId="2491BA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一、项目基本情况</w:t>
      </w:r>
    </w:p>
    <w:p w14:paraId="50636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项目编号：HYGH2025-ZCCS-0921</w:t>
      </w:r>
    </w:p>
    <w:p w14:paraId="78B36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项目名称：柞水县2025年重点区域绿化补助项目</w:t>
      </w:r>
    </w:p>
    <w:p w14:paraId="25C903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采购方式：竞争性磋商</w:t>
      </w:r>
    </w:p>
    <w:p w14:paraId="66ED78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预算金额：1,600,000.00元</w:t>
      </w:r>
    </w:p>
    <w:p w14:paraId="49F39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采购需求：</w:t>
      </w:r>
    </w:p>
    <w:p w14:paraId="45F42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合同包1(柞水县2025年重点区域绿化补助项目):</w:t>
      </w:r>
    </w:p>
    <w:p w14:paraId="3DDD3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合同包预算金额：1,600,000.00元</w:t>
      </w:r>
    </w:p>
    <w:p w14:paraId="1B4F3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合同包最高限价：1,600,000.00元</w:t>
      </w:r>
    </w:p>
    <w:tbl>
      <w:tblPr>
        <w:tblStyle w:val="20"/>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4"/>
        <w:gridCol w:w="1534"/>
        <w:gridCol w:w="1535"/>
        <w:gridCol w:w="1535"/>
        <w:gridCol w:w="1535"/>
        <w:gridCol w:w="1837"/>
      </w:tblGrid>
      <w:tr w14:paraId="0CAD2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6" w:type="pct"/>
            <w:vAlign w:val="center"/>
          </w:tcPr>
          <w:p w14:paraId="2BDC0887">
            <w:pPr>
              <w:bidi w:val="0"/>
              <w:jc w:val="center"/>
            </w:pPr>
            <w:r>
              <w:t>品目号</w:t>
            </w:r>
          </w:p>
        </w:tc>
        <w:tc>
          <w:tcPr>
            <w:tcW w:w="806" w:type="pct"/>
            <w:vAlign w:val="center"/>
          </w:tcPr>
          <w:p w14:paraId="28BFD961">
            <w:pPr>
              <w:bidi w:val="0"/>
              <w:jc w:val="center"/>
            </w:pPr>
            <w:r>
              <w:t>品目名称</w:t>
            </w:r>
          </w:p>
        </w:tc>
        <w:tc>
          <w:tcPr>
            <w:tcW w:w="806" w:type="pct"/>
            <w:vAlign w:val="center"/>
          </w:tcPr>
          <w:p w14:paraId="1EBEA9ED">
            <w:pPr>
              <w:bidi w:val="0"/>
              <w:jc w:val="center"/>
            </w:pPr>
            <w:r>
              <w:t>采购标的</w:t>
            </w:r>
          </w:p>
        </w:tc>
        <w:tc>
          <w:tcPr>
            <w:tcW w:w="806" w:type="pct"/>
            <w:vAlign w:val="center"/>
          </w:tcPr>
          <w:p w14:paraId="78752347">
            <w:pPr>
              <w:bidi w:val="0"/>
              <w:jc w:val="center"/>
            </w:pPr>
            <w:r>
              <w:t>数量（单位）</w:t>
            </w:r>
          </w:p>
        </w:tc>
        <w:tc>
          <w:tcPr>
            <w:tcW w:w="806" w:type="pct"/>
            <w:vAlign w:val="center"/>
          </w:tcPr>
          <w:p w14:paraId="59C00962">
            <w:pPr>
              <w:bidi w:val="0"/>
              <w:jc w:val="center"/>
            </w:pPr>
            <w:r>
              <w:t>技术规格、参数及要求</w:t>
            </w:r>
          </w:p>
        </w:tc>
        <w:tc>
          <w:tcPr>
            <w:tcW w:w="965" w:type="pct"/>
            <w:vAlign w:val="center"/>
          </w:tcPr>
          <w:p w14:paraId="5B649B89">
            <w:pPr>
              <w:bidi w:val="0"/>
              <w:jc w:val="center"/>
            </w:pPr>
            <w:r>
              <w:t>品目预算(元)</w:t>
            </w:r>
          </w:p>
        </w:tc>
      </w:tr>
      <w:tr w14:paraId="3883F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6" w:type="pct"/>
            <w:vAlign w:val="center"/>
          </w:tcPr>
          <w:p w14:paraId="5170F3BD">
            <w:pPr>
              <w:bidi w:val="0"/>
              <w:jc w:val="center"/>
            </w:pPr>
            <w:r>
              <w:t>1-1</w:t>
            </w:r>
          </w:p>
        </w:tc>
        <w:tc>
          <w:tcPr>
            <w:tcW w:w="806" w:type="pct"/>
            <w:vAlign w:val="center"/>
          </w:tcPr>
          <w:p w14:paraId="5410CE02">
            <w:pPr>
              <w:bidi w:val="0"/>
              <w:jc w:val="center"/>
            </w:pPr>
            <w:r>
              <w:t>造林服务</w:t>
            </w:r>
          </w:p>
        </w:tc>
        <w:tc>
          <w:tcPr>
            <w:tcW w:w="806" w:type="pct"/>
            <w:vAlign w:val="center"/>
          </w:tcPr>
          <w:p w14:paraId="27B0515C">
            <w:pPr>
              <w:bidi w:val="0"/>
              <w:jc w:val="center"/>
            </w:pPr>
            <w:r>
              <w:t>柞水县2025年重点区域绿化补助项目</w:t>
            </w:r>
          </w:p>
        </w:tc>
        <w:tc>
          <w:tcPr>
            <w:tcW w:w="806" w:type="pct"/>
            <w:vAlign w:val="center"/>
          </w:tcPr>
          <w:p w14:paraId="37FA6D43">
            <w:pPr>
              <w:bidi w:val="0"/>
              <w:jc w:val="center"/>
            </w:pPr>
            <w:r>
              <w:t>200(亩)</w:t>
            </w:r>
          </w:p>
        </w:tc>
        <w:tc>
          <w:tcPr>
            <w:tcW w:w="806" w:type="pct"/>
            <w:vAlign w:val="center"/>
          </w:tcPr>
          <w:p w14:paraId="28B112FA">
            <w:pPr>
              <w:bidi w:val="0"/>
              <w:jc w:val="center"/>
            </w:pPr>
            <w:r>
              <w:t>详见采购文件</w:t>
            </w:r>
          </w:p>
        </w:tc>
        <w:tc>
          <w:tcPr>
            <w:tcW w:w="965" w:type="pct"/>
            <w:vAlign w:val="center"/>
          </w:tcPr>
          <w:p w14:paraId="4AE2BAF6">
            <w:pPr>
              <w:bidi w:val="0"/>
              <w:jc w:val="center"/>
            </w:pPr>
            <w:r>
              <w:t>1,600,000.00</w:t>
            </w:r>
          </w:p>
        </w:tc>
      </w:tr>
    </w:tbl>
    <w:p w14:paraId="3C118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本合同包不接受联合体投标</w:t>
      </w:r>
    </w:p>
    <w:p w14:paraId="39D21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合同履行期限：详见采购文件</w:t>
      </w:r>
    </w:p>
    <w:p w14:paraId="30FC5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二、申请人的资格要求：</w:t>
      </w:r>
    </w:p>
    <w:p w14:paraId="4C3D4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1.满足《中华人民共和国政府采购法》第二十二条规定;</w:t>
      </w:r>
    </w:p>
    <w:p w14:paraId="1012B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784FC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合同包1(柞水县2025年重点区域绿化补助项目)落实政府采购政策需满足的资格要求如下:</w:t>
      </w:r>
    </w:p>
    <w:p w14:paraId="22492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2437E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3.本项目的特定资格要求：</w:t>
      </w:r>
    </w:p>
    <w:p w14:paraId="2EEFA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合同包1(柞水县2025年重点区域绿化补助项目)特定资格要求如下:</w:t>
      </w:r>
    </w:p>
    <w:p w14:paraId="060ECD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1、提供合格有效的法人或者其他组织的营业执照等证明文件，自然人的身份证明；</w:t>
      </w:r>
    </w:p>
    <w:p w14:paraId="1D562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2、提供法定代表人授权书（附法定代表人、被授权人身份证复印件）及被授权人身份证原件（法定代表人直接参加磋商，须提供法定代表人身份证明及身份证原件）；</w:t>
      </w:r>
    </w:p>
    <w:p w14:paraId="6B350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22999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4、税收缴纳证明：提供磋商截止日前一年内已缴纳的至少一个月的纳税证明或完税证明（任意税种），依法免税的单位应提供相关证明材料；</w:t>
      </w:r>
    </w:p>
    <w:p w14:paraId="16F27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0988F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6、提供具有履行本合同所必需的设备和专业技术能力的说明及承诺书；</w:t>
      </w:r>
    </w:p>
    <w:p w14:paraId="4628FC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7、供应商应通过“信用中国”网站(www.creditchina.gov.cn)、中国政府采购网(www.ccgp.gov.cn)查询相关主体信用记录；</w:t>
      </w:r>
    </w:p>
    <w:p w14:paraId="7AE9C5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8、参加政府采购活动前3年内，在经营活动中没有重大违法记录的书面声明；</w:t>
      </w:r>
    </w:p>
    <w:p w14:paraId="5C891B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9、供应商须提供中小企业声明函（本项目专门面向小微企业）；</w:t>
      </w:r>
    </w:p>
    <w:p w14:paraId="41E7A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10、本项目不接受联合体磋商。</w:t>
      </w:r>
    </w:p>
    <w:p w14:paraId="3920FE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三、获取采购文件</w:t>
      </w:r>
    </w:p>
    <w:p w14:paraId="61EDA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时间： 2025年10月10日 至 2025年10月15日 ，每天上午 09:00:00 至 12:00:00 ，下午 14:00:00 至 17:00:00 （北京时间）</w:t>
      </w:r>
    </w:p>
    <w:p w14:paraId="7B9AC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途径：陕西省西安市经济技术开发区未央路171-1号银池道拉斯财富中心21楼03室</w:t>
      </w:r>
    </w:p>
    <w:p w14:paraId="27045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方式：现场获取</w:t>
      </w:r>
    </w:p>
    <w:p w14:paraId="4CC71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售价： 0元</w:t>
      </w:r>
    </w:p>
    <w:p w14:paraId="258CF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四、响应文件提交</w:t>
      </w:r>
    </w:p>
    <w:p w14:paraId="33283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截止时间： 2025年10月21日 14时30分00秒 （北京时间）</w:t>
      </w:r>
    </w:p>
    <w:p w14:paraId="1D423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地点：陕西省西安市经济技术开发区未央路171-1号银池道拉斯财富中心21楼03室</w:t>
      </w:r>
    </w:p>
    <w:p w14:paraId="680A7A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五、开启</w:t>
      </w:r>
    </w:p>
    <w:p w14:paraId="4CC2F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时间： 2025年10月21日 14时30分00秒 （北京时间）</w:t>
      </w:r>
    </w:p>
    <w:p w14:paraId="336F6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地点：陕西省西安市经济技术开发区未央路171-1号银池道拉斯财富中心21楼03室</w:t>
      </w:r>
    </w:p>
    <w:p w14:paraId="1AC9DB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六、公告期限</w:t>
      </w:r>
    </w:p>
    <w:p w14:paraId="2D7DF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2B8CD2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highlight w:val="none"/>
        </w:rPr>
        <w:t>七、其他补充事宜</w:t>
      </w:r>
    </w:p>
    <w:p w14:paraId="4CC17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（1）供应商领取采购文件时，请携带单位介绍信及经办人身份证原件及复印件加盖公章；</w:t>
      </w:r>
    </w:p>
    <w:p w14:paraId="726A9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（2）请供应商按照《陕西省财政厅关于政府采购供应商注册登记有关事项的通知》中的要求，通过陕西省政府采购网（http://www.ccgp-shaanxi.gov.cn/）注册登记加入陕西省政府采购供应商库；</w:t>
      </w:r>
    </w:p>
    <w:p w14:paraId="213B1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（3）本项目为专门面向小微企业。</w:t>
      </w:r>
    </w:p>
    <w:p w14:paraId="5950BE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b/>
          <w:bCs/>
          <w:highlight w:val="none"/>
        </w:rPr>
        <w:t>八、对本次招标提出询问，请按以下方式联系。</w:t>
      </w:r>
    </w:p>
    <w:p w14:paraId="71B7D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1.采购人信息</w:t>
      </w:r>
    </w:p>
    <w:p w14:paraId="46A6A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名称：柞水县林业局</w:t>
      </w:r>
    </w:p>
    <w:p w14:paraId="7A1CED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地址：柞水县乾佑街道办中街151号</w:t>
      </w:r>
    </w:p>
    <w:p w14:paraId="58459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联系方式：0914-4325611</w:t>
      </w:r>
    </w:p>
    <w:p w14:paraId="3ECE6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2.采购代理机构信息</w:t>
      </w:r>
    </w:p>
    <w:p w14:paraId="2AC02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名称：陕西海源广合项目管理有限公司</w:t>
      </w:r>
    </w:p>
    <w:p w14:paraId="347C5C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地址：陕西省西安市阎良区国家航空高技术产业基地蓝天一路 29号西安航空创新创业园研发楼301-12</w:t>
      </w:r>
    </w:p>
    <w:p w14:paraId="05353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联系方式：18791025837</w:t>
      </w:r>
    </w:p>
    <w:p w14:paraId="5C00A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3.项目联系方式</w:t>
      </w:r>
    </w:p>
    <w:p w14:paraId="32FABA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项目联系人：刘沁园</w:t>
      </w:r>
    </w:p>
    <w:p w14:paraId="11415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电话：18791025837</w:t>
      </w:r>
    </w:p>
    <w:p w14:paraId="43C81B9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highlight w:val="none"/>
        </w:rPr>
        <w:t>陕西海源广合项目管理有限公司</w:t>
      </w:r>
    </w:p>
    <w:p w14:paraId="620866B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highlight w:val="none"/>
        </w:rPr>
        <w:t>2025年10月09日</w:t>
      </w:r>
    </w:p>
    <w:p w14:paraId="7E78FC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highlight w:val="none"/>
        </w:rPr>
      </w:pPr>
      <w:r>
        <w:rPr>
          <w:rFonts w:hint="eastAsia" w:ascii="宋体" w:hAnsi="宋体" w:eastAsia="宋体" w:cs="宋体"/>
          <w:highlight w:val="none"/>
        </w:rPr>
        <w:br w:type="page"/>
      </w:r>
    </w:p>
    <w:p w14:paraId="42F4D65B">
      <w:pPr>
        <w:spacing w:line="348" w:lineRule="auto"/>
        <w:ind w:right="119"/>
        <w:jc w:val="center"/>
        <w:outlineLvl w:val="0"/>
        <w:rPr>
          <w:rFonts w:hint="eastAsia" w:ascii="宋体" w:hAnsi="宋体" w:eastAsia="宋体" w:cs="宋体"/>
          <w:bCs/>
          <w:sz w:val="36"/>
          <w:szCs w:val="36"/>
          <w:highlight w:val="none"/>
        </w:rPr>
      </w:pPr>
      <w:bookmarkStart w:id="19" w:name="_Toc3334"/>
      <w:bookmarkStart w:id="20" w:name="_Toc237"/>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14:paraId="3BE3D0B7">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8846"/>
      <w:bookmarkStart w:id="23" w:name="_Toc16830"/>
      <w:bookmarkStart w:id="24" w:name="_Toc20796"/>
      <w:bookmarkStart w:id="25" w:name="_Toc24077"/>
      <w:r>
        <w:rPr>
          <w:rFonts w:hint="eastAsia" w:ascii="宋体" w:hAnsi="宋体" w:eastAsia="宋体" w:cs="宋体"/>
          <w:b/>
          <w:bCs/>
          <w:sz w:val="32"/>
          <w:szCs w:val="32"/>
          <w:highlight w:val="none"/>
        </w:rPr>
        <w:t>供应商须知前附表</w:t>
      </w:r>
      <w:bookmarkEnd w:id="22"/>
      <w:bookmarkEnd w:id="23"/>
      <w:bookmarkEnd w:id="24"/>
      <w:bookmarkEnd w:id="25"/>
    </w:p>
    <w:p w14:paraId="37FC508B">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1597B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311BBE66">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14:paraId="7AA37F29">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14:paraId="22C7A1AF">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14:paraId="79A8B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0D83F4A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14:paraId="53B19F8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14:paraId="0D9F0F3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陕西海源广合项目管理有限公司</w:t>
            </w:r>
          </w:p>
          <w:p w14:paraId="338B36B0">
            <w:pPr>
              <w:spacing w:line="360" w:lineRule="auto"/>
              <w:rPr>
                <w:rFonts w:hint="eastAsia" w:eastAsia="宋体"/>
                <w:b w:val="0"/>
                <w:bCs w:val="0"/>
                <w:color w:val="auto"/>
                <w:szCs w:val="24"/>
                <w:highlight w:val="none"/>
                <w:lang w:eastAsia="zh-CN"/>
              </w:rPr>
            </w:pPr>
            <w:r>
              <w:rPr>
                <w:rFonts w:hint="eastAsia" w:ascii="宋体" w:hAnsi="宋体" w:eastAsia="宋体" w:cs="宋体"/>
                <w:szCs w:val="24"/>
                <w:highlight w:val="none"/>
              </w:rPr>
              <w:t>地        址：</w:t>
            </w:r>
            <w:r>
              <w:rPr>
                <w:rFonts w:hint="eastAsia"/>
                <w:b w:val="0"/>
                <w:bCs w:val="0"/>
                <w:color w:val="auto"/>
                <w:szCs w:val="24"/>
                <w:highlight w:val="none"/>
                <w:lang w:eastAsia="zh-CN"/>
              </w:rPr>
              <w:t>陕西省西安市阎良区国家航空高技术产业基地蓝天一路 29号西安航空创新创业园研发楼301-12</w:t>
            </w:r>
          </w:p>
          <w:p w14:paraId="1477649A">
            <w:pPr>
              <w:spacing w:line="360" w:lineRule="auto"/>
              <w:rPr>
                <w:rFonts w:hint="eastAsia" w:eastAsia="宋体"/>
                <w:b w:val="0"/>
                <w:bCs w:val="0"/>
                <w:color w:val="auto"/>
                <w:szCs w:val="24"/>
                <w:highlight w:val="none"/>
                <w:lang w:val="en-US" w:eastAsia="zh-CN"/>
              </w:rPr>
            </w:pPr>
            <w:r>
              <w:rPr>
                <w:rFonts w:hint="eastAsia" w:ascii="宋体" w:hAnsi="宋体" w:eastAsia="宋体" w:cs="宋体"/>
                <w:szCs w:val="24"/>
                <w:highlight w:val="none"/>
              </w:rPr>
              <w:t>邮        编：</w:t>
            </w:r>
            <w:r>
              <w:rPr>
                <w:rFonts w:hint="eastAsia"/>
                <w:b w:val="0"/>
                <w:bCs w:val="0"/>
                <w:color w:val="auto"/>
                <w:szCs w:val="24"/>
                <w:highlight w:val="none"/>
                <w:lang w:eastAsia="zh-CN"/>
              </w:rPr>
              <w:t>710089</w:t>
            </w:r>
          </w:p>
          <w:p w14:paraId="35F330F7">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话：18791025837</w:t>
            </w:r>
          </w:p>
          <w:p w14:paraId="4F8BFF9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14:paraId="21C02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5EC6595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14:paraId="1C4057F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14:paraId="61912E0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14:paraId="0F4CB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7A0892E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14:paraId="381E64F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14:paraId="4BAA365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14:paraId="2C11A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79ABF4C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14:paraId="2EF2196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14:paraId="05CE8D2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1E4C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6A1C321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14:paraId="5162DA6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14:paraId="3E95DC94">
            <w:pPr>
              <w:spacing w:line="360" w:lineRule="auto"/>
              <w:ind w:firstLine="480"/>
              <w:rPr>
                <w:rFonts w:hint="eastAsia" w:hAnsi="宋体" w:cs="宋体"/>
                <w:szCs w:val="24"/>
                <w:highlight w:val="none"/>
              </w:rPr>
            </w:pPr>
            <w:r>
              <w:rPr>
                <w:rFonts w:hint="eastAsia" w:ascii="宋体" w:hAnsi="宋体" w:eastAsia="宋体" w:cs="宋体"/>
                <w:szCs w:val="24"/>
                <w:highlight w:val="none"/>
              </w:rPr>
              <w:t>磋商报价：</w:t>
            </w:r>
            <w:r>
              <w:rPr>
                <w:rFonts w:hint="eastAsia" w:hAnsi="宋体" w:cs="宋体"/>
                <w:szCs w:val="24"/>
                <w:highlight w:val="none"/>
              </w:rPr>
              <w:t>为完成本项目全部内容的价格体现，包括但不限于</w:t>
            </w:r>
            <w:r>
              <w:rPr>
                <w:rFonts w:hint="eastAsia" w:hAnsi="宋体" w:cs="宋体"/>
                <w:szCs w:val="24"/>
                <w:highlight w:val="none"/>
                <w:lang w:eastAsia="zh-CN"/>
              </w:rPr>
              <w:t>苗木费、养护费、劳务费</w:t>
            </w:r>
            <w:r>
              <w:rPr>
                <w:rFonts w:hint="eastAsia" w:hAnsi="宋体" w:cs="宋体"/>
                <w:szCs w:val="24"/>
                <w:highlight w:val="none"/>
              </w:rPr>
              <w:t>、</w:t>
            </w:r>
            <w:r>
              <w:rPr>
                <w:rFonts w:hint="eastAsia" w:hAnsi="宋体" w:cs="宋体"/>
                <w:szCs w:val="24"/>
                <w:highlight w:val="none"/>
                <w:lang w:eastAsia="zh-CN"/>
              </w:rPr>
              <w:t>管理费</w:t>
            </w:r>
            <w:r>
              <w:rPr>
                <w:rFonts w:hint="eastAsia" w:hAnsi="宋体" w:cs="宋体"/>
                <w:szCs w:val="24"/>
                <w:highlight w:val="none"/>
              </w:rPr>
              <w:t>、税金等其他一切相关费用，任何有选择的报价将不予接受，按无效磋商响应。</w:t>
            </w:r>
          </w:p>
          <w:p w14:paraId="22B3EB28">
            <w:pPr>
              <w:spacing w:line="360" w:lineRule="auto"/>
              <w:ind w:firstLine="480"/>
              <w:rPr>
                <w:rFonts w:hint="eastAsia" w:ascii="宋体" w:hAnsi="宋体" w:eastAsia="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r>
              <w:rPr>
                <w:rFonts w:hint="eastAsia" w:hAnsi="宋体" w:cs="宋体"/>
                <w:szCs w:val="24"/>
                <w:highlight w:val="none"/>
                <w:lang w:eastAsia="zh-CN"/>
              </w:rPr>
              <w:t>。</w:t>
            </w:r>
            <w:r>
              <w:rPr>
                <w:rFonts w:hint="eastAsia" w:ascii="宋体" w:hAnsi="宋体" w:eastAsia="宋体" w:cs="宋体"/>
                <w:szCs w:val="24"/>
                <w:highlight w:val="none"/>
              </w:rPr>
              <w:t>任何有选择的报价将不予接受，按无效磋商处理。</w:t>
            </w:r>
          </w:p>
        </w:tc>
      </w:tr>
      <w:tr w14:paraId="30CC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C567DAC">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14:paraId="08D6866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14:paraId="7D95193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14:paraId="5785B9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1、提供合格有效的法人或者其他组织的营业执照等证明文件，自然人的身份证明；</w:t>
            </w:r>
          </w:p>
          <w:p w14:paraId="1226AE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2、提供法定代表人授权书（附法定代表人、被授权人身份证复印件）及被授权人身份证原件（法定代表人直接参加磋商，须提供法定代表人身份证明及身份证原件）；</w:t>
            </w:r>
          </w:p>
          <w:p w14:paraId="5873E8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6F4B70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4、税收缴纳证明：提供磋商截止日前一年内已缴纳的至少一个月的纳税证明或完税证明（任意税种），依法免税的单位应提供相关证明材料；</w:t>
            </w:r>
          </w:p>
          <w:p w14:paraId="76DF4A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3B07DF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6、提供具有履行本合同所必需的设备和专业技术能力的说明及承诺书；</w:t>
            </w:r>
          </w:p>
          <w:p w14:paraId="33B2CB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7、供应商应通过“信用中国”网站(www.creditchina.gov.cn)、中国政府采购网(www.ccgp.gov.cn)查询相关主体信用记录；</w:t>
            </w:r>
          </w:p>
          <w:p w14:paraId="15738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8、参加政府采购活动前3年内，在经营活动中没有重大违法记录的书面声明；</w:t>
            </w:r>
          </w:p>
          <w:p w14:paraId="455C6C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9、供应商须提供中小企业声明函（本项目专门面向小微企业）；</w:t>
            </w:r>
          </w:p>
          <w:p w14:paraId="480961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10、本项目不接受联合体磋商。</w:t>
            </w:r>
          </w:p>
          <w:p w14:paraId="2B2D5DD0">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14:paraId="25D0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592" w:type="dxa"/>
            <w:noWrap w:val="0"/>
            <w:vAlign w:val="center"/>
          </w:tcPr>
          <w:p w14:paraId="65B22857">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14:paraId="3EC4E30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center"/>
          </w:tcPr>
          <w:p w14:paraId="287410D2">
            <w:pPr>
              <w:spacing w:line="360" w:lineRule="auto"/>
              <w:jc w:val="both"/>
              <w:rPr>
                <w:rFonts w:hint="eastAsia" w:ascii="宋体" w:hAnsi="宋体" w:eastAsia="宋体" w:cs="宋体"/>
                <w:szCs w:val="24"/>
                <w:highlight w:val="none"/>
              </w:rPr>
            </w:pP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tc>
      </w:tr>
      <w:tr w14:paraId="2FC0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1A3B84F5">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14:paraId="3E95B53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14:paraId="3E9146A6">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14:paraId="550F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50DE8DAC">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14:paraId="57E129D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14:paraId="059BCEF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14:paraId="564AB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31F2990">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14:paraId="05893561">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14:paraId="2F3E28A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14:paraId="61BC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49A771C9">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14:paraId="6506AF03">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14:paraId="5F2A1E9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14:paraId="0D7E20B7">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13F0E556">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陕西海源广合项目管理有限公司</w:t>
            </w:r>
          </w:p>
        </w:tc>
      </w:tr>
      <w:tr w14:paraId="50A45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1BE268D1">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14:paraId="7AA711C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14:paraId="37C92AC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14:paraId="7695756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2ED59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14:paraId="3E55D91E">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14:paraId="0A84AC1B">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14:paraId="1D44AAFF">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14:paraId="14304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CAA4DD7">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14:paraId="2EC9F2B7">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14:paraId="0C19E43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14:paraId="7BD8587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6" w:name="OLE_LINK9"/>
            <w:bookmarkStart w:id="27" w:name="OLE_LINK10"/>
            <w:r>
              <w:rPr>
                <w:rFonts w:hint="eastAsia" w:ascii="宋体" w:hAnsi="宋体" w:eastAsia="宋体" w:cs="宋体"/>
                <w:szCs w:val="24"/>
                <w:highlight w:val="none"/>
              </w:rPr>
              <w:t>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bookmarkEnd w:id="26"/>
            <w:bookmarkEnd w:id="27"/>
          </w:p>
          <w:p w14:paraId="0B83F3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14:paraId="4752C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57D49C6C">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14:paraId="127807FD">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249F45ED">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14:paraId="46ABFF03">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70F6B745">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14:paraId="27E4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0A3FFB36">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14:paraId="06743DC0">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14:paraId="65EB9B0B">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3AB5EC32">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14:paraId="7531617C">
            <w:pPr>
              <w:numPr>
                <w:ilvl w:val="0"/>
                <w:numId w:val="2"/>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14:paraId="2645D520">
            <w:pPr>
              <w:spacing w:line="500" w:lineRule="exact"/>
              <w:ind w:firstLine="482" w:firstLineChars="200"/>
              <w:rPr>
                <w:rFonts w:hint="eastAsia" w:hAnsi="宋体" w:cs="宋体"/>
                <w:b/>
                <w:bCs/>
                <w:szCs w:val="24"/>
                <w:highlight w:val="none"/>
                <w:lang w:eastAsia="zh-CN"/>
              </w:rPr>
            </w:pPr>
            <w:r>
              <w:rPr>
                <w:rFonts w:hint="eastAsia" w:hAnsi="宋体" w:cs="宋体"/>
                <w:b/>
                <w:bCs/>
                <w:szCs w:val="24"/>
                <w:highlight w:val="none"/>
                <w:lang w:eastAsia="zh-CN"/>
              </w:rPr>
              <w:t>①采购代理机构开户名称: 陕西海源广合项目管理有限公司</w:t>
            </w:r>
          </w:p>
          <w:p w14:paraId="255393F1">
            <w:pPr>
              <w:spacing w:line="500" w:lineRule="exact"/>
              <w:ind w:firstLine="482" w:firstLineChars="200"/>
              <w:rPr>
                <w:rFonts w:hint="eastAsia" w:hAnsi="宋体" w:cs="宋体"/>
                <w:b/>
                <w:bCs/>
                <w:szCs w:val="24"/>
                <w:highlight w:val="none"/>
                <w:lang w:eastAsia="zh-CN"/>
              </w:rPr>
            </w:pPr>
            <w:r>
              <w:rPr>
                <w:rFonts w:hint="eastAsia" w:hAnsi="宋体" w:cs="宋体"/>
                <w:b/>
                <w:bCs/>
                <w:szCs w:val="24"/>
                <w:highlight w:val="none"/>
                <w:lang w:eastAsia="zh-CN"/>
              </w:rPr>
              <w:t>②开户行名称：中国建设银行股份有限公司西安凤城六路支行</w:t>
            </w:r>
          </w:p>
          <w:p w14:paraId="2CB93618">
            <w:pPr>
              <w:spacing w:line="500" w:lineRule="exact"/>
              <w:ind w:firstLine="482" w:firstLineChars="200"/>
              <w:rPr>
                <w:rFonts w:hint="eastAsia" w:ascii="宋体" w:hAnsi="宋体" w:eastAsia="宋体" w:cs="宋体"/>
                <w:szCs w:val="24"/>
                <w:highlight w:val="none"/>
              </w:rPr>
            </w:pPr>
            <w:r>
              <w:rPr>
                <w:rFonts w:hint="eastAsia" w:hAnsi="宋体" w:cs="宋体"/>
                <w:b/>
                <w:bCs/>
                <w:szCs w:val="24"/>
                <w:highlight w:val="none"/>
                <w:lang w:val="en-US" w:eastAsia="zh-CN"/>
              </w:rPr>
              <w:t>③账号：61050193020000001969</w:t>
            </w:r>
          </w:p>
        </w:tc>
      </w:tr>
      <w:tr w14:paraId="5CAB5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4A4B40A1">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14:paraId="6650CA00">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14:paraId="3565F102">
            <w:pPr>
              <w:widowControl/>
              <w:spacing w:line="360" w:lineRule="auto"/>
              <w:jc w:val="center"/>
              <w:rPr>
                <w:rFonts w:hint="default" w:ascii="宋体" w:hAnsi="宋体" w:eastAsia="宋体" w:cs="宋体"/>
                <w:b/>
                <w:bCs/>
                <w:sz w:val="24"/>
                <w:szCs w:val="24"/>
                <w:highlight w:val="none"/>
                <w:lang w:val="en-US" w:eastAsia="zh-CN" w:bidi="ar-SA"/>
              </w:rPr>
            </w:pPr>
            <w:r>
              <w:rPr>
                <w:rFonts w:hint="eastAsia" w:hAnsi="宋体" w:cs="宋体"/>
                <w:b/>
                <w:bCs/>
                <w:szCs w:val="24"/>
                <w:highlight w:val="none"/>
                <w:lang w:eastAsia="zh-CN"/>
              </w:rPr>
              <w:t>性质</w:t>
            </w:r>
          </w:p>
        </w:tc>
        <w:tc>
          <w:tcPr>
            <w:tcW w:w="7354" w:type="dxa"/>
            <w:noWrap w:val="0"/>
            <w:vAlign w:val="center"/>
          </w:tcPr>
          <w:p w14:paraId="2109C071">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eastAsia="zh-CN"/>
              </w:rPr>
              <w:t>本项目专门面向</w:t>
            </w:r>
            <w:r>
              <w:rPr>
                <w:rFonts w:hint="eastAsia" w:hAnsi="宋体" w:cs="宋体"/>
                <w:b/>
                <w:bCs/>
                <w:szCs w:val="24"/>
                <w:highlight w:val="none"/>
                <w:lang w:val="en-US" w:eastAsia="zh-CN"/>
              </w:rPr>
              <w:t>小微</w:t>
            </w:r>
            <w:r>
              <w:rPr>
                <w:rFonts w:hint="eastAsia" w:hAnsi="宋体" w:cs="宋体"/>
                <w:b/>
                <w:bCs/>
                <w:szCs w:val="24"/>
                <w:highlight w:val="none"/>
                <w:lang w:eastAsia="zh-CN"/>
              </w:rPr>
              <w:t>企业</w:t>
            </w:r>
          </w:p>
        </w:tc>
      </w:tr>
      <w:tr w14:paraId="3057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722B242">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14:paraId="32F16F0B">
            <w:pPr>
              <w:widowControl/>
              <w:spacing w:line="360" w:lineRule="auto"/>
              <w:jc w:val="center"/>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项目</w:t>
            </w:r>
            <w:r>
              <w:rPr>
                <w:rFonts w:hint="eastAsia" w:hAnsi="宋体" w:cs="宋体"/>
                <w:b/>
                <w:bCs/>
                <w:szCs w:val="24"/>
                <w:highlight w:val="none"/>
                <w:lang w:eastAsia="zh-CN"/>
              </w:rPr>
              <w:t>所属行业</w:t>
            </w:r>
          </w:p>
        </w:tc>
        <w:tc>
          <w:tcPr>
            <w:tcW w:w="7354" w:type="dxa"/>
            <w:noWrap w:val="0"/>
            <w:vAlign w:val="center"/>
          </w:tcPr>
          <w:p w14:paraId="3694052E">
            <w:pPr>
              <w:spacing w:line="500" w:lineRule="exact"/>
              <w:rPr>
                <w:rFonts w:hint="eastAsia" w:ascii="宋体" w:hAnsi="宋体" w:eastAsia="宋体" w:cs="宋体"/>
                <w:b/>
                <w:bCs/>
                <w:sz w:val="24"/>
                <w:szCs w:val="24"/>
                <w:highlight w:val="none"/>
                <w:lang w:val="en-US" w:eastAsia="zh-CN" w:bidi="ar-SA"/>
              </w:rPr>
            </w:pPr>
            <w:r>
              <w:rPr>
                <w:rFonts w:hint="eastAsia" w:hAnsi="宋体" w:cs="宋体"/>
                <w:b/>
                <w:bCs/>
                <w:szCs w:val="24"/>
                <w:highlight w:val="none"/>
                <w:lang w:val="en-US" w:eastAsia="zh-CN"/>
              </w:rPr>
              <w:t>农、林、牧、渔业</w:t>
            </w:r>
          </w:p>
        </w:tc>
      </w:tr>
      <w:tr w14:paraId="7210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2C5B7D4">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14:paraId="19FCF23E">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6C0E1A48">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75E97A39">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2C19AE90">
            <w:pPr>
              <w:spacing w:line="500" w:lineRule="exact"/>
              <w:ind w:firstLine="480" w:firstLineChars="200"/>
              <w:rPr>
                <w:rFonts w:hint="eastAsia" w:ascii="宋体" w:hAnsi="宋体" w:eastAsia="宋体" w:cs="宋体"/>
                <w:b/>
                <w:bCs/>
                <w:sz w:val="24"/>
                <w:szCs w:val="24"/>
                <w:highlight w:val="none"/>
                <w:lang w:val="en-US" w:eastAsia="zh-CN" w:bidi="ar-SA"/>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03941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A33F1A">
            <w:pPr>
              <w:spacing w:afterLines="50"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20</w:t>
            </w:r>
          </w:p>
        </w:tc>
        <w:tc>
          <w:tcPr>
            <w:tcW w:w="951" w:type="dxa"/>
            <w:noWrap w:val="0"/>
            <w:vAlign w:val="center"/>
          </w:tcPr>
          <w:p w14:paraId="464C6947">
            <w:pPr>
              <w:widowControl/>
              <w:spacing w:line="360" w:lineRule="auto"/>
              <w:jc w:val="center"/>
              <w:rPr>
                <w:rFonts w:hint="eastAsia" w:ascii="宋体" w:hAnsi="宋体" w:eastAsia="宋体" w:cs="宋体"/>
                <w:b w:val="0"/>
                <w:bCs w:val="0"/>
                <w:color w:val="auto"/>
                <w:kern w:val="2"/>
                <w:szCs w:val="24"/>
                <w:highlight w:val="none"/>
                <w:lang w:val="en-US" w:eastAsia="zh-CN"/>
              </w:rPr>
            </w:pPr>
            <w:r>
              <w:rPr>
                <w:rFonts w:hint="eastAsia" w:hAnsi="宋体" w:cs="宋体"/>
                <w:b w:val="0"/>
                <w:bCs w:val="0"/>
                <w:color w:val="auto"/>
                <w:kern w:val="2"/>
                <w:szCs w:val="24"/>
                <w:highlight w:val="none"/>
                <w:lang w:val="en-US" w:eastAsia="zh-CN"/>
              </w:rPr>
              <w:t>踏勘</w:t>
            </w:r>
          </w:p>
        </w:tc>
        <w:tc>
          <w:tcPr>
            <w:tcW w:w="7354" w:type="dxa"/>
            <w:noWrap w:val="0"/>
            <w:vAlign w:val="center"/>
          </w:tcPr>
          <w:p w14:paraId="5AFC320E">
            <w:pPr>
              <w:spacing w:line="500" w:lineRule="exact"/>
              <w:rPr>
                <w:rFonts w:hint="eastAsia" w:ascii="宋体" w:hAnsi="宋体" w:eastAsia="宋体" w:cs="宋体"/>
                <w:color w:val="auto"/>
                <w:szCs w:val="32"/>
                <w:highlight w:val="none"/>
              </w:rPr>
            </w:pPr>
            <w:r>
              <w:rPr>
                <w:rFonts w:hint="eastAsia" w:hAnsi="宋体" w:cs="宋体"/>
                <w:szCs w:val="24"/>
                <w:highlight w:val="none"/>
              </w:rPr>
              <w:t>不组织统一踏勘，各</w:t>
            </w:r>
            <w:r>
              <w:rPr>
                <w:rFonts w:hint="eastAsia" w:hAnsi="宋体" w:cs="宋体"/>
                <w:szCs w:val="24"/>
                <w:highlight w:val="none"/>
                <w:lang w:eastAsia="zh-CN"/>
              </w:rPr>
              <w:t>供应商</w:t>
            </w:r>
            <w:r>
              <w:rPr>
                <w:rFonts w:hint="eastAsia" w:hAnsi="宋体" w:cs="宋体"/>
                <w:szCs w:val="24"/>
                <w:highlight w:val="none"/>
              </w:rPr>
              <w:t>自行踏勘。</w:t>
            </w:r>
          </w:p>
        </w:tc>
      </w:tr>
      <w:tr w14:paraId="4768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C41FF6">
            <w:pPr>
              <w:spacing w:afterLines="50"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21</w:t>
            </w:r>
          </w:p>
        </w:tc>
        <w:tc>
          <w:tcPr>
            <w:tcW w:w="951" w:type="dxa"/>
            <w:noWrap w:val="0"/>
            <w:vAlign w:val="center"/>
          </w:tcPr>
          <w:p w14:paraId="6B45CE74">
            <w:pPr>
              <w:spacing w:line="312" w:lineRule="auto"/>
              <w:ind w:firstLine="120" w:firstLineChars="5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363E3ABF">
            <w:pPr>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w:t>
            </w:r>
            <w:r>
              <w:rPr>
                <w:rFonts w:hint="eastAsia" w:hAnsi="宋体" w:cs="宋体"/>
                <w:color w:val="auto"/>
                <w:szCs w:val="32"/>
                <w:highlight w:val="none"/>
                <w:lang w:val="en-US" w:eastAsia="zh-CN"/>
              </w:rPr>
              <w:t>小微</w:t>
            </w:r>
            <w:r>
              <w:rPr>
                <w:rFonts w:hint="eastAsia" w:ascii="宋体" w:hAnsi="宋体" w:eastAsia="宋体" w:cs="宋体"/>
                <w:color w:val="auto"/>
                <w:szCs w:val="32"/>
                <w:highlight w:val="none"/>
                <w:lang w:val="en-US" w:eastAsia="zh-CN"/>
              </w:rPr>
              <w:t>企业，不在进行价格扣减。</w:t>
            </w:r>
          </w:p>
        </w:tc>
      </w:tr>
      <w:tr w14:paraId="7B423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49DEF1C">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22</w:t>
            </w:r>
          </w:p>
        </w:tc>
        <w:tc>
          <w:tcPr>
            <w:tcW w:w="951" w:type="dxa"/>
            <w:noWrap w:val="0"/>
            <w:vAlign w:val="center"/>
          </w:tcPr>
          <w:p w14:paraId="16AB038B">
            <w:pPr>
              <w:widowControl/>
              <w:spacing w:line="360" w:lineRule="auto"/>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Cs w:val="24"/>
                <w:highlight w:val="none"/>
              </w:rPr>
              <w:t>备注</w:t>
            </w:r>
          </w:p>
        </w:tc>
        <w:tc>
          <w:tcPr>
            <w:tcW w:w="7354" w:type="dxa"/>
            <w:noWrap w:val="0"/>
            <w:vAlign w:val="center"/>
          </w:tcPr>
          <w:p w14:paraId="4CB50D4D">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14:paraId="668BF09F">
            <w:pPr>
              <w:spacing w:line="500" w:lineRule="exact"/>
              <w:ind w:firstLine="482" w:firstLineChars="200"/>
              <w:rPr>
                <w:rFonts w:hint="eastAsia" w:ascii="宋体" w:hAnsi="宋体" w:eastAsia="宋体" w:cs="宋体"/>
                <w:sz w:val="24"/>
                <w:szCs w:val="24"/>
                <w:highlight w:val="none"/>
                <w:lang w:val="en-US" w:eastAsia="zh-CN" w:bidi="ar-SA"/>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14:paraId="3774A291">
      <w:pPr>
        <w:spacing w:beforeLines="50" w:afterLines="50"/>
        <w:jc w:val="center"/>
        <w:outlineLvl w:val="2"/>
        <w:rPr>
          <w:rFonts w:hint="eastAsia" w:ascii="宋体" w:hAnsi="宋体" w:eastAsia="宋体" w:cs="宋体"/>
          <w:sz w:val="32"/>
          <w:szCs w:val="32"/>
          <w:highlight w:val="none"/>
        </w:rPr>
      </w:pPr>
      <w:bookmarkStart w:id="28" w:name="_Toc363474017"/>
      <w:bookmarkStart w:id="29" w:name="_Toc403077639"/>
      <w:bookmarkStart w:id="30" w:name="_Toc363473972"/>
      <w:r>
        <w:rPr>
          <w:rFonts w:hint="eastAsia" w:ascii="宋体" w:hAnsi="宋体" w:eastAsia="宋体" w:cs="宋体"/>
          <w:b/>
          <w:sz w:val="32"/>
          <w:szCs w:val="32"/>
          <w:highlight w:val="none"/>
        </w:rPr>
        <w:br w:type="page"/>
      </w:r>
      <w:bookmarkStart w:id="31" w:name="_Toc28168"/>
      <w:bookmarkStart w:id="32" w:name="_Toc3623"/>
      <w:bookmarkStart w:id="33" w:name="_Toc27537"/>
      <w:bookmarkStart w:id="34" w:name="_Toc10265"/>
      <w:r>
        <w:rPr>
          <w:rFonts w:hint="eastAsia" w:ascii="宋体" w:hAnsi="宋体" w:eastAsia="宋体" w:cs="宋体"/>
          <w:b/>
          <w:sz w:val="32"/>
          <w:szCs w:val="32"/>
          <w:highlight w:val="none"/>
        </w:rPr>
        <w:t>一.总  则</w:t>
      </w:r>
      <w:bookmarkEnd w:id="28"/>
      <w:bookmarkEnd w:id="29"/>
      <w:bookmarkEnd w:id="30"/>
      <w:bookmarkEnd w:id="31"/>
      <w:bookmarkEnd w:id="32"/>
      <w:bookmarkEnd w:id="33"/>
      <w:bookmarkEnd w:id="34"/>
    </w:p>
    <w:p w14:paraId="63F5BE8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14:paraId="59BCE97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14:paraId="6D29F964">
      <w:pPr>
        <w:numPr>
          <w:ilvl w:val="0"/>
          <w:numId w:val="3"/>
        </w:numPr>
        <w:spacing w:line="500" w:lineRule="exact"/>
        <w:rPr>
          <w:rFonts w:hint="eastAsia" w:ascii="宋体" w:hAnsi="宋体" w:eastAsia="宋体" w:cs="宋体"/>
          <w:b/>
          <w:szCs w:val="24"/>
          <w:highlight w:val="none"/>
        </w:rPr>
      </w:pPr>
      <w:bookmarkStart w:id="35" w:name="_Toc363473973"/>
      <w:bookmarkStart w:id="36" w:name="_Toc363474018"/>
      <w:bookmarkStart w:id="37" w:name="_Toc403077640"/>
      <w:r>
        <w:rPr>
          <w:rFonts w:hint="eastAsia" w:ascii="宋体" w:hAnsi="宋体" w:eastAsia="宋体" w:cs="宋体"/>
          <w:b/>
          <w:szCs w:val="24"/>
          <w:highlight w:val="none"/>
        </w:rPr>
        <w:t>名词解释</w:t>
      </w:r>
    </w:p>
    <w:p w14:paraId="7A24B3C3">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柞水县林业局</w:t>
      </w:r>
    </w:p>
    <w:p w14:paraId="345F4F51">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14:paraId="653A23D7">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陕西海源广合项目管理有限公司</w:t>
      </w:r>
    </w:p>
    <w:p w14:paraId="4A1628C4">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14:paraId="2457CF1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14:paraId="4EA05E82">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14:paraId="07F237F8">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14:paraId="15471BA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14:paraId="64C334FB">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3D24DEEE">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093ECA">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14:paraId="3E700A09">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14:paraId="33809F00">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政府采购法》第二十二条第一款规定的供应商基本资格条件:</w:t>
      </w:r>
    </w:p>
    <w:p w14:paraId="2539B9DE">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14:paraId="4E66AF5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14:paraId="4DA8CA77">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14:paraId="140C9A8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14:paraId="057BC780">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14:paraId="48F0091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14:paraId="59A76166">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14:paraId="3230399F">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0971CBD3">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陕西海源广合项目管理有限公司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14:paraId="530AF9F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14:paraId="3CAB0BDF">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14:paraId="50D2E498">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14:paraId="6625276A">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14:paraId="32BF2FF1">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14:paraId="297D34C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14:paraId="39D81B7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0FB9746">
      <w:pPr>
        <w:keepNext/>
        <w:keepLines/>
        <w:spacing w:beforeLines="100" w:afterLines="50" w:line="360" w:lineRule="auto"/>
        <w:jc w:val="center"/>
        <w:outlineLvl w:val="2"/>
        <w:rPr>
          <w:rFonts w:hint="eastAsia" w:ascii="宋体" w:hAnsi="宋体" w:eastAsia="宋体" w:cs="宋体"/>
          <w:b/>
          <w:sz w:val="32"/>
          <w:szCs w:val="32"/>
          <w:highlight w:val="none"/>
        </w:rPr>
      </w:pPr>
      <w:bookmarkStart w:id="38" w:name="_Toc5434"/>
      <w:bookmarkStart w:id="39" w:name="_Toc27903"/>
      <w:bookmarkStart w:id="40" w:name="_Toc31742"/>
      <w:bookmarkStart w:id="41" w:name="_Toc948"/>
      <w:r>
        <w:rPr>
          <w:rFonts w:hint="eastAsia" w:ascii="宋体" w:hAnsi="宋体" w:eastAsia="宋体" w:cs="宋体"/>
          <w:b/>
          <w:sz w:val="32"/>
          <w:szCs w:val="32"/>
          <w:highlight w:val="none"/>
        </w:rPr>
        <w:t>二.竞争性磋商文件</w:t>
      </w:r>
      <w:bookmarkEnd w:id="35"/>
      <w:bookmarkEnd w:id="36"/>
      <w:bookmarkEnd w:id="37"/>
      <w:bookmarkEnd w:id="38"/>
      <w:bookmarkEnd w:id="39"/>
      <w:bookmarkEnd w:id="40"/>
      <w:bookmarkEnd w:id="41"/>
    </w:p>
    <w:p w14:paraId="40A05F4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14:paraId="544597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14:paraId="5A4010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14:paraId="75535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14:paraId="475027C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14:paraId="5C3E576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14:paraId="326D9A3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14:paraId="43AA98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14:paraId="63050A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80C25E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陕西海源广合项目管理有限公司</w:t>
      </w:r>
      <w:r>
        <w:rPr>
          <w:rFonts w:hint="eastAsia" w:ascii="宋体" w:hAnsi="宋体" w:eastAsia="宋体" w:cs="宋体"/>
          <w:szCs w:val="24"/>
          <w:highlight w:val="none"/>
        </w:rPr>
        <w:t>，如发现竞争性磋商响应文件内容与现行法律法规不相符的情况，以现行法律法规为准。</w:t>
      </w:r>
    </w:p>
    <w:p w14:paraId="37AB62F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14:paraId="4481D30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4C4F78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9CD53A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1BB847A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14:paraId="159F8231">
      <w:pPr>
        <w:keepNext/>
        <w:keepLines/>
        <w:spacing w:beforeLines="100" w:afterLines="50" w:line="360" w:lineRule="auto"/>
        <w:jc w:val="center"/>
        <w:outlineLvl w:val="2"/>
        <w:rPr>
          <w:rFonts w:hint="eastAsia" w:ascii="宋体" w:hAnsi="宋体" w:eastAsia="宋体" w:cs="宋体"/>
          <w:b/>
          <w:sz w:val="32"/>
          <w:szCs w:val="32"/>
          <w:highlight w:val="none"/>
        </w:rPr>
      </w:pPr>
      <w:bookmarkStart w:id="42" w:name="_Toc23389"/>
      <w:bookmarkStart w:id="43" w:name="_Toc28227"/>
      <w:bookmarkStart w:id="44" w:name="_Toc26653"/>
      <w:bookmarkStart w:id="45" w:name="_Toc32453"/>
      <w:bookmarkStart w:id="46" w:name="_Toc403077641"/>
      <w:bookmarkStart w:id="47" w:name="_Toc363474019"/>
      <w:bookmarkStart w:id="48" w:name="_Toc363473974"/>
      <w:r>
        <w:rPr>
          <w:rFonts w:hint="eastAsia" w:ascii="宋体" w:hAnsi="宋体" w:eastAsia="宋体" w:cs="宋体"/>
          <w:b/>
          <w:sz w:val="32"/>
          <w:szCs w:val="32"/>
          <w:highlight w:val="none"/>
        </w:rPr>
        <w:t>三.磋商响应文件的编制</w:t>
      </w:r>
      <w:bookmarkEnd w:id="42"/>
      <w:bookmarkEnd w:id="43"/>
      <w:bookmarkEnd w:id="44"/>
      <w:bookmarkEnd w:id="45"/>
      <w:bookmarkEnd w:id="46"/>
      <w:bookmarkEnd w:id="47"/>
      <w:bookmarkEnd w:id="48"/>
    </w:p>
    <w:p w14:paraId="464C7079">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14:paraId="6D7D5D67">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14:paraId="453C381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14:paraId="0EF970A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14:paraId="168C784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14:paraId="1B54E3F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14:paraId="3FABB4E4">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14:paraId="08430E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14:paraId="6D07C09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14:paraId="6703418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14:paraId="13DB247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14:paraId="083C6A9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8B12741">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14:paraId="3FA1C01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746CD853">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45FA3702">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14:paraId="7B20275F">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11.1磋商报价：磋商报价是供应商为完成本项目要求的全部服务内容最终价格的体现，包括但不限于苗木费、养护费、劳务费、管理费、税金等其他一切相关费用。</w:t>
      </w:r>
    </w:p>
    <w:p w14:paraId="31A42D6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14:paraId="39C77D1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14:paraId="24F1D2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14:paraId="30FD90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14:paraId="4DB5760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8365B6E">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14:paraId="0A9525F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14:paraId="104F1A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14:paraId="1D8E9ECC">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14:paraId="6E4B4C57">
      <w:pPr>
        <w:shd w:val="clear"/>
        <w:spacing w:line="360" w:lineRule="auto"/>
        <w:ind w:firstLine="482" w:firstLineChars="200"/>
        <w:rPr>
          <w:rFonts w:hint="eastAsia" w:ascii="宋体" w:hAnsi="宋体" w:eastAsia="宋体" w:cs="宋体"/>
          <w:b/>
          <w:szCs w:val="24"/>
          <w:highlight w:val="none"/>
        </w:rPr>
      </w:pPr>
      <w:r>
        <w:rPr>
          <w:rFonts w:hint="eastAsia" w:hAnsi="宋体" w:cs="宋体"/>
          <w:b/>
          <w:szCs w:val="24"/>
          <w:highlight w:val="none"/>
        </w:rPr>
        <w:t>无</w:t>
      </w:r>
    </w:p>
    <w:p w14:paraId="0FBCC50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14:paraId="1798D5B7">
      <w:pPr>
        <w:spacing w:line="360" w:lineRule="auto"/>
        <w:ind w:firstLine="480" w:firstLineChars="200"/>
        <w:rPr>
          <w:rFonts w:hint="eastAsia" w:ascii="宋体" w:hAnsi="宋体" w:eastAsia="宋体" w:cs="宋体"/>
          <w:szCs w:val="24"/>
          <w:highlight w:val="none"/>
        </w:rPr>
      </w:pPr>
      <w:bookmarkStart w:id="49"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9"/>
    </w:p>
    <w:p w14:paraId="2CF6CE9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9F480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14:paraId="5C4D93F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14:paraId="19514DA2">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为响应国家节约资源的政策要求，建议供应商进行双面打印。</w:t>
      </w:r>
    </w:p>
    <w:p w14:paraId="5556032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14:paraId="652CE673">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14:paraId="485F4A5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14:paraId="2991F43E">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14:paraId="3700284F">
      <w:pPr>
        <w:keepNext/>
        <w:keepLines/>
        <w:spacing w:beforeLines="100" w:afterLines="50" w:line="360" w:lineRule="auto"/>
        <w:jc w:val="center"/>
        <w:outlineLvl w:val="2"/>
        <w:rPr>
          <w:rFonts w:hint="eastAsia" w:ascii="宋体" w:hAnsi="宋体" w:eastAsia="宋体" w:cs="宋体"/>
          <w:b/>
          <w:sz w:val="32"/>
          <w:szCs w:val="32"/>
          <w:highlight w:val="none"/>
        </w:rPr>
      </w:pPr>
      <w:bookmarkStart w:id="50" w:name="_Toc18686"/>
      <w:bookmarkStart w:id="51" w:name="_Toc30804"/>
      <w:bookmarkStart w:id="52" w:name="_Toc20799"/>
      <w:bookmarkStart w:id="53" w:name="_Toc29318"/>
      <w:r>
        <w:rPr>
          <w:rFonts w:hint="eastAsia" w:ascii="宋体" w:hAnsi="宋体" w:eastAsia="宋体" w:cs="宋体"/>
          <w:b/>
          <w:sz w:val="32"/>
          <w:szCs w:val="32"/>
          <w:highlight w:val="none"/>
        </w:rPr>
        <w:t>四.竞争性磋商响应文件的递交</w:t>
      </w:r>
      <w:bookmarkEnd w:id="50"/>
      <w:bookmarkEnd w:id="51"/>
      <w:bookmarkEnd w:id="52"/>
      <w:bookmarkEnd w:id="53"/>
    </w:p>
    <w:p w14:paraId="58EE7AE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14:paraId="63FFDDC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21E8E06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14:paraId="7CAB5E5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14:paraId="2E33404E">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14:paraId="4D109FBC">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14:paraId="29094274">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3）正本或副本“请勿在＿＿＿＿＿(磋商时间)之前启封”。</w:t>
      </w:r>
    </w:p>
    <w:p w14:paraId="608270C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14:paraId="65EF5FA0">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14:paraId="5B1C17A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0049F3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6C8225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14:paraId="0B430CA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14:paraId="1299021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14:paraId="17E0D7EB">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14:paraId="186166D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15884D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14:paraId="6854837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14:paraId="6FE593B9">
      <w:pPr>
        <w:keepNext/>
        <w:keepLines/>
        <w:spacing w:beforeLines="100" w:afterLines="50" w:line="360" w:lineRule="auto"/>
        <w:jc w:val="center"/>
        <w:outlineLvl w:val="2"/>
        <w:rPr>
          <w:rFonts w:hint="eastAsia" w:ascii="宋体" w:hAnsi="宋体" w:eastAsia="宋体" w:cs="宋体"/>
          <w:b/>
          <w:sz w:val="32"/>
          <w:szCs w:val="32"/>
          <w:highlight w:val="none"/>
        </w:rPr>
      </w:pPr>
      <w:bookmarkStart w:id="54" w:name="_Toc19324"/>
      <w:bookmarkStart w:id="55" w:name="_Toc15436"/>
      <w:bookmarkStart w:id="56" w:name="_Toc403077643"/>
      <w:bookmarkStart w:id="57" w:name="_Toc363474021"/>
      <w:bookmarkStart w:id="58" w:name="_Toc23772"/>
      <w:bookmarkStart w:id="59" w:name="_Toc13669"/>
      <w:bookmarkStart w:id="60" w:name="_Toc363473976"/>
      <w:r>
        <w:rPr>
          <w:rFonts w:hint="eastAsia" w:ascii="宋体" w:hAnsi="宋体" w:eastAsia="宋体" w:cs="宋体"/>
          <w:b/>
          <w:sz w:val="32"/>
          <w:szCs w:val="32"/>
          <w:highlight w:val="none"/>
        </w:rPr>
        <w:t>五.磋商与评标</w:t>
      </w:r>
      <w:bookmarkEnd w:id="54"/>
      <w:bookmarkEnd w:id="55"/>
      <w:bookmarkEnd w:id="56"/>
      <w:bookmarkEnd w:id="57"/>
      <w:bookmarkEnd w:id="58"/>
      <w:bookmarkEnd w:id="59"/>
      <w:bookmarkEnd w:id="60"/>
    </w:p>
    <w:p w14:paraId="4D931AE4">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14:paraId="5A31C24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14:paraId="3A7FF362">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14:paraId="65320AE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14:paraId="30F8464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DE8237D">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14:paraId="19A0630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0520CAF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14:paraId="28D1402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00267D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14:paraId="508F777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14:paraId="108F2B5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FDB1B5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14:paraId="32FC0D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14:paraId="023106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14:paraId="456F82B5">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14:paraId="2E7E756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7C09D1CD">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14:paraId="050A811A">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14:paraId="16919702">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14:paraId="13449E11">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14:paraId="7F94D42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14:paraId="6DB8C47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692CFC6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14:paraId="6CCE819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14:paraId="1030608C">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14:paraId="19C28554">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14:paraId="373D6C7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14:paraId="5A6C3D7B">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14:paraId="333D02B3">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14:paraId="2DDD97F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14:paraId="59F7A119">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14:paraId="47B4C6E5">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3277B02B">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14:paraId="1355B3E2">
      <w:pPr>
        <w:pStyle w:val="18"/>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14:paraId="01378471">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14:paraId="2FE8306E">
      <w:pPr>
        <w:pStyle w:val="18"/>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14:paraId="4BACE88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14:paraId="6365F69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14:paraId="4E4593C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14:paraId="7A92C62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14:paraId="791A182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14:paraId="646D44D5">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14:paraId="3B1F18C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14:paraId="67857501">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14:paraId="62097F8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val="en-US" w:eastAsia="zh-CN"/>
        </w:rPr>
        <w:t>推荐</w:t>
      </w:r>
      <w:r>
        <w:rPr>
          <w:rFonts w:hint="eastAsia" w:ascii="宋体" w:hAnsi="宋体" w:eastAsia="宋体" w:cs="宋体"/>
          <w:szCs w:val="24"/>
          <w:highlight w:val="none"/>
        </w:rPr>
        <w:t>1-3名成交候选人。</w:t>
      </w:r>
    </w:p>
    <w:p w14:paraId="7CC0E20B">
      <w:pPr>
        <w:keepNext/>
        <w:keepLines/>
        <w:spacing w:beforeLines="100" w:afterLines="50" w:line="360" w:lineRule="auto"/>
        <w:jc w:val="center"/>
        <w:outlineLvl w:val="2"/>
        <w:rPr>
          <w:rFonts w:hint="eastAsia" w:ascii="宋体" w:hAnsi="宋体" w:eastAsia="宋体" w:cs="宋体"/>
          <w:b/>
          <w:sz w:val="32"/>
          <w:szCs w:val="32"/>
          <w:highlight w:val="none"/>
        </w:rPr>
      </w:pPr>
      <w:bookmarkStart w:id="61" w:name="_Toc11078"/>
      <w:bookmarkStart w:id="62" w:name="_Toc15100"/>
      <w:bookmarkStart w:id="63" w:name="_Toc12222"/>
      <w:bookmarkStart w:id="64" w:name="_Toc29146"/>
      <w:r>
        <w:rPr>
          <w:rFonts w:hint="eastAsia" w:ascii="宋体" w:hAnsi="宋体" w:eastAsia="宋体" w:cs="宋体"/>
          <w:b/>
          <w:sz w:val="32"/>
          <w:szCs w:val="32"/>
          <w:highlight w:val="none"/>
        </w:rPr>
        <w:t>六.成交、通知与签约</w:t>
      </w:r>
      <w:bookmarkEnd w:id="61"/>
      <w:bookmarkEnd w:id="62"/>
      <w:bookmarkEnd w:id="63"/>
      <w:bookmarkEnd w:id="64"/>
    </w:p>
    <w:p w14:paraId="23B024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14:paraId="5611C6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14:paraId="32FFEFE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14:paraId="5EA300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0BA0C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14:paraId="5B5C5A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14:paraId="759635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14:paraId="5627D4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14:paraId="4A0FC6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14:paraId="56D1D4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14:paraId="1D7D16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14:paraId="42FDF6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D57F3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14:paraId="4B9D2B9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14:paraId="66426F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w:t>
      </w:r>
      <w:r>
        <w:rPr>
          <w:rFonts w:hint="eastAsia" w:hAnsi="宋体" w:cs="宋体"/>
          <w:szCs w:val="24"/>
          <w:highlight w:val="none"/>
          <w:lang w:val="en-US" w:eastAsia="zh-CN"/>
        </w:rPr>
        <w:t>及</w:t>
      </w:r>
      <w:r>
        <w:rPr>
          <w:rFonts w:hint="eastAsia" w:ascii="宋体" w:hAnsi="宋体" w:eastAsia="宋体" w:cs="宋体"/>
          <w:szCs w:val="24"/>
          <w:highlight w:val="none"/>
        </w:rPr>
        <w:t>国家发展</w:t>
      </w:r>
      <w:r>
        <w:rPr>
          <w:rFonts w:hint="eastAsia" w:hAnsi="宋体" w:cs="宋体"/>
          <w:szCs w:val="24"/>
          <w:highlight w:val="none"/>
          <w:lang w:val="en-US" w:eastAsia="zh-CN"/>
        </w:rPr>
        <w:t>和</w:t>
      </w:r>
      <w:r>
        <w:rPr>
          <w:rFonts w:hint="eastAsia" w:ascii="宋体" w:hAnsi="宋体" w:eastAsia="宋体" w:cs="宋体"/>
          <w:szCs w:val="24"/>
          <w:highlight w:val="none"/>
        </w:rPr>
        <w:t>改革委员会办公厅颁发的《关于招标代理服务收费有关问题的通知》（发改办价格[2003]857号）的有关规定执行。</w:t>
      </w:r>
    </w:p>
    <w:p w14:paraId="70BAB5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14:paraId="4E7729C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14:paraId="616C05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1、</w:t>
      </w:r>
      <w:r>
        <w:rPr>
          <w:rFonts w:hint="eastAsia" w:ascii="宋体" w:hAnsi="宋体" w:eastAsia="宋体" w:cs="宋体"/>
          <w:szCs w:val="24"/>
          <w:highlight w:val="none"/>
          <w:lang w:val="en-US" w:eastAsia="zh-CN"/>
        </w:rPr>
        <w:t>采购代理机构开户名称：陕西海源广合项目管理有限公司</w:t>
      </w:r>
    </w:p>
    <w:p w14:paraId="20B18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2、</w:t>
      </w:r>
      <w:r>
        <w:rPr>
          <w:rFonts w:hint="eastAsia" w:ascii="宋体" w:hAnsi="宋体" w:eastAsia="宋体" w:cs="宋体"/>
          <w:szCs w:val="24"/>
          <w:highlight w:val="none"/>
          <w:lang w:val="en-US" w:eastAsia="zh-CN"/>
        </w:rPr>
        <w:t>开户行名称：中国建设银行股份有限公司西安凤城六路支行</w:t>
      </w:r>
    </w:p>
    <w:p w14:paraId="5F11DC9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lang w:val="en-US" w:eastAsia="zh-CN"/>
        </w:rPr>
      </w:pP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账号：61050193020000001969</w:t>
      </w:r>
    </w:p>
    <w:p w14:paraId="26C435A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Cs w:val="24"/>
          <w:highlight w:val="none"/>
        </w:rPr>
      </w:pPr>
      <w:r>
        <w:rPr>
          <w:rFonts w:hint="eastAsia" w:hAnsi="宋体" w:cs="宋体"/>
          <w:b/>
          <w:bCs/>
          <w:szCs w:val="24"/>
          <w:highlight w:val="none"/>
          <w:lang w:val="en-US" w:eastAsia="zh-CN"/>
        </w:rPr>
        <w:t>30.</w:t>
      </w:r>
      <w:r>
        <w:rPr>
          <w:rFonts w:hint="eastAsia" w:ascii="宋体" w:hAnsi="宋体" w:eastAsia="宋体" w:cs="宋体"/>
          <w:b/>
          <w:bCs/>
          <w:szCs w:val="24"/>
          <w:highlight w:val="none"/>
        </w:rPr>
        <w:t>质疑</w:t>
      </w:r>
    </w:p>
    <w:p w14:paraId="2242ADCE">
      <w:pPr>
        <w:keepNext w:val="0"/>
        <w:keepLines w:val="0"/>
        <w:pageBreakBefore w:val="0"/>
        <w:kinsoku/>
        <w:wordWrap/>
        <w:overflowPunct/>
        <w:topLinePunct w:val="0"/>
        <w:autoSpaceDE/>
        <w:autoSpaceDN/>
        <w:bidi w:val="0"/>
        <w:adjustRightInd/>
        <w:snapToGrid/>
        <w:spacing w:line="360" w:lineRule="auto"/>
        <w:ind w:right="12" w:firstLine="480"/>
        <w:textAlignment w:val="auto"/>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6BF3D115">
      <w:pPr>
        <w:keepNext w:val="0"/>
        <w:keepLines w:val="0"/>
        <w:pageBreakBefore w:val="0"/>
        <w:kinsoku/>
        <w:wordWrap/>
        <w:overflowPunct/>
        <w:topLinePunct w:val="0"/>
        <w:autoSpaceDE/>
        <w:autoSpaceDN/>
        <w:bidi w:val="0"/>
        <w:adjustRightInd/>
        <w:snapToGrid/>
        <w:spacing w:line="360" w:lineRule="auto"/>
        <w:ind w:right="12" w:firstLine="480"/>
        <w:textAlignment w:val="auto"/>
        <w:rPr>
          <w:rStyle w:val="23"/>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14:paraId="2918C138">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75CCA9">
      <w:pPr>
        <w:keepNext w:val="0"/>
        <w:keepLines w:val="0"/>
        <w:pageBreakBefore w:val="0"/>
        <w:kinsoku/>
        <w:wordWrap/>
        <w:overflowPunct/>
        <w:topLinePunct w:val="0"/>
        <w:autoSpaceDE/>
        <w:autoSpaceDN/>
        <w:bidi w:val="0"/>
        <w:adjustRightInd/>
        <w:snapToGrid/>
        <w:spacing w:line="360" w:lineRule="auto"/>
        <w:ind w:left="3" w:firstLine="518" w:firstLineChars="216"/>
        <w:textAlignment w:val="auto"/>
        <w:rPr>
          <w:rStyle w:val="23"/>
          <w:rFonts w:hint="eastAsia" w:ascii="宋体" w:hAnsi="宋体" w:eastAsia="宋体" w:cs="宋体"/>
          <w:b w:val="0"/>
          <w:szCs w:val="24"/>
          <w:highlight w:val="none"/>
          <w:shd w:val="clear" w:color="auto" w:fill="FFFFFF"/>
        </w:rPr>
      </w:pPr>
      <w:r>
        <w:rPr>
          <w:rStyle w:val="23"/>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14:paraId="286CFD8C">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14:paraId="53448DFF">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14:paraId="1ECD5096">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14:paraId="5551EAD4">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14:paraId="58CC7D7D">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30.5.4事实依据；</w:t>
      </w:r>
    </w:p>
    <w:p w14:paraId="67FD1DE4">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14:paraId="5313F232">
      <w:pPr>
        <w:keepNext w:val="0"/>
        <w:keepLines w:val="0"/>
        <w:pageBreakBefore w:val="0"/>
        <w:kinsoku/>
        <w:wordWrap/>
        <w:overflowPunct/>
        <w:topLinePunct w:val="0"/>
        <w:autoSpaceDE/>
        <w:autoSpaceDN/>
        <w:bidi w:val="0"/>
        <w:adjustRightInd/>
        <w:snapToGrid/>
        <w:spacing w:line="360" w:lineRule="auto"/>
        <w:ind w:right="12" w:firstLine="480" w:firstLineChars="200"/>
        <w:textAlignment w:val="auto"/>
        <w:rPr>
          <w:rStyle w:val="23"/>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14:paraId="44CE3E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14:paraId="43C321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14:paraId="5467BA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14:paraId="0972F2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30.6.3未在法定期限内提出质疑的；</w:t>
      </w:r>
    </w:p>
    <w:p w14:paraId="4F2B2F7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14:paraId="0FC217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30.6.5应当提交授权书而未提交的；</w:t>
      </w:r>
    </w:p>
    <w:p w14:paraId="5877C3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30.6.6以非法手段取得证据、材料的；</w:t>
      </w:r>
    </w:p>
    <w:p w14:paraId="49E8B6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14:paraId="7A9CAB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14:paraId="75E3A146">
      <w:pPr>
        <w:keepNext w:val="0"/>
        <w:keepLines w:val="0"/>
        <w:pageBreakBefore w:val="0"/>
        <w:kinsoku/>
        <w:wordWrap/>
        <w:overflowPunct/>
        <w:topLinePunct w:val="0"/>
        <w:autoSpaceDE/>
        <w:autoSpaceDN/>
        <w:bidi w:val="0"/>
        <w:adjustRightInd/>
        <w:snapToGrid/>
        <w:spacing w:line="360" w:lineRule="auto"/>
        <w:ind w:right="12"/>
        <w:textAlignment w:val="auto"/>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14:paraId="67422B9D">
      <w:pPr>
        <w:pStyle w:val="25"/>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14:paraId="58EABD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Cs w:val="24"/>
          <w:highlight w:val="none"/>
        </w:rPr>
      </w:pPr>
      <w:r>
        <w:rPr>
          <w:rFonts w:hint="eastAsia" w:ascii="宋体" w:hAnsi="宋体" w:eastAsia="宋体" w:cs="宋体"/>
          <w:b/>
          <w:szCs w:val="24"/>
          <w:highlight w:val="none"/>
        </w:rPr>
        <w:t>31.其他</w:t>
      </w:r>
    </w:p>
    <w:p w14:paraId="7D2F3F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04C44C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1D6266">
      <w:pPr>
        <w:pStyle w:val="2"/>
        <w:numPr>
          <w:ilvl w:val="0"/>
          <w:numId w:val="4"/>
        </w:numPr>
        <w:jc w:val="center"/>
        <w:outlineLvl w:val="0"/>
        <w:rPr>
          <w:rFonts w:hint="eastAsia" w:ascii="宋体" w:hAnsi="宋体" w:eastAsia="宋体" w:cs="宋体"/>
          <w:highlight w:val="none"/>
        </w:rPr>
      </w:pPr>
      <w:bookmarkStart w:id="65" w:name="_Toc403077645"/>
      <w:bookmarkStart w:id="66" w:name="_Toc423973074"/>
      <w:bookmarkStart w:id="67" w:name="_Toc25783"/>
      <w:bookmarkStart w:id="68" w:name="_Toc363474023"/>
      <w:r>
        <w:rPr>
          <w:rFonts w:hint="eastAsia" w:ascii="宋体" w:hAnsi="宋体" w:eastAsia="宋体" w:cs="宋体"/>
          <w:bCs/>
          <w:sz w:val="36"/>
          <w:szCs w:val="36"/>
          <w:highlight w:val="none"/>
        </w:rPr>
        <w:br w:type="page"/>
      </w:r>
      <w:bookmarkStart w:id="69"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70" w:name="_Toc6488"/>
      <w:r>
        <w:rPr>
          <w:rFonts w:hint="eastAsia" w:ascii="宋体" w:hAnsi="宋体" w:eastAsia="宋体" w:cs="宋体"/>
          <w:bCs/>
          <w:sz w:val="36"/>
          <w:szCs w:val="36"/>
          <w:highlight w:val="none"/>
        </w:rPr>
        <w:t>评审方法</w:t>
      </w:r>
      <w:bookmarkEnd w:id="69"/>
      <w:bookmarkEnd w:id="70"/>
    </w:p>
    <w:p w14:paraId="6FF53884">
      <w:pPr>
        <w:spacing w:line="360" w:lineRule="auto"/>
        <w:outlineLvl w:val="1"/>
        <w:rPr>
          <w:rFonts w:hint="eastAsia" w:ascii="宋体" w:hAnsi="宋体" w:eastAsia="宋体" w:cs="宋体"/>
          <w:b/>
          <w:szCs w:val="24"/>
          <w:highlight w:val="none"/>
        </w:rPr>
      </w:pPr>
      <w:bookmarkStart w:id="71" w:name="_Toc26649"/>
      <w:bookmarkStart w:id="72" w:name="_Toc28665"/>
      <w:bookmarkStart w:id="73" w:name="_Toc32051"/>
      <w:bookmarkStart w:id="74" w:name="_Toc11769"/>
      <w:bookmarkStart w:id="75" w:name="_Toc5995"/>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71"/>
      <w:bookmarkEnd w:id="72"/>
      <w:bookmarkEnd w:id="73"/>
      <w:bookmarkEnd w:id="74"/>
      <w:bookmarkEnd w:id="75"/>
    </w:p>
    <w:p w14:paraId="43D71B08">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5EEF41FD">
      <w:pPr>
        <w:spacing w:line="500" w:lineRule="exact"/>
        <w:outlineLvl w:val="1"/>
        <w:rPr>
          <w:rFonts w:hint="eastAsia" w:ascii="宋体" w:hAnsi="宋体" w:eastAsia="宋体" w:cs="宋体"/>
          <w:b/>
          <w:spacing w:val="4"/>
          <w:szCs w:val="24"/>
          <w:highlight w:val="none"/>
        </w:rPr>
      </w:pPr>
      <w:bookmarkStart w:id="76" w:name="_Toc21304"/>
      <w:bookmarkStart w:id="77" w:name="_Toc20625"/>
      <w:bookmarkStart w:id="78" w:name="_Toc2374"/>
      <w:bookmarkStart w:id="79" w:name="_Toc27615"/>
      <w:bookmarkStart w:id="80" w:name="_Toc27172"/>
      <w:r>
        <w:rPr>
          <w:rFonts w:hint="eastAsia" w:ascii="宋体" w:hAnsi="宋体" w:eastAsia="宋体" w:cs="宋体"/>
          <w:b/>
          <w:spacing w:val="4"/>
          <w:szCs w:val="24"/>
          <w:highlight w:val="none"/>
        </w:rPr>
        <w:t>二、评审程序</w:t>
      </w:r>
      <w:bookmarkEnd w:id="76"/>
      <w:bookmarkEnd w:id="77"/>
      <w:bookmarkEnd w:id="78"/>
      <w:bookmarkEnd w:id="79"/>
      <w:bookmarkEnd w:id="80"/>
    </w:p>
    <w:p w14:paraId="24880F4D">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14:paraId="41C572C7">
      <w:pPr>
        <w:numPr>
          <w:ilvl w:val="0"/>
          <w:numId w:val="5"/>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14:paraId="654AF11B">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7F89CAD8">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14:paraId="5DB3785C">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14:paraId="7C825CC6">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14:paraId="7B554939">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2A57B38">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14:paraId="4025EF25">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14:paraId="74B8EB88">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14:paraId="111D4574">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7918165">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14:paraId="7CBFC643">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72CBA15F">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5CBAB7D8">
      <w:pPr>
        <w:rPr>
          <w:rFonts w:hint="eastAsia" w:ascii="宋体" w:hAnsi="宋体" w:eastAsia="宋体" w:cs="宋体"/>
          <w:highlight w:val="none"/>
        </w:rPr>
      </w:pPr>
    </w:p>
    <w:p w14:paraId="6419B710">
      <w:pPr>
        <w:pStyle w:val="8"/>
        <w:rPr>
          <w:rFonts w:hint="eastAsia" w:ascii="宋体" w:hAnsi="宋体" w:eastAsia="宋体" w:cs="宋体"/>
          <w:highlight w:val="none"/>
        </w:rPr>
      </w:pPr>
    </w:p>
    <w:p w14:paraId="74B91D3F">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81" w:name="_Toc28532"/>
      <w:bookmarkStart w:id="82" w:name="_Toc4223"/>
      <w:bookmarkStart w:id="83" w:name="_Toc29635"/>
      <w:bookmarkStart w:id="84" w:name="_Toc5106"/>
      <w:bookmarkStart w:id="85" w:name="_Toc13330"/>
      <w:r>
        <w:rPr>
          <w:rFonts w:hint="eastAsia" w:hAnsi="宋体" w:cs="宋体"/>
          <w:b/>
          <w:spacing w:val="4"/>
          <w:szCs w:val="24"/>
          <w:highlight w:val="none"/>
          <w:lang w:val="en-US" w:eastAsia="zh-CN"/>
        </w:rPr>
        <w:t>三</w:t>
      </w:r>
      <w:r>
        <w:rPr>
          <w:rFonts w:hint="eastAsia" w:ascii="宋体" w:hAnsi="宋体" w:eastAsia="宋体" w:cs="宋体"/>
          <w:b/>
          <w:spacing w:val="4"/>
          <w:szCs w:val="24"/>
          <w:highlight w:val="none"/>
        </w:rPr>
        <w:t>、</w:t>
      </w:r>
      <w:r>
        <w:rPr>
          <w:rFonts w:hint="eastAsia" w:ascii="宋体" w:hAnsi="宋体" w:eastAsia="宋体" w:cs="宋体"/>
          <w:b/>
          <w:szCs w:val="24"/>
          <w:highlight w:val="none"/>
        </w:rPr>
        <w:t>评审要素和分值分解表</w:t>
      </w:r>
      <w:bookmarkEnd w:id="81"/>
      <w:bookmarkEnd w:id="82"/>
      <w:bookmarkEnd w:id="83"/>
      <w:bookmarkEnd w:id="84"/>
      <w:bookmarkEnd w:id="85"/>
    </w:p>
    <w:p w14:paraId="181F4183">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w:t>
      </w:r>
      <w:r>
        <w:rPr>
          <w:rFonts w:hint="eastAsia" w:hAnsi="宋体" w:cs="宋体"/>
          <w:szCs w:val="24"/>
          <w:highlight w:val="none"/>
          <w:lang w:val="en-US" w:eastAsia="zh-CN"/>
        </w:rPr>
        <w:t>各项评审要素等</w:t>
      </w:r>
      <w:r>
        <w:rPr>
          <w:rFonts w:hint="eastAsia" w:ascii="宋体" w:hAnsi="宋体" w:eastAsia="宋体" w:cs="宋体"/>
          <w:szCs w:val="24"/>
          <w:highlight w:val="none"/>
        </w:rPr>
        <w:t>方面进行评审并按照百分制进行赋分。</w:t>
      </w: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295"/>
        <w:gridCol w:w="1453"/>
        <w:gridCol w:w="5915"/>
      </w:tblGrid>
      <w:tr w14:paraId="117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3" w:type="pct"/>
            <w:vAlign w:val="center"/>
          </w:tcPr>
          <w:p w14:paraId="30D6A41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81" w:type="pct"/>
            <w:vAlign w:val="center"/>
          </w:tcPr>
          <w:p w14:paraId="42D782B0">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14:paraId="55FB0F6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764" w:type="pct"/>
            <w:vAlign w:val="center"/>
          </w:tcPr>
          <w:p w14:paraId="39AC276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3111" w:type="pct"/>
            <w:vAlign w:val="center"/>
          </w:tcPr>
          <w:p w14:paraId="7B92142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2D15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vAlign w:val="center"/>
          </w:tcPr>
          <w:p w14:paraId="0C22F170">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681" w:type="pct"/>
            <w:vMerge w:val="restart"/>
            <w:vAlign w:val="center"/>
          </w:tcPr>
          <w:p w14:paraId="5BB92C90">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（70分）</w:t>
            </w:r>
          </w:p>
        </w:tc>
        <w:tc>
          <w:tcPr>
            <w:tcW w:w="764" w:type="pct"/>
            <w:vAlign w:val="center"/>
          </w:tcPr>
          <w:p w14:paraId="3993F0EE">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①项目管理</w:t>
            </w:r>
            <w:r>
              <w:rPr>
                <w:rFonts w:hint="eastAsia" w:ascii="宋体" w:hAnsi="宋体" w:eastAsia="宋体" w:cs="宋体"/>
                <w:color w:val="auto"/>
                <w:sz w:val="24"/>
                <w:szCs w:val="24"/>
                <w:highlight w:val="none"/>
                <w:lang w:eastAsia="zh-CN"/>
              </w:rPr>
              <w:t>部门及人员</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tc>
        <w:tc>
          <w:tcPr>
            <w:tcW w:w="3111" w:type="pct"/>
            <w:vAlign w:val="center"/>
          </w:tcPr>
          <w:p w14:paraId="14CB62A8">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依据本项目成立项目管理部，项目部门技术人员配备合理，岗位职责清晰明确，满足本项目需求得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3（含3）</w:t>
            </w:r>
            <w:r>
              <w:rPr>
                <w:rFonts w:hint="eastAsia" w:ascii="宋体" w:hAnsi="宋体" w:eastAsia="宋体" w:cs="宋体"/>
                <w:color w:val="auto"/>
                <w:sz w:val="24"/>
                <w:szCs w:val="24"/>
                <w:highlight w:val="none"/>
                <w:lang w:eastAsia="zh-CN"/>
              </w:rPr>
              <w:t>分；项目部门技术人员配备较合理，岗位职责较为清晰明确，基本满足本项目需求得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2（含2）</w:t>
            </w:r>
            <w:r>
              <w:rPr>
                <w:rFonts w:hint="eastAsia" w:ascii="宋体" w:hAnsi="宋体" w:eastAsia="宋体" w:cs="宋体"/>
                <w:color w:val="auto"/>
                <w:sz w:val="24"/>
                <w:szCs w:val="24"/>
                <w:highlight w:val="none"/>
                <w:lang w:eastAsia="zh-CN"/>
              </w:rPr>
              <w:t>分；项目部门技术人员配备不合理，岗位职责较不清晰明确，不能满足本项目需求得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tc>
      </w:tr>
      <w:tr w14:paraId="164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3" w:type="pct"/>
            <w:vMerge w:val="continue"/>
            <w:vAlign w:val="center"/>
          </w:tcPr>
          <w:p w14:paraId="0AB3D469">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68E7BBA">
            <w:pPr>
              <w:spacing w:line="480" w:lineRule="exact"/>
              <w:jc w:val="center"/>
              <w:rPr>
                <w:rFonts w:hint="eastAsia" w:ascii="宋体" w:hAnsi="宋体" w:eastAsia="宋体" w:cs="宋体"/>
                <w:color w:val="auto"/>
                <w:sz w:val="24"/>
                <w:szCs w:val="24"/>
                <w:highlight w:val="none"/>
              </w:rPr>
            </w:pPr>
          </w:p>
        </w:tc>
        <w:tc>
          <w:tcPr>
            <w:tcW w:w="764" w:type="pct"/>
            <w:vAlign w:val="center"/>
          </w:tcPr>
          <w:p w14:paraId="1296888F">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w:t>
            </w:r>
          </w:p>
          <w:p w14:paraId="6A36E887">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111" w:type="pct"/>
            <w:vAlign w:val="center"/>
          </w:tcPr>
          <w:p w14:paraId="5569E89F">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针对本项目实际情况就工程内容编写</w:t>
            </w:r>
            <w:r>
              <w:rPr>
                <w:rFonts w:hint="eastAsia" w:hAnsi="宋体" w:cs="宋体"/>
                <w:color w:val="auto"/>
                <w:sz w:val="24"/>
                <w:szCs w:val="24"/>
                <w:highlight w:val="none"/>
                <w:lang w:val="en-US" w:eastAsia="zh-CN"/>
              </w:rPr>
              <w:t>绿化</w:t>
            </w:r>
            <w:r>
              <w:rPr>
                <w:rFonts w:hint="eastAsia" w:ascii="宋体" w:hAnsi="宋体" w:eastAsia="宋体" w:cs="宋体"/>
                <w:color w:val="auto"/>
                <w:sz w:val="24"/>
                <w:szCs w:val="24"/>
                <w:highlight w:val="none"/>
                <w:lang w:val="en-US" w:eastAsia="zh-CN"/>
              </w:rPr>
              <w:t>施工方案：</w:t>
            </w:r>
          </w:p>
          <w:p w14:paraId="26378360">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①方案切合实际、因地制宜、科学合理完全满足本项目要求10（含10）-15分；</w:t>
            </w:r>
          </w:p>
          <w:p w14:paraId="0B65AF4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②方案较为切合实际、因地制宜性一般、较为满足本项目要求5（含5）-10分；</w:t>
            </w:r>
          </w:p>
          <w:p w14:paraId="1DC6EDA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③方案不切合实际情况、因地制宜性差，不能满足本项目实际要求0-5分。</w:t>
            </w:r>
          </w:p>
        </w:tc>
      </w:tr>
      <w:tr w14:paraId="0BB7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443" w:type="pct"/>
            <w:vMerge w:val="continue"/>
            <w:vAlign w:val="center"/>
          </w:tcPr>
          <w:p w14:paraId="2ED3C77F">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7D2E39C3">
            <w:pPr>
              <w:spacing w:line="480" w:lineRule="exact"/>
              <w:jc w:val="center"/>
              <w:rPr>
                <w:rFonts w:hint="eastAsia" w:ascii="宋体" w:hAnsi="宋体" w:eastAsia="宋体" w:cs="宋体"/>
                <w:color w:val="auto"/>
                <w:sz w:val="24"/>
                <w:szCs w:val="24"/>
                <w:highlight w:val="none"/>
              </w:rPr>
            </w:pPr>
          </w:p>
        </w:tc>
        <w:tc>
          <w:tcPr>
            <w:tcW w:w="764" w:type="pct"/>
            <w:vAlign w:val="center"/>
          </w:tcPr>
          <w:p w14:paraId="446F80D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③工程进度计划与保障措施（</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3111" w:type="pct"/>
            <w:vAlign w:val="center"/>
          </w:tcPr>
          <w:p w14:paraId="561DD3F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进度计划及保障措施合理、完善，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354624CA">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1C693D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进度计划及保障措施一般，0～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2331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3" w:type="pct"/>
            <w:vMerge w:val="continue"/>
            <w:vAlign w:val="center"/>
          </w:tcPr>
          <w:p w14:paraId="5EF0D734">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7A68679">
            <w:pPr>
              <w:spacing w:line="480" w:lineRule="exact"/>
              <w:jc w:val="center"/>
              <w:rPr>
                <w:rFonts w:hint="eastAsia" w:ascii="宋体" w:hAnsi="宋体" w:eastAsia="宋体" w:cs="宋体"/>
                <w:color w:val="auto"/>
                <w:sz w:val="24"/>
                <w:szCs w:val="24"/>
                <w:highlight w:val="none"/>
              </w:rPr>
            </w:pPr>
          </w:p>
        </w:tc>
        <w:tc>
          <w:tcPr>
            <w:tcW w:w="764" w:type="pct"/>
            <w:vAlign w:val="center"/>
          </w:tcPr>
          <w:p w14:paraId="10EF0E2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④确保工程质量</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组织措施（</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2C0D1D96">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所述内容切合工程实际，</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措施切实可行，</w:t>
            </w:r>
            <w:r>
              <w:rPr>
                <w:rFonts w:hint="eastAsia" w:ascii="宋体" w:hAnsi="宋体" w:eastAsia="宋体" w:cs="宋体"/>
                <w:color w:val="auto"/>
                <w:sz w:val="24"/>
                <w:szCs w:val="24"/>
                <w:highlight w:val="none"/>
                <w:lang w:eastAsia="zh-CN"/>
              </w:rPr>
              <w:t>根据响应的不同程度赋分</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6分；</w:t>
            </w:r>
          </w:p>
          <w:p w14:paraId="21185BC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；质量</w:t>
            </w:r>
            <w:r>
              <w:rPr>
                <w:rFonts w:hint="eastAsia" w:ascii="宋体" w:hAnsi="宋体" w:eastAsia="宋体" w:cs="宋体"/>
                <w:color w:val="auto"/>
                <w:sz w:val="24"/>
                <w:szCs w:val="24"/>
                <w:highlight w:val="none"/>
              </w:rPr>
              <w:t>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538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3" w:type="pct"/>
            <w:vMerge w:val="continue"/>
            <w:vAlign w:val="center"/>
          </w:tcPr>
          <w:p w14:paraId="7F9BFC0F">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6AF8DACF">
            <w:pPr>
              <w:spacing w:line="480" w:lineRule="exact"/>
              <w:jc w:val="center"/>
              <w:rPr>
                <w:rFonts w:hint="eastAsia" w:ascii="宋体" w:hAnsi="宋体" w:eastAsia="宋体" w:cs="宋体"/>
                <w:color w:val="auto"/>
                <w:sz w:val="24"/>
                <w:szCs w:val="24"/>
                <w:highlight w:val="none"/>
              </w:rPr>
            </w:pPr>
          </w:p>
        </w:tc>
        <w:tc>
          <w:tcPr>
            <w:tcW w:w="764" w:type="pct"/>
            <w:vAlign w:val="center"/>
          </w:tcPr>
          <w:p w14:paraId="40E9517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⑤文明施工、环境保护管理体系与措施</w:t>
            </w:r>
          </w:p>
          <w:p w14:paraId="3CB98C34">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3F75FEEE">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文明施工、环境保障措施合理、完善，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A173A6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文明施工、环境保障措施基本合理、比较完善，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0C005F6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文明施工、环境保障措施一般，0～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1E77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vAlign w:val="center"/>
          </w:tcPr>
          <w:p w14:paraId="254ABEA8">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0257E34F">
            <w:pPr>
              <w:spacing w:line="480" w:lineRule="exact"/>
              <w:jc w:val="center"/>
              <w:rPr>
                <w:rFonts w:hint="eastAsia" w:ascii="宋体" w:hAnsi="宋体" w:eastAsia="宋体" w:cs="宋体"/>
                <w:color w:val="auto"/>
                <w:sz w:val="24"/>
                <w:szCs w:val="24"/>
                <w:highlight w:val="none"/>
              </w:rPr>
            </w:pPr>
          </w:p>
        </w:tc>
        <w:tc>
          <w:tcPr>
            <w:tcW w:w="764" w:type="pct"/>
            <w:vAlign w:val="center"/>
          </w:tcPr>
          <w:p w14:paraId="47BD6DB6">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⑥主要机具、设备和劳动力配备情况（</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111" w:type="pct"/>
            <w:vAlign w:val="center"/>
          </w:tcPr>
          <w:p w14:paraId="0B1D86E6">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投入的主要机具、设备先进，劳动力配备</w:t>
            </w:r>
            <w:r>
              <w:rPr>
                <w:rFonts w:hint="eastAsia" w:ascii="宋体" w:hAnsi="宋体" w:eastAsia="宋体" w:cs="宋体"/>
                <w:color w:val="auto"/>
                <w:sz w:val="24"/>
                <w:szCs w:val="24"/>
                <w:highlight w:val="none"/>
                <w:lang w:eastAsia="zh-CN"/>
              </w:rPr>
              <w:t>情况充分、合理、完善计</w:t>
            </w:r>
            <w:r>
              <w:rPr>
                <w:rFonts w:hint="eastAsia" w:ascii="宋体" w:hAnsi="宋体" w:eastAsia="宋体" w:cs="宋体"/>
                <w:color w:val="auto"/>
                <w:sz w:val="24"/>
                <w:szCs w:val="24"/>
                <w:highlight w:val="none"/>
                <w:lang w:val="en-US" w:eastAsia="zh-CN"/>
              </w:rPr>
              <w:t>4（含4）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1FCFFF15">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情况基本合理、基本能够满足施工需求计</w:t>
            </w:r>
            <w:r>
              <w:rPr>
                <w:rFonts w:hint="eastAsia" w:ascii="宋体" w:hAnsi="宋体" w:eastAsia="宋体" w:cs="宋体"/>
                <w:color w:val="auto"/>
                <w:sz w:val="24"/>
                <w:szCs w:val="24"/>
                <w:highlight w:val="none"/>
                <w:lang w:val="en-US" w:eastAsia="zh-CN"/>
              </w:rPr>
              <w:t>2（含2）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p w14:paraId="7F22283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施工器具不够合理完善不能满足项目需求计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r>
      <w:tr w14:paraId="72D9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vAlign w:val="center"/>
          </w:tcPr>
          <w:p w14:paraId="0871E101">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0ADEC20D">
            <w:pPr>
              <w:spacing w:line="480" w:lineRule="exact"/>
              <w:jc w:val="center"/>
              <w:rPr>
                <w:rFonts w:hint="eastAsia" w:ascii="宋体" w:hAnsi="宋体" w:eastAsia="宋体" w:cs="宋体"/>
                <w:color w:val="auto"/>
                <w:sz w:val="24"/>
                <w:szCs w:val="24"/>
                <w:highlight w:val="none"/>
              </w:rPr>
            </w:pPr>
          </w:p>
        </w:tc>
        <w:tc>
          <w:tcPr>
            <w:tcW w:w="764" w:type="pct"/>
            <w:vAlign w:val="center"/>
          </w:tcPr>
          <w:p w14:paraId="033F1744">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⑦安全保障方案及应急措施</w:t>
            </w:r>
          </w:p>
          <w:p w14:paraId="2BD33297">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3111" w:type="pct"/>
            <w:vAlign w:val="center"/>
          </w:tcPr>
          <w:p w14:paraId="60646121">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保障方案、措施合理、完善，7～10分</w:t>
            </w:r>
          </w:p>
          <w:p w14:paraId="5D91170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保障方案、措施基本合理、比较完善，4～7分</w:t>
            </w:r>
          </w:p>
          <w:p w14:paraId="7E05F3EB">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保障方案、措施一般，0～4分；</w:t>
            </w:r>
          </w:p>
        </w:tc>
      </w:tr>
      <w:tr w14:paraId="51F2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3" w:type="pct"/>
            <w:vMerge w:val="continue"/>
            <w:vAlign w:val="center"/>
          </w:tcPr>
          <w:p w14:paraId="670E0B92">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48F005B4">
            <w:pPr>
              <w:spacing w:line="480" w:lineRule="exact"/>
              <w:jc w:val="center"/>
              <w:rPr>
                <w:rFonts w:hint="eastAsia" w:ascii="宋体" w:hAnsi="宋体" w:eastAsia="宋体" w:cs="宋体"/>
                <w:color w:val="auto"/>
                <w:sz w:val="24"/>
                <w:szCs w:val="24"/>
                <w:highlight w:val="none"/>
              </w:rPr>
            </w:pPr>
          </w:p>
        </w:tc>
        <w:tc>
          <w:tcPr>
            <w:tcW w:w="764" w:type="pct"/>
            <w:vAlign w:val="center"/>
          </w:tcPr>
          <w:p w14:paraId="4E2672BB">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w:t>
            </w:r>
            <w:r>
              <w:rPr>
                <w:rFonts w:hint="eastAsia"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承诺</w:t>
            </w:r>
          </w:p>
          <w:p w14:paraId="3D11011C">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915" w:type="dxa"/>
            <w:vAlign w:val="center"/>
          </w:tcPr>
          <w:p w14:paraId="1B1FBD89">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施工承诺：提供本项目的相关</w:t>
            </w:r>
            <w:r>
              <w:rPr>
                <w:rFonts w:hint="eastAsia" w:hAnsi="宋体" w:cs="宋体"/>
                <w:color w:val="auto"/>
                <w:sz w:val="24"/>
                <w:szCs w:val="24"/>
                <w:highlight w:val="none"/>
                <w:lang w:val="en-US" w:eastAsia="zh-CN"/>
              </w:rPr>
              <w:t>施工质量</w:t>
            </w:r>
            <w:r>
              <w:rPr>
                <w:rFonts w:hint="eastAsia" w:ascii="宋体" w:hAnsi="宋体" w:eastAsia="宋体" w:cs="宋体"/>
                <w:color w:val="auto"/>
                <w:sz w:val="24"/>
                <w:szCs w:val="24"/>
                <w:highlight w:val="none"/>
                <w:lang w:val="en-US" w:eastAsia="zh-CN"/>
              </w:rPr>
              <w:t>承诺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依据响应情况综合赋分。（0-5分）</w:t>
            </w:r>
          </w:p>
        </w:tc>
      </w:tr>
      <w:tr w14:paraId="3FA4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3" w:type="pct"/>
            <w:vMerge w:val="continue"/>
            <w:vAlign w:val="center"/>
          </w:tcPr>
          <w:p w14:paraId="2D6889CE">
            <w:pPr>
              <w:spacing w:line="480" w:lineRule="exact"/>
              <w:jc w:val="center"/>
              <w:rPr>
                <w:rFonts w:hint="eastAsia" w:ascii="宋体" w:hAnsi="宋体" w:eastAsia="宋体" w:cs="宋体"/>
                <w:color w:val="auto"/>
                <w:sz w:val="24"/>
                <w:szCs w:val="24"/>
                <w:highlight w:val="none"/>
              </w:rPr>
            </w:pPr>
          </w:p>
        </w:tc>
        <w:tc>
          <w:tcPr>
            <w:tcW w:w="681" w:type="pct"/>
            <w:vMerge w:val="continue"/>
            <w:vAlign w:val="center"/>
          </w:tcPr>
          <w:p w14:paraId="12F8F355">
            <w:pPr>
              <w:spacing w:line="480" w:lineRule="exact"/>
              <w:jc w:val="center"/>
              <w:rPr>
                <w:rFonts w:hint="eastAsia" w:ascii="宋体" w:hAnsi="宋体" w:eastAsia="宋体" w:cs="宋体"/>
                <w:color w:val="auto"/>
                <w:sz w:val="24"/>
                <w:szCs w:val="24"/>
                <w:highlight w:val="none"/>
              </w:rPr>
            </w:pPr>
          </w:p>
        </w:tc>
        <w:tc>
          <w:tcPr>
            <w:tcW w:w="764" w:type="pct"/>
            <w:vAlign w:val="center"/>
          </w:tcPr>
          <w:p w14:paraId="6760E8D4">
            <w:pPr>
              <w:spacing w:line="480" w:lineRule="exact"/>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⑨</w:t>
            </w:r>
            <w:r>
              <w:rPr>
                <w:rFonts w:hint="eastAsia" w:ascii="宋体" w:hAnsi="宋体" w:eastAsia="宋体" w:cs="宋体"/>
                <w:color w:val="auto"/>
                <w:sz w:val="24"/>
                <w:szCs w:val="24"/>
                <w:highlight w:val="none"/>
                <w:lang w:eastAsia="zh-CN"/>
              </w:rPr>
              <w:t>业绩</w:t>
            </w:r>
          </w:p>
          <w:p w14:paraId="2F3326CB">
            <w:pPr>
              <w:pStyle w:val="8"/>
              <w:jc w:val="center"/>
              <w:rPr>
                <w:rFonts w:hint="eastAsia"/>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10分</w:t>
            </w:r>
            <w:r>
              <w:rPr>
                <w:rFonts w:hint="eastAsia" w:ascii="宋体" w:hAnsi="宋体" w:cs="宋体"/>
                <w:color w:val="auto"/>
                <w:sz w:val="24"/>
                <w:szCs w:val="24"/>
                <w:highlight w:val="none"/>
                <w:lang w:eastAsia="zh-CN"/>
              </w:rPr>
              <w:t>）</w:t>
            </w:r>
          </w:p>
        </w:tc>
        <w:tc>
          <w:tcPr>
            <w:tcW w:w="5915" w:type="dxa"/>
            <w:vAlign w:val="center"/>
          </w:tcPr>
          <w:p w14:paraId="319A6514">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202</w:t>
            </w: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年以后得</w:t>
            </w:r>
            <w:r>
              <w:rPr>
                <w:rFonts w:hint="eastAsia" w:ascii="宋体" w:hAnsi="宋体" w:eastAsia="宋体" w:cs="宋体"/>
                <w:color w:val="auto"/>
                <w:sz w:val="24"/>
                <w:szCs w:val="24"/>
                <w:highlight w:val="none"/>
                <w:lang w:val="en-US" w:eastAsia="zh-CN"/>
              </w:rPr>
              <w:t>类似</w:t>
            </w: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业绩（业绩以合同复印件或中标通知书为依据）。每个业绩计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共10分。</w:t>
            </w:r>
          </w:p>
        </w:tc>
      </w:tr>
      <w:tr w14:paraId="780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Align w:val="center"/>
          </w:tcPr>
          <w:p w14:paraId="002A3DC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评分标准</w:t>
            </w:r>
          </w:p>
        </w:tc>
        <w:tc>
          <w:tcPr>
            <w:tcW w:w="681" w:type="pct"/>
            <w:vAlign w:val="center"/>
          </w:tcPr>
          <w:p w14:paraId="7A41034B">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64" w:type="pct"/>
            <w:vAlign w:val="center"/>
          </w:tcPr>
          <w:p w14:paraId="2774333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报价评分标准</w:t>
            </w:r>
          </w:p>
          <w:p w14:paraId="51C835B1">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3111" w:type="pct"/>
            <w:vAlign w:val="center"/>
          </w:tcPr>
          <w:p w14:paraId="05A56BD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w:t>
            </w:r>
            <w:r>
              <w:rPr>
                <w:rFonts w:hint="eastAsia" w:hAnsi="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文件，其</w:t>
            </w:r>
            <w:r>
              <w:rPr>
                <w:rFonts w:hint="eastAsia" w:hAnsi="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报价为有效</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w:t>
            </w:r>
          </w:p>
          <w:p w14:paraId="2DCA99B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基准价为全部最终报价的最低价，</w:t>
            </w:r>
            <w:r>
              <w:rPr>
                <w:rFonts w:hint="eastAsia" w:ascii="宋体" w:hAnsi="宋体" w:eastAsia="宋体" w:cs="宋体"/>
                <w:color w:val="auto"/>
                <w:sz w:val="24"/>
                <w:szCs w:val="24"/>
                <w:highlight w:val="none"/>
              </w:rPr>
              <w:t>有效最低报价为基准价得</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524161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的公式计算其得分。</w:t>
            </w:r>
          </w:p>
          <w:p w14:paraId="299CFBC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bl>
    <w:p w14:paraId="0429C36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14:paraId="77D205E5">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14:paraId="44FA5E01">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14:paraId="7D22354B">
      <w:pPr>
        <w:spacing w:line="460" w:lineRule="exact"/>
        <w:ind w:firstLine="496" w:firstLineChars="200"/>
        <w:rPr>
          <w:rFonts w:hint="eastAsia" w:ascii="宋体" w:hAnsi="宋体" w:eastAsia="宋体" w:cs="宋体"/>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14:paraId="49D8D0BF">
      <w:pPr>
        <w:pStyle w:val="16"/>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4493F43E">
      <w:pPr>
        <w:pStyle w:val="2"/>
        <w:jc w:val="center"/>
        <w:outlineLvl w:val="0"/>
        <w:rPr>
          <w:rFonts w:hint="eastAsia" w:ascii="宋体" w:hAnsi="宋体" w:eastAsia="宋体" w:cs="宋体"/>
          <w:bCs/>
          <w:sz w:val="36"/>
          <w:szCs w:val="36"/>
          <w:highlight w:val="none"/>
        </w:rPr>
      </w:pPr>
      <w:bookmarkStart w:id="86" w:name="_Toc10029"/>
      <w:bookmarkStart w:id="87" w:name="_Toc29755"/>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65"/>
      <w:bookmarkEnd w:id="66"/>
      <w:bookmarkEnd w:id="67"/>
      <w:bookmarkEnd w:id="86"/>
      <w:bookmarkEnd w:id="87"/>
    </w:p>
    <w:p w14:paraId="65A88BC8">
      <w:pPr>
        <w:tabs>
          <w:tab w:val="left" w:pos="210"/>
          <w:tab w:val="left" w:pos="525"/>
        </w:tabs>
        <w:spacing w:line="360" w:lineRule="auto"/>
        <w:jc w:val="center"/>
        <w:outlineLvl w:val="1"/>
        <w:rPr>
          <w:rFonts w:hint="eastAsia" w:ascii="宋体" w:hAnsi="宋体" w:eastAsia="宋体" w:cs="宋体"/>
          <w:sz w:val="32"/>
          <w:szCs w:val="32"/>
          <w:highlight w:val="none"/>
        </w:rPr>
      </w:pPr>
      <w:bookmarkStart w:id="88" w:name="_Toc21435"/>
      <w:bookmarkStart w:id="89" w:name="_Toc31473"/>
      <w:bookmarkStart w:id="90" w:name="_Toc3424"/>
      <w:bookmarkStart w:id="91" w:name="_Toc32476"/>
      <w:bookmarkStart w:id="92" w:name="_Toc23705"/>
      <w:r>
        <w:rPr>
          <w:rFonts w:hint="eastAsia" w:ascii="宋体" w:hAnsi="宋体" w:eastAsia="宋体" w:cs="宋体"/>
          <w:b/>
          <w:bCs/>
          <w:sz w:val="32"/>
          <w:szCs w:val="32"/>
          <w:highlight w:val="none"/>
        </w:rPr>
        <w:t>合同前附表</w:t>
      </w:r>
      <w:bookmarkEnd w:id="88"/>
      <w:bookmarkEnd w:id="89"/>
      <w:bookmarkEnd w:id="90"/>
      <w:bookmarkEnd w:id="91"/>
      <w:bookmarkEnd w:id="92"/>
    </w:p>
    <w:p w14:paraId="7E2D75E2">
      <w:pPr>
        <w:rPr>
          <w:rFonts w:hint="eastAsia" w:ascii="宋体" w:hAnsi="宋体" w:eastAsia="宋体" w:cs="宋体"/>
          <w:highlight w:val="none"/>
        </w:rPr>
      </w:pPr>
    </w:p>
    <w:p w14:paraId="448DE39E">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5855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14:paraId="456A5A9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14:paraId="332AC83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14:paraId="34C88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14:paraId="437C541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14:paraId="71169604">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szCs w:val="24"/>
                <w:highlight w:val="none"/>
                <w:lang w:eastAsia="zh-CN"/>
              </w:rPr>
              <w:t>柞水县林业局</w:t>
            </w:r>
          </w:p>
          <w:p w14:paraId="69538622">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szCs w:val="24"/>
                <w:highlight w:val="none"/>
                <w:lang w:eastAsia="zh-CN"/>
              </w:rPr>
              <w:t>柞水县乾佑街道办中街151号</w:t>
            </w:r>
          </w:p>
          <w:p w14:paraId="09CFCC7C">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柞水县2025年重点区域绿化补助项目</w:t>
            </w:r>
          </w:p>
          <w:p w14:paraId="1322F015">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14:paraId="02A4B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8" w:hRule="exact"/>
        </w:trPr>
        <w:tc>
          <w:tcPr>
            <w:tcW w:w="1171" w:type="dxa"/>
            <w:noWrap w:val="0"/>
            <w:vAlign w:val="center"/>
          </w:tcPr>
          <w:p w14:paraId="7895DAA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8181" w:type="dxa"/>
            <w:noWrap w:val="0"/>
            <w:vAlign w:val="center"/>
          </w:tcPr>
          <w:p w14:paraId="1CDD81EB">
            <w:pPr>
              <w:spacing w:line="360" w:lineRule="auto"/>
              <w:rPr>
                <w:rFonts w:hint="eastAsia"/>
                <w:b/>
                <w:bCs/>
                <w:color w:val="auto"/>
                <w:highlight w:val="none"/>
                <w:lang w:val="en-US" w:eastAsia="zh-CN"/>
              </w:rPr>
            </w:pPr>
            <w:r>
              <w:rPr>
                <w:rFonts w:hint="eastAsia"/>
                <w:b/>
                <w:bCs/>
                <w:color w:val="auto"/>
                <w:highlight w:val="none"/>
                <w:lang w:val="en-US" w:eastAsia="zh-CN"/>
              </w:rPr>
              <w:t>工期</w:t>
            </w:r>
            <w:r>
              <w:rPr>
                <w:rFonts w:hint="eastAsia" w:eastAsia="宋体"/>
                <w:b/>
                <w:bCs/>
                <w:color w:val="auto"/>
                <w:highlight w:val="none"/>
                <w:lang w:val="en-US" w:eastAsia="zh-CN"/>
              </w:rPr>
              <w:t>：</w:t>
            </w:r>
            <w:r>
              <w:rPr>
                <w:rFonts w:hint="eastAsia"/>
                <w:b/>
                <w:bCs/>
                <w:color w:val="auto"/>
                <w:highlight w:val="none"/>
                <w:lang w:val="en-US" w:eastAsia="zh-CN"/>
              </w:rPr>
              <w:t>自合同签订之日起30天；</w:t>
            </w:r>
          </w:p>
          <w:p w14:paraId="15D41E8E">
            <w:pPr>
              <w:spacing w:line="360" w:lineRule="auto"/>
              <w:rPr>
                <w:rFonts w:hint="default"/>
                <w:b/>
                <w:bCs/>
                <w:color w:val="auto"/>
                <w:highlight w:val="none"/>
                <w:lang w:val="en-US" w:eastAsia="zh-CN"/>
              </w:rPr>
            </w:pPr>
            <w:r>
              <w:rPr>
                <w:rFonts w:hint="eastAsia"/>
                <w:b/>
                <w:bCs/>
                <w:color w:val="auto"/>
                <w:highlight w:val="none"/>
                <w:lang w:val="en-US" w:eastAsia="zh-CN"/>
              </w:rPr>
              <w:t>抚育管护期：1年</w:t>
            </w:r>
          </w:p>
        </w:tc>
      </w:tr>
      <w:tr w14:paraId="7E2B2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exact"/>
        </w:trPr>
        <w:tc>
          <w:tcPr>
            <w:tcW w:w="1171" w:type="dxa"/>
            <w:noWrap w:val="0"/>
            <w:vAlign w:val="center"/>
          </w:tcPr>
          <w:p w14:paraId="3E352B51">
            <w:pPr>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3</w:t>
            </w:r>
          </w:p>
        </w:tc>
        <w:tc>
          <w:tcPr>
            <w:tcW w:w="8181" w:type="dxa"/>
            <w:noWrap w:val="0"/>
            <w:vAlign w:val="center"/>
          </w:tcPr>
          <w:p w14:paraId="29A239F2">
            <w:pPr>
              <w:spacing w:line="360" w:lineRule="auto"/>
              <w:rPr>
                <w:rFonts w:hint="default" w:hAnsi="Times New Roman" w:cs="Times New Roman"/>
                <w:highlight w:val="none"/>
                <w:lang w:val="en-US" w:eastAsia="zh-CN"/>
              </w:rPr>
            </w:pPr>
            <w:r>
              <w:rPr>
                <w:rFonts w:hint="eastAsia"/>
                <w:b/>
                <w:bCs/>
                <w:color w:val="auto"/>
                <w:szCs w:val="24"/>
                <w:highlight w:val="none"/>
              </w:rPr>
              <w:t>质量标准：</w:t>
            </w:r>
            <w:r>
              <w:rPr>
                <w:rFonts w:hint="eastAsia"/>
                <w:szCs w:val="24"/>
                <w:highlight w:val="none"/>
                <w:lang w:eastAsia="zh-CN"/>
              </w:rPr>
              <w:t>达到</w:t>
            </w:r>
            <w:r>
              <w:rPr>
                <w:rFonts w:hint="eastAsia"/>
                <w:szCs w:val="24"/>
                <w:highlight w:val="none"/>
              </w:rPr>
              <w:t>国家现行有关质量验收规范“合格”要求。</w:t>
            </w:r>
          </w:p>
        </w:tc>
      </w:tr>
      <w:tr w14:paraId="318C0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14:paraId="301BC9E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14:paraId="0F0683E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付款：</w:t>
            </w:r>
          </w:p>
          <w:p w14:paraId="616E2E84">
            <w:pPr>
              <w:spacing w:line="360" w:lineRule="auto"/>
              <w:rPr>
                <w:rFonts w:hAnsi="宋体"/>
                <w:color w:val="auto"/>
                <w:szCs w:val="24"/>
                <w:highlight w:val="none"/>
              </w:rPr>
            </w:pPr>
            <w:r>
              <w:rPr>
                <w:rFonts w:hint="eastAsia" w:hAnsi="宋体"/>
                <w:color w:val="auto"/>
                <w:szCs w:val="24"/>
                <w:highlight w:val="none"/>
              </w:rPr>
              <w:t>1.合同总价即成交价，磋商报价采用固定总价。成交报价</w:t>
            </w:r>
            <w:r>
              <w:rPr>
                <w:rFonts w:hint="eastAsia" w:hAnsi="宋体"/>
                <w:color w:val="auto"/>
                <w:highlight w:val="none"/>
              </w:rPr>
              <w:t>是磋商文件所确定的全部工程内容的价格体现</w:t>
            </w:r>
            <w:r>
              <w:rPr>
                <w:rFonts w:hint="eastAsia" w:hAnsi="宋体"/>
                <w:color w:val="auto"/>
                <w:szCs w:val="24"/>
                <w:highlight w:val="none"/>
              </w:rPr>
              <w:t>。任何有选择的报价将不予接受，按无效磋商响应。</w:t>
            </w:r>
          </w:p>
          <w:p w14:paraId="3AC76E56">
            <w:pPr>
              <w:spacing w:line="360" w:lineRule="auto"/>
              <w:rPr>
                <w:rFonts w:hAnsi="宋体"/>
                <w:color w:val="auto"/>
                <w:szCs w:val="24"/>
                <w:highlight w:val="none"/>
              </w:rPr>
            </w:pPr>
            <w:r>
              <w:rPr>
                <w:rFonts w:hint="eastAsia" w:hAnsi="宋体"/>
                <w:color w:val="auto"/>
                <w:szCs w:val="24"/>
                <w:highlight w:val="none"/>
              </w:rPr>
              <w:t>2.成交后合同总价不做调整，不再因为环境的变化和工程量的增减而变化，任何有选择的报价将不予接受。</w:t>
            </w:r>
          </w:p>
          <w:p w14:paraId="6920FCDC">
            <w:pPr>
              <w:spacing w:line="360" w:lineRule="auto"/>
              <w:rPr>
                <w:rFonts w:hAnsi="宋体"/>
                <w:color w:val="auto"/>
                <w:szCs w:val="24"/>
                <w:highlight w:val="none"/>
              </w:rPr>
            </w:pPr>
            <w:r>
              <w:rPr>
                <w:rFonts w:hint="eastAsia" w:hAnsi="宋体"/>
                <w:color w:val="auto"/>
                <w:szCs w:val="24"/>
                <w:highlight w:val="none"/>
              </w:rPr>
              <w:t>3.付款方式和程序：</w:t>
            </w:r>
          </w:p>
          <w:p w14:paraId="799EC319">
            <w:pPr>
              <w:spacing w:line="360" w:lineRule="auto"/>
              <w:rPr>
                <w:rFonts w:hAnsi="宋体"/>
                <w:color w:val="auto"/>
                <w:szCs w:val="24"/>
                <w:highlight w:val="none"/>
              </w:rPr>
            </w:pPr>
            <w:r>
              <w:rPr>
                <w:rFonts w:hint="eastAsia" w:hAnsi="宋体"/>
                <w:color w:val="auto"/>
                <w:szCs w:val="24"/>
                <w:highlight w:val="none"/>
              </w:rPr>
              <w:t>（1）结算方式：</w:t>
            </w:r>
          </w:p>
          <w:p w14:paraId="02913104">
            <w:pPr>
              <w:spacing w:line="360" w:lineRule="auto"/>
              <w:rPr>
                <w:rFonts w:hAnsi="宋体"/>
                <w:color w:val="auto"/>
                <w:szCs w:val="24"/>
                <w:highlight w:val="none"/>
              </w:rPr>
            </w:pPr>
            <w:r>
              <w:rPr>
                <w:rFonts w:hint="eastAsia" w:hAnsi="宋体"/>
                <w:color w:val="auto"/>
                <w:szCs w:val="24"/>
                <w:highlight w:val="none"/>
              </w:rPr>
              <w:t>由采购人负责结算，在付款前，成交供应商须开具全额发票给采购人。</w:t>
            </w:r>
          </w:p>
          <w:p w14:paraId="5C31288B">
            <w:pPr>
              <w:spacing w:line="360" w:lineRule="auto"/>
              <w:rPr>
                <w:rFonts w:hAnsi="宋体"/>
                <w:color w:val="auto"/>
                <w:szCs w:val="24"/>
                <w:highlight w:val="none"/>
              </w:rPr>
            </w:pPr>
            <w:r>
              <w:rPr>
                <w:rFonts w:hint="eastAsia" w:hAnsi="宋体"/>
                <w:color w:val="auto"/>
                <w:szCs w:val="24"/>
                <w:highlight w:val="none"/>
              </w:rPr>
              <w:t>（2）付款方式：</w:t>
            </w:r>
          </w:p>
          <w:p w14:paraId="61146096">
            <w:pPr>
              <w:spacing w:line="360" w:lineRule="auto"/>
              <w:rPr>
                <w:rFonts w:hAnsi="宋体"/>
                <w:color w:val="auto"/>
                <w:szCs w:val="24"/>
                <w:highlight w:val="none"/>
              </w:rPr>
            </w:pPr>
            <w:r>
              <w:rPr>
                <w:rFonts w:hint="eastAsia" w:hAnsi="宋体"/>
                <w:color w:val="auto"/>
                <w:szCs w:val="24"/>
                <w:highlight w:val="none"/>
                <w:lang w:val="en-US" w:eastAsia="zh-CN"/>
              </w:rPr>
              <w:t>2.1</w:t>
            </w:r>
            <w:r>
              <w:rPr>
                <w:rFonts w:hint="eastAsia" w:hAnsi="宋体"/>
                <w:color w:val="auto"/>
                <w:szCs w:val="24"/>
                <w:highlight w:val="none"/>
              </w:rPr>
              <w:t>银行转账，项目实施完成并通过验收后，由供应商提供票据等财务报账所需材料进行报账。</w:t>
            </w:r>
          </w:p>
          <w:p w14:paraId="2A03E5BD">
            <w:pPr>
              <w:spacing w:line="360" w:lineRule="auto"/>
              <w:rPr>
                <w:rFonts w:hint="eastAsia" w:ascii="宋体" w:hAnsi="宋体" w:eastAsia="宋体" w:cs="宋体"/>
                <w:szCs w:val="24"/>
                <w:highlight w:val="none"/>
              </w:rPr>
            </w:pPr>
            <w:r>
              <w:rPr>
                <w:rFonts w:hint="eastAsia" w:hAnsi="宋体"/>
                <w:color w:val="auto"/>
                <w:szCs w:val="24"/>
                <w:highlight w:val="none"/>
                <w:lang w:val="en-US" w:eastAsia="zh-CN"/>
              </w:rPr>
              <w:t>2.2</w:t>
            </w:r>
            <w:r>
              <w:rPr>
                <w:rFonts w:hint="eastAsia" w:hAnsi="宋体"/>
                <w:color w:val="auto"/>
                <w:szCs w:val="24"/>
                <w:highlight w:val="none"/>
              </w:rPr>
              <w:t>付款方式：：合同签订后工程开工支付30%预付款，施工结束经验收合格后支付60%的工程款，经过一个生长季节后经验收成活率达到90%以上后支付剩余10%工程款。（具体以合同签订为准）</w:t>
            </w:r>
          </w:p>
        </w:tc>
      </w:tr>
      <w:tr w14:paraId="0F89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6" w:hRule="atLeast"/>
        </w:trPr>
        <w:tc>
          <w:tcPr>
            <w:tcW w:w="1171" w:type="dxa"/>
            <w:noWrap w:val="0"/>
            <w:vAlign w:val="center"/>
          </w:tcPr>
          <w:p w14:paraId="796DA941">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14:paraId="25EEDCB7">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14:paraId="6A013123">
            <w:pPr>
              <w:spacing w:line="360" w:lineRule="auto"/>
              <w:rPr>
                <w:rFonts w:hint="eastAsia" w:hAnsi="宋体" w:cs="宋体"/>
                <w:szCs w:val="24"/>
                <w:highlight w:val="none"/>
              </w:rPr>
            </w:pPr>
            <w:r>
              <w:rPr>
                <w:rFonts w:hint="eastAsia" w:hAnsi="宋体" w:cs="宋体"/>
                <w:szCs w:val="24"/>
                <w:highlight w:val="none"/>
              </w:rPr>
              <w:t>1、所有工程须符合行业标准及相关规定；</w:t>
            </w:r>
          </w:p>
          <w:p w14:paraId="6E33D122">
            <w:pPr>
              <w:spacing w:line="360" w:lineRule="auto"/>
              <w:rPr>
                <w:rFonts w:hint="eastAsia" w:ascii="宋体" w:hAnsi="宋体" w:eastAsia="宋体" w:cs="宋体"/>
                <w:b/>
                <w:szCs w:val="24"/>
                <w:highlight w:val="none"/>
              </w:rPr>
            </w:pPr>
            <w:r>
              <w:rPr>
                <w:rFonts w:hint="eastAsia" w:hAnsi="宋体" w:cs="宋体"/>
                <w:szCs w:val="24"/>
                <w:highlight w:val="none"/>
              </w:rPr>
              <w:t>2、所有工程须符合国家有关规范和执行标准。</w:t>
            </w:r>
          </w:p>
        </w:tc>
      </w:tr>
      <w:tr w14:paraId="77B9D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14:paraId="395DF29A">
            <w:pPr>
              <w:spacing w:line="360" w:lineRule="auto"/>
              <w:jc w:val="center"/>
              <w:rPr>
                <w:rFonts w:hint="default" w:ascii="宋体" w:hAnsi="宋体" w:eastAsia="宋体" w:cs="宋体"/>
                <w:sz w:val="24"/>
                <w:szCs w:val="24"/>
                <w:highlight w:val="none"/>
                <w:lang w:val="en-US" w:eastAsia="zh-CN" w:bidi="ar-SA"/>
              </w:rPr>
            </w:pPr>
            <w:r>
              <w:rPr>
                <w:rFonts w:hint="eastAsia" w:hAnsi="宋体" w:cs="宋体"/>
                <w:szCs w:val="24"/>
                <w:highlight w:val="none"/>
                <w:lang w:val="en-US" w:eastAsia="zh-CN"/>
              </w:rPr>
              <w:t>6</w:t>
            </w:r>
          </w:p>
        </w:tc>
        <w:tc>
          <w:tcPr>
            <w:tcW w:w="8181" w:type="dxa"/>
            <w:noWrap w:val="0"/>
            <w:vAlign w:val="center"/>
          </w:tcPr>
          <w:p w14:paraId="1F61D4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14:paraId="69EB8070">
            <w:pPr>
              <w:spacing w:line="360" w:lineRule="auto"/>
              <w:ind w:firstLine="480" w:firstLineChars="200"/>
              <w:rPr>
                <w:rFonts w:hint="eastAsia" w:hAnsi="宋体" w:cs="宋体"/>
                <w:szCs w:val="24"/>
                <w:highlight w:val="none"/>
              </w:rPr>
            </w:pPr>
            <w:r>
              <w:rPr>
                <w:rFonts w:hint="eastAsia" w:hAnsi="宋体" w:cs="宋体"/>
                <w:szCs w:val="24"/>
                <w:highlight w:val="none"/>
              </w:rPr>
              <w:t>根据作业设计质量技术要求实地验收，不合格的面积必须扣除，规划范围外的不予验收。检查是否按作业设计要求全面完成施工内容，施工质量是否达到作业设计标准。验收由乙方提出验收申请，甲方组织技术人员进行现地验收。</w:t>
            </w:r>
          </w:p>
          <w:p w14:paraId="228A2478">
            <w:pPr>
              <w:spacing w:line="360" w:lineRule="auto"/>
              <w:ind w:firstLine="480" w:firstLineChars="200"/>
              <w:rPr>
                <w:rFonts w:hint="eastAsia" w:hAnsi="宋体" w:cs="宋体"/>
                <w:szCs w:val="24"/>
                <w:highlight w:val="none"/>
              </w:rPr>
            </w:pPr>
            <w:r>
              <w:rPr>
                <w:rFonts w:hint="eastAsia" w:hAnsi="宋体" w:cs="宋体"/>
                <w:szCs w:val="24"/>
                <w:highlight w:val="none"/>
              </w:rPr>
              <w:t>由</w:t>
            </w:r>
            <w:r>
              <w:rPr>
                <w:rFonts w:hint="eastAsia" w:hAnsi="宋体" w:cs="宋体"/>
                <w:szCs w:val="24"/>
                <w:highlight w:val="none"/>
                <w:lang w:eastAsia="zh-CN"/>
              </w:rPr>
              <w:t>采购人</w:t>
            </w:r>
            <w:r>
              <w:rPr>
                <w:rFonts w:hint="eastAsia" w:hAnsi="宋体" w:cs="宋体"/>
                <w:szCs w:val="24"/>
                <w:highlight w:val="none"/>
              </w:rPr>
              <w:t>和供应商共同对项目进行整体验收。其内容包括苗木质量、成活率、</w:t>
            </w:r>
            <w:r>
              <w:rPr>
                <w:rFonts w:hint="eastAsia" w:hAnsi="宋体" w:cs="宋体"/>
                <w:szCs w:val="24"/>
                <w:highlight w:val="none"/>
                <w:lang w:eastAsia="zh-CN"/>
              </w:rPr>
              <w:t>造林</w:t>
            </w:r>
            <w:r>
              <w:rPr>
                <w:rFonts w:hint="eastAsia" w:hAnsi="宋体" w:cs="宋体"/>
                <w:szCs w:val="24"/>
                <w:highlight w:val="none"/>
              </w:rPr>
              <w:t>施工是否达到现行国家有关验收规范“合格”标准、是否按照</w:t>
            </w:r>
            <w:r>
              <w:rPr>
                <w:rFonts w:hint="eastAsia" w:hAnsi="宋体" w:cs="宋体"/>
                <w:szCs w:val="24"/>
                <w:highlight w:val="none"/>
                <w:lang w:eastAsia="zh-CN"/>
              </w:rPr>
              <w:t>采购人</w:t>
            </w:r>
            <w:r>
              <w:rPr>
                <w:rFonts w:hint="eastAsia" w:hAnsi="宋体" w:cs="宋体"/>
                <w:szCs w:val="24"/>
                <w:highlight w:val="none"/>
              </w:rPr>
              <w:t>要求按时完工。</w:t>
            </w:r>
          </w:p>
          <w:p w14:paraId="672B2EC5">
            <w:pPr>
              <w:spacing w:line="360" w:lineRule="auto"/>
              <w:ind w:firstLine="480" w:firstLineChars="200"/>
              <w:rPr>
                <w:rFonts w:hint="eastAsia" w:hAnsi="宋体" w:cs="宋体"/>
                <w:szCs w:val="24"/>
                <w:highlight w:val="none"/>
              </w:rPr>
            </w:pPr>
            <w:r>
              <w:rPr>
                <w:rFonts w:hint="eastAsia" w:hAnsi="宋体" w:cs="宋体"/>
                <w:szCs w:val="24"/>
                <w:highlight w:val="none"/>
              </w:rPr>
              <w:t>1.所验各项内容最终验收达不到磋商文件要求和磋商响应文件承诺的，或在后续使用中发现</w:t>
            </w:r>
            <w:r>
              <w:rPr>
                <w:rFonts w:hint="eastAsia" w:hAnsi="宋体" w:cs="宋体"/>
                <w:szCs w:val="24"/>
                <w:highlight w:val="none"/>
                <w:lang w:eastAsia="zh-CN"/>
              </w:rPr>
              <w:t>采购人</w:t>
            </w:r>
            <w:r>
              <w:rPr>
                <w:rFonts w:hint="eastAsia" w:hAnsi="宋体" w:cs="宋体"/>
                <w:szCs w:val="24"/>
                <w:highlight w:val="none"/>
              </w:rPr>
              <w:t>不能容忍的缺陷等，将视为验收不合格，供应商应在采购人要求的时间内无条件整改及恢复。</w:t>
            </w:r>
          </w:p>
          <w:p w14:paraId="6AE7D99C">
            <w:pPr>
              <w:spacing w:line="360" w:lineRule="auto"/>
              <w:ind w:firstLine="480" w:firstLineChars="200"/>
              <w:rPr>
                <w:rFonts w:hint="eastAsia" w:hAnsi="宋体" w:cs="宋体"/>
                <w:szCs w:val="24"/>
                <w:highlight w:val="none"/>
              </w:rPr>
            </w:pPr>
            <w:r>
              <w:rPr>
                <w:rFonts w:hint="eastAsia" w:hAnsi="宋体" w:cs="宋体"/>
                <w:szCs w:val="24"/>
                <w:highlight w:val="none"/>
              </w:rPr>
              <w:t>2.若发现供应商有弄虚作假的，在磋商阶段故意或随意夸大技术能力、工程、服务质量的，采购人有权解除合同，并且要求供应商赔偿相关损失。</w:t>
            </w:r>
          </w:p>
          <w:p w14:paraId="22279D2B">
            <w:pPr>
              <w:spacing w:line="360" w:lineRule="auto"/>
              <w:ind w:firstLine="480" w:firstLineChars="200"/>
              <w:rPr>
                <w:rFonts w:hint="eastAsia" w:hAnsi="宋体" w:cs="宋体"/>
                <w:szCs w:val="24"/>
                <w:highlight w:val="none"/>
              </w:rPr>
            </w:pPr>
            <w:r>
              <w:rPr>
                <w:rFonts w:hint="eastAsia" w:hAnsi="宋体" w:cs="宋体"/>
                <w:szCs w:val="24"/>
                <w:highlight w:val="none"/>
              </w:rPr>
              <w:t>3.验收标准：按磋商文件、磋商响应文件及澄清函等技术指标进行验收。各项指标均应符合验收标准及要求。</w:t>
            </w:r>
          </w:p>
          <w:p w14:paraId="2E4F7ADC">
            <w:pPr>
              <w:spacing w:line="360" w:lineRule="auto"/>
              <w:ind w:firstLine="480" w:firstLineChars="200"/>
              <w:rPr>
                <w:rFonts w:hint="eastAsia" w:hAnsi="宋体" w:cs="宋体"/>
                <w:szCs w:val="24"/>
                <w:highlight w:val="none"/>
              </w:rPr>
            </w:pPr>
            <w:r>
              <w:rPr>
                <w:rFonts w:hint="eastAsia" w:hAnsi="宋体" w:cs="宋体"/>
                <w:szCs w:val="24"/>
                <w:highlight w:val="none"/>
              </w:rPr>
              <w:t>4.验收合格后，填写验收单，双方签字生效。</w:t>
            </w:r>
          </w:p>
          <w:p w14:paraId="2CA14EFE">
            <w:pPr>
              <w:spacing w:line="360" w:lineRule="auto"/>
              <w:ind w:firstLine="480" w:firstLineChars="200"/>
              <w:rPr>
                <w:rFonts w:hint="eastAsia" w:hAnsi="宋体" w:cs="宋体"/>
                <w:szCs w:val="24"/>
                <w:highlight w:val="none"/>
              </w:rPr>
            </w:pPr>
            <w:r>
              <w:rPr>
                <w:rFonts w:hint="eastAsia" w:hAnsi="宋体" w:cs="宋体"/>
                <w:szCs w:val="24"/>
                <w:highlight w:val="none"/>
              </w:rPr>
              <w:t>5.验收依据：</w:t>
            </w:r>
          </w:p>
          <w:p w14:paraId="4F3E3B70">
            <w:pPr>
              <w:spacing w:line="360" w:lineRule="auto"/>
              <w:ind w:firstLine="480" w:firstLineChars="200"/>
              <w:rPr>
                <w:rFonts w:hint="eastAsia" w:hAnsi="宋体" w:cs="宋体"/>
                <w:szCs w:val="24"/>
                <w:highlight w:val="none"/>
              </w:rPr>
            </w:pPr>
            <w:r>
              <w:rPr>
                <w:rFonts w:hint="eastAsia" w:hAnsi="宋体" w:cs="宋体"/>
                <w:szCs w:val="24"/>
                <w:highlight w:val="none"/>
              </w:rPr>
              <w:t>a)合同文本；</w:t>
            </w:r>
          </w:p>
          <w:p w14:paraId="3135AB97">
            <w:pPr>
              <w:spacing w:line="360" w:lineRule="auto"/>
              <w:ind w:firstLine="480" w:firstLineChars="200"/>
              <w:rPr>
                <w:rFonts w:hint="eastAsia" w:hAnsi="宋体" w:cs="宋体"/>
                <w:szCs w:val="24"/>
                <w:highlight w:val="none"/>
              </w:rPr>
            </w:pPr>
            <w:r>
              <w:rPr>
                <w:rFonts w:hint="eastAsia" w:hAnsi="宋体" w:cs="宋体"/>
                <w:szCs w:val="24"/>
                <w:highlight w:val="none"/>
              </w:rPr>
              <w:t>b)磋商文件及澄清函、磋商响应文件；</w:t>
            </w:r>
          </w:p>
          <w:p w14:paraId="62A02C3C">
            <w:pPr>
              <w:spacing w:line="360" w:lineRule="auto"/>
              <w:ind w:firstLine="480" w:firstLineChars="200"/>
              <w:rPr>
                <w:rFonts w:hint="eastAsia" w:hAnsi="宋体" w:cs="宋体"/>
                <w:szCs w:val="24"/>
                <w:highlight w:val="none"/>
              </w:rPr>
            </w:pPr>
            <w:r>
              <w:rPr>
                <w:rFonts w:hint="eastAsia" w:hAnsi="宋体" w:cs="宋体"/>
                <w:szCs w:val="24"/>
                <w:highlight w:val="none"/>
              </w:rPr>
              <w:t>c)国家和行业制定的相应的标准和规范；</w:t>
            </w:r>
          </w:p>
          <w:p w14:paraId="5A1F454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Cs w:val="24"/>
                <w:highlight w:val="none"/>
              </w:rPr>
              <w:t>d)验收清单。</w:t>
            </w:r>
          </w:p>
        </w:tc>
      </w:tr>
      <w:tr w14:paraId="654A3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14:paraId="2D0D517E">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7</w:t>
            </w:r>
          </w:p>
        </w:tc>
        <w:tc>
          <w:tcPr>
            <w:tcW w:w="8181" w:type="dxa"/>
            <w:noWrap w:val="0"/>
            <w:vAlign w:val="center"/>
          </w:tcPr>
          <w:p w14:paraId="25BFE2DF">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14:paraId="2871D2A9">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14:paraId="66A81AE1">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w:t>
            </w:r>
            <w:r>
              <w:rPr>
                <w:rFonts w:hint="eastAsia" w:hAnsi="宋体" w:cs="宋体"/>
                <w:szCs w:val="24"/>
                <w:highlight w:val="none"/>
                <w:lang w:val="en-US" w:eastAsia="zh-CN"/>
              </w:rPr>
              <w:t>中华人民共和国</w:t>
            </w:r>
            <w:r>
              <w:rPr>
                <w:rFonts w:hint="eastAsia" w:ascii="宋体" w:hAnsi="宋体" w:eastAsia="宋体" w:cs="宋体"/>
                <w:szCs w:val="24"/>
                <w:highlight w:val="none"/>
              </w:rPr>
              <w:t>政府采购法》及相关法律法规对服务商的违法行为进行相应的处罚。</w:t>
            </w:r>
          </w:p>
        </w:tc>
      </w:tr>
      <w:tr w14:paraId="4A926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16" w:hRule="atLeast"/>
        </w:trPr>
        <w:tc>
          <w:tcPr>
            <w:tcW w:w="1171" w:type="dxa"/>
            <w:noWrap w:val="0"/>
            <w:vAlign w:val="center"/>
          </w:tcPr>
          <w:p w14:paraId="7F90F6F1">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8</w:t>
            </w:r>
          </w:p>
        </w:tc>
        <w:tc>
          <w:tcPr>
            <w:tcW w:w="8181" w:type="dxa"/>
            <w:noWrap w:val="0"/>
            <w:vAlign w:val="center"/>
          </w:tcPr>
          <w:p w14:paraId="4D32C4D6">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14:paraId="25E9691A">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w:t>
            </w:r>
            <w:r>
              <w:rPr>
                <w:rFonts w:hint="eastAsia" w:hAnsi="宋体" w:cs="宋体"/>
                <w:szCs w:val="24"/>
                <w:highlight w:val="none"/>
                <w:lang w:val="en-US" w:eastAsia="zh-CN"/>
              </w:rPr>
              <w:t>二十五</w:t>
            </w:r>
            <w:r>
              <w:rPr>
                <w:rFonts w:hint="eastAsia" w:ascii="宋体" w:hAnsi="宋体" w:eastAsia="宋体" w:cs="宋体"/>
                <w:szCs w:val="24"/>
                <w:highlight w:val="none"/>
              </w:rPr>
              <w:t>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646FFCA">
            <w:pPr>
              <w:pStyle w:val="11"/>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A29F75E">
      <w:pPr>
        <w:rPr>
          <w:rFonts w:hint="eastAsia" w:ascii="宋体" w:hAnsi="宋体" w:eastAsia="宋体" w:cs="宋体"/>
          <w:sz w:val="32"/>
          <w:highlight w:val="none"/>
        </w:rPr>
      </w:pPr>
      <w:bookmarkStart w:id="93" w:name="_Toc8333"/>
      <w:bookmarkStart w:id="94" w:name="_Toc26595"/>
      <w:bookmarkStart w:id="95" w:name="_Toc423973075"/>
      <w:bookmarkStart w:id="96" w:name="_Toc31520"/>
      <w:bookmarkStart w:id="97" w:name="_Toc19199"/>
      <w:bookmarkStart w:id="98" w:name="_Toc29888"/>
      <w:bookmarkStart w:id="99" w:name="_Toc389582037"/>
      <w:bookmarkStart w:id="100" w:name="_Toc19246"/>
      <w:bookmarkStart w:id="101" w:name="_Toc4679"/>
      <w:r>
        <w:rPr>
          <w:rFonts w:hint="eastAsia" w:ascii="宋体" w:hAnsi="宋体" w:eastAsia="宋体" w:cs="宋体"/>
          <w:b/>
          <w:bCs/>
          <w:sz w:val="48"/>
          <w:szCs w:val="48"/>
          <w:highlight w:val="none"/>
        </w:rPr>
        <w:br w:type="page"/>
      </w:r>
    </w:p>
    <w:p w14:paraId="33B920DC">
      <w:pPr>
        <w:pStyle w:val="8"/>
        <w:rPr>
          <w:rFonts w:hint="eastAsia" w:ascii="宋体" w:hAnsi="宋体"/>
          <w:sz w:val="24"/>
          <w:highlight w:val="none"/>
        </w:rPr>
        <w:sectPr>
          <w:footerReference r:id="rId11" w:type="first"/>
          <w:footerReference r:id="rId10" w:type="default"/>
          <w:pgSz w:w="11906" w:h="16838"/>
          <w:pgMar w:top="1361" w:right="1304" w:bottom="1361" w:left="1304" w:header="851" w:footer="992" w:gutter="0"/>
          <w:pgNumType w:fmt="decimal" w:start="1"/>
          <w:cols w:space="720" w:num="1"/>
          <w:rtlGutter w:val="0"/>
          <w:docGrid w:type="lines" w:linePitch="312" w:charSpace="0"/>
        </w:sectPr>
      </w:pPr>
    </w:p>
    <w:p w14:paraId="5147DADF">
      <w:pPr>
        <w:jc w:val="center"/>
        <w:rPr>
          <w:rFonts w:hint="eastAsia"/>
          <w:b/>
          <w:color w:val="auto"/>
          <w:sz w:val="44"/>
          <w:szCs w:val="44"/>
          <w:highlight w:val="none"/>
        </w:rPr>
      </w:pPr>
      <w:bookmarkStart w:id="102" w:name="_Toc4254"/>
      <w:r>
        <w:rPr>
          <w:rFonts w:hint="eastAsia" w:ascii="华文仿宋" w:hAnsi="华文仿宋" w:eastAsia="华文仿宋" w:cs="华文仿宋"/>
          <w:b/>
          <w:color w:val="auto"/>
          <w:sz w:val="52"/>
          <w:szCs w:val="52"/>
          <w:highlight w:val="none"/>
          <w:lang w:eastAsia="zh-CN"/>
        </w:rPr>
        <w:t>柞水县2025年重点区域绿化补助项目</w:t>
      </w:r>
    </w:p>
    <w:p w14:paraId="09386616">
      <w:pPr>
        <w:jc w:val="center"/>
        <w:rPr>
          <w:rFonts w:hint="eastAsia"/>
          <w:b/>
          <w:color w:val="auto"/>
          <w:sz w:val="44"/>
          <w:szCs w:val="44"/>
          <w:highlight w:val="none"/>
        </w:rPr>
      </w:pPr>
      <w:r>
        <w:rPr>
          <w:rFonts w:hint="eastAsia"/>
          <w:b/>
          <w:color w:val="auto"/>
          <w:sz w:val="44"/>
          <w:szCs w:val="44"/>
          <w:highlight w:val="none"/>
        </w:rPr>
        <w:t>（示范文本）</w:t>
      </w:r>
    </w:p>
    <w:p w14:paraId="4520AE79">
      <w:pPr>
        <w:pStyle w:val="8"/>
        <w:rPr>
          <w:rFonts w:hint="eastAsia"/>
        </w:rPr>
      </w:pPr>
    </w:p>
    <w:p w14:paraId="69864959">
      <w:pPr>
        <w:shd w:val="clear"/>
        <w:rPr>
          <w:color w:val="000000"/>
          <w:highlight w:val="none"/>
        </w:rPr>
      </w:pPr>
      <w:r>
        <w:rPr>
          <w:rFonts w:hint="eastAsia" w:ascii="仿宋" w:hAnsi="仿宋" w:eastAsia="仿宋" w:cs="仿宋"/>
          <w:b/>
          <w:color w:val="000000"/>
          <w:szCs w:val="24"/>
          <w:highlight w:val="none"/>
        </w:rPr>
        <w:t>（本格式条款供双方签订合同参考，采购人可根据项目的实际情况增加条款和内容）</w:t>
      </w:r>
    </w:p>
    <w:p w14:paraId="2C997C06">
      <w:pPr>
        <w:jc w:val="center"/>
        <w:rPr>
          <w:rFonts w:hint="eastAsia"/>
          <w:color w:val="auto"/>
          <w:sz w:val="28"/>
          <w:szCs w:val="28"/>
          <w:highlight w:val="none"/>
        </w:rPr>
      </w:pPr>
    </w:p>
    <w:p w14:paraId="1B205463">
      <w:pPr>
        <w:jc w:val="center"/>
        <w:rPr>
          <w:rFonts w:hint="eastAsia"/>
          <w:color w:val="auto"/>
          <w:sz w:val="28"/>
          <w:szCs w:val="28"/>
          <w:highlight w:val="none"/>
        </w:rPr>
      </w:pPr>
    </w:p>
    <w:p w14:paraId="57DD29F1">
      <w:pPr>
        <w:rPr>
          <w:rFonts w:hint="eastAsia"/>
          <w:color w:val="auto"/>
          <w:sz w:val="28"/>
          <w:szCs w:val="28"/>
          <w:highlight w:val="none"/>
        </w:rPr>
      </w:pPr>
    </w:p>
    <w:p w14:paraId="25F1845D">
      <w:pPr>
        <w:rPr>
          <w:rFonts w:hint="eastAsia"/>
          <w:color w:val="auto"/>
          <w:sz w:val="28"/>
          <w:szCs w:val="28"/>
          <w:highlight w:val="none"/>
        </w:rPr>
      </w:pPr>
    </w:p>
    <w:p w14:paraId="2185029E">
      <w:pPr>
        <w:rPr>
          <w:rFonts w:hint="eastAsia"/>
          <w:color w:val="auto"/>
          <w:sz w:val="28"/>
          <w:szCs w:val="28"/>
          <w:highlight w:val="none"/>
        </w:rPr>
      </w:pPr>
    </w:p>
    <w:p w14:paraId="46D568FB">
      <w:pPr>
        <w:rPr>
          <w:rFonts w:hint="eastAsia"/>
          <w:color w:val="auto"/>
          <w:sz w:val="28"/>
          <w:szCs w:val="28"/>
          <w:highlight w:val="none"/>
        </w:rPr>
      </w:pPr>
    </w:p>
    <w:p w14:paraId="78D95D52">
      <w:pPr>
        <w:rPr>
          <w:rFonts w:hint="eastAsia"/>
          <w:color w:val="auto"/>
          <w:sz w:val="28"/>
          <w:szCs w:val="28"/>
          <w:highlight w:val="none"/>
        </w:rPr>
      </w:pPr>
    </w:p>
    <w:p w14:paraId="66CEBC75">
      <w:pPr>
        <w:rPr>
          <w:rFonts w:hint="eastAsia"/>
          <w:color w:val="auto"/>
          <w:sz w:val="28"/>
          <w:szCs w:val="28"/>
          <w:highlight w:val="none"/>
        </w:rPr>
      </w:pPr>
    </w:p>
    <w:p w14:paraId="0DA22DE0">
      <w:pPr>
        <w:rPr>
          <w:rFonts w:hint="eastAsia"/>
          <w:color w:val="auto"/>
          <w:sz w:val="28"/>
          <w:szCs w:val="28"/>
          <w:highlight w:val="none"/>
        </w:rPr>
      </w:pPr>
    </w:p>
    <w:p w14:paraId="2CCA8DAE">
      <w:pPr>
        <w:rPr>
          <w:rFonts w:hint="eastAsia"/>
          <w:color w:val="auto"/>
          <w:sz w:val="28"/>
          <w:szCs w:val="28"/>
          <w:highlight w:val="none"/>
        </w:rPr>
      </w:pPr>
    </w:p>
    <w:p w14:paraId="77827149">
      <w:pPr>
        <w:rPr>
          <w:rFonts w:hint="eastAsia"/>
          <w:color w:val="auto"/>
          <w:sz w:val="28"/>
          <w:szCs w:val="28"/>
          <w:highlight w:val="none"/>
        </w:rPr>
      </w:pPr>
    </w:p>
    <w:p w14:paraId="3C041955">
      <w:pPr>
        <w:rPr>
          <w:rFonts w:hint="eastAsia"/>
          <w:color w:val="auto"/>
          <w:sz w:val="28"/>
          <w:szCs w:val="28"/>
          <w:highlight w:val="none"/>
        </w:rPr>
      </w:pPr>
    </w:p>
    <w:p w14:paraId="23D695C1">
      <w:pPr>
        <w:rPr>
          <w:rFonts w:hint="eastAsia"/>
          <w:color w:val="auto"/>
          <w:sz w:val="28"/>
          <w:szCs w:val="28"/>
          <w:highlight w:val="none"/>
        </w:rPr>
      </w:pPr>
    </w:p>
    <w:p w14:paraId="3C488C6E">
      <w:pPr>
        <w:rPr>
          <w:rFonts w:hint="eastAsia"/>
          <w:color w:val="auto"/>
          <w:sz w:val="28"/>
          <w:szCs w:val="28"/>
          <w:highlight w:val="none"/>
        </w:rPr>
      </w:pPr>
    </w:p>
    <w:p w14:paraId="7B16C98A">
      <w:pPr>
        <w:shd w:val="clear"/>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甲方(</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"http://set2.mail.qq.com/cgi-bin/mail_spam?action=check_link&amp;spam=0&amp;url=http%3A%2F%2Fwww%2Ebaidu%2Ecom%2Fs%3Fwd%3D%25E9%2587%2587%25E8%25B4%25AD%25E5%258D%2595%26hl_tag%3Dtextlink%26tn%3DSE_hldp01350_v6v6zkg6"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采购人</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w:t>
      </w:r>
      <w:r>
        <w:rPr>
          <w:rFonts w:hint="eastAsia" w:ascii="仿宋" w:hAnsi="仿宋" w:eastAsia="仿宋" w:cs="仿宋"/>
          <w:spacing w:val="23"/>
          <w:sz w:val="28"/>
          <w:szCs w:val="28"/>
          <w:highlight w:val="none"/>
          <w:u w:val="single"/>
        </w:rPr>
        <w:t></w:t>
      </w:r>
    </w:p>
    <w:p w14:paraId="0A423C52">
      <w:pPr>
        <w:shd w:val="clear"/>
        <w:spacing w:line="360" w:lineRule="auto"/>
        <w:ind w:left="1285" w:hanging="960" w:hangingChars="400"/>
        <w:jc w:val="center"/>
        <w:rPr>
          <w:rFonts w:hint="eastAsia" w:ascii="仿宋" w:hAnsi="仿宋" w:eastAsia="仿宋" w:cs="仿宋"/>
          <w:spacing w:val="23"/>
          <w:sz w:val="28"/>
          <w:szCs w:val="28"/>
          <w:highlight w:val="none"/>
          <w:u w:val="singl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highlight w:val="none"/>
        </w:rPr>
        <w:fldChar w:fldCharType="separate"/>
      </w:r>
      <w:r>
        <w:rPr>
          <w:rFonts w:hint="eastAsia" w:ascii="仿宋" w:hAnsi="仿宋" w:eastAsia="仿宋" w:cs="仿宋"/>
          <w:b/>
          <w:spacing w:val="23"/>
          <w:sz w:val="32"/>
          <w:szCs w:val="32"/>
          <w:highlight w:val="none"/>
        </w:rPr>
        <w:t>乙方</w:t>
      </w:r>
      <w:r>
        <w:rPr>
          <w:rFonts w:hint="eastAsia" w:ascii="仿宋" w:hAnsi="仿宋" w:eastAsia="仿宋" w:cs="仿宋"/>
          <w:b/>
          <w:spacing w:val="23"/>
          <w:sz w:val="32"/>
          <w:szCs w:val="32"/>
          <w:highlight w:val="none"/>
        </w:rPr>
        <w:fldChar w:fldCharType="end"/>
      </w:r>
      <w:r>
        <w:rPr>
          <w:rFonts w:hint="eastAsia" w:ascii="仿宋" w:hAnsi="仿宋" w:eastAsia="仿宋" w:cs="仿宋"/>
          <w:b/>
          <w:spacing w:val="23"/>
          <w:sz w:val="32"/>
          <w:szCs w:val="32"/>
          <w:highlight w:val="none"/>
        </w:rPr>
        <w:t>(供应商)：</w:t>
      </w:r>
      <w:r>
        <w:rPr>
          <w:rFonts w:hint="eastAsia" w:ascii="仿宋" w:hAnsi="仿宋" w:eastAsia="仿宋" w:cs="仿宋"/>
          <w:spacing w:val="23"/>
          <w:sz w:val="28"/>
          <w:szCs w:val="28"/>
          <w:highlight w:val="none"/>
          <w:u w:val="single"/>
        </w:rPr>
        <w:t></w:t>
      </w:r>
    </w:p>
    <w:p w14:paraId="6AF07B9A">
      <w:pPr>
        <w:shd w:val="clear"/>
        <w:tabs>
          <w:tab w:val="left" w:pos="1995"/>
        </w:tabs>
        <w:spacing w:line="360" w:lineRule="auto"/>
        <w:ind w:left="1469" w:hanging="1469" w:hangingChars="400"/>
        <w:jc w:val="center"/>
        <w:rPr>
          <w:rFonts w:hint="eastAsia" w:ascii="仿宋" w:hAnsi="仿宋" w:eastAsia="仿宋" w:cs="仿宋"/>
          <w:b/>
          <w:spacing w:val="23"/>
          <w:sz w:val="32"/>
          <w:szCs w:val="32"/>
          <w:highlight w:val="none"/>
        </w:rPr>
      </w:pPr>
      <w:r>
        <w:rPr>
          <w:rFonts w:hint="eastAsia" w:ascii="仿宋" w:hAnsi="仿宋" w:eastAsia="仿宋" w:cs="仿宋"/>
          <w:b/>
          <w:spacing w:val="23"/>
          <w:sz w:val="32"/>
          <w:szCs w:val="32"/>
          <w:highlight w:val="none"/>
        </w:rPr>
        <w:t>签订时间：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年</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月</w:t>
      </w:r>
      <w:r>
        <w:rPr>
          <w:rFonts w:hint="eastAsia" w:ascii="仿宋" w:hAnsi="仿宋" w:eastAsia="仿宋" w:cs="仿宋"/>
          <w:spacing w:val="23"/>
          <w:sz w:val="28"/>
          <w:szCs w:val="28"/>
          <w:highlight w:val="none"/>
          <w:u w:val="single"/>
        </w:rPr>
        <w:t></w:t>
      </w:r>
      <w:r>
        <w:rPr>
          <w:rFonts w:hint="eastAsia" w:ascii="仿宋" w:hAnsi="仿宋" w:eastAsia="仿宋" w:cs="仿宋"/>
          <w:b/>
          <w:spacing w:val="23"/>
          <w:sz w:val="32"/>
          <w:szCs w:val="32"/>
          <w:highlight w:val="none"/>
        </w:rPr>
        <w:t>日</w:t>
      </w:r>
    </w:p>
    <w:p w14:paraId="7057B422">
      <w:pPr>
        <w:ind w:firstLine="1960" w:firstLineChars="700"/>
        <w:rPr>
          <w:rFonts w:hint="eastAsia"/>
          <w:color w:val="auto"/>
          <w:sz w:val="28"/>
          <w:szCs w:val="28"/>
          <w:highlight w:val="none"/>
          <w:u w:val="single"/>
        </w:rPr>
      </w:pPr>
    </w:p>
    <w:p w14:paraId="1FAB31BD">
      <w:pPr>
        <w:ind w:firstLine="1960" w:firstLineChars="700"/>
        <w:rPr>
          <w:rFonts w:hint="eastAsia"/>
          <w:color w:val="auto"/>
          <w:sz w:val="28"/>
          <w:szCs w:val="28"/>
          <w:highlight w:val="none"/>
          <w:u w:val="single"/>
        </w:rPr>
      </w:pPr>
    </w:p>
    <w:p w14:paraId="063B6345">
      <w:pPr>
        <w:pageBreakBefore/>
        <w:spacing w:after="120" w:afterLines="50" w:line="360" w:lineRule="auto"/>
        <w:jc w:val="center"/>
        <w:outlineLvl w:val="9"/>
        <w:rPr>
          <w:rFonts w:hint="eastAsia" w:hAnsi="宋体"/>
          <w:b/>
          <w:color w:val="auto"/>
          <w:sz w:val="32"/>
          <w:szCs w:val="32"/>
          <w:highlight w:val="none"/>
        </w:rPr>
      </w:pPr>
      <w:bookmarkStart w:id="103" w:name="_Toc826"/>
      <w:bookmarkStart w:id="104" w:name="_Toc11496"/>
      <w:bookmarkStart w:id="105" w:name="_Toc18407"/>
      <w:bookmarkStart w:id="106" w:name="_Toc27199"/>
      <w:r>
        <w:rPr>
          <w:rFonts w:hint="eastAsia" w:hAnsi="宋体"/>
          <w:b/>
          <w:color w:val="auto"/>
          <w:sz w:val="32"/>
          <w:szCs w:val="32"/>
          <w:highlight w:val="none"/>
        </w:rPr>
        <w:t>第一部分  协议书</w:t>
      </w:r>
      <w:bookmarkEnd w:id="103"/>
      <w:bookmarkEnd w:id="104"/>
      <w:bookmarkEnd w:id="105"/>
      <w:bookmarkEnd w:id="106"/>
    </w:p>
    <w:p w14:paraId="420313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14:paraId="282B53B7">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14:paraId="03732CB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w:t>
      </w:r>
      <w:r>
        <w:rPr>
          <w:rFonts w:hint="eastAsia" w:hAnsi="宋体" w:cs="宋体"/>
          <w:color w:val="auto"/>
          <w:sz w:val="24"/>
          <w:szCs w:val="24"/>
          <w:highlight w:val="none"/>
          <w:lang w:val="en-US" w:eastAsia="zh-CN"/>
        </w:rPr>
        <w:t>民法典</w:t>
      </w:r>
      <w:r>
        <w:rPr>
          <w:rFonts w:hint="eastAsia" w:ascii="宋体" w:hAnsi="宋体" w:eastAsia="宋体" w:cs="宋体"/>
          <w:color w:val="auto"/>
          <w:sz w:val="24"/>
          <w:szCs w:val="24"/>
          <w:highlight w:val="none"/>
        </w:rPr>
        <w:t xml:space="preserve">》、《中华人民共和国建筑法》及其他有关法律、行政法规，遵循平等、自愿、公平和诚实信用的原则，双方就本建设工程施工事项协商一致，订立本合同。 </w:t>
      </w:r>
    </w:p>
    <w:p w14:paraId="32DE5E46">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1E665AA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14:paraId="361A0E4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14:paraId="2BAE772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 xml:space="preserve">                                                          </w:t>
      </w:r>
    </w:p>
    <w:p w14:paraId="7DD576B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二、工程承包范围 </w:t>
      </w:r>
    </w:p>
    <w:p w14:paraId="061BBA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 xml:space="preserve">                                                          </w:t>
      </w:r>
    </w:p>
    <w:p w14:paraId="003D649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三、合同工期</w:t>
      </w:r>
    </w:p>
    <w:p w14:paraId="22F03CC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rPr>
        <w:t xml:space="preserve">           </w:t>
      </w:r>
    </w:p>
    <w:p w14:paraId="5F0B79D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rPr>
        <w:t xml:space="preserve">           </w:t>
      </w:r>
    </w:p>
    <w:p w14:paraId="66C890D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14:paraId="62E7FF9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四、质量标准</w:t>
      </w:r>
    </w:p>
    <w:p w14:paraId="14C594F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r>
        <w:rPr>
          <w:rFonts w:hint="eastAsia"/>
          <w:szCs w:val="24"/>
          <w:highlight w:val="none"/>
          <w:lang w:eastAsia="zh-CN"/>
        </w:rPr>
        <w:t>符合作业设计方案，达到</w:t>
      </w:r>
      <w:r>
        <w:rPr>
          <w:rFonts w:hint="eastAsia"/>
          <w:szCs w:val="24"/>
          <w:highlight w:val="none"/>
        </w:rPr>
        <w:t>国家现行有关质量验收规范“合格”要求。</w:t>
      </w:r>
    </w:p>
    <w:p w14:paraId="44ACC8BA">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五、合同价款</w:t>
      </w:r>
    </w:p>
    <w:p w14:paraId="3E6100B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F018E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32D16A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六、组成合同的文件</w:t>
      </w:r>
    </w:p>
    <w:p w14:paraId="34DEA28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组成本合同的文件包括：</w:t>
      </w:r>
    </w:p>
    <w:p w14:paraId="3BB6336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1、本合同协议书</w:t>
      </w:r>
    </w:p>
    <w:p w14:paraId="42278B32">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2、本合同专用条款</w:t>
      </w:r>
    </w:p>
    <w:p w14:paraId="3C858CA4">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3、本合同通用条款</w:t>
      </w:r>
    </w:p>
    <w:p w14:paraId="1BA280E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14:paraId="6209757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5、投标文件、工程报价单或预算书及其附件</w:t>
      </w:r>
    </w:p>
    <w:p w14:paraId="57BE863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6、招标文件、答疑纪要</w:t>
      </w:r>
    </w:p>
    <w:p w14:paraId="0CD4E52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7、标准、规范及有关技术文件</w:t>
      </w:r>
    </w:p>
    <w:p w14:paraId="57B823C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双方为履行本合同的有关洽商、变更等书面协议或文件视为本合同的组成部分。</w:t>
      </w:r>
    </w:p>
    <w:p w14:paraId="06DE8B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七、本协议书中有关词语含义与本合同第二部分《通用条款》中分别赋予它们的定义相同。</w:t>
      </w:r>
    </w:p>
    <w:p w14:paraId="0B0DE289">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八、承包人向发包人承诺按照合同约定进行施工、竣工并在质量保修期内承担工程质量保修责任。</w:t>
      </w:r>
    </w:p>
    <w:p w14:paraId="72A192AB">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九、发包人向承包人承诺按照合同约定的期限和方式支付合同价款及其他应当支付的款项。</w:t>
      </w:r>
    </w:p>
    <w:p w14:paraId="712F5DA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十、合同生效</w:t>
      </w:r>
    </w:p>
    <w:p w14:paraId="56E9F12F">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          年            月            日</w:t>
      </w:r>
    </w:p>
    <w:p w14:paraId="6904476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合同订立地点：                                       </w:t>
      </w:r>
    </w:p>
    <w:p w14:paraId="04A652C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 双方签字盖章 后生效。</w:t>
      </w:r>
    </w:p>
    <w:p w14:paraId="2F67F9BD">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7DC54920">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DDA3E21">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3DBB346C">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联系人：</w:t>
      </w:r>
    </w:p>
    <w:p w14:paraId="05B6A80E">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6B033D43">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14:paraId="4EED95D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0AB18398">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sectPr>
          <w:headerReference r:id="rId12" w:type="default"/>
          <w:footerReference r:id="rId13" w:type="default"/>
          <w:pgSz w:w="11907" w:h="16840"/>
          <w:pgMar w:top="1361" w:right="1304" w:bottom="1361" w:left="1304" w:header="850" w:footer="992" w:gutter="0"/>
          <w:pgNumType w:fmt="decimal"/>
          <w:cols w:space="720" w:num="1"/>
        </w:sectPr>
      </w:pPr>
      <w:r>
        <w:rPr>
          <w:rFonts w:hint="eastAsia" w:ascii="宋体" w:hAnsi="宋体" w:eastAsia="宋体" w:cs="宋体"/>
          <w:color w:val="auto"/>
          <w:sz w:val="24"/>
          <w:szCs w:val="24"/>
          <w:highlight w:val="none"/>
        </w:rPr>
        <w:t>账号：                               账号：</w:t>
      </w:r>
    </w:p>
    <w:p w14:paraId="796ECD8D">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14:paraId="6F35CF89">
      <w:pPr>
        <w:pStyle w:val="18"/>
        <w:spacing w:before="0" w:beforeAutospacing="0" w:after="0" w:afterAutospacing="0" w:line="300" w:lineRule="auto"/>
        <w:jc w:val="center"/>
        <w:rPr>
          <w:rFonts w:hint="eastAsia" w:cs="宋体"/>
          <w:b/>
          <w:bCs/>
          <w:color w:val="auto"/>
          <w:sz w:val="28"/>
          <w:szCs w:val="28"/>
          <w:highlight w:val="none"/>
        </w:rPr>
      </w:pPr>
      <w:r>
        <w:rPr>
          <w:rFonts w:hint="eastAsia" w:cs="宋体"/>
          <w:b/>
          <w:bCs/>
          <w:color w:val="auto"/>
          <w:sz w:val="28"/>
          <w:szCs w:val="28"/>
          <w:highlight w:val="none"/>
        </w:rPr>
        <w:t>执行《陕西省建设工程施工合同》（示范文本）</w:t>
      </w:r>
    </w:p>
    <w:p w14:paraId="2A9237DB">
      <w:pPr>
        <w:pStyle w:val="18"/>
        <w:spacing w:before="0" w:beforeAutospacing="0" w:after="0" w:afterAutospacing="0" w:line="300" w:lineRule="auto"/>
        <w:jc w:val="center"/>
        <w:rPr>
          <w:rFonts w:hint="eastAsia" w:cs="宋体"/>
          <w:b/>
          <w:bCs/>
          <w:color w:val="auto"/>
          <w:sz w:val="28"/>
          <w:szCs w:val="28"/>
          <w:highlight w:val="none"/>
        </w:rPr>
      </w:pPr>
    </w:p>
    <w:p w14:paraId="03A2449E">
      <w:pPr>
        <w:pStyle w:val="18"/>
        <w:spacing w:before="0" w:beforeAutospacing="0" w:after="0" w:afterAutospacing="0" w:line="300" w:lineRule="auto"/>
        <w:jc w:val="center"/>
        <w:rPr>
          <w:rFonts w:hint="eastAsia" w:cs="宋体"/>
          <w:b/>
          <w:bCs/>
          <w:color w:val="auto"/>
          <w:sz w:val="28"/>
          <w:szCs w:val="28"/>
          <w:highlight w:val="none"/>
        </w:rPr>
        <w:sectPr>
          <w:pgSz w:w="11906" w:h="16838"/>
          <w:pgMar w:top="1361" w:right="1304" w:bottom="1361" w:left="1304" w:header="720" w:footer="720" w:gutter="0"/>
          <w:pgNumType w:fmt="decimal"/>
          <w:cols w:space="720" w:num="1"/>
        </w:sectPr>
      </w:pPr>
    </w:p>
    <w:p w14:paraId="6D6CF5F6">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14:paraId="12E43A9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一、词语定义及合同文件</w:t>
      </w:r>
    </w:p>
    <w:p w14:paraId="6D0FCD48">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u w:val="single"/>
        </w:rPr>
        <w:t>专用合同条款是对通用条款中相应条款内容的解释、补充、删除或修改，其序号与通用条款中条款一一对应，未作改动的条款按通用条款执行。</w:t>
      </w:r>
    </w:p>
    <w:p w14:paraId="7A6FA9E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2、合同文件及解释顺序</w:t>
      </w:r>
    </w:p>
    <w:p w14:paraId="45D8346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合同文件组成及解释顺序：</w:t>
      </w:r>
      <w:r>
        <w:rPr>
          <w:rFonts w:hint="eastAsia" w:ascii="宋体" w:hAnsi="宋体" w:eastAsia="宋体" w:cs="宋体"/>
          <w:color w:val="auto"/>
          <w:sz w:val="24"/>
          <w:szCs w:val="24"/>
          <w:highlight w:val="none"/>
          <w:u w:val="single"/>
        </w:rPr>
        <w:t>﹙1﹚本合同协议书；﹙2﹚本合同专用条款；﹙3﹚</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通知书；﹙4﹚</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文件答疑纪要；﹙5﹚本合同通用条款；﹙6﹚标准规范及有关技术文件；（7）其他。</w:t>
      </w:r>
    </w:p>
    <w:p w14:paraId="067A4CC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3、语言文字和适用法律语言文字和适用法律、标准及规范</w:t>
      </w:r>
    </w:p>
    <w:p w14:paraId="455B429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本合同除使用汉语外，还使用_________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__________语言文字。</w:t>
      </w:r>
    </w:p>
    <w:p w14:paraId="57E48803">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  适用法律和法规需要明示的法律、行政法规：</w:t>
      </w:r>
      <w:r>
        <w:rPr>
          <w:rFonts w:hint="eastAsia" w:ascii="宋体" w:hAnsi="宋体" w:eastAsia="宋体" w:cs="宋体"/>
          <w:color w:val="auto"/>
          <w:sz w:val="24"/>
          <w:szCs w:val="24"/>
          <w:highlight w:val="none"/>
          <w:u w:val="single"/>
        </w:rPr>
        <w:t>本合同适用于中华人民共和国法律，行政法规、陕西省地方法规。</w:t>
      </w:r>
    </w:p>
    <w:p w14:paraId="055996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适用标准、规范 </w:t>
      </w:r>
    </w:p>
    <w:p w14:paraId="6796E3A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﹙1﹚国家现行和相关技术规程；﹙2﹚工程所在地建设主管部门的标准、规范；﹙3﹚工程所在地行业的标准、规范。</w:t>
      </w:r>
    </w:p>
    <w:p w14:paraId="5B63CD6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_</w:t>
      </w:r>
    </w:p>
    <w:p w14:paraId="773CD9B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 xml:space="preserve">                              。</w:t>
      </w:r>
    </w:p>
    <w:p w14:paraId="35D2389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4、图纸</w:t>
      </w:r>
    </w:p>
    <w:p w14:paraId="4B98081F">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4.1发包人向承包人提供图纸日期和套数</w:t>
      </w:r>
      <w:r>
        <w:rPr>
          <w:rFonts w:hint="eastAsia" w:ascii="宋体" w:hAnsi="宋体" w:eastAsia="宋体" w:cs="宋体"/>
          <w:color w:val="auto"/>
          <w:sz w:val="24"/>
          <w:szCs w:val="24"/>
          <w:highlight w:val="none"/>
          <w:u w:val="single"/>
        </w:rPr>
        <w:t>：    /                       。</w:t>
      </w:r>
    </w:p>
    <w:p w14:paraId="5A9CA2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         /           。</w:t>
      </w:r>
    </w:p>
    <w:p w14:paraId="184EE38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____无_____</w:t>
      </w:r>
    </w:p>
    <w:p w14:paraId="2A7AB116">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14:paraId="6A58783E">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5、工程师</w:t>
      </w:r>
    </w:p>
    <w:p w14:paraId="6DF981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5.2监理单位委派的工程师 </w:t>
      </w:r>
    </w:p>
    <w:p w14:paraId="15FF92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姓名：______/_________职务：______/________</w:t>
      </w:r>
    </w:p>
    <w:p w14:paraId="669D6DC4">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 xml:space="preserve">               /                   </w:t>
      </w:r>
    </w:p>
    <w:p w14:paraId="44B02A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 xml:space="preserve">         /          </w:t>
      </w:r>
    </w:p>
    <w:p w14:paraId="779A992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5.4发包人派驻的工程师 </w:t>
      </w:r>
    </w:p>
    <w:p w14:paraId="364F23F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姓名：____________________职务：________________________________</w:t>
      </w:r>
    </w:p>
    <w:p w14:paraId="4746CED2">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 xml:space="preserve">                                                          </w:t>
      </w:r>
    </w:p>
    <w:p w14:paraId="641A30C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5.6不实行监理的，工程师的职权：________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____________________</w:t>
      </w:r>
    </w:p>
    <w:p w14:paraId="6337862B">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6、项目经理</w:t>
      </w:r>
    </w:p>
    <w:p w14:paraId="2C754BA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姓名：___________职务：___________________</w:t>
      </w:r>
    </w:p>
    <w:p w14:paraId="383A4961">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7、发包人工作</w:t>
      </w:r>
    </w:p>
    <w:p w14:paraId="1DDB9C3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7.1发包人应按约定的时间和要求完成以下工作：</w:t>
      </w:r>
    </w:p>
    <w:p w14:paraId="7F438F91">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工程开工前五日内完成。</w:t>
      </w:r>
    </w:p>
    <w:p w14:paraId="3EA4EF2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本工程施工水源、电源、电讯均由承包人自行解决并承担费用。</w:t>
      </w:r>
    </w:p>
    <w:p w14:paraId="423AAB0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其计量和计价方法为：</w:t>
      </w:r>
      <w:r>
        <w:rPr>
          <w:rFonts w:hint="eastAsia" w:ascii="宋体" w:hAnsi="宋体" w:eastAsia="宋体" w:cs="宋体"/>
          <w:color w:val="auto"/>
          <w:sz w:val="24"/>
          <w:szCs w:val="24"/>
          <w:highlight w:val="none"/>
          <w:u w:val="single"/>
        </w:rPr>
        <w:t>由承包人承担费用，按不同来源在投标时自主报价，结算时不再调整。</w:t>
      </w:r>
    </w:p>
    <w:p w14:paraId="687C7525">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 xml:space="preserve">             </w:t>
      </w:r>
    </w:p>
    <w:p w14:paraId="4677F520">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合同签订七日内提供发包人已知的情况，其它由承包人自行勘测和解决。</w:t>
      </w:r>
    </w:p>
    <w:p w14:paraId="7706007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合同签订后发包人积极办理，需要承包人配合的承包人必须积极配合在开工前完成</w:t>
      </w:r>
      <w:r>
        <w:rPr>
          <w:rFonts w:hint="eastAsia" w:ascii="宋体" w:hAnsi="宋体" w:eastAsia="宋体" w:cs="宋体"/>
          <w:color w:val="auto"/>
          <w:sz w:val="24"/>
          <w:szCs w:val="24"/>
          <w:highlight w:val="none"/>
        </w:rPr>
        <w:t>。</w:t>
      </w:r>
    </w:p>
    <w:p w14:paraId="5305A9FD">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（6）水准点与座标控制点交验要求：</w:t>
      </w:r>
      <w:r>
        <w:rPr>
          <w:rFonts w:hint="eastAsia" w:ascii="宋体" w:hAnsi="宋体" w:eastAsia="宋体" w:cs="宋体"/>
          <w:color w:val="auto"/>
          <w:sz w:val="24"/>
          <w:szCs w:val="24"/>
          <w:highlight w:val="none"/>
          <w:u w:val="single"/>
        </w:rPr>
        <w:t>/。</w:t>
      </w:r>
    </w:p>
    <w:p w14:paraId="19D6C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（7）施工交底时间：</w:t>
      </w:r>
      <w:r>
        <w:rPr>
          <w:rFonts w:hint="eastAsia" w:ascii="宋体" w:hAnsi="宋体" w:eastAsia="宋体" w:cs="宋体"/>
          <w:color w:val="auto"/>
          <w:sz w:val="24"/>
          <w:szCs w:val="24"/>
          <w:highlight w:val="none"/>
          <w:u w:val="single"/>
        </w:rPr>
        <w:t xml:space="preserve">       。</w:t>
      </w:r>
    </w:p>
    <w:p w14:paraId="47A0316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由发包人和承包人协商确定。</w:t>
      </w:r>
    </w:p>
    <w:p w14:paraId="5B62FAF9">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施工中的协调配合工作。</w:t>
      </w:r>
    </w:p>
    <w:p w14:paraId="35355BD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7.2发包人委托承包人办理的工作：</w:t>
      </w:r>
      <w:r>
        <w:rPr>
          <w:rFonts w:hint="eastAsia" w:ascii="宋体" w:hAnsi="宋体" w:eastAsia="宋体" w:cs="宋体"/>
          <w:color w:val="auto"/>
          <w:sz w:val="24"/>
          <w:szCs w:val="24"/>
          <w:highlight w:val="none"/>
          <w:u w:val="single"/>
        </w:rPr>
        <w:t>配合发包人办理施工许可证、质量监督备案手续。</w:t>
      </w:r>
    </w:p>
    <w:p w14:paraId="6857074C">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8、承包人工作</w:t>
      </w:r>
    </w:p>
    <w:p w14:paraId="6ACA78F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8.1承包人应按约定时间和要求，完成以下工作：</w:t>
      </w:r>
    </w:p>
    <w:p w14:paraId="31E065F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（1）需由设计资质等级和业务范围允许的承包人完成的设计文件提交时间：</w:t>
      </w:r>
      <w:r>
        <w:rPr>
          <w:rFonts w:hint="eastAsia" w:ascii="宋体" w:hAnsi="宋体" w:eastAsia="宋体" w:cs="宋体"/>
          <w:color w:val="auto"/>
          <w:sz w:val="24"/>
          <w:szCs w:val="24"/>
          <w:highlight w:val="none"/>
          <w:u w:val="single"/>
        </w:rPr>
        <w:t>按发包人的要求提供。</w:t>
      </w:r>
    </w:p>
    <w:p w14:paraId="1C4B52B8">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 xml:space="preserve">        /          。</w:t>
      </w:r>
    </w:p>
    <w:p w14:paraId="61205D8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（3）承担施工安全保卫工作及非夜间施工照明的责任和要求：</w:t>
      </w:r>
      <w:r>
        <w:rPr>
          <w:rFonts w:hint="eastAsia" w:ascii="宋体" w:hAnsi="宋体" w:eastAsia="宋体" w:cs="宋体"/>
          <w:color w:val="auto"/>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060FF99E">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（4）向发包人提供的办公和生活房屋及设施的要求：</w:t>
      </w:r>
      <w:r>
        <w:rPr>
          <w:rFonts w:hint="eastAsia" w:ascii="宋体" w:hAnsi="宋体" w:eastAsia="宋体" w:cs="宋体"/>
          <w:color w:val="auto"/>
          <w:sz w:val="24"/>
          <w:szCs w:val="24"/>
          <w:highlight w:val="none"/>
          <w:u w:val="single"/>
        </w:rPr>
        <w:t>/</w:t>
      </w:r>
    </w:p>
    <w:p w14:paraId="593BFD8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（5）需承包人办理的有关施工场地交通、环卫和施工噪音管理等手续：</w:t>
      </w:r>
      <w:r>
        <w:rPr>
          <w:rFonts w:hint="eastAsia" w:ascii="宋体" w:hAnsi="宋体" w:eastAsia="宋体" w:cs="宋体"/>
          <w:color w:val="auto"/>
          <w:sz w:val="24"/>
          <w:szCs w:val="24"/>
          <w:highlight w:val="none"/>
          <w:u w:val="single"/>
        </w:rPr>
        <w:t>由承包人负责各项手续的办理并承担费用。</w:t>
      </w:r>
    </w:p>
    <w:p w14:paraId="7081A65A">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承包人负责，费用由承包人承担。</w:t>
      </w:r>
    </w:p>
    <w:p w14:paraId="185DFD6B">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由发包人和承包人负责协商确定。</w:t>
      </w:r>
    </w:p>
    <w:p w14:paraId="336259DA">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由承包人负责。</w:t>
      </w:r>
    </w:p>
    <w:p w14:paraId="0E8F7473">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（9）双方约定承包人应做的其他工作：</w:t>
      </w:r>
      <w:r>
        <w:rPr>
          <w:rFonts w:hint="eastAsia" w:ascii="宋体" w:hAnsi="宋体" w:eastAsia="宋体" w:cs="宋体"/>
          <w:color w:val="auto"/>
          <w:sz w:val="24"/>
          <w:szCs w:val="24"/>
          <w:highlight w:val="none"/>
          <w:u w:val="single"/>
        </w:rPr>
        <w:t>相关的对外协调工作。</w:t>
      </w:r>
    </w:p>
    <w:p w14:paraId="475B6149">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三、施工组织设计和工期</w:t>
      </w:r>
    </w:p>
    <w:p w14:paraId="7A7A980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9、进度计划</w:t>
      </w:r>
    </w:p>
    <w:p w14:paraId="47CF760C">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9.1承包人提供施工组织设计（施工方案）和进度计划的时间：</w:t>
      </w:r>
      <w:r>
        <w:rPr>
          <w:rFonts w:hint="eastAsia" w:ascii="宋体" w:hAnsi="宋体" w:eastAsia="宋体" w:cs="宋体"/>
          <w:color w:val="auto"/>
          <w:sz w:val="24"/>
          <w:szCs w:val="24"/>
          <w:highlight w:val="none"/>
          <w:u w:val="single"/>
        </w:rPr>
        <w:t>合同签订后</w:t>
      </w:r>
      <w:r>
        <w:rPr>
          <w:rFonts w:hint="eastAsia"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日内。</w:t>
      </w:r>
    </w:p>
    <w:p w14:paraId="3D0F2C2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工程师确认的时间：</w:t>
      </w:r>
      <w:r>
        <w:rPr>
          <w:rFonts w:hint="eastAsia" w:ascii="宋体" w:hAnsi="宋体" w:eastAsia="宋体" w:cs="宋体"/>
          <w:color w:val="auto"/>
          <w:sz w:val="24"/>
          <w:szCs w:val="24"/>
          <w:highlight w:val="none"/>
          <w:u w:val="single"/>
        </w:rPr>
        <w:t>承包人</w:t>
      </w:r>
      <w:r>
        <w:rPr>
          <w:rFonts w:hint="eastAsia" w:hAnsi="宋体" w:cs="宋体"/>
          <w:color w:val="auto"/>
          <w:sz w:val="24"/>
          <w:szCs w:val="24"/>
          <w:highlight w:val="none"/>
          <w:u w:val="single"/>
          <w:lang w:val="en-US" w:eastAsia="zh-CN"/>
        </w:rPr>
        <w:t>交接</w:t>
      </w:r>
      <w:r>
        <w:rPr>
          <w:rFonts w:hint="eastAsia" w:ascii="宋体" w:hAnsi="宋体" w:eastAsia="宋体" w:cs="宋体"/>
          <w:color w:val="auto"/>
          <w:sz w:val="24"/>
          <w:szCs w:val="24"/>
          <w:highlight w:val="none"/>
          <w:u w:val="single"/>
        </w:rPr>
        <w:t>之日起七日内。</w:t>
      </w:r>
    </w:p>
    <w:p w14:paraId="67145C05">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9.2群体工程中有关进度计划的要求：</w:t>
      </w:r>
      <w:r>
        <w:rPr>
          <w:rFonts w:hint="eastAsia" w:ascii="宋体" w:hAnsi="宋体" w:eastAsia="宋体" w:cs="宋体"/>
          <w:color w:val="auto"/>
          <w:sz w:val="24"/>
          <w:szCs w:val="24"/>
          <w:highlight w:val="none"/>
          <w:u w:val="single"/>
        </w:rPr>
        <w:t>以发包人的要求为准。</w:t>
      </w:r>
    </w:p>
    <w:p w14:paraId="526AD500">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10、工期延误</w:t>
      </w:r>
    </w:p>
    <w:p w14:paraId="65AE79FC">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10.1双方约定工期顺延的其他情况：</w:t>
      </w:r>
      <w:r>
        <w:rPr>
          <w:rFonts w:hint="eastAsia" w:ascii="宋体" w:hAnsi="宋体" w:eastAsia="宋体" w:cs="宋体"/>
          <w:color w:val="auto"/>
          <w:sz w:val="24"/>
          <w:szCs w:val="24"/>
          <w:highlight w:val="none"/>
          <w:u w:val="single"/>
        </w:rPr>
        <w:t>执行《通用条款》。</w:t>
      </w:r>
    </w:p>
    <w:p w14:paraId="6CDB7FF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四、质量与检验</w:t>
      </w:r>
    </w:p>
    <w:p w14:paraId="7061F26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11、隐蔽工程和中间验收 </w:t>
      </w:r>
    </w:p>
    <w:p w14:paraId="01975B94">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11.1双方约定中间验收部位：</w:t>
      </w:r>
      <w:r>
        <w:rPr>
          <w:rFonts w:hint="eastAsia" w:ascii="宋体" w:hAnsi="宋体" w:eastAsia="宋体" w:cs="宋体"/>
          <w:color w:val="auto"/>
          <w:sz w:val="24"/>
          <w:szCs w:val="24"/>
          <w:highlight w:val="none"/>
          <w:u w:val="single"/>
        </w:rPr>
        <w:t>执行《通用条款》。</w:t>
      </w:r>
    </w:p>
    <w:p w14:paraId="5A155E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12、工程试车 </w:t>
      </w:r>
    </w:p>
    <w:p w14:paraId="14A0D5E2">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12.1试车费用的承担：</w:t>
      </w:r>
      <w:r>
        <w:rPr>
          <w:rFonts w:hint="eastAsia" w:ascii="宋体" w:hAnsi="宋体" w:eastAsia="宋体" w:cs="宋体"/>
          <w:color w:val="auto"/>
          <w:sz w:val="24"/>
          <w:szCs w:val="24"/>
          <w:highlight w:val="none"/>
          <w:u w:val="single"/>
        </w:rPr>
        <w:t>由承包人承担。</w:t>
      </w:r>
    </w:p>
    <w:p w14:paraId="58D4585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五、安全生产</w:t>
      </w:r>
    </w:p>
    <w:p w14:paraId="06AE86B9">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13、项目实施单位履行安全生产监管责任，项目施工单位履行安全生产主体责任。（详见作业设计说明书）</w:t>
      </w:r>
    </w:p>
    <w:p w14:paraId="3CAA68E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六、合同价款</w:t>
      </w:r>
    </w:p>
    <w:p w14:paraId="6073079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13、合同价款约定 </w:t>
      </w:r>
    </w:p>
    <w:p w14:paraId="6424AA3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13.1本合同价款采用</w:t>
      </w:r>
      <w:r>
        <w:rPr>
          <w:rFonts w:hint="eastAsia" w:ascii="宋体" w:hAnsi="宋体" w:eastAsia="宋体" w:cs="宋体"/>
          <w:color w:val="auto"/>
          <w:sz w:val="24"/>
          <w:szCs w:val="24"/>
          <w:highlight w:val="none"/>
          <w:u w:val="single"/>
        </w:rPr>
        <w:t xml:space="preserve">  （1）_</w:t>
      </w:r>
      <w:r>
        <w:rPr>
          <w:rFonts w:hint="eastAsia" w:ascii="宋体" w:hAnsi="宋体" w:eastAsia="宋体" w:cs="宋体"/>
          <w:color w:val="auto"/>
          <w:sz w:val="24"/>
          <w:szCs w:val="24"/>
          <w:highlight w:val="none"/>
        </w:rPr>
        <w:t>方式确定。</w:t>
      </w:r>
    </w:p>
    <w:p w14:paraId="0093CFB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（1）采用固定总价合同：</w:t>
      </w:r>
    </w:p>
    <w:p w14:paraId="571BE48D">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（2）采用固定综合单价合同，综合单价中包括的风险范围：</w:t>
      </w:r>
      <w:r>
        <w:rPr>
          <w:rFonts w:hint="eastAsia" w:ascii="宋体" w:hAnsi="宋体" w:eastAsia="宋体" w:cs="宋体"/>
          <w:color w:val="auto"/>
          <w:sz w:val="24"/>
          <w:szCs w:val="24"/>
          <w:highlight w:val="none"/>
          <w:u w:val="single"/>
        </w:rPr>
        <w:t xml:space="preserve">  /  </w:t>
      </w:r>
    </w:p>
    <w:p w14:paraId="1801ED0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（3）采用可调价格合同，合同价款调整方法：_______</w:t>
      </w:r>
      <w:r>
        <w:rPr>
          <w:rFonts w:hint="eastAsia" w:ascii="宋体" w:hAnsi="宋体" w:eastAsia="宋体" w:cs="宋体"/>
          <w:color w:val="auto"/>
          <w:sz w:val="24"/>
          <w:szCs w:val="24"/>
          <w:highlight w:val="none"/>
          <w:u w:val="single"/>
        </w:rPr>
        <w:t>__/__</w:t>
      </w:r>
      <w:r>
        <w:rPr>
          <w:rFonts w:hint="eastAsia" w:ascii="宋体" w:hAnsi="宋体" w:eastAsia="宋体" w:cs="宋体"/>
          <w:color w:val="auto"/>
          <w:sz w:val="24"/>
          <w:szCs w:val="24"/>
          <w:highlight w:val="none"/>
        </w:rPr>
        <w:t>___________</w:t>
      </w:r>
    </w:p>
    <w:p w14:paraId="7556F7B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14、合同价款调整</w:t>
      </w:r>
    </w:p>
    <w:p w14:paraId="4F29F63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14.1双方约定合同价款的其他调整因素：__________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w:t>
      </w:r>
    </w:p>
    <w:p w14:paraId="2FE3BAE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15、工程预付款</w:t>
      </w:r>
    </w:p>
    <w:p w14:paraId="6FCEE4B6">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发包人向承包人预付工程款的时间和金额或占合同价款总额的比例：</w:t>
      </w:r>
      <w:r>
        <w:rPr>
          <w:rFonts w:hint="eastAsia" w:ascii="宋体" w:hAnsi="宋体" w:eastAsia="宋体" w:cs="宋体"/>
          <w:color w:val="auto"/>
          <w:sz w:val="24"/>
          <w:szCs w:val="24"/>
          <w:highlight w:val="none"/>
          <w:u w:val="single"/>
        </w:rPr>
        <w:t xml:space="preserve"> / </w:t>
      </w:r>
    </w:p>
    <w:p w14:paraId="1BC398BA">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预付安全防护、文明施工措施费用的比例和时间：</w:t>
      </w:r>
      <w:r>
        <w:rPr>
          <w:rFonts w:hint="eastAsia" w:ascii="宋体" w:hAnsi="宋体" w:eastAsia="宋体" w:cs="宋体"/>
          <w:color w:val="auto"/>
          <w:sz w:val="24"/>
          <w:szCs w:val="24"/>
          <w:highlight w:val="none"/>
          <w:u w:val="single"/>
        </w:rPr>
        <w:t xml:space="preserve"> / </w:t>
      </w:r>
    </w:p>
    <w:p w14:paraId="3A72D4D9">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16、工程量确认</w:t>
      </w:r>
    </w:p>
    <w:p w14:paraId="63709B61">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16.1承包人向工程师提交已完工程量报告的时间：</w:t>
      </w:r>
      <w:r>
        <w:rPr>
          <w:rFonts w:hint="eastAsia" w:ascii="宋体" w:hAnsi="宋体" w:eastAsia="宋体" w:cs="宋体"/>
          <w:color w:val="auto"/>
          <w:sz w:val="24"/>
          <w:szCs w:val="24"/>
          <w:highlight w:val="none"/>
          <w:u w:val="single"/>
        </w:rPr>
        <w:t>每月的26日承包人向发包人提交25日以前已完工程量报告。</w:t>
      </w:r>
    </w:p>
    <w:p w14:paraId="352698AA">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17、工程进度款结算与支付</w:t>
      </w:r>
    </w:p>
    <w:p w14:paraId="2CE4E33D">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双方约定的工程进度款支付的方式、时间和比例是：详见合同条款及格式前附表</w:t>
      </w:r>
    </w:p>
    <w:p w14:paraId="3FA29F9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七、材料设备供应</w:t>
      </w:r>
    </w:p>
    <w:p w14:paraId="0D1AF12A">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31发包人供应材料设备，承包人应按计划领取使用，在结算时发包人按暂定价从工程款中扣除。</w:t>
      </w:r>
    </w:p>
    <w:p w14:paraId="17F7CEC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31.4发包人供应的材料设备与一览表不符时，双方约定发包人承担责任如下：</w:t>
      </w:r>
    </w:p>
    <w:p w14:paraId="484AC7E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执行《通用条款》31.4.（1）款。</w:t>
      </w:r>
    </w:p>
    <w:p w14:paraId="242B615F">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执行《通用条款》31.4(2)款。</w:t>
      </w:r>
    </w:p>
    <w:p w14:paraId="7F84B091">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执行《通用条款》31.4.（3）款。</w:t>
      </w:r>
    </w:p>
    <w:p w14:paraId="3C3D303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执行《通用条款》31.4.（4）款。</w:t>
      </w:r>
    </w:p>
    <w:p w14:paraId="46F3C805">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执行《通用条款》31.4.（5）款。</w:t>
      </w:r>
    </w:p>
    <w:p w14:paraId="1307CE2D">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执行《通用条款》31.4.（6）款。</w:t>
      </w:r>
    </w:p>
    <w:p w14:paraId="65FEF244">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31.6发包人供应材料设备的结算方法：</w:t>
      </w:r>
      <w:r>
        <w:rPr>
          <w:rFonts w:hint="eastAsia" w:ascii="宋体" w:hAnsi="宋体" w:eastAsia="宋体" w:cs="宋体"/>
          <w:color w:val="auto"/>
          <w:sz w:val="24"/>
          <w:szCs w:val="24"/>
          <w:highlight w:val="none"/>
          <w:u w:val="single"/>
        </w:rPr>
        <w:t xml:space="preserve">  无 </w:t>
      </w:r>
    </w:p>
    <w:p w14:paraId="0BFB5DAC">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32、承包人采购材料设备</w:t>
      </w:r>
    </w:p>
    <w:p w14:paraId="7D13D1E8">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32.1承包人采购材料设备的约定：</w:t>
      </w:r>
      <w:r>
        <w:rPr>
          <w:rFonts w:hint="eastAsia" w:ascii="宋体" w:hAnsi="宋体" w:eastAsia="宋体" w:cs="宋体"/>
          <w:color w:val="auto"/>
          <w:sz w:val="24"/>
          <w:szCs w:val="24"/>
          <w:highlight w:val="none"/>
          <w:u w:val="single"/>
        </w:rPr>
        <w:t>乙方自行采购的材料规格型号应与施工图设计相符，质量等级必须合格。</w:t>
      </w:r>
    </w:p>
    <w:p w14:paraId="5F4C0C2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八、工程变更</w:t>
      </w:r>
    </w:p>
    <w:p w14:paraId="72FD47D1">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33、在本工程实施过程中若发生变更，按下列各项执行：</w:t>
      </w:r>
    </w:p>
    <w:p w14:paraId="2F6E385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u w:val="single"/>
        </w:rPr>
        <w:t>合同中已有适用综合单价的，可参照类似综合单价调整；</w:t>
      </w:r>
    </w:p>
    <w:p w14:paraId="2E3F1D3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u w:val="single"/>
        </w:rPr>
        <w:t>合同中有类似综合单价的，可参照类似综合单价调整；</w:t>
      </w:r>
    </w:p>
    <w:p w14:paraId="7DD54E5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u w:val="single"/>
        </w:rPr>
        <w:t>合同中没有适用或类似综合单价的承包人按照投标书人工工日、材料、机械台班单价进行组价，报发包人审核认可。</w:t>
      </w:r>
    </w:p>
    <w:p w14:paraId="1333F9C0">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九、竣工验收与结算</w:t>
      </w:r>
    </w:p>
    <w:p w14:paraId="2936901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36、竣工验收</w:t>
      </w:r>
    </w:p>
    <w:p w14:paraId="0A73673C">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36.1承包人提供竣工图的约定：</w:t>
      </w:r>
      <w:r>
        <w:rPr>
          <w:rFonts w:hint="eastAsia" w:ascii="宋体" w:hAnsi="宋体" w:eastAsia="宋体" w:cs="宋体"/>
          <w:color w:val="auto"/>
          <w:sz w:val="24"/>
          <w:szCs w:val="24"/>
          <w:highlight w:val="none"/>
          <w:u w:val="single"/>
        </w:rPr>
        <w:t>完整资料文件两套。</w:t>
      </w:r>
    </w:p>
    <w:p w14:paraId="4B9A08B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36.6中间交工工程的范围和竣工时间：_______________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_______________</w:t>
      </w:r>
    </w:p>
    <w:p w14:paraId="5A81AFD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37、竣工结算</w:t>
      </w:r>
    </w:p>
    <w:p w14:paraId="2989FA45">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结算审查期限： </w:t>
      </w:r>
      <w:r>
        <w:rPr>
          <w:rFonts w:hint="eastAsia" w:ascii="宋体" w:hAnsi="宋体" w:eastAsia="宋体" w:cs="宋体"/>
          <w:color w:val="auto"/>
          <w:sz w:val="24"/>
          <w:szCs w:val="24"/>
          <w:highlight w:val="none"/>
          <w:u w:val="single"/>
        </w:rPr>
        <w:t xml:space="preserve">  /   </w:t>
      </w:r>
    </w:p>
    <w:p w14:paraId="58386887">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十、违约、索赔和争议</w:t>
      </w:r>
    </w:p>
    <w:p w14:paraId="5C55B77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39、违约</w:t>
      </w:r>
    </w:p>
    <w:p w14:paraId="2D4ABC6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39.1  本合同中关于发包人违约的具体责任如下： </w:t>
      </w:r>
    </w:p>
    <w:p w14:paraId="2A71399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本合同通用条款第28.1条约定发包人违约应承担的违约责任：</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u w:val="single"/>
        </w:rPr>
        <w:t xml:space="preserve">_   </w:t>
      </w:r>
    </w:p>
    <w:p w14:paraId="22443A0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本合同通用条款第30.5款约定发包人违约应承担的违约责任：</w:t>
      </w:r>
      <w:r>
        <w:rPr>
          <w:rFonts w:hint="eastAsia" w:ascii="宋体" w:hAnsi="宋体" w:eastAsia="宋体" w:cs="宋体"/>
          <w:color w:val="auto"/>
          <w:sz w:val="24"/>
          <w:szCs w:val="24"/>
          <w:highlight w:val="none"/>
          <w:u w:val="single"/>
        </w:rPr>
        <w:t>执行《通用条款》30.5款。</w:t>
      </w:r>
    </w:p>
    <w:p w14:paraId="046531D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本合同通用条款第37.6款约定发包人违约应承担的违约责任：</w:t>
      </w:r>
      <w:r>
        <w:rPr>
          <w:rFonts w:hint="eastAsia" w:ascii="宋体" w:hAnsi="宋体" w:eastAsia="宋体" w:cs="宋体"/>
          <w:color w:val="auto"/>
          <w:sz w:val="24"/>
          <w:szCs w:val="24"/>
          <w:highlight w:val="none"/>
          <w:u w:val="single"/>
        </w:rPr>
        <w:t>执行《通用条款》37.6款。</w:t>
      </w:r>
    </w:p>
    <w:p w14:paraId="1E1CC9A6">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双方约定的发包人其他违约责任：__________/_________</w:t>
      </w:r>
    </w:p>
    <w:p w14:paraId="5C79FAD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39.2  本合同中关于承包人违约的具体责任如下：本合同通用条款第14.2款约定承包人违约承担的违约责任：</w:t>
      </w:r>
      <w:r>
        <w:rPr>
          <w:rFonts w:hint="eastAsia" w:ascii="宋体" w:hAnsi="宋体" w:eastAsia="宋体" w:cs="宋体"/>
          <w:color w:val="auto"/>
          <w:sz w:val="24"/>
          <w:szCs w:val="24"/>
          <w:highlight w:val="none"/>
          <w:u w:val="single"/>
        </w:rPr>
        <w:t>承包人工期每推迟一天罚款1000元，若影响到发包人使用另行赔偿给甲方造成的损失。</w:t>
      </w:r>
    </w:p>
    <w:p w14:paraId="4DB3DBC2">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本合同通用条款第15.1款约定承包人违约应承担的违约责任：</w:t>
      </w:r>
      <w:r>
        <w:rPr>
          <w:rFonts w:hint="eastAsia" w:ascii="宋体" w:hAnsi="宋体" w:eastAsia="宋体" w:cs="宋体"/>
          <w:color w:val="auto"/>
          <w:sz w:val="24"/>
          <w:szCs w:val="24"/>
          <w:highlight w:val="none"/>
          <w:u w:val="single"/>
        </w:rPr>
        <w:t>承包方除按合同价款的2%承担违约金外，另按国务院279号令有关规定执行。</w:t>
      </w:r>
    </w:p>
    <w:p w14:paraId="0563F40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双方约定的承包人其他违约责任：______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w:t>
      </w:r>
    </w:p>
    <w:p w14:paraId="613C5775">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41、争议</w:t>
      </w:r>
    </w:p>
    <w:p w14:paraId="4B760D2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41.1双方当事人约定，在履行合同过程中产生争议时：</w:t>
      </w:r>
    </w:p>
    <w:p w14:paraId="627315A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（1）请_</w:t>
      </w:r>
      <w:r>
        <w:rPr>
          <w:rFonts w:hint="eastAsia" w:ascii="宋体" w:hAnsi="宋体" w:eastAsia="宋体" w:cs="宋体"/>
          <w:color w:val="auto"/>
          <w:sz w:val="24"/>
          <w:szCs w:val="24"/>
          <w:highlight w:val="none"/>
          <w:u w:val="single"/>
        </w:rPr>
        <w:t>合同管理部门和其他有关部门</w:t>
      </w:r>
      <w:r>
        <w:rPr>
          <w:rFonts w:hint="eastAsia" w:ascii="宋体" w:hAnsi="宋体" w:eastAsia="宋体" w:cs="宋体"/>
          <w:color w:val="auto"/>
          <w:sz w:val="24"/>
          <w:szCs w:val="24"/>
          <w:highlight w:val="none"/>
        </w:rPr>
        <w:t>_调解；</w:t>
      </w:r>
    </w:p>
    <w:p w14:paraId="4CF460A9">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（2）合同争议调解不成的，按下列第</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种方式解决：</w:t>
      </w:r>
    </w:p>
    <w:p w14:paraId="6B9CB554">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柞水县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仲裁委员会申请仲裁； </w:t>
      </w:r>
    </w:p>
    <w:p w14:paraId="30A1844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2）依法</w:t>
      </w:r>
      <w:r>
        <w:rPr>
          <w:rFonts w:hint="eastAsia" w:ascii="宋体" w:hAnsi="宋体" w:eastAsia="宋体" w:cs="宋体"/>
          <w:color w:val="auto"/>
          <w:sz w:val="24"/>
          <w:szCs w:val="24"/>
          <w:highlight w:val="none"/>
          <w:u w:val="single"/>
        </w:rPr>
        <w:t xml:space="preserve">向     </w:t>
      </w:r>
      <w:r>
        <w:rPr>
          <w:rFonts w:hint="eastAsia" w:ascii="宋体" w:hAnsi="宋体" w:eastAsia="宋体" w:cs="宋体"/>
          <w:color w:val="auto"/>
          <w:sz w:val="24"/>
          <w:szCs w:val="24"/>
          <w:highlight w:val="none"/>
        </w:rPr>
        <w:t xml:space="preserve">人民法院提起诉讼。 </w:t>
      </w:r>
    </w:p>
    <w:p w14:paraId="2E06AA02">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十一、其他</w:t>
      </w:r>
    </w:p>
    <w:p w14:paraId="43691BB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42、工程分包</w:t>
      </w:r>
    </w:p>
    <w:p w14:paraId="42E422EE">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42.1本工程发包人同意承包人分包的专业工程：</w:t>
      </w:r>
      <w:r>
        <w:rPr>
          <w:rFonts w:hint="eastAsia" w:ascii="宋体" w:hAnsi="宋体" w:eastAsia="宋体" w:cs="宋体"/>
          <w:color w:val="auto"/>
          <w:sz w:val="24"/>
          <w:szCs w:val="24"/>
          <w:highlight w:val="none"/>
          <w:u w:val="single"/>
        </w:rPr>
        <w:t xml:space="preserve">   无  </w:t>
      </w:r>
    </w:p>
    <w:p w14:paraId="4899205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分包施工单位为：___________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w:t>
      </w:r>
    </w:p>
    <w:p w14:paraId="180ECD7E">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43、不可抗力</w:t>
      </w:r>
    </w:p>
    <w:p w14:paraId="1FE0FE2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 xml:space="preserve">43.1双方关于不可抗力的约定： </w:t>
      </w:r>
      <w:r>
        <w:rPr>
          <w:rFonts w:hint="eastAsia" w:ascii="宋体" w:hAnsi="宋体" w:eastAsia="宋体" w:cs="宋体"/>
          <w:color w:val="auto"/>
          <w:sz w:val="24"/>
          <w:szCs w:val="24"/>
          <w:highlight w:val="none"/>
          <w:u w:val="single"/>
        </w:rPr>
        <w:t>_根据国家的法律规定执行。</w:t>
      </w:r>
    </w:p>
    <w:p w14:paraId="3E2BA1A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44、保险</w:t>
      </w:r>
    </w:p>
    <w:p w14:paraId="70301240">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44.6本工程双方约定投保内容如下：</w:t>
      </w:r>
    </w:p>
    <w:p w14:paraId="30D3F383">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（1）发包人投保内容：</w:t>
      </w:r>
      <w:r>
        <w:rPr>
          <w:rFonts w:hint="eastAsia" w:ascii="宋体" w:hAnsi="宋体" w:eastAsia="宋体" w:cs="宋体"/>
          <w:color w:val="auto"/>
          <w:sz w:val="24"/>
          <w:szCs w:val="24"/>
          <w:highlight w:val="none"/>
          <w:u w:val="single"/>
        </w:rPr>
        <w:t>执行《通用条款》44.1款，费用由发包人承担。</w:t>
      </w:r>
    </w:p>
    <w:p w14:paraId="61F5AC5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发包人委托承包人办理的保险事项：____________/________________</w:t>
      </w:r>
    </w:p>
    <w:p w14:paraId="3673B18B">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（2）承包人投保内容：</w:t>
      </w:r>
      <w:r>
        <w:rPr>
          <w:rFonts w:hint="eastAsia" w:ascii="宋体" w:hAnsi="宋体" w:eastAsia="宋体" w:cs="宋体"/>
          <w:color w:val="auto"/>
          <w:sz w:val="24"/>
          <w:szCs w:val="24"/>
          <w:highlight w:val="none"/>
          <w:u w:val="single"/>
        </w:rPr>
        <w:t>执行《通用条款》44.4款，费用由承包人承担。</w:t>
      </w:r>
    </w:p>
    <w:p w14:paraId="6A0ED468">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45、担保</w:t>
      </w:r>
    </w:p>
    <w:p w14:paraId="46B40C98">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45.3本工程双方约定担保事项如下： </w:t>
      </w:r>
    </w:p>
    <w:p w14:paraId="0E282A5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（1）发包人向承包人提供支付担保，担保方式为：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w:t>
      </w:r>
    </w:p>
    <w:p w14:paraId="4C078C0B">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（2）承包人向发包人提供履约担保，担保方式为：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5C4E5D62">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（3）双方约定的其他担保事项：_______________/________________</w:t>
      </w:r>
    </w:p>
    <w:p w14:paraId="70CC73E4">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50、合同份数</w:t>
      </w:r>
    </w:p>
    <w:p w14:paraId="54FE3169">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50.2双方约定合同副本份数：</w:t>
      </w:r>
      <w:r>
        <w:rPr>
          <w:rFonts w:hint="eastAsia" w:ascii="宋体" w:hAnsi="宋体" w:eastAsia="宋体" w:cs="宋体"/>
          <w:color w:val="auto"/>
          <w:sz w:val="24"/>
          <w:szCs w:val="24"/>
          <w:highlight w:val="none"/>
          <w:u w:val="thick"/>
        </w:rPr>
        <w:t>捌份。</w:t>
      </w:r>
    </w:p>
    <w:p w14:paraId="5EA35A1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51、补充条款</w:t>
      </w:r>
    </w:p>
    <w:p w14:paraId="70472C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51.1</w:t>
      </w:r>
      <w:r>
        <w:rPr>
          <w:rFonts w:hint="eastAsia" w:ascii="宋体" w:hAnsi="宋体" w:eastAsia="宋体" w:cs="宋体"/>
          <w:color w:val="auto"/>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B9DEE53">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51.2</w:t>
      </w:r>
      <w:r>
        <w:rPr>
          <w:rFonts w:hint="eastAsia" w:ascii="宋体" w:hAnsi="宋体" w:eastAsia="宋体" w:cs="宋体"/>
          <w:color w:val="auto"/>
          <w:sz w:val="24"/>
          <w:szCs w:val="24"/>
          <w:highlight w:val="none"/>
          <w:u w:val="single"/>
        </w:rPr>
        <w:t>施工企业须承诺按国务院及当地政府的规定按时、足额、实名方式支付农民工工资，否则发包人在工程款中代扣支付，并在工程结算时扣除。</w:t>
      </w:r>
    </w:p>
    <w:p w14:paraId="619158CC">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51.3</w:t>
      </w:r>
      <w:r>
        <w:rPr>
          <w:rFonts w:hint="eastAsia" w:ascii="宋体" w:hAnsi="宋体" w:eastAsia="宋体" w:cs="宋体"/>
          <w:color w:val="auto"/>
          <w:sz w:val="24"/>
          <w:szCs w:val="24"/>
          <w:highlight w:val="none"/>
          <w:u w:val="single"/>
        </w:rPr>
        <w:t>本工程竣工后，应免费将建筑物周围和施工单位生活区周围内施工现场清除干净；无建筑材料、无建筑设备、无建筑垃圾、和施工垃圾，做到场地整洁。</w:t>
      </w:r>
    </w:p>
    <w:p w14:paraId="5003A476">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51.4</w:t>
      </w:r>
      <w:r>
        <w:rPr>
          <w:rFonts w:hint="eastAsia" w:ascii="宋体" w:hAnsi="宋体" w:eastAsia="宋体" w:cs="宋体"/>
          <w:color w:val="auto"/>
          <w:sz w:val="24"/>
          <w:szCs w:val="24"/>
          <w:highlight w:val="none"/>
          <w:u w:val="single"/>
        </w:rPr>
        <w:t>承包人在施工过程中应服从、遵守发包人和当地政府职能部门的管理制度。关于安全防护、文明施工措施费用的其他约定如下：</w:t>
      </w:r>
    </w:p>
    <w:p w14:paraId="5F401B27">
      <w:pPr>
        <w:numPr>
          <w:ilvl w:val="0"/>
          <w:numId w:val="6"/>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承包人需提供安全防护、文明施工措施费用的支付计划落实情况；</w:t>
      </w:r>
    </w:p>
    <w:p w14:paraId="30E51C8C">
      <w:pPr>
        <w:numPr>
          <w:ilvl w:val="0"/>
          <w:numId w:val="6"/>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工程师对承包人落实安全防护、文明施工措施分情况进行现场监理，若发现承包人为落实安全防护、文明施工措施的，有权责令其立即整改；</w:t>
      </w:r>
    </w:p>
    <w:p w14:paraId="242E57CB">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发包人和承包人应在财务管理中单独列支安全防护、文明施工措施项目费用的支付情况。</w:t>
      </w:r>
    </w:p>
    <w:p w14:paraId="32684360">
      <w:pPr>
        <w:spacing w:line="360" w:lineRule="auto"/>
        <w:ind w:firstLine="480" w:firstLineChars="200"/>
        <w:rPr>
          <w:rFonts w:hint="eastAsia" w:hAnsi="宋体"/>
          <w:color w:val="auto"/>
          <w:szCs w:val="24"/>
          <w:highlight w:val="none"/>
        </w:rPr>
      </w:pPr>
      <w:r>
        <w:rPr>
          <w:rFonts w:hint="eastAsia" w:ascii="宋体" w:hAnsi="宋体" w:eastAsia="宋体" w:cs="宋体"/>
          <w:color w:val="auto"/>
          <w:sz w:val="24"/>
          <w:szCs w:val="24"/>
          <w:highlight w:val="none"/>
        </w:rPr>
        <w:t>51.5</w:t>
      </w:r>
      <w:r>
        <w:rPr>
          <w:rFonts w:hint="eastAsia" w:ascii="宋体" w:hAnsi="宋体" w:eastAsia="宋体" w:cs="宋体"/>
          <w:color w:val="auto"/>
          <w:sz w:val="24"/>
          <w:szCs w:val="24"/>
          <w:highlight w:val="none"/>
          <w:u w:val="single"/>
        </w:rPr>
        <w:t>以上未尽事宜，双方协商解决或另行签署补充协议并到建设行政主管部门备案。</w:t>
      </w:r>
    </w:p>
    <w:p w14:paraId="7C244A27">
      <w:pPr>
        <w:ind w:firstLine="600" w:firstLineChars="200"/>
        <w:rPr>
          <w:rFonts w:hint="eastAsia" w:ascii="仿宋_GB2312" w:eastAsia="仿宋_GB2312"/>
          <w:sz w:val="30"/>
          <w:szCs w:val="30"/>
          <w:highlight w:val="none"/>
        </w:rPr>
        <w:sectPr>
          <w:footerReference r:id="rId15" w:type="first"/>
          <w:footerReference r:id="rId14" w:type="default"/>
          <w:pgSz w:w="11906" w:h="16838"/>
          <w:pgMar w:top="1361" w:right="1304" w:bottom="1361" w:left="1304" w:header="851" w:footer="992" w:gutter="0"/>
          <w:pgNumType w:fmt="decimal"/>
          <w:cols w:space="720" w:num="1"/>
          <w:titlePg/>
          <w:docGrid w:type="lines" w:linePitch="312" w:charSpace="0"/>
        </w:sectPr>
      </w:pPr>
    </w:p>
    <w:p w14:paraId="521983DD">
      <w:pPr>
        <w:pStyle w:val="2"/>
        <w:jc w:val="center"/>
        <w:outlineLvl w:val="0"/>
        <w:rPr>
          <w:rFonts w:hint="eastAsia" w:ascii="宋体" w:hAnsi="宋体" w:eastAsia="宋体" w:cs="宋体"/>
          <w:bCs/>
          <w:sz w:val="36"/>
          <w:szCs w:val="36"/>
          <w:highlight w:val="none"/>
        </w:rPr>
      </w:pPr>
      <w:bookmarkStart w:id="107" w:name="_Toc15604"/>
      <w:r>
        <w:rPr>
          <w:rFonts w:hint="eastAsia" w:ascii="宋体" w:hAnsi="宋体" w:eastAsia="宋体" w:cs="宋体"/>
          <w:bCs/>
          <w:sz w:val="36"/>
          <w:szCs w:val="36"/>
          <w:highlight w:val="none"/>
        </w:rPr>
        <w:t xml:space="preserve">第五章 </w:t>
      </w:r>
      <w:bookmarkEnd w:id="93"/>
      <w:bookmarkEnd w:id="94"/>
      <w:bookmarkEnd w:id="95"/>
      <w:bookmarkEnd w:id="96"/>
      <w:bookmarkEnd w:id="97"/>
      <w:bookmarkEnd w:id="98"/>
      <w:bookmarkEnd w:id="99"/>
      <w:bookmarkEnd w:id="100"/>
      <w:bookmarkEnd w:id="101"/>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02"/>
      <w:bookmarkEnd w:id="107"/>
    </w:p>
    <w:bookmarkEnd w:id="68"/>
    <w:p w14:paraId="4B949474">
      <w:pPr>
        <w:pStyle w:val="3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bookmarkStart w:id="108" w:name="_Toc363474025"/>
      <w:bookmarkStart w:id="109" w:name="_Toc5084"/>
      <w:bookmarkStart w:id="110" w:name="_Toc403077646"/>
      <w:bookmarkStart w:id="111" w:name="_Toc423973079"/>
      <w:r>
        <w:rPr>
          <w:rFonts w:hint="eastAsia" w:ascii="宋体" w:hAnsi="宋体" w:eastAsia="宋体" w:cs="宋体"/>
          <w:b/>
          <w:bCs/>
          <w:sz w:val="28"/>
          <w:szCs w:val="28"/>
          <w:lang w:val="en-US" w:eastAsia="zh-CN"/>
        </w:rPr>
        <w:t>一、项目区概况</w:t>
      </w:r>
    </w:p>
    <w:p w14:paraId="3FA449CF">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腰庄村位于杏坪镇东北部，距离镇政府12公里，东与油房村相连，南与联合村毗邻，西与肖台村接壤，北与党台村相接。全村总面积12平方公里，有耕地4301.16亩，林地18322.3亩。全村共有4个村民小组，407户，户籍总人ロ1235人，脱贫户153户442人。</w:t>
      </w:r>
    </w:p>
    <w:p w14:paraId="6797E2F4">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该村目前的产业有大棚木耳22座，可吊袋菌包30万袋，年收入30万元，人均增收700元。集体经济养猪场600平米，现存栏140头，板栗2000亩，人均增收500元。</w:t>
      </w:r>
      <w:r>
        <w:rPr>
          <w:rFonts w:hint="eastAsia" w:ascii="宋体" w:hAnsi="宋体" w:eastAsia="宋体" w:cs="宋体"/>
          <w:sz w:val="24"/>
          <w:szCs w:val="24"/>
        </w:rPr>
        <w:t>该村林木葱翠，空气纯净，森林覆盖率达83%；境域土地肥沃，气候宜人，非常适宜各类农作物生长，盛产核桃板栗林果,百姓善良精明，勤劳纯朴</w:t>
      </w:r>
      <w:r>
        <w:rPr>
          <w:rFonts w:hint="eastAsia" w:ascii="宋体" w:hAnsi="宋体" w:eastAsia="宋体" w:cs="宋体"/>
          <w:sz w:val="24"/>
          <w:szCs w:val="24"/>
          <w:lang w:eastAsia="zh-CN"/>
        </w:rPr>
        <w:t>。</w:t>
      </w:r>
      <w:r>
        <w:rPr>
          <w:rFonts w:hint="eastAsia" w:ascii="宋体" w:hAnsi="宋体" w:eastAsia="宋体" w:cs="宋体"/>
          <w:sz w:val="24"/>
          <w:szCs w:val="24"/>
        </w:rPr>
        <w:t>以其独特的地理优势、环境优势、政策优势，成为我县发展动力最强劲的镇村</w:t>
      </w:r>
      <w:r>
        <w:rPr>
          <w:rFonts w:hint="eastAsia" w:ascii="宋体" w:hAnsi="宋体" w:eastAsia="宋体" w:cs="宋体"/>
          <w:sz w:val="24"/>
          <w:szCs w:val="24"/>
          <w:lang w:eastAsia="zh-CN"/>
        </w:rPr>
        <w:t>之一。</w:t>
      </w:r>
    </w:p>
    <w:p w14:paraId="6CFAE4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i w:val="0"/>
          <w:iCs w:val="0"/>
          <w:caps w:val="0"/>
          <w:color w:val="222222"/>
          <w:spacing w:val="0"/>
          <w:sz w:val="24"/>
          <w:szCs w:val="24"/>
          <w:shd w:val="clear" w:color="auto" w:fill="auto"/>
        </w:rPr>
        <w:t>盘龙寺村位于柞水县红岩寺镇</w:t>
      </w:r>
      <w:r>
        <w:rPr>
          <w:rFonts w:hint="eastAsia" w:ascii="宋体" w:hAnsi="宋体" w:eastAsia="宋体" w:cs="宋体"/>
          <w:b w:val="0"/>
          <w:bCs w:val="0"/>
          <w:i w:val="0"/>
          <w:iCs w:val="0"/>
          <w:caps w:val="0"/>
          <w:color w:val="222222"/>
          <w:spacing w:val="0"/>
          <w:sz w:val="24"/>
          <w:szCs w:val="24"/>
          <w:shd w:val="clear" w:color="auto" w:fill="auto"/>
          <w:lang w:eastAsia="zh-CN"/>
        </w:rPr>
        <w:t>，</w:t>
      </w:r>
      <w:r>
        <w:rPr>
          <w:rFonts w:hint="eastAsia" w:ascii="宋体" w:hAnsi="宋体" w:eastAsia="宋体" w:cs="宋体"/>
          <w:b w:val="0"/>
          <w:bCs w:val="0"/>
          <w:i w:val="0"/>
          <w:iCs w:val="0"/>
          <w:caps w:val="0"/>
          <w:color w:val="222222"/>
          <w:spacing w:val="0"/>
          <w:sz w:val="24"/>
          <w:szCs w:val="24"/>
          <w:shd w:val="clear" w:color="auto" w:fill="auto"/>
        </w:rPr>
        <w:t>地处秦岭深山，属于高寒山区，海拔高、气候寒冷，昼夜温差大，村域内有 313 省道穿过，交通相对便利。</w:t>
      </w:r>
      <w:r>
        <w:rPr>
          <w:rFonts w:hint="eastAsia" w:ascii="宋体" w:hAnsi="宋体" w:eastAsia="宋体" w:cs="宋体"/>
          <w:b w:val="0"/>
          <w:bCs w:val="0"/>
          <w:i w:val="0"/>
          <w:iCs w:val="0"/>
          <w:caps w:val="0"/>
          <w:color w:val="222222"/>
          <w:spacing w:val="0"/>
          <w:sz w:val="24"/>
          <w:szCs w:val="24"/>
          <w:shd w:val="clear" w:color="auto" w:fill="auto"/>
          <w:lang w:eastAsia="zh-CN"/>
        </w:rPr>
        <w:t>辖</w:t>
      </w:r>
      <w:r>
        <w:rPr>
          <w:rFonts w:hint="eastAsia" w:ascii="宋体" w:hAnsi="宋体" w:eastAsia="宋体" w:cs="宋体"/>
          <w:b w:val="0"/>
          <w:bCs w:val="0"/>
          <w:i w:val="0"/>
          <w:iCs w:val="0"/>
          <w:caps w:val="0"/>
          <w:color w:val="222222"/>
          <w:spacing w:val="0"/>
          <w:sz w:val="24"/>
          <w:szCs w:val="24"/>
          <w:shd w:val="clear" w:color="auto" w:fill="auto"/>
        </w:rPr>
        <w:t>4 个村民小组，510 户 1920 人。以 “高山、林下、307 省道沿线” 三大产业园区建设为重点，建成千亩连翘示范基地、千亩马铃薯基地和万亩华山松子采集基地，引进了车厘子、北美冬青等产业，同时发展林下经济，养殖土鸡、黑土猪等。2022 年开始推进秦岭山水乡村建设，通过 “微改造、精提升”，村域内 313 省道两旁花坛里一年三季鲜花不断，河道面貌焕然一新，群众院落干净整洁。</w:t>
      </w:r>
    </w:p>
    <w:p w14:paraId="4DB43557">
      <w:pPr>
        <w:pStyle w:val="3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bookmarkStart w:id="112" w:name="_Toc31899"/>
      <w:r>
        <w:rPr>
          <w:rFonts w:hint="eastAsia" w:ascii="宋体" w:hAnsi="宋体" w:eastAsia="宋体" w:cs="宋体"/>
          <w:b/>
          <w:bCs/>
          <w:sz w:val="28"/>
          <w:szCs w:val="28"/>
          <w:lang w:val="en-US" w:eastAsia="zh-CN"/>
        </w:rPr>
        <w:t>二、目标任务</w:t>
      </w:r>
      <w:bookmarkEnd w:id="112"/>
    </w:p>
    <w:p w14:paraId="645ABB02">
      <w:pPr>
        <w:keepNext w:val="0"/>
        <w:keepLines w:val="0"/>
        <w:pageBreakBefore w:val="0"/>
        <w:widowControl w:val="0"/>
        <w:kinsoku/>
        <w:wordWrap/>
        <w:overflowPunct w:val="0"/>
        <w:topLinePunct/>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1、“农村四旁”绿化</w:t>
      </w:r>
    </w:p>
    <w:p w14:paraId="2F36A311">
      <w:pPr>
        <w:keepNext w:val="0"/>
        <w:keepLines w:val="0"/>
        <w:pageBreakBefore w:val="0"/>
        <w:widowControl w:val="0"/>
        <w:kinsoku/>
        <w:wordWrap/>
        <w:overflowPunct w:val="0"/>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sz w:val="24"/>
          <w:szCs w:val="24"/>
          <w:lang w:eastAsia="zh-CN"/>
        </w:rPr>
      </w:pPr>
      <w:r>
        <w:rPr>
          <w:rFonts w:hint="eastAsia" w:ascii="宋体" w:hAnsi="宋体" w:eastAsia="宋体" w:cs="宋体"/>
          <w:sz w:val="24"/>
          <w:szCs w:val="24"/>
        </w:rPr>
        <w:t>本次绿化设计根据</w:t>
      </w:r>
      <w:r>
        <w:rPr>
          <w:rFonts w:hint="eastAsia" w:ascii="宋体" w:hAnsi="宋体" w:eastAsia="宋体" w:cs="宋体"/>
          <w:sz w:val="24"/>
          <w:szCs w:val="24"/>
          <w:lang w:val="en-US" w:eastAsia="zh-CN"/>
        </w:rPr>
        <w:t>项目区</w:t>
      </w:r>
      <w:r>
        <w:rPr>
          <w:rFonts w:hint="eastAsia" w:ascii="宋体" w:hAnsi="宋体" w:eastAsia="宋体" w:cs="宋体"/>
          <w:sz w:val="24"/>
          <w:szCs w:val="24"/>
        </w:rPr>
        <w:t>立地条件和实地情况对杏坪镇腰庄村进行绿化提升，</w:t>
      </w:r>
      <w:r>
        <w:rPr>
          <w:rFonts w:hint="eastAsia" w:ascii="宋体" w:hAnsi="宋体" w:eastAsia="宋体" w:cs="宋体"/>
          <w:sz w:val="24"/>
          <w:szCs w:val="24"/>
          <w:lang w:eastAsia="zh-CN"/>
        </w:rPr>
        <w:t>包括共享</w:t>
      </w:r>
      <w:r>
        <w:rPr>
          <w:rFonts w:hint="eastAsia" w:ascii="宋体" w:hAnsi="宋体" w:eastAsia="宋体" w:cs="宋体"/>
          <w:sz w:val="24"/>
          <w:szCs w:val="24"/>
        </w:rPr>
        <w:t>菜园核心区、</w:t>
      </w:r>
      <w:r>
        <w:rPr>
          <w:rFonts w:hint="eastAsia" w:ascii="宋体" w:hAnsi="宋体" w:eastAsia="宋体" w:cs="宋体"/>
          <w:sz w:val="24"/>
          <w:szCs w:val="24"/>
          <w:lang w:eastAsia="zh-CN"/>
        </w:rPr>
        <w:t>道路两侧</w:t>
      </w:r>
      <w:r>
        <w:rPr>
          <w:rFonts w:hint="eastAsia" w:ascii="宋体" w:hAnsi="宋体" w:eastAsia="宋体" w:cs="宋体"/>
          <w:sz w:val="24"/>
          <w:szCs w:val="24"/>
        </w:rPr>
        <w:t>、</w:t>
      </w:r>
      <w:r>
        <w:rPr>
          <w:rFonts w:hint="eastAsia" w:ascii="宋体" w:hAnsi="宋体" w:eastAsia="宋体" w:cs="宋体"/>
          <w:sz w:val="24"/>
          <w:szCs w:val="24"/>
          <w:lang w:eastAsia="zh-CN"/>
        </w:rPr>
        <w:t>村庄、</w:t>
      </w:r>
      <w:r>
        <w:rPr>
          <w:rFonts w:hint="eastAsia" w:ascii="宋体" w:hAnsi="宋体" w:eastAsia="宋体" w:cs="宋体"/>
          <w:sz w:val="24"/>
          <w:szCs w:val="24"/>
        </w:rPr>
        <w:t>周边空闲地等</w:t>
      </w:r>
      <w:r>
        <w:rPr>
          <w:rFonts w:hint="eastAsia" w:ascii="宋体" w:hAnsi="宋体" w:eastAsia="宋体" w:cs="宋体"/>
          <w:sz w:val="24"/>
          <w:szCs w:val="24"/>
          <w:lang w:val="en-US" w:eastAsia="zh-CN"/>
        </w:rPr>
        <w:t>重点区域</w:t>
      </w:r>
      <w:r>
        <w:rPr>
          <w:rFonts w:hint="eastAsia" w:ascii="宋体" w:hAnsi="宋体" w:eastAsia="宋体" w:cs="宋体"/>
          <w:sz w:val="24"/>
          <w:szCs w:val="24"/>
        </w:rPr>
        <w:t>绿地进行</w:t>
      </w:r>
      <w:r>
        <w:rPr>
          <w:rFonts w:hint="eastAsia" w:ascii="宋体" w:hAnsi="宋体" w:eastAsia="宋体" w:cs="宋体"/>
          <w:sz w:val="24"/>
          <w:szCs w:val="24"/>
          <w:lang w:val="en-US" w:eastAsia="zh-CN"/>
        </w:rPr>
        <w:t>绿化补植和提升</w:t>
      </w:r>
      <w:r>
        <w:rPr>
          <w:rFonts w:hint="eastAsia" w:ascii="宋体" w:hAnsi="宋体" w:eastAsia="宋体" w:cs="宋体"/>
          <w:sz w:val="24"/>
          <w:szCs w:val="24"/>
        </w:rPr>
        <w:t>。</w:t>
      </w:r>
      <w:r>
        <w:rPr>
          <w:rFonts w:hint="eastAsia" w:ascii="宋体" w:hAnsi="宋体" w:eastAsia="宋体" w:cs="宋体"/>
          <w:sz w:val="24"/>
          <w:szCs w:val="24"/>
          <w:lang w:eastAsia="zh-CN"/>
        </w:rPr>
        <w:t>规划设计</w:t>
      </w:r>
      <w:r>
        <w:rPr>
          <w:rFonts w:hint="eastAsia" w:ascii="宋体" w:hAnsi="宋体" w:eastAsia="宋体" w:cs="宋体"/>
          <w:sz w:val="24"/>
          <w:szCs w:val="24"/>
          <w:lang w:val="en-US" w:eastAsia="zh-CN"/>
        </w:rPr>
        <w:t>17个不同品种的绿化苗木，折合</w:t>
      </w:r>
      <w:r>
        <w:rPr>
          <w:rFonts w:hint="eastAsia" w:ascii="宋体" w:hAnsi="宋体" w:eastAsia="宋体" w:cs="宋体"/>
          <w:sz w:val="24"/>
          <w:szCs w:val="24"/>
          <w:lang w:eastAsia="zh-CN"/>
        </w:rPr>
        <w:t>绿化面积</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亩</w:t>
      </w:r>
      <w:r>
        <w:rPr>
          <w:rFonts w:hint="eastAsia" w:ascii="宋体" w:hAnsi="宋体" w:eastAsia="宋体" w:cs="宋体"/>
          <w:sz w:val="24"/>
          <w:szCs w:val="24"/>
          <w:lang w:eastAsia="zh-CN"/>
        </w:rPr>
        <w:t>。</w:t>
      </w:r>
      <w:r>
        <w:rPr>
          <w:rFonts w:hint="eastAsia" w:ascii="宋体" w:hAnsi="宋体" w:eastAsia="宋体" w:cs="宋体"/>
          <w:sz w:val="24"/>
          <w:szCs w:val="24"/>
        </w:rPr>
        <w:t>设计遵循简洁、大方、自然的设计理念，宜树则树，宜草则草，以乔、灌、花、草搭配，打造四季常青、三季有花，高低错落、整齐划一、色彩分明的绿地空间。</w:t>
      </w:r>
    </w:p>
    <w:p w14:paraId="3A449EB8">
      <w:pPr>
        <w:keepNext w:val="0"/>
        <w:keepLines w:val="0"/>
        <w:pageBreakBefore w:val="0"/>
        <w:widowControl w:val="0"/>
        <w:tabs>
          <w:tab w:val="left" w:pos="638"/>
        </w:tabs>
        <w:kinsoku/>
        <w:wordWrap/>
        <w:overflowPunct w:val="0"/>
        <w:topLinePunct/>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2、坡体植被恢复绿化</w:t>
      </w:r>
    </w:p>
    <w:p w14:paraId="219774DE">
      <w:pPr>
        <w:keepNext w:val="0"/>
        <w:keepLines w:val="0"/>
        <w:pageBreakBefore w:val="0"/>
        <w:widowControl w:val="0"/>
        <w:tabs>
          <w:tab w:val="left" w:pos="773"/>
        </w:tabs>
        <w:kinsoku/>
        <w:wordWrap/>
        <w:overflowPunct w:val="0"/>
        <w:topLinePunct/>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b/>
          <w:sz w:val="24"/>
          <w:szCs w:val="24"/>
          <w:lang w:eastAsia="zh-CN"/>
        </w:rPr>
      </w:pPr>
      <w:bookmarkStart w:id="113" w:name="_Toc7532"/>
      <w:r>
        <w:rPr>
          <w:rFonts w:hint="eastAsia" w:ascii="宋体" w:hAnsi="宋体" w:eastAsia="宋体" w:cs="宋体"/>
          <w:b w:val="0"/>
          <w:bCs/>
          <w:sz w:val="24"/>
          <w:szCs w:val="24"/>
          <w:lang w:eastAsia="zh-CN"/>
        </w:rPr>
        <w:t>根据立地条件和实地情况对盘龙寺村燕窝沟、小黄沟坡体</w:t>
      </w:r>
      <w:r>
        <w:rPr>
          <w:rFonts w:hint="eastAsia" w:ascii="宋体" w:hAnsi="宋体" w:eastAsia="宋体" w:cs="宋体"/>
          <w:b w:val="0"/>
          <w:bCs/>
          <w:sz w:val="24"/>
          <w:szCs w:val="24"/>
          <w:lang w:val="en-US" w:eastAsia="zh-CN"/>
        </w:rPr>
        <w:t>进行</w:t>
      </w:r>
      <w:r>
        <w:rPr>
          <w:rFonts w:hint="eastAsia" w:ascii="宋体" w:hAnsi="宋体" w:eastAsia="宋体" w:cs="宋体"/>
          <w:b w:val="0"/>
          <w:bCs/>
          <w:sz w:val="24"/>
          <w:szCs w:val="24"/>
          <w:lang w:eastAsia="zh-CN"/>
        </w:rPr>
        <w:t>植被恢复绿化，针对盘龙寺村高寒的地理气候特性，规划设计以云杉、</w:t>
      </w:r>
      <w:r>
        <w:rPr>
          <w:rFonts w:hint="eastAsia" w:ascii="宋体" w:hAnsi="宋体" w:eastAsia="宋体" w:cs="宋体"/>
          <w:b w:val="0"/>
          <w:bCs/>
          <w:sz w:val="24"/>
          <w:szCs w:val="24"/>
          <w:lang w:val="en-US" w:eastAsia="zh-CN"/>
        </w:rPr>
        <w:t>刺槐</w:t>
      </w:r>
      <w:r>
        <w:rPr>
          <w:rFonts w:hint="eastAsia" w:ascii="宋体" w:hAnsi="宋体" w:eastAsia="宋体" w:cs="宋体"/>
          <w:b w:val="0"/>
          <w:bCs/>
          <w:sz w:val="24"/>
          <w:szCs w:val="24"/>
          <w:lang w:eastAsia="zh-CN"/>
        </w:rPr>
        <w:t>为主的绿化树种，因</w:t>
      </w:r>
      <w:r>
        <w:rPr>
          <w:rFonts w:hint="eastAsia" w:ascii="宋体" w:hAnsi="宋体" w:eastAsia="宋体" w:cs="宋体"/>
          <w:i w:val="0"/>
          <w:iCs w:val="0"/>
          <w:caps w:val="0"/>
          <w:color w:val="333333"/>
          <w:spacing w:val="0"/>
          <w:sz w:val="24"/>
          <w:szCs w:val="24"/>
          <w:shd w:val="clear" w:color="auto" w:fill="FFFFFF"/>
        </w:rPr>
        <w:t>云杉喜欢寒冷的环境，具有一定的抗寒能力，高寒地区是其理想的生长地。</w:t>
      </w:r>
      <w:r>
        <w:rPr>
          <w:rFonts w:hint="eastAsia" w:ascii="宋体" w:hAnsi="宋体" w:eastAsia="宋体" w:cs="宋体"/>
          <w:i w:val="0"/>
          <w:iCs w:val="0"/>
          <w:caps w:val="0"/>
          <w:color w:val="333333"/>
          <w:spacing w:val="0"/>
          <w:sz w:val="24"/>
          <w:szCs w:val="24"/>
          <w:shd w:val="clear" w:color="auto" w:fill="FFFFFF"/>
          <w:lang w:eastAsia="zh-CN"/>
        </w:rPr>
        <w:t>同时</w:t>
      </w:r>
      <w:r>
        <w:rPr>
          <w:rFonts w:hint="eastAsia" w:ascii="宋体" w:hAnsi="宋体" w:eastAsia="宋体" w:cs="宋体"/>
          <w:i w:val="0"/>
          <w:iCs w:val="0"/>
          <w:caps w:val="0"/>
          <w:color w:val="333333"/>
          <w:spacing w:val="0"/>
          <w:sz w:val="24"/>
          <w:szCs w:val="24"/>
          <w:shd w:val="clear" w:color="auto" w:fill="FFFFFF"/>
        </w:rPr>
        <w:t>云杉对土壤的适应性也很强，</w:t>
      </w:r>
      <w:r>
        <w:rPr>
          <w:rFonts w:hint="eastAsia" w:ascii="宋体" w:hAnsi="宋体" w:eastAsia="宋体" w:cs="宋体"/>
          <w:i w:val="0"/>
          <w:iCs w:val="0"/>
          <w:caps w:val="0"/>
          <w:color w:val="333333"/>
          <w:spacing w:val="0"/>
          <w:sz w:val="24"/>
          <w:szCs w:val="24"/>
          <w:shd w:val="clear" w:color="auto" w:fill="FFFFFF"/>
          <w:lang w:eastAsia="zh-CN"/>
        </w:rPr>
        <w:t>针对不同区域规划设计大、中、营养钵不同规格的绿化苗木，</w:t>
      </w:r>
      <w:r>
        <w:rPr>
          <w:rFonts w:hint="eastAsia" w:ascii="宋体" w:hAnsi="宋体" w:eastAsia="宋体" w:cs="宋体"/>
          <w:i w:val="0"/>
          <w:iCs w:val="0"/>
          <w:caps w:val="0"/>
          <w:color w:val="auto"/>
          <w:spacing w:val="0"/>
          <w:sz w:val="24"/>
          <w:szCs w:val="24"/>
          <w:shd w:val="clear" w:color="auto" w:fill="FFFFFF"/>
          <w:lang w:eastAsia="zh-CN"/>
        </w:rPr>
        <w:t>规划设计</w:t>
      </w:r>
      <w:r>
        <w:rPr>
          <w:rFonts w:hint="eastAsia" w:ascii="宋体" w:hAnsi="宋体" w:eastAsia="宋体" w:cs="宋体"/>
          <w:i w:val="0"/>
          <w:iCs w:val="0"/>
          <w:caps w:val="0"/>
          <w:color w:val="auto"/>
          <w:spacing w:val="0"/>
          <w:sz w:val="24"/>
          <w:szCs w:val="24"/>
          <w:shd w:val="clear" w:color="auto" w:fill="FFFFFF"/>
          <w:lang w:val="en-US" w:eastAsia="zh-CN"/>
        </w:rPr>
        <w:t>6个作业小班，作业面积150亩，</w:t>
      </w:r>
      <w:r>
        <w:rPr>
          <w:rFonts w:hint="eastAsia" w:ascii="宋体" w:hAnsi="宋体" w:eastAsia="宋体" w:cs="宋体"/>
          <w:color w:val="auto"/>
          <w:sz w:val="24"/>
          <w:szCs w:val="24"/>
          <w:lang w:eastAsia="zh-CN"/>
        </w:rPr>
        <w:t>以森林植被恢复为目标，以科学技术为支撑，因</w:t>
      </w:r>
      <w:r>
        <w:rPr>
          <w:rFonts w:hint="eastAsia" w:ascii="宋体" w:hAnsi="宋体" w:eastAsia="宋体" w:cs="宋体"/>
          <w:sz w:val="24"/>
          <w:szCs w:val="24"/>
          <w:lang w:eastAsia="zh-CN"/>
        </w:rPr>
        <w:t>地制宜、因害设防、统筹安排、科学决策，</w:t>
      </w:r>
      <w:r>
        <w:rPr>
          <w:rFonts w:hint="eastAsia" w:ascii="宋体" w:hAnsi="宋体" w:eastAsia="宋体" w:cs="宋体"/>
          <w:sz w:val="24"/>
          <w:szCs w:val="24"/>
          <w:lang w:val="en-US" w:eastAsia="zh-CN"/>
        </w:rPr>
        <w:t>一次性恢复到位</w:t>
      </w:r>
      <w:r>
        <w:rPr>
          <w:rFonts w:hint="eastAsia" w:ascii="宋体" w:hAnsi="宋体" w:eastAsia="宋体" w:cs="宋体"/>
          <w:sz w:val="24"/>
          <w:szCs w:val="24"/>
          <w:lang w:eastAsia="zh-CN"/>
        </w:rPr>
        <w:t>。</w:t>
      </w:r>
    </w:p>
    <w:bookmarkEnd w:id="113"/>
    <w:p w14:paraId="73FC3C74">
      <w:pPr>
        <w:pStyle w:val="3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rPr>
      </w:pPr>
      <w:bookmarkStart w:id="114" w:name="_Toc452364939"/>
      <w:bookmarkStart w:id="115" w:name="_Toc3574"/>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项目区范围及建设规模</w:t>
      </w:r>
      <w:bookmarkEnd w:id="114"/>
      <w:bookmarkEnd w:id="115"/>
    </w:p>
    <w:p w14:paraId="0876CFF6">
      <w:pPr>
        <w:pStyle w:val="37"/>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（一）“农村四旁”绿化</w:t>
      </w:r>
    </w:p>
    <w:p w14:paraId="2A39555B">
      <w:pPr>
        <w:pStyle w:val="37"/>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项目地点位于杏坪镇腰庄村，</w:t>
      </w:r>
      <w:r>
        <w:rPr>
          <w:rFonts w:hint="eastAsia" w:ascii="宋体" w:hAnsi="宋体" w:eastAsia="宋体" w:cs="宋体"/>
          <w:kern w:val="0"/>
          <w:sz w:val="24"/>
          <w:szCs w:val="24"/>
          <w:lang w:val="en-US" w:eastAsia="zh-CN"/>
        </w:rPr>
        <w:t>折合</w:t>
      </w:r>
      <w:r>
        <w:rPr>
          <w:rFonts w:hint="eastAsia" w:ascii="宋体" w:hAnsi="宋体" w:eastAsia="宋体" w:cs="宋体"/>
          <w:kern w:val="0"/>
          <w:sz w:val="24"/>
          <w:szCs w:val="24"/>
          <w:lang w:eastAsia="zh-CN"/>
        </w:rPr>
        <w:t>绿化面积</w:t>
      </w:r>
      <w:r>
        <w:rPr>
          <w:rFonts w:hint="eastAsia" w:ascii="宋体" w:hAnsi="宋体" w:eastAsia="宋体" w:cs="宋体"/>
          <w:color w:val="auto"/>
          <w:kern w:val="0"/>
          <w:sz w:val="24"/>
          <w:szCs w:val="24"/>
          <w:lang w:val="en-US" w:eastAsia="zh-CN"/>
        </w:rPr>
        <w:t>50亩</w:t>
      </w:r>
      <w:r>
        <w:rPr>
          <w:rFonts w:hint="eastAsia" w:ascii="宋体" w:hAnsi="宋体" w:eastAsia="宋体" w:cs="宋体"/>
          <w:kern w:val="0"/>
          <w:sz w:val="24"/>
          <w:szCs w:val="24"/>
          <w:lang w:eastAsia="zh-CN"/>
        </w:rPr>
        <w:t>，栽植</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lang w:eastAsia="zh-CN"/>
        </w:rPr>
        <w:t>个品种绿化苗木</w:t>
      </w:r>
      <w:r>
        <w:rPr>
          <w:rFonts w:hint="eastAsia" w:ascii="宋体" w:hAnsi="宋体" w:eastAsia="宋体" w:cs="宋体"/>
          <w:kern w:val="0"/>
          <w:sz w:val="24"/>
          <w:szCs w:val="24"/>
          <w:lang w:val="en-US" w:eastAsia="zh-CN"/>
        </w:rPr>
        <w:t>8489</w:t>
      </w:r>
      <w:r>
        <w:rPr>
          <w:rFonts w:hint="eastAsia" w:ascii="宋体" w:hAnsi="宋体" w:eastAsia="宋体" w:cs="宋体"/>
          <w:kern w:val="0"/>
          <w:sz w:val="24"/>
          <w:szCs w:val="24"/>
          <w:lang w:eastAsia="zh-CN"/>
        </w:rPr>
        <w:t>株，栽种麦冬草</w:t>
      </w:r>
      <w:r>
        <w:rPr>
          <w:rFonts w:hint="eastAsia" w:ascii="宋体" w:hAnsi="宋体" w:eastAsia="宋体" w:cs="宋体"/>
          <w:kern w:val="0"/>
          <w:sz w:val="24"/>
          <w:szCs w:val="24"/>
          <w:lang w:val="en-US" w:eastAsia="zh-CN"/>
        </w:rPr>
        <w:t>298</w:t>
      </w:r>
      <w:r>
        <w:rPr>
          <w:rFonts w:hint="eastAsia" w:ascii="宋体" w:hAnsi="宋体" w:eastAsia="宋体" w:cs="宋体"/>
          <w:kern w:val="0"/>
          <w:sz w:val="24"/>
          <w:szCs w:val="24"/>
          <w:lang w:eastAsia="zh-CN"/>
        </w:rPr>
        <w:t>平方米，种植穴培土</w:t>
      </w:r>
      <w:r>
        <w:rPr>
          <w:rFonts w:hint="eastAsia" w:ascii="宋体" w:hAnsi="宋体" w:eastAsia="宋体" w:cs="宋体"/>
          <w:kern w:val="0"/>
          <w:sz w:val="24"/>
          <w:szCs w:val="24"/>
          <w:lang w:val="en-US" w:eastAsia="zh-CN"/>
        </w:rPr>
        <w:t>475</w:t>
      </w:r>
      <w:r>
        <w:rPr>
          <w:rFonts w:hint="eastAsia" w:ascii="宋体" w:hAnsi="宋体" w:eastAsia="宋体" w:cs="宋体"/>
          <w:kern w:val="0"/>
          <w:sz w:val="24"/>
          <w:szCs w:val="24"/>
          <w:lang w:eastAsia="zh-CN"/>
        </w:rPr>
        <w:t>立方米，平整土地</w:t>
      </w:r>
      <w:r>
        <w:rPr>
          <w:rFonts w:hint="eastAsia" w:ascii="宋体" w:hAnsi="宋体" w:eastAsia="宋体" w:cs="宋体"/>
          <w:kern w:val="0"/>
          <w:sz w:val="24"/>
          <w:szCs w:val="24"/>
          <w:lang w:val="en-US" w:eastAsia="zh-CN"/>
        </w:rPr>
        <w:t>4742平方米及垃圾外运等辅助工程实施。</w:t>
      </w:r>
    </w:p>
    <w:p w14:paraId="0B097E7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0"/>
          <w:sz w:val="24"/>
          <w:szCs w:val="24"/>
          <w:lang w:val="en-US" w:eastAsia="zh-CN" w:bidi="ar-SA"/>
        </w:rPr>
      </w:pPr>
      <w:bookmarkStart w:id="116" w:name="_Toc15279"/>
      <w:r>
        <w:rPr>
          <w:rFonts w:hint="eastAsia" w:ascii="宋体" w:hAnsi="宋体" w:eastAsia="宋体" w:cs="宋体"/>
          <w:b/>
          <w:bCs/>
          <w:kern w:val="0"/>
          <w:sz w:val="24"/>
          <w:szCs w:val="24"/>
          <w:lang w:val="en-US" w:eastAsia="zh-CN" w:bidi="ar-SA"/>
        </w:rPr>
        <w:t>1、道路沿线</w:t>
      </w:r>
      <w:bookmarkEnd w:id="116"/>
    </w:p>
    <w:p w14:paraId="3DC6B0F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val="en-US" w:eastAsia="zh-CN" w:bidi="ar-SA"/>
        </w:rPr>
      </w:pPr>
      <w:bookmarkStart w:id="117" w:name="_Toc19741"/>
      <w:r>
        <w:rPr>
          <w:rFonts w:hint="eastAsia" w:ascii="宋体" w:hAnsi="宋体" w:eastAsia="宋体" w:cs="宋体"/>
          <w:kern w:val="0"/>
          <w:sz w:val="24"/>
          <w:szCs w:val="24"/>
          <w:lang w:val="en-US" w:eastAsia="zh-CN" w:bidi="ar-SA"/>
        </w:rPr>
        <w:t>牛槽沟口桥至村委会公路沿线，长5公里，沿路补栽红叶李242株，栽植高杆石楠55株，桂花2株，黄杨球665株，金叶女贞球7株，小叶女贞3株，栽种麦冬148平方米，种植穴培土475立方米。养猪场外侧栽植金镶玉竹1214株。</w:t>
      </w:r>
    </w:p>
    <w:p w14:paraId="198A8C6A">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2、牛槽沟口桥</w:t>
      </w:r>
      <w:bookmarkEnd w:id="117"/>
    </w:p>
    <w:p w14:paraId="4EE6A34E">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桥花池长80米，宽0.5米。补栽雀舌黄杨10株，栽种麦冬40</w:t>
      </w:r>
      <w:r>
        <w:rPr>
          <w:rFonts w:hint="eastAsia" w:ascii="宋体" w:hAnsi="宋体" w:eastAsia="宋体" w:cs="宋体"/>
          <w:kern w:val="0"/>
          <w:sz w:val="24"/>
          <w:szCs w:val="24"/>
          <w:lang w:eastAsia="zh-CN"/>
        </w:rPr>
        <w:t>平方米</w:t>
      </w:r>
      <w:r>
        <w:rPr>
          <w:rFonts w:hint="eastAsia" w:ascii="宋体" w:hAnsi="宋体" w:eastAsia="宋体" w:cs="宋体"/>
          <w:kern w:val="0"/>
          <w:sz w:val="24"/>
          <w:szCs w:val="24"/>
          <w:lang w:val="en-US" w:eastAsia="zh-CN" w:bidi="ar-SA"/>
        </w:rPr>
        <w:t>。桥正对面花池长10米，栽植金镶玉竹219株。</w:t>
      </w:r>
    </w:p>
    <w:p w14:paraId="481BBAB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0"/>
          <w:sz w:val="24"/>
          <w:szCs w:val="24"/>
          <w:lang w:val="en-US" w:eastAsia="zh-CN" w:bidi="ar-SA"/>
        </w:rPr>
      </w:pPr>
      <w:bookmarkStart w:id="118" w:name="_Toc21429"/>
      <w:r>
        <w:rPr>
          <w:rFonts w:hint="eastAsia" w:ascii="宋体" w:hAnsi="宋体" w:eastAsia="宋体" w:cs="宋体"/>
          <w:b/>
          <w:bCs/>
          <w:kern w:val="0"/>
          <w:sz w:val="24"/>
          <w:szCs w:val="24"/>
          <w:lang w:val="en-US" w:eastAsia="zh-CN" w:bidi="ar-SA"/>
        </w:rPr>
        <w:t>3、共享菜园</w:t>
      </w:r>
      <w:bookmarkEnd w:id="118"/>
      <w:r>
        <w:rPr>
          <w:rFonts w:hint="eastAsia" w:ascii="宋体" w:hAnsi="宋体" w:eastAsia="宋体" w:cs="宋体"/>
          <w:b/>
          <w:bCs/>
          <w:kern w:val="0"/>
          <w:sz w:val="24"/>
          <w:szCs w:val="24"/>
          <w:lang w:val="en-US" w:eastAsia="zh-CN" w:bidi="ar-SA"/>
        </w:rPr>
        <w:t>核心区</w:t>
      </w:r>
    </w:p>
    <w:p w14:paraId="732E3DF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沿石坝栽植金镶玉竹5947株。沿园路、宅旁栽植杏树17株，李子树16株，枇杷11株，桃树7株，樱桃4株，柿子树4株，法桐1株，金叶女贞球11株，栽种麦冬70平方米。</w:t>
      </w:r>
      <w:bookmarkStart w:id="119" w:name="_Toc5724"/>
    </w:p>
    <w:p w14:paraId="3FC867A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4、公共卫生间</w:t>
      </w:r>
      <w:bookmarkEnd w:id="119"/>
    </w:p>
    <w:p w14:paraId="30CFF12B">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3个长方形花池，长5米,宽2.5米。长方形花池栽植</w:t>
      </w:r>
      <w:r>
        <w:rPr>
          <w:rFonts w:hint="eastAsia" w:ascii="宋体" w:hAnsi="宋体" w:eastAsia="宋体" w:cs="宋体"/>
          <w:sz w:val="24"/>
          <w:szCs w:val="24"/>
          <w:lang w:val="en-US" w:eastAsia="zh-CN"/>
        </w:rPr>
        <w:t>日本红枫3株，小叶女贞球6株，栽种麦冬40</w:t>
      </w:r>
      <w:r>
        <w:rPr>
          <w:rFonts w:hint="eastAsia" w:ascii="宋体" w:hAnsi="宋体" w:eastAsia="宋体" w:cs="宋体"/>
          <w:kern w:val="0"/>
          <w:sz w:val="24"/>
          <w:szCs w:val="24"/>
          <w:lang w:eastAsia="zh-CN"/>
        </w:rPr>
        <w:t>平方米</w:t>
      </w:r>
      <w:r>
        <w:rPr>
          <w:rFonts w:hint="eastAsia" w:ascii="宋体" w:hAnsi="宋体" w:eastAsia="宋体" w:cs="宋体"/>
          <w:sz w:val="24"/>
          <w:szCs w:val="24"/>
          <w:lang w:val="en-US" w:eastAsia="zh-CN"/>
        </w:rPr>
        <w:t>。四周空闲绿地栽植</w:t>
      </w:r>
      <w:r>
        <w:rPr>
          <w:rFonts w:hint="eastAsia" w:ascii="宋体" w:hAnsi="宋体" w:eastAsia="宋体" w:cs="宋体"/>
          <w:b w:val="0"/>
          <w:bCs w:val="0"/>
          <w:sz w:val="24"/>
          <w:szCs w:val="24"/>
          <w:lang w:val="en-US" w:eastAsia="zh-CN"/>
        </w:rPr>
        <w:t>高杆石楠</w:t>
      </w:r>
      <w:r>
        <w:rPr>
          <w:rFonts w:hint="eastAsia" w:ascii="宋体" w:hAnsi="宋体" w:eastAsia="宋体" w:cs="宋体"/>
          <w:sz w:val="24"/>
          <w:szCs w:val="24"/>
          <w:lang w:val="en-US" w:eastAsia="zh-CN"/>
        </w:rPr>
        <w:t>16株。</w:t>
      </w:r>
    </w:p>
    <w:p w14:paraId="2FBBA139">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5、村委会</w:t>
      </w:r>
    </w:p>
    <w:p w14:paraId="723B203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栽植高杆石楠9株，黄杨球20株。</w:t>
      </w:r>
    </w:p>
    <w:p w14:paraId="08435086">
      <w:pPr>
        <w:pStyle w:val="35"/>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723" w:firstLineChars="3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（二）坡体植被恢复绿化</w:t>
      </w:r>
      <w:bookmarkStart w:id="120" w:name="_Toc22108"/>
    </w:p>
    <w:p w14:paraId="656CFD97">
      <w:pPr>
        <w:pStyle w:val="35"/>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720" w:firstLineChars="3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地点位于红岩寺镇盘龙寺村燕窝沟、小黄沟，区划</w:t>
      </w:r>
      <w:r>
        <w:rPr>
          <w:rFonts w:hint="eastAsia" w:ascii="宋体" w:hAnsi="宋体" w:eastAsia="宋体" w:cs="宋体"/>
          <w:b w:val="0"/>
          <w:bCs/>
          <w:color w:val="auto"/>
          <w:sz w:val="24"/>
          <w:szCs w:val="24"/>
          <w:lang w:val="en-US" w:eastAsia="zh-CN"/>
        </w:rPr>
        <w:t xml:space="preserve"> 6 个作业小班，作业面积 150亩，规划设计绿化树种15127株。其中燕窝沟2个作业小班3787株（高2.5米以上云杉272株，高1.5米以上云杉2599株，1米高以上云杉营养钵苗516株，高1.5米以上侧柏土球苗400株）；小黄沟4个作业小班11340株（高1.5米以上云杉10496株，高2.5米以上云杉844株）。</w:t>
      </w:r>
    </w:p>
    <w:p w14:paraId="49F7671D">
      <w:pPr>
        <w:pStyle w:val="35"/>
        <w:keepNext w:val="0"/>
        <w:keepLines w:val="0"/>
        <w:pageBreakBefore w:val="0"/>
        <w:widowControl w:val="0"/>
        <w:kinsoku/>
        <w:wordWrap/>
        <w:overflowPunct w:val="0"/>
        <w:topLinePunct w:val="0"/>
        <w:autoSpaceDE/>
        <w:autoSpaceDN/>
        <w:bidi w:val="0"/>
        <w:spacing w:line="560" w:lineRule="exact"/>
        <w:ind w:left="0" w:leftChars="0" w:right="0" w:rightChars="0" w:firstLine="0" w:firstLineChars="0"/>
        <w:jc w:val="both"/>
        <w:textAlignment w:val="auto"/>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四、</w:t>
      </w:r>
      <w:r>
        <w:rPr>
          <w:rFonts w:hint="eastAsia" w:ascii="宋体" w:hAnsi="宋体" w:eastAsia="宋体" w:cs="宋体"/>
          <w:b/>
          <w:bCs w:val="0"/>
          <w:sz w:val="28"/>
          <w:szCs w:val="28"/>
          <w:lang w:eastAsia="zh-CN"/>
        </w:rPr>
        <w:t>主要造林技术标准</w:t>
      </w:r>
      <w:bookmarkEnd w:id="120"/>
    </w:p>
    <w:p w14:paraId="5F8ABED2">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bookmarkStart w:id="121" w:name="_Toc22680"/>
      <w:r>
        <w:rPr>
          <w:rFonts w:hint="eastAsia" w:hAnsi="宋体" w:eastAsia="宋体" w:cs="宋体"/>
          <w:b w:val="0"/>
          <w:bCs w:val="0"/>
          <w:sz w:val="24"/>
          <w:szCs w:val="24"/>
          <w:lang w:eastAsia="zh-CN"/>
        </w:rPr>
        <w:t>（</w:t>
      </w:r>
      <w:r>
        <w:rPr>
          <w:rFonts w:hint="eastAsia" w:ascii="宋体" w:hAnsi="宋体" w:eastAsia="宋体" w:cs="宋体"/>
          <w:b w:val="0"/>
          <w:bCs w:val="0"/>
          <w:sz w:val="24"/>
          <w:szCs w:val="24"/>
          <w:lang w:eastAsia="zh-CN"/>
        </w:rPr>
        <w:t>一</w:t>
      </w:r>
      <w:r>
        <w:rPr>
          <w:rFonts w:hint="eastAsia" w:hAnsi="宋体" w:eastAsia="宋体" w:cs="宋体"/>
          <w:b w:val="0"/>
          <w:bCs w:val="0"/>
          <w:sz w:val="24"/>
          <w:szCs w:val="24"/>
          <w:lang w:eastAsia="zh-CN"/>
        </w:rPr>
        <w:t>）</w:t>
      </w:r>
      <w:r>
        <w:rPr>
          <w:rFonts w:hint="eastAsia" w:ascii="宋体" w:hAnsi="宋体" w:eastAsia="宋体" w:cs="宋体"/>
          <w:b w:val="0"/>
          <w:bCs w:val="0"/>
          <w:sz w:val="24"/>
          <w:szCs w:val="24"/>
          <w:lang w:eastAsia="zh-CN"/>
        </w:rPr>
        <w:t>造林树种</w:t>
      </w:r>
      <w:r>
        <w:rPr>
          <w:rFonts w:hint="eastAsia" w:ascii="宋体" w:hAnsi="宋体" w:eastAsia="宋体" w:cs="宋体"/>
          <w:b w:val="0"/>
          <w:bCs w:val="0"/>
          <w:sz w:val="24"/>
          <w:szCs w:val="24"/>
        </w:rPr>
        <w:t>选择</w:t>
      </w:r>
      <w:bookmarkEnd w:id="121"/>
      <w:r>
        <w:rPr>
          <w:rFonts w:hint="eastAsia" w:ascii="宋体" w:hAnsi="宋体" w:eastAsia="宋体" w:cs="宋体"/>
          <w:b w:val="0"/>
          <w:bCs w:val="0"/>
          <w:sz w:val="24"/>
          <w:szCs w:val="24"/>
          <w:lang w:eastAsia="zh-CN"/>
        </w:rPr>
        <w:t>原则</w:t>
      </w:r>
    </w:p>
    <w:p w14:paraId="17BD40E8">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1、应采用具有林木(草)种子生产经营许可证、植物检疫证书、质量检验合格证书、产地标签的苗木，优先选择优良种源、良种基地的苗木；</w:t>
      </w:r>
    </w:p>
    <w:p w14:paraId="48FC5407">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2、应选择生长健壮、根系发达、无病虫害和机械损伤的苗木；</w:t>
      </w:r>
    </w:p>
    <w:p w14:paraId="1D574813">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3、乔木树种宜选择主干通直、枝条茁壮、树冠完整、树形优美的苗木。灌木树种宜选择树冠完整、株型饱满的苗木；</w:t>
      </w:r>
    </w:p>
    <w:p w14:paraId="348B0290">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4、竹、地被植物宜选择株型饱满、根系完好的苗木；</w:t>
      </w:r>
    </w:p>
    <w:p w14:paraId="6287617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5、积极使用容器苗、土球苗，具有经济效益的植物可选择嫁接苗</w:t>
      </w:r>
      <w:r>
        <w:rPr>
          <w:rFonts w:hint="eastAsia" w:ascii="宋体" w:hAnsi="宋体" w:eastAsia="宋体" w:cs="宋体"/>
          <w:sz w:val="24"/>
          <w:szCs w:val="24"/>
        </w:rPr>
        <w:t>。</w:t>
      </w:r>
    </w:p>
    <w:p w14:paraId="301A4A04">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bookmarkStart w:id="122" w:name="_Toc2758"/>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抗逆性强，生长稳定，抗干旱，耐瘠薄；</w:t>
      </w:r>
    </w:p>
    <w:p w14:paraId="7D594674">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eastAsia="zh-CN"/>
        </w:rPr>
        <w:t>适应性强，根系发达，寿命长，生长迅速；</w:t>
      </w:r>
    </w:p>
    <w:p w14:paraId="348BE51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8</w:t>
      </w:r>
      <w:r>
        <w:rPr>
          <w:rFonts w:hint="eastAsia" w:ascii="宋体" w:hAnsi="宋体" w:eastAsia="宋体" w:cs="宋体"/>
          <w:b/>
          <w:bCs/>
          <w:sz w:val="24"/>
          <w:szCs w:val="24"/>
          <w:lang w:val="en-US" w:eastAsia="zh-CN"/>
        </w:rPr>
        <w:t>、</w:t>
      </w:r>
      <w:r>
        <w:rPr>
          <w:rFonts w:hint="eastAsia" w:ascii="宋体" w:hAnsi="宋体" w:eastAsia="宋体" w:cs="宋体"/>
          <w:i w:val="0"/>
          <w:iCs w:val="0"/>
          <w:caps w:val="0"/>
          <w:color w:val="333333"/>
          <w:spacing w:val="0"/>
          <w:sz w:val="24"/>
          <w:szCs w:val="24"/>
          <w:shd w:val="clear" w:color="auto" w:fill="FFFFFF"/>
        </w:rPr>
        <w:t>具有一定的抗寒能力，</w:t>
      </w:r>
      <w:r>
        <w:rPr>
          <w:rFonts w:hint="eastAsia" w:ascii="宋体" w:hAnsi="宋体" w:eastAsia="宋体" w:cs="宋体"/>
          <w:i w:val="0"/>
          <w:iCs w:val="0"/>
          <w:caps w:val="0"/>
          <w:color w:val="333333"/>
          <w:spacing w:val="0"/>
          <w:sz w:val="24"/>
          <w:szCs w:val="24"/>
          <w:shd w:val="clear" w:color="auto" w:fill="FFFFFF"/>
          <w:lang w:eastAsia="zh-CN"/>
        </w:rPr>
        <w:t>适应</w:t>
      </w:r>
      <w:r>
        <w:rPr>
          <w:rFonts w:hint="eastAsia" w:ascii="宋体" w:hAnsi="宋体" w:eastAsia="宋体" w:cs="宋体"/>
          <w:i w:val="0"/>
          <w:iCs w:val="0"/>
          <w:caps w:val="0"/>
          <w:color w:val="333333"/>
          <w:spacing w:val="0"/>
          <w:sz w:val="24"/>
          <w:szCs w:val="24"/>
          <w:shd w:val="clear" w:color="auto" w:fill="FFFFFF"/>
        </w:rPr>
        <w:t>高寒地区</w:t>
      </w:r>
      <w:r>
        <w:rPr>
          <w:rFonts w:hint="eastAsia" w:ascii="宋体" w:hAnsi="宋体" w:eastAsia="宋体" w:cs="宋体"/>
          <w:i w:val="0"/>
          <w:iCs w:val="0"/>
          <w:caps w:val="0"/>
          <w:color w:val="333333"/>
          <w:spacing w:val="0"/>
          <w:sz w:val="24"/>
          <w:szCs w:val="24"/>
          <w:shd w:val="clear" w:color="auto" w:fill="FFFFFF"/>
          <w:lang w:eastAsia="zh-CN"/>
        </w:rPr>
        <w:t>生长能力。</w:t>
      </w:r>
    </w:p>
    <w:p w14:paraId="22DCBB2A">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eastAsia="zh-CN"/>
        </w:rPr>
      </w:pPr>
      <w:r>
        <w:rPr>
          <w:rFonts w:hint="eastAsia" w:hAnsi="宋体" w:eastAsia="宋体" w:cs="宋体"/>
          <w:b w:val="0"/>
          <w:bCs w:val="0"/>
          <w:sz w:val="24"/>
          <w:szCs w:val="24"/>
          <w:lang w:eastAsia="zh-CN"/>
        </w:rPr>
        <w:t>（</w:t>
      </w:r>
      <w:r>
        <w:rPr>
          <w:rFonts w:hint="eastAsia" w:hAnsi="宋体" w:eastAsia="宋体" w:cs="宋体"/>
          <w:b w:val="0"/>
          <w:bCs w:val="0"/>
          <w:sz w:val="24"/>
          <w:szCs w:val="24"/>
          <w:lang w:val="en-US" w:eastAsia="zh-CN"/>
        </w:rPr>
        <w:t>二</w:t>
      </w:r>
      <w:r>
        <w:rPr>
          <w:rFonts w:hint="eastAsia" w:hAnsi="宋体" w:eastAsia="宋体" w:cs="宋体"/>
          <w:b w:val="0"/>
          <w:bCs w:val="0"/>
          <w:sz w:val="24"/>
          <w:szCs w:val="24"/>
          <w:lang w:eastAsia="zh-CN"/>
        </w:rPr>
        <w:t>）</w:t>
      </w:r>
      <w:r>
        <w:rPr>
          <w:rFonts w:hint="eastAsia" w:ascii="宋体" w:hAnsi="宋体" w:eastAsia="宋体" w:cs="宋体"/>
          <w:b w:val="0"/>
          <w:bCs w:val="0"/>
          <w:sz w:val="24"/>
          <w:szCs w:val="24"/>
          <w:lang w:eastAsia="zh-CN"/>
        </w:rPr>
        <w:t>设计</w:t>
      </w:r>
      <w:r>
        <w:rPr>
          <w:rFonts w:hint="eastAsia" w:ascii="宋体" w:hAnsi="宋体" w:eastAsia="宋体" w:cs="宋体"/>
          <w:b w:val="0"/>
          <w:bCs w:val="0"/>
          <w:sz w:val="24"/>
          <w:szCs w:val="24"/>
        </w:rPr>
        <w:t>主要绿化</w:t>
      </w:r>
      <w:bookmarkEnd w:id="122"/>
      <w:r>
        <w:rPr>
          <w:rFonts w:hint="eastAsia" w:ascii="宋体" w:hAnsi="宋体" w:eastAsia="宋体" w:cs="宋体"/>
          <w:b w:val="0"/>
          <w:bCs w:val="0"/>
          <w:sz w:val="24"/>
          <w:szCs w:val="24"/>
          <w:lang w:eastAsia="zh-CN"/>
        </w:rPr>
        <w:t>树（草）种</w:t>
      </w:r>
    </w:p>
    <w:p w14:paraId="2334C017">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1、农村“四旁”绿化</w:t>
      </w:r>
    </w:p>
    <w:p w14:paraId="61E8C319">
      <w:pPr>
        <w:pStyle w:val="3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项目选择了多种不同植物，</w:t>
      </w:r>
      <w:r>
        <w:rPr>
          <w:rFonts w:hint="eastAsia" w:ascii="宋体" w:hAnsi="宋体" w:eastAsia="宋体" w:cs="宋体"/>
          <w:sz w:val="24"/>
          <w:szCs w:val="24"/>
          <w:lang w:eastAsia="zh-CN"/>
        </w:rPr>
        <w:t>包括</w:t>
      </w:r>
      <w:r>
        <w:rPr>
          <w:rFonts w:hint="eastAsia" w:ascii="宋体" w:hAnsi="宋体" w:eastAsia="宋体" w:cs="宋体"/>
          <w:sz w:val="24"/>
          <w:szCs w:val="24"/>
        </w:rPr>
        <w:t>多种乔木、各类灌木、木本花卉、草本等不同类型</w:t>
      </w:r>
      <w:r>
        <w:rPr>
          <w:rFonts w:hint="eastAsia" w:ascii="宋体" w:hAnsi="宋体" w:eastAsia="宋体" w:cs="宋体"/>
          <w:sz w:val="24"/>
          <w:szCs w:val="24"/>
          <w:lang w:eastAsia="zh-CN"/>
        </w:rPr>
        <w:t>配置</w:t>
      </w:r>
      <w:r>
        <w:rPr>
          <w:rFonts w:hint="eastAsia" w:ascii="宋体" w:hAnsi="宋体" w:eastAsia="宋体" w:cs="宋体"/>
          <w:sz w:val="24"/>
          <w:szCs w:val="24"/>
        </w:rPr>
        <w:t>。根据项目</w:t>
      </w:r>
      <w:r>
        <w:rPr>
          <w:rFonts w:hint="eastAsia" w:ascii="宋体" w:hAnsi="宋体" w:eastAsia="宋体" w:cs="宋体"/>
          <w:sz w:val="24"/>
          <w:szCs w:val="24"/>
          <w:lang w:eastAsia="zh-CN"/>
        </w:rPr>
        <w:t>区的</w:t>
      </w:r>
      <w:r>
        <w:rPr>
          <w:rFonts w:hint="eastAsia" w:ascii="宋体" w:hAnsi="宋体" w:eastAsia="宋体" w:cs="宋体"/>
          <w:sz w:val="24"/>
          <w:szCs w:val="24"/>
        </w:rPr>
        <w:t>立地条件，本着</w:t>
      </w:r>
      <w:r>
        <w:rPr>
          <w:rFonts w:hint="eastAsia" w:ascii="宋体" w:hAnsi="宋体" w:eastAsia="宋体" w:cs="宋体"/>
          <w:sz w:val="24"/>
          <w:szCs w:val="24"/>
          <w:lang w:eastAsia="zh-CN"/>
        </w:rPr>
        <w:t>树种草种</w:t>
      </w:r>
      <w:r>
        <w:rPr>
          <w:rFonts w:hint="eastAsia" w:ascii="宋体" w:hAnsi="宋体" w:eastAsia="宋体" w:cs="宋体"/>
          <w:sz w:val="24"/>
          <w:szCs w:val="24"/>
        </w:rPr>
        <w:t>适应性的原则，同时考虑节水，后期运营成本低的原则选择植物种类，</w:t>
      </w:r>
      <w:r>
        <w:rPr>
          <w:rFonts w:hint="eastAsia" w:ascii="宋体" w:hAnsi="宋体" w:eastAsia="宋体" w:cs="宋体"/>
          <w:sz w:val="24"/>
          <w:szCs w:val="24"/>
          <w:lang w:eastAsia="zh-CN"/>
        </w:rPr>
        <w:t>共</w:t>
      </w:r>
      <w:r>
        <w:rPr>
          <w:rFonts w:hint="eastAsia" w:ascii="宋体" w:hAnsi="宋体" w:eastAsia="宋体" w:cs="宋体"/>
          <w:sz w:val="24"/>
          <w:szCs w:val="24"/>
        </w:rPr>
        <w:t>选择</w:t>
      </w:r>
      <w:r>
        <w:rPr>
          <w:rFonts w:hint="eastAsia" w:ascii="宋体" w:hAnsi="宋体" w:eastAsia="宋体" w:cs="宋体"/>
          <w:kern w:val="2"/>
          <w:sz w:val="24"/>
          <w:szCs w:val="24"/>
          <w:lang w:val="en-US" w:eastAsia="zh-CN" w:bidi="ar-SA"/>
        </w:rPr>
        <w:t>17个品种植</w:t>
      </w:r>
      <w:r>
        <w:rPr>
          <w:rFonts w:hint="eastAsia" w:ascii="宋体" w:hAnsi="宋体" w:eastAsia="宋体" w:cs="宋体"/>
          <w:sz w:val="24"/>
          <w:szCs w:val="24"/>
        </w:rPr>
        <w:t>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辅助设施</w:t>
      </w:r>
      <w:r>
        <w:rPr>
          <w:rFonts w:hint="eastAsia" w:ascii="宋体" w:hAnsi="宋体" w:eastAsia="宋体" w:cs="宋体"/>
          <w:sz w:val="24"/>
          <w:szCs w:val="24"/>
          <w:lang w:eastAsia="zh-CN"/>
        </w:rPr>
        <w:t>。</w:t>
      </w:r>
    </w:p>
    <w:p w14:paraId="3B7D2C25">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2A548395">
      <w:pPr>
        <w:pStyle w:val="37"/>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农村“四旁”绿化树（草）种设计一览表</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
        <w:gridCol w:w="1494"/>
        <w:gridCol w:w="4369"/>
        <w:gridCol w:w="1138"/>
        <w:gridCol w:w="879"/>
        <w:gridCol w:w="767"/>
      </w:tblGrid>
      <w:tr w14:paraId="6EAD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4" w:type="pct"/>
            <w:tcBorders>
              <w:top w:val="single" w:color="000000" w:sz="4" w:space="0"/>
              <w:left w:val="single" w:color="000000" w:sz="4" w:space="0"/>
              <w:bottom w:val="single" w:color="000000" w:sz="4" w:space="0"/>
              <w:right w:val="single" w:color="000000" w:sz="4" w:space="0"/>
            </w:tcBorders>
            <w:noWrap w:val="0"/>
            <w:vAlign w:val="center"/>
          </w:tcPr>
          <w:p w14:paraId="3B6BB4C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29FDF33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296" w:type="pct"/>
            <w:tcBorders>
              <w:top w:val="single" w:color="000000" w:sz="4" w:space="0"/>
              <w:left w:val="single" w:color="000000" w:sz="4" w:space="0"/>
              <w:bottom w:val="single" w:color="000000" w:sz="4" w:space="0"/>
              <w:right w:val="single" w:color="000000" w:sz="4" w:space="0"/>
            </w:tcBorders>
            <w:noWrap w:val="0"/>
            <w:vAlign w:val="center"/>
          </w:tcPr>
          <w:p w14:paraId="4043275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规格技术参数</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2A03DB1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053B3C4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658F3B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A62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6140BB2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3B1672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高杆石楠</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6A74208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地径4cm,主干通直，树形美观，带土球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6C63624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F31738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E818A6E">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2A26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6EEDC01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2657DC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日本红枫</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2730AB5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地径4cm以上，树形美观，带土球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03ED184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341FAD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226C19C">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4D62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738CEBC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734266A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枇杷</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7644715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地径4cm，全冠，树形美观，带土球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2EA3E39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70CFFF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56DF43CE">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0ED6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1492002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605C5B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红叶李</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7D6CFB3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地径4cm,主干通直，树形美观，带土球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4F293FA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2AF0D3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1CF8066">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25D2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797AFA6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58C348D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桂花</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3C907EE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地径4cm，全冠，树形美观，带土球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583F668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1B0010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A53CB28">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765B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54F13E0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3D99927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杏树</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243B542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地径10cm，分支均匀，带土球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428B5AD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E33EF4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FBE4A97">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15CA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28BF6F3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4C66ED8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李子树</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4680031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地径10cm，分支均匀，带土球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48C6FD8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A44C0A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4D494AC">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6E19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14181D5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BCBE0D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柿子树</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601B62D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地径10cm，分支均匀，带土球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204F3F8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42B70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7DA380A">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kern w:val="2"/>
                <w:sz w:val="24"/>
                <w:szCs w:val="24"/>
                <w:u w:val="none"/>
                <w:lang w:val="en-US" w:eastAsia="zh-CN" w:bidi="ar-SA"/>
              </w:rPr>
            </w:pPr>
          </w:p>
        </w:tc>
      </w:tr>
      <w:tr w14:paraId="3753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076126D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85" w:type="pct"/>
            <w:tcBorders>
              <w:top w:val="single" w:color="000000" w:sz="4" w:space="0"/>
              <w:left w:val="single" w:color="000000" w:sz="4" w:space="0"/>
              <w:bottom w:val="single" w:color="000000" w:sz="4" w:space="0"/>
              <w:right w:val="single" w:color="000000" w:sz="4" w:space="0"/>
            </w:tcBorders>
            <w:noWrap w:val="0"/>
            <w:vAlign w:val="center"/>
          </w:tcPr>
          <w:p w14:paraId="0372E97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桃树</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5443008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地径10cm，分支均匀，带土球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258EC9C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C30BCD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2EE7BF58">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kern w:val="2"/>
                <w:sz w:val="24"/>
                <w:szCs w:val="24"/>
                <w:u w:val="none"/>
                <w:lang w:val="en-US" w:eastAsia="zh-CN" w:bidi="ar-SA"/>
              </w:rPr>
            </w:pPr>
          </w:p>
        </w:tc>
      </w:tr>
      <w:tr w14:paraId="1B2F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7081F7E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623E88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樱桃</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0D589AA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地径10cm，分支均匀，带土球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29ABEBB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91F2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205FA4BB">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kern w:val="2"/>
                <w:sz w:val="24"/>
                <w:szCs w:val="24"/>
                <w:u w:val="none"/>
                <w:lang w:val="en-US" w:eastAsia="zh-CN" w:bidi="ar-SA"/>
              </w:rPr>
            </w:pPr>
          </w:p>
        </w:tc>
      </w:tr>
      <w:tr w14:paraId="263E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2D69FFA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E4E0B1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法桐</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21CC84E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地径10cm，分支均匀，带土球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0EBFF89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3AB7E7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555B17B">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kern w:val="2"/>
                <w:sz w:val="24"/>
                <w:szCs w:val="24"/>
                <w:u w:val="none"/>
                <w:lang w:val="en-US" w:eastAsia="zh-CN" w:bidi="ar-SA"/>
              </w:rPr>
            </w:pPr>
          </w:p>
        </w:tc>
      </w:tr>
      <w:tr w14:paraId="0253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49687AE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1CC3649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金叶女贞球</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72015ED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7EFEC04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95743B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C261446">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677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29C3B49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142D3FC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小叶女贞球</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1A209BE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1EF1A20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B89768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1C0D88D">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46D3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72FB31A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B4DB1C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雀舌黄杨</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529A670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冠幅大于0.8m，精球，带土球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2B26572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447390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FD58509">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1B9B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0D25183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9CAA8E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黄杨球</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09C2414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冠幅大于60cm，精球，带土球</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2E7B7C9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28215A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685</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6F2D881">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2FD5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1970F0D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758700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金镶玉竹</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07699BF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高度2m,营养钵苗</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36E4C6B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27A0672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7380</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BABD2F6">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1C70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339AD34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BE4A70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麦冬</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5BD29ED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高10cm,100株/㎡</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6AE6723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7FD899E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298</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8619B27">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5F80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410B250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997C2D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覆土</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2335923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种植穴培土</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7536AD1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立方米</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2E7767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475</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13793838">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0A36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37777C8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C48ADC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平整场地</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165B865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绿化场地整理</w:t>
            </w: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43C2E0E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B6B19B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4742</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2DA426B1">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r w14:paraId="3DC1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5537345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C47E3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垃圾外运</w:t>
            </w:r>
          </w:p>
        </w:tc>
        <w:tc>
          <w:tcPr>
            <w:tcW w:w="2296" w:type="pct"/>
            <w:tcBorders>
              <w:top w:val="single" w:color="000000" w:sz="4" w:space="0"/>
              <w:left w:val="single" w:color="000000" w:sz="4" w:space="0"/>
              <w:bottom w:val="single" w:color="000000" w:sz="4" w:space="0"/>
              <w:right w:val="single" w:color="000000" w:sz="4" w:space="0"/>
            </w:tcBorders>
            <w:noWrap/>
            <w:vAlign w:val="center"/>
          </w:tcPr>
          <w:p w14:paraId="0023B9C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98" w:type="pct"/>
            <w:tcBorders>
              <w:top w:val="single" w:color="000000" w:sz="4" w:space="0"/>
              <w:left w:val="single" w:color="000000" w:sz="4" w:space="0"/>
              <w:bottom w:val="single" w:color="000000" w:sz="4" w:space="0"/>
              <w:right w:val="single" w:color="000000" w:sz="4" w:space="0"/>
            </w:tcBorders>
            <w:noWrap/>
            <w:vAlign w:val="center"/>
          </w:tcPr>
          <w:p w14:paraId="2C2961B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立方米</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D5A2FB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237.1</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58BFDA72">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i w:val="0"/>
                <w:iCs w:val="0"/>
                <w:color w:val="000000"/>
                <w:sz w:val="24"/>
                <w:szCs w:val="24"/>
                <w:u w:val="none"/>
              </w:rPr>
            </w:pPr>
          </w:p>
        </w:tc>
      </w:tr>
    </w:tbl>
    <w:p w14:paraId="11C7A98D">
      <w:pPr>
        <w:pStyle w:val="35"/>
        <w:keepNext w:val="0"/>
        <w:keepLines w:val="0"/>
        <w:pageBreakBefore w:val="0"/>
        <w:widowControl w:val="0"/>
        <w:kinsoku/>
        <w:wordWrap/>
        <w:overflowPunct w:val="0"/>
        <w:topLinePunct w:val="0"/>
        <w:autoSpaceDE/>
        <w:autoSpaceDN/>
        <w:bidi w:val="0"/>
        <w:spacing w:line="560" w:lineRule="exact"/>
        <w:ind w:left="0" w:leftChars="0" w:right="0" w:rightChars="0" w:firstLine="482" w:firstLineChars="200"/>
        <w:jc w:val="both"/>
        <w:textAlignment w:val="auto"/>
        <w:outlineLvl w:val="9"/>
        <w:rPr>
          <w:rFonts w:hint="eastAsia" w:ascii="宋体" w:hAnsi="宋体" w:eastAsia="宋体" w:cs="宋体"/>
          <w:b/>
          <w:bCs w:val="0"/>
          <w:sz w:val="24"/>
          <w:szCs w:val="24"/>
          <w:lang w:val="en-US" w:eastAsia="zh-CN"/>
        </w:rPr>
      </w:pPr>
      <w:bookmarkStart w:id="123" w:name="_Toc20874"/>
      <w:r>
        <w:rPr>
          <w:rFonts w:hint="eastAsia" w:ascii="宋体" w:hAnsi="宋体" w:eastAsia="宋体" w:cs="宋体"/>
          <w:b/>
          <w:bCs w:val="0"/>
          <w:sz w:val="24"/>
          <w:szCs w:val="24"/>
          <w:lang w:val="en-US" w:eastAsia="zh-CN"/>
        </w:rPr>
        <w:t>2、坡体绿化</w:t>
      </w:r>
    </w:p>
    <w:p w14:paraId="7699E2A6">
      <w:pPr>
        <w:pStyle w:val="35"/>
        <w:keepNext w:val="0"/>
        <w:keepLines w:val="0"/>
        <w:pageBreakBefore w:val="0"/>
        <w:widowControl w:val="0"/>
        <w:kinsoku/>
        <w:wordWrap/>
        <w:overflowPunct w:val="0"/>
        <w:topLinePunct w:val="0"/>
        <w:autoSpaceDE/>
        <w:autoSpaceDN/>
        <w:bidi w:val="0"/>
        <w:spacing w:line="560" w:lineRule="exact"/>
        <w:ind w:right="0" w:rightChars="0"/>
        <w:jc w:val="both"/>
        <w:textAlignment w:val="auto"/>
        <w:outlineLvl w:val="9"/>
        <w:rPr>
          <w:rFonts w:hint="eastAsia" w:ascii="宋体" w:hAnsi="宋体" w:eastAsia="宋体" w:cs="宋体"/>
          <w:b w:val="0"/>
          <w:bCs w:val="0"/>
          <w:i w:val="0"/>
          <w:iCs w:val="0"/>
          <w:caps w:val="0"/>
          <w:color w:val="auto"/>
          <w:spacing w:val="0"/>
          <w:sz w:val="24"/>
          <w:szCs w:val="24"/>
          <w:shd w:val="clear" w:color="auto" w:fill="auto"/>
          <w:lang w:eastAsia="zh-CN"/>
        </w:rPr>
      </w:pPr>
      <w:r>
        <w:rPr>
          <w:rFonts w:hint="eastAsia" w:ascii="宋体" w:hAnsi="宋体" w:eastAsia="宋体" w:cs="宋体"/>
          <w:b w:val="0"/>
          <w:bCs/>
          <w:color w:val="auto"/>
          <w:sz w:val="24"/>
          <w:szCs w:val="24"/>
          <w:shd w:val="clear" w:color="auto" w:fill="auto"/>
          <w:lang w:eastAsia="zh-CN"/>
        </w:rPr>
        <w:t>针对盘龙寺村</w:t>
      </w:r>
      <w:r>
        <w:rPr>
          <w:rFonts w:hint="eastAsia" w:ascii="宋体" w:hAnsi="宋体" w:eastAsia="宋体" w:cs="宋体"/>
          <w:b w:val="0"/>
          <w:bCs w:val="0"/>
          <w:i w:val="0"/>
          <w:iCs w:val="0"/>
          <w:caps w:val="0"/>
          <w:color w:val="auto"/>
          <w:spacing w:val="0"/>
          <w:sz w:val="24"/>
          <w:szCs w:val="24"/>
          <w:shd w:val="clear" w:color="auto" w:fill="auto"/>
        </w:rPr>
        <w:t>地处秦岭深山，属于高寒山区，海拔高、气候寒冷，昼夜温差大</w:t>
      </w:r>
      <w:r>
        <w:rPr>
          <w:rFonts w:hint="eastAsia" w:ascii="宋体" w:hAnsi="宋体" w:eastAsia="宋体" w:cs="宋体"/>
          <w:b w:val="0"/>
          <w:bCs w:val="0"/>
          <w:i w:val="0"/>
          <w:iCs w:val="0"/>
          <w:caps w:val="0"/>
          <w:color w:val="auto"/>
          <w:spacing w:val="0"/>
          <w:sz w:val="24"/>
          <w:szCs w:val="24"/>
          <w:shd w:val="clear" w:color="auto" w:fill="auto"/>
          <w:lang w:eastAsia="zh-CN"/>
        </w:rPr>
        <w:t>的地理气候特性，重点规划设计耐高寒，抗逆性强、四季常绿的云杉、</w:t>
      </w:r>
      <w:r>
        <w:rPr>
          <w:rFonts w:hint="eastAsia" w:ascii="宋体" w:hAnsi="宋体" w:eastAsia="宋体" w:cs="宋体"/>
          <w:b w:val="0"/>
          <w:bCs w:val="0"/>
          <w:i w:val="0"/>
          <w:iCs w:val="0"/>
          <w:caps w:val="0"/>
          <w:color w:val="auto"/>
          <w:spacing w:val="0"/>
          <w:sz w:val="24"/>
          <w:szCs w:val="24"/>
          <w:shd w:val="clear" w:color="auto" w:fill="auto"/>
          <w:lang w:val="en-US" w:eastAsia="zh-CN"/>
        </w:rPr>
        <w:t>侧柏</w:t>
      </w:r>
      <w:r>
        <w:rPr>
          <w:rFonts w:hint="eastAsia" w:ascii="宋体" w:hAnsi="宋体" w:eastAsia="宋体" w:cs="宋体"/>
          <w:b w:val="0"/>
          <w:bCs w:val="0"/>
          <w:i w:val="0"/>
          <w:iCs w:val="0"/>
          <w:caps w:val="0"/>
          <w:color w:val="auto"/>
          <w:spacing w:val="0"/>
          <w:sz w:val="24"/>
          <w:szCs w:val="24"/>
          <w:shd w:val="clear" w:color="auto" w:fill="auto"/>
          <w:lang w:eastAsia="zh-CN"/>
        </w:rPr>
        <w:t>为主栽绿化树种，</w:t>
      </w:r>
      <w:r>
        <w:rPr>
          <w:rFonts w:hint="eastAsia" w:ascii="宋体" w:hAnsi="宋体" w:eastAsia="宋体" w:cs="宋体"/>
          <w:b w:val="0"/>
          <w:bCs w:val="0"/>
          <w:i w:val="0"/>
          <w:iCs w:val="0"/>
          <w:caps w:val="0"/>
          <w:color w:val="auto"/>
          <w:spacing w:val="0"/>
          <w:sz w:val="24"/>
          <w:szCs w:val="24"/>
          <w:shd w:val="clear" w:color="auto" w:fill="auto"/>
          <w:lang w:val="en-US" w:eastAsia="zh-CN"/>
        </w:rPr>
        <w:t>根据地块立地条件不同，云杉选择三个不同规格苗木</w:t>
      </w:r>
      <w:r>
        <w:rPr>
          <w:rFonts w:hint="eastAsia" w:ascii="宋体" w:hAnsi="宋体" w:eastAsia="宋体" w:cs="宋体"/>
          <w:b w:val="0"/>
          <w:bCs w:val="0"/>
          <w:i w:val="0"/>
          <w:iCs w:val="0"/>
          <w:caps w:val="0"/>
          <w:color w:val="auto"/>
          <w:spacing w:val="0"/>
          <w:sz w:val="24"/>
          <w:szCs w:val="24"/>
          <w:shd w:val="clear" w:color="auto" w:fill="auto"/>
          <w:lang w:eastAsia="zh-CN"/>
        </w:rPr>
        <w:t>。</w:t>
      </w:r>
    </w:p>
    <w:tbl>
      <w:tblPr>
        <w:tblStyle w:val="20"/>
        <w:tblpPr w:leftFromText="180" w:rightFromText="180" w:vertAnchor="text" w:horzAnchor="page" w:tblpX="1758" w:tblpY="50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
        <w:gridCol w:w="2292"/>
        <w:gridCol w:w="3617"/>
        <w:gridCol w:w="950"/>
        <w:gridCol w:w="850"/>
      </w:tblGrid>
      <w:tr w14:paraId="1FC2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12EA0">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5A6AF">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749EA8">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规格技术参数</w:t>
            </w:r>
          </w:p>
        </w:tc>
        <w:tc>
          <w:tcPr>
            <w:tcW w:w="9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0530B4">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CAEAD">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3F3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CD11D">
            <w:pPr>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79ADE">
            <w:pPr>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p>
        </w:tc>
        <w:tc>
          <w:tcPr>
            <w:tcW w:w="36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1CB77">
            <w:pPr>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85CAF">
            <w:pPr>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89ECB">
            <w:pPr>
              <w:keepNext w:val="0"/>
              <w:keepLines w:val="0"/>
              <w:pageBreakBefore w:val="0"/>
              <w:widowControl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sz w:val="24"/>
                <w:szCs w:val="24"/>
                <w:u w:val="none"/>
              </w:rPr>
            </w:pPr>
          </w:p>
        </w:tc>
      </w:tr>
      <w:tr w14:paraId="2B10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14:paraId="7D9DC5B2">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66FDFDD5">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240" w:firstLineChars="10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云杉大苗</w:t>
            </w:r>
          </w:p>
        </w:tc>
        <w:tc>
          <w:tcPr>
            <w:tcW w:w="3617" w:type="dxa"/>
            <w:tcBorders>
              <w:top w:val="single" w:color="000000" w:sz="4" w:space="0"/>
              <w:left w:val="single" w:color="000000" w:sz="4" w:space="0"/>
              <w:bottom w:val="single" w:color="000000" w:sz="4" w:space="0"/>
              <w:right w:val="single" w:color="000000" w:sz="4" w:space="0"/>
            </w:tcBorders>
            <w:noWrap w:val="0"/>
            <w:vAlign w:val="center"/>
          </w:tcPr>
          <w:p w14:paraId="585CE94B">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高2.5米以上，土球50厘米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468F45">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729D7E">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1116</w:t>
            </w:r>
          </w:p>
        </w:tc>
      </w:tr>
      <w:tr w14:paraId="2397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14:paraId="21BADC47">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5F854CB5">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云杉种苗</w:t>
            </w:r>
          </w:p>
        </w:tc>
        <w:tc>
          <w:tcPr>
            <w:tcW w:w="3617" w:type="dxa"/>
            <w:tcBorders>
              <w:top w:val="single" w:color="000000" w:sz="4" w:space="0"/>
              <w:left w:val="single" w:color="000000" w:sz="4" w:space="0"/>
              <w:bottom w:val="single" w:color="000000" w:sz="4" w:space="0"/>
              <w:right w:val="single" w:color="000000" w:sz="4" w:space="0"/>
            </w:tcBorders>
            <w:noWrap w:val="0"/>
            <w:vAlign w:val="center"/>
          </w:tcPr>
          <w:p w14:paraId="0A32010E">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高1.5米以上，土球40厘米</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472CA3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A2CE403">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13095</w:t>
            </w:r>
          </w:p>
        </w:tc>
      </w:tr>
      <w:tr w14:paraId="1838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14:paraId="73D0994D">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06FF6A07">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云杉小苗（营养钵）</w:t>
            </w:r>
          </w:p>
        </w:tc>
        <w:tc>
          <w:tcPr>
            <w:tcW w:w="3617" w:type="dxa"/>
            <w:tcBorders>
              <w:top w:val="single" w:color="000000" w:sz="4" w:space="0"/>
              <w:left w:val="single" w:color="000000" w:sz="4" w:space="0"/>
              <w:bottom w:val="single" w:color="000000" w:sz="4" w:space="0"/>
              <w:right w:val="single" w:color="000000" w:sz="4" w:space="0"/>
            </w:tcBorders>
            <w:noWrap w:val="0"/>
            <w:vAlign w:val="center"/>
          </w:tcPr>
          <w:p w14:paraId="60D5D5B9">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高1米，营养钵苗</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8104054">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31C116">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516</w:t>
            </w:r>
          </w:p>
        </w:tc>
      </w:tr>
      <w:tr w14:paraId="653C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14:paraId="7D0ECB09">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14:paraId="4FDE42DF">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侧柏</w:t>
            </w:r>
          </w:p>
        </w:tc>
        <w:tc>
          <w:tcPr>
            <w:tcW w:w="3617" w:type="dxa"/>
            <w:tcBorders>
              <w:top w:val="single" w:color="000000" w:sz="4" w:space="0"/>
              <w:left w:val="single" w:color="000000" w:sz="4" w:space="0"/>
              <w:bottom w:val="single" w:color="000000" w:sz="4" w:space="0"/>
              <w:right w:val="single" w:color="000000" w:sz="4" w:space="0"/>
            </w:tcBorders>
            <w:noWrap w:val="0"/>
            <w:vAlign w:val="center"/>
          </w:tcPr>
          <w:p w14:paraId="22AD0634">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大田定植苗，高1.5米，带土球</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159C51">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B2C668E">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400</w:t>
            </w:r>
          </w:p>
        </w:tc>
      </w:tr>
    </w:tbl>
    <w:p w14:paraId="5A4D5314">
      <w:pPr>
        <w:pStyle w:val="35"/>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坡体植被恢复绿化树种设计一览表</w:t>
      </w:r>
    </w:p>
    <w:p w14:paraId="35BA2C36">
      <w:pPr>
        <w:pStyle w:val="35"/>
        <w:keepNext w:val="0"/>
        <w:keepLines w:val="0"/>
        <w:pageBreakBefore w:val="0"/>
        <w:widowControl w:val="0"/>
        <w:kinsoku/>
        <w:wordWrap/>
        <w:overflowPunct w:val="0"/>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三</w:t>
      </w:r>
      <w:r>
        <w:rPr>
          <w:rFonts w:hint="eastAsia" w:ascii="宋体" w:hAnsi="宋体" w:eastAsia="宋体" w:cs="宋体"/>
          <w:b w:val="0"/>
          <w:bCs/>
          <w:sz w:val="24"/>
          <w:szCs w:val="24"/>
        </w:rPr>
        <w:t>、苗木</w:t>
      </w:r>
      <w:r>
        <w:rPr>
          <w:rFonts w:hint="eastAsia" w:ascii="宋体" w:hAnsi="宋体" w:eastAsia="宋体" w:cs="宋体"/>
          <w:b w:val="0"/>
          <w:bCs/>
          <w:sz w:val="24"/>
          <w:szCs w:val="24"/>
          <w:lang w:eastAsia="zh-CN"/>
        </w:rPr>
        <w:t>标准及辅助材料</w:t>
      </w:r>
      <w:bookmarkEnd w:id="123"/>
    </w:p>
    <w:p w14:paraId="3D238FC5">
      <w:pPr>
        <w:pStyle w:val="37"/>
        <w:keepNext w:val="0"/>
        <w:keepLines w:val="0"/>
        <w:pageBreakBefore w:val="0"/>
        <w:widowControl w:val="0"/>
        <w:kinsoku/>
        <w:wordWrap/>
        <w:overflowPunct w:val="0"/>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树种选择及苗木标准：按照因地制宜、适地适树的原则，按照《设计办法》规定的苗木规格，根据不同绿化类型和立地状况，合理选用绿化树种，常规造林苗木规格必须达到《主要造林树种苗木质量分级》（DB61/T378-2006）规定的Ⅰ级标准以上，所需苗木规格与质量保证无折断、无劈裂、无机械损伤、无病虫害感染，苗木均称色泽正常，无病虫害迹象</w:t>
      </w:r>
      <w:r>
        <w:rPr>
          <w:rFonts w:hint="eastAsia" w:ascii="宋体" w:hAnsi="宋体" w:eastAsia="宋体" w:cs="宋体"/>
          <w:sz w:val="24"/>
          <w:szCs w:val="24"/>
          <w:lang w:val="en-US" w:eastAsia="zh-CN"/>
        </w:rPr>
        <w:t>。</w:t>
      </w:r>
    </w:p>
    <w:p w14:paraId="7D43CC58">
      <w:pPr>
        <w:pStyle w:val="37"/>
        <w:keepNext w:val="0"/>
        <w:keepLines w:val="0"/>
        <w:pageBreakBefore w:val="0"/>
        <w:widowControl w:val="0"/>
        <w:kinsoku/>
        <w:wordWrap/>
        <w:overflowPunct w:val="0"/>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2、辅助材料为化肥、农药、农膜、保湿剂、生根粉。</w:t>
      </w:r>
    </w:p>
    <w:p w14:paraId="04FFC50D">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z w:val="24"/>
          <w:szCs w:val="24"/>
        </w:rPr>
      </w:pPr>
      <w:bookmarkStart w:id="124" w:name="_Toc3465"/>
      <w:r>
        <w:rPr>
          <w:rFonts w:hint="eastAsia" w:ascii="宋体" w:hAnsi="宋体" w:eastAsia="宋体" w:cs="宋体"/>
          <w:b w:val="0"/>
          <w:bCs/>
          <w:sz w:val="24"/>
          <w:szCs w:val="24"/>
          <w:lang w:eastAsia="zh-CN"/>
        </w:rPr>
        <w:t>四、</w:t>
      </w:r>
      <w:r>
        <w:rPr>
          <w:rFonts w:hint="eastAsia" w:ascii="宋体" w:hAnsi="宋体" w:eastAsia="宋体" w:cs="宋体"/>
          <w:b w:val="0"/>
          <w:bCs/>
          <w:sz w:val="24"/>
          <w:szCs w:val="24"/>
        </w:rPr>
        <w:t>主要造林技术措施</w:t>
      </w:r>
      <w:bookmarkEnd w:id="124"/>
    </w:p>
    <w:p w14:paraId="15A31DB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b/>
          <w:bCs/>
          <w:kern w:val="2"/>
          <w:sz w:val="24"/>
          <w:szCs w:val="24"/>
          <w:lang w:val="en-US" w:eastAsia="zh-CN" w:bidi="ar-SA"/>
        </w:rPr>
      </w:pPr>
      <w:bookmarkStart w:id="125" w:name="_Toc358462643"/>
      <w:r>
        <w:rPr>
          <w:rFonts w:hint="eastAsia" w:ascii="宋体" w:hAnsi="宋体" w:eastAsia="宋体" w:cs="宋体"/>
          <w:kern w:val="2"/>
          <w:sz w:val="24"/>
          <w:szCs w:val="24"/>
          <w:lang w:val="en-US" w:eastAsia="zh-CN" w:bidi="ar-SA"/>
        </w:rPr>
        <w:t xml:space="preserve">   </w:t>
      </w:r>
      <w:r>
        <w:rPr>
          <w:rFonts w:hint="eastAsia" w:ascii="宋体" w:hAnsi="宋体" w:eastAsia="宋体" w:cs="宋体"/>
          <w:b/>
          <w:bCs/>
          <w:kern w:val="2"/>
          <w:sz w:val="24"/>
          <w:szCs w:val="24"/>
          <w:lang w:val="en-US" w:eastAsia="zh-CN" w:bidi="ar-SA"/>
        </w:rPr>
        <w:t>（一）“农村四旁”</w:t>
      </w:r>
      <w:bookmarkEnd w:id="125"/>
      <w:r>
        <w:rPr>
          <w:rFonts w:hint="eastAsia" w:ascii="宋体" w:hAnsi="宋体" w:eastAsia="宋体" w:cs="宋体"/>
          <w:b/>
          <w:bCs/>
          <w:kern w:val="2"/>
          <w:sz w:val="24"/>
          <w:szCs w:val="24"/>
          <w:lang w:val="en-US" w:eastAsia="zh-CN" w:bidi="ar-SA"/>
        </w:rPr>
        <w:t>绿化</w:t>
      </w:r>
    </w:p>
    <w:p w14:paraId="3D0CEAA3">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绿化工程的对象是有生命的植物材料，种植的树木品种多样，习性各不相同，要求也不一样，所以必须制定详细的园林绿化工程施工技术方案，完美的设计效果，确保植物的成活率，才能达到预期的美化绿化效果。</w:t>
      </w:r>
    </w:p>
    <w:p w14:paraId="2EFF2F3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本项目的施工基本程序如下：</w:t>
      </w:r>
    </w:p>
    <w:p w14:paraId="3DA0AC3B">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a：绿化场地的准备和场地清理：土方运输—回填土—种植地形整理</w:t>
      </w:r>
    </w:p>
    <w:p w14:paraId="1D737FA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b：苗木的准备：选苗—起苗、包装—苗木运输—临时假植</w:t>
      </w:r>
    </w:p>
    <w:p w14:paraId="0EADB07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60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c：苗木种植定位放线—挖种植坑—栽植—支撑保护—修剪—浇水</w:t>
      </w:r>
    </w:p>
    <w:p w14:paraId="0F92A2DA">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60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d：草本种植场地准备—土地的平整与耕翻—种植施工—栽后管理</w:t>
      </w:r>
    </w:p>
    <w:p w14:paraId="1921C462">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60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e：养护管理措施—浇水—除草—修剪—病虫害防治—防冻害—施肥—补植—绿地整理</w:t>
      </w:r>
    </w:p>
    <w:p w14:paraId="509E26DF">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600" w:firstLineChars="0"/>
        <w:jc w:val="both"/>
        <w:textAlignment w:val="auto"/>
        <w:outlineLvl w:val="9"/>
        <w:rPr>
          <w:rFonts w:hint="eastAsia" w:ascii="宋体" w:hAnsi="宋体" w:eastAsia="宋体" w:cs="宋体"/>
          <w:b/>
          <w:bCs/>
          <w:kern w:val="2"/>
          <w:sz w:val="24"/>
          <w:szCs w:val="24"/>
          <w:lang w:val="en-US" w:eastAsia="zh-CN" w:bidi="ar-SA"/>
        </w:rPr>
      </w:pPr>
      <w:bookmarkStart w:id="126" w:name="_Toc28698"/>
      <w:r>
        <w:rPr>
          <w:rFonts w:hint="eastAsia" w:ascii="宋体" w:hAnsi="宋体" w:eastAsia="宋体" w:cs="宋体"/>
          <w:b/>
          <w:bCs/>
          <w:kern w:val="2"/>
          <w:sz w:val="24"/>
          <w:szCs w:val="24"/>
          <w:lang w:val="en-US" w:eastAsia="zh-CN" w:bidi="ar-SA"/>
        </w:rPr>
        <w:t>1、场地清理</w:t>
      </w:r>
      <w:bookmarkEnd w:id="126"/>
    </w:p>
    <w:p w14:paraId="0F5DA27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60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种植前应清理场地，拆除不可利用的硬化铺装、构筑物，清理砖瓦石砾、杂草、树根、废弃物和有害污染物，宜再次利用可循环利用的材料。根据苗木根系、土球直径、土壤情况和地形条件进行整地。不同立地条件的整地方式，应符合GB/T 15776规定要求。绿化场地平整4742平方米。</w:t>
      </w:r>
      <w:bookmarkStart w:id="127" w:name="_Toc358462645"/>
    </w:p>
    <w:p w14:paraId="1504C526">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600" w:firstLineChars="0"/>
        <w:jc w:val="both"/>
        <w:textAlignment w:val="auto"/>
        <w:outlineLvl w:val="9"/>
        <w:rPr>
          <w:rFonts w:hint="eastAsia" w:ascii="宋体" w:hAnsi="宋体" w:eastAsia="宋体" w:cs="宋体"/>
          <w:b/>
          <w:bCs/>
          <w:kern w:val="2"/>
          <w:sz w:val="24"/>
          <w:szCs w:val="24"/>
          <w:lang w:val="en-US" w:eastAsia="zh-CN" w:bidi="ar-SA"/>
        </w:rPr>
      </w:pPr>
      <w:bookmarkStart w:id="128" w:name="_Toc28266"/>
      <w:r>
        <w:rPr>
          <w:rFonts w:hint="eastAsia" w:ascii="宋体" w:hAnsi="宋体" w:eastAsia="宋体" w:cs="宋体"/>
          <w:b/>
          <w:bCs/>
          <w:kern w:val="2"/>
          <w:sz w:val="24"/>
          <w:szCs w:val="24"/>
          <w:lang w:val="en-US" w:eastAsia="zh-CN" w:bidi="ar-SA"/>
        </w:rPr>
        <w:t>2、绿化苗木的采购和运输</w:t>
      </w:r>
      <w:bookmarkEnd w:id="127"/>
      <w:bookmarkEnd w:id="128"/>
    </w:p>
    <w:p w14:paraId="79CF4785">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选苗：选苗应选符合设计图纸中的苗木品种树形、规格。要注意选择长势健旺，无病虫害，无机械损伤的苗木，对于大规格的乔、灌木，最好选择经过断根移栽的树木，这样苗木易成活。</w:t>
      </w:r>
    </w:p>
    <w:p w14:paraId="051C51CD">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起苗、包装：起苗前1-2天应灌水一次，采用人工起苗的挖裸根苗的，起挖应注意根系的完整，尽量少损伤根系，并对其进行修剪，起出后用划草袋包扎，并喷水保温，带土球的苗木，土球直径应为苗木胸径的6-8倍，土球的厚度为其直径的2/3，起苗用麻布绑扎，大苗起出后，宜对其根部作适当修复。其主要枝干，应用草绳或麻布缠缚以防损伤和脱水，并将全树树冠枝条进行剪修，用减少叶表面积的办法来降低全树的水分蒸腾总量。</w:t>
      </w:r>
    </w:p>
    <w:p w14:paraId="77FBCCAD">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苗木运输：苗木装卸时应小心轻放，不损伤苗木。小苗堆放不宜太厚，以防发热伤苗。对大树的运输，在装运过程中，应将树冠捆拢，并应固定树干，防止损伤树皮，不得损坏土球，操作中注意安全。大树移植卸车时，应将土球（或箱）直接另放种植穴内，拆除包装，分层填土夯实。</w:t>
      </w:r>
    </w:p>
    <w:p w14:paraId="55918550">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临时假植：应尽量做到随起随运、随栽，以保证苗木的成活率，若因故不能当天栽完，应将剩余苗木根据不同的技术要求用不同的方法分散假植，深度以能覆盖树木根系为度，放入苗木后覆土，踩实，不使漏风，并应浇水，遮荫养护。</w:t>
      </w:r>
    </w:p>
    <w:p w14:paraId="0238071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2"/>
          <w:sz w:val="24"/>
          <w:szCs w:val="24"/>
          <w:lang w:val="en-US" w:eastAsia="zh-CN" w:bidi="ar-SA"/>
        </w:rPr>
      </w:pPr>
      <w:bookmarkStart w:id="129" w:name="_Toc1118"/>
      <w:bookmarkStart w:id="130" w:name="_Toc358462646"/>
      <w:r>
        <w:rPr>
          <w:rFonts w:hint="eastAsia" w:ascii="宋体" w:hAnsi="宋体" w:eastAsia="宋体" w:cs="宋体"/>
          <w:b/>
          <w:bCs/>
          <w:kern w:val="2"/>
          <w:sz w:val="24"/>
          <w:szCs w:val="24"/>
          <w:lang w:val="en-US" w:eastAsia="zh-CN" w:bidi="ar-SA"/>
        </w:rPr>
        <w:t>3、苗木栽植</w:t>
      </w:r>
      <w:bookmarkEnd w:id="129"/>
      <w:bookmarkEnd w:id="130"/>
    </w:p>
    <w:p w14:paraId="497691C3">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定位放线：根据施工图和已知坐标的地形，地物进行放线，确定种植点，以使树木栽植准确，整齐，合理，种植效果明显。</w:t>
      </w:r>
    </w:p>
    <w:p w14:paraId="46C88433">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挖种植坑：人工开挖，植穴的大小应满足设计要求，株行距符合设计的尺寸，开挖时，应将上层好土堆放在另一边，成片栽植的花灌木和地被植物，应全面深翻</w:t>
      </w:r>
      <w:r>
        <w:rPr>
          <w:rFonts w:hint="eastAsia" w:ascii="宋体" w:hAnsi="宋体" w:eastAsia="宋体" w:cs="宋体"/>
          <w:kern w:val="2"/>
          <w:sz w:val="24"/>
          <w:szCs w:val="24"/>
          <w:lang w:val="en-US" w:eastAsia="zh-CN" w:bidi="ar-SA"/>
        </w:rPr>
        <w:t>30cm，然后开沟栽植。种植时，树穴深度要比土球深20cm左右，宽度大80cm。并要在树穴内填入约20cm厚的营养土。在种植时，要选择树形优</w:t>
      </w:r>
      <w:r>
        <w:rPr>
          <w:rFonts w:hint="eastAsia" w:ascii="宋体" w:hAnsi="宋体" w:eastAsia="宋体" w:cs="宋体"/>
          <w:b w:val="0"/>
          <w:bCs w:val="0"/>
          <w:kern w:val="2"/>
          <w:sz w:val="24"/>
          <w:szCs w:val="24"/>
          <w:lang w:val="en-US" w:eastAsia="zh-CN" w:bidi="ar-SA"/>
        </w:rPr>
        <w:t>美的一面朝向主要观赏方向。树穴要用种植土回填并夯实。</w:t>
      </w:r>
    </w:p>
    <w:p w14:paraId="1169FB4B">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栽植：种植穴按一般的技术规程挖掘，穴底要施基肥并铺设细土垫层，种植土应疏松肥沃，把树根部的包装取掉，将树苗立正栽好，填土后稍稍向上提一提，再插实土壤并继续填土至穴顶，最后，在树周围做出拦水的围堰。带土球苗木放入穴中校正后，应从边缘向土球四周培土，分层捣实，树木栽植后的深度，应以苗木根颈与地面平齐或稍深为度，栽植其它地被植物时，应根据其生物学特征，确定其栽植深度，捣土后，覆土，扶正，压实，平整地面，然后浇水。</w:t>
      </w:r>
    </w:p>
    <w:p w14:paraId="27F7FD7B">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支撑：大苗、大树栽植后应设支撑架支撑，不使动摇，提高成活率，按设计要求，对特殊苗木进行搭棚保护。</w:t>
      </w:r>
    </w:p>
    <w:p w14:paraId="53BB11DB">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修剪：大苗、大树栽植后，应作适当修剪，剪去断枝，枯枝，部分树叶，保证树形，以防止水分过多散失，用乳胶或甘油涂抹保护。组成色块，绿篱的灌木截植后，也应按设计要求，进行整形修剪。在修剪上，采用梳枝方法，剪去重叠枝，使树木层次错落、树冠匀称，在修剪程度上，只要突出美化效果即可，不能重剪。</w:t>
      </w:r>
    </w:p>
    <w:p w14:paraId="2080F212">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firstLine="64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浇水：苗木栽植后，应立即浇水，小苗可一次浇透；大苗、大树栽植后，应分多次向里充分灌水直至水满，应重复浇水一次，对于大树，因温度较高，所以应注意降温保温，每天要定期对其树干、树枝、叶面进行喷水，降低温度，提高成活率。在树木种植好后，立即浇水，浇时不可太急，要多次浇，直至浇透，并培土。在水浇好后，马上用“十”字扁担桩绑扎，树桩采用统一粗细的竹桩，桩应深入土</w:t>
      </w:r>
      <w:r>
        <w:rPr>
          <w:rFonts w:hint="eastAsia" w:ascii="宋体" w:hAnsi="宋体" w:eastAsia="宋体" w:cs="宋体"/>
          <w:b w:val="0"/>
          <w:bCs/>
          <w:kern w:val="2"/>
          <w:sz w:val="24"/>
          <w:szCs w:val="24"/>
          <w:lang w:val="en-US" w:eastAsia="zh-CN" w:bidi="ar-SA"/>
        </w:rPr>
        <w:t>层60</w:t>
      </w:r>
      <w:r>
        <w:rPr>
          <w:rFonts w:hint="eastAsia" w:ascii="宋体" w:hAnsi="宋体" w:eastAsia="宋体" w:cs="宋体"/>
          <w:kern w:val="2"/>
          <w:sz w:val="24"/>
          <w:szCs w:val="24"/>
          <w:lang w:val="en-US" w:eastAsia="zh-CN" w:bidi="ar-SA"/>
        </w:rPr>
        <w:t>cm</w:t>
      </w:r>
      <w:r>
        <w:rPr>
          <w:rFonts w:hint="eastAsia" w:ascii="宋体" w:hAnsi="宋体" w:eastAsia="宋体" w:cs="宋体"/>
          <w:b w:val="0"/>
          <w:bCs/>
          <w:kern w:val="2"/>
          <w:sz w:val="24"/>
          <w:szCs w:val="24"/>
          <w:lang w:val="en-US" w:eastAsia="zh-CN" w:bidi="ar-SA"/>
        </w:rPr>
        <w:t>。这样</w:t>
      </w:r>
      <w:r>
        <w:rPr>
          <w:rFonts w:hint="eastAsia" w:ascii="宋体" w:hAnsi="宋体" w:eastAsia="宋体" w:cs="宋体"/>
          <w:b w:val="0"/>
          <w:bCs w:val="0"/>
          <w:kern w:val="2"/>
          <w:sz w:val="24"/>
          <w:szCs w:val="24"/>
          <w:lang w:val="en-US" w:eastAsia="zh-CN" w:bidi="ar-SA"/>
        </w:rPr>
        <w:t>可以有效防止树木位移、倒伏。</w:t>
      </w:r>
      <w:bookmarkStart w:id="131" w:name="_Toc18182"/>
      <w:bookmarkStart w:id="132" w:name="_Toc358462647"/>
    </w:p>
    <w:p w14:paraId="5438DA75">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4、草本种植</w:t>
      </w:r>
      <w:bookmarkEnd w:id="131"/>
      <w:bookmarkEnd w:id="132"/>
    </w:p>
    <w:p w14:paraId="6BD120AD">
      <w:pPr>
        <w:pStyle w:val="38"/>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翻耕整地：深翻土壤20-30cm，清除石块、杂草根系等杂物。若土壤黏重，掺入河沙或腐叶土改善透气性；贫瘠土壤可混入腐熟有机肥，耙平土壤。</w:t>
      </w:r>
    </w:p>
    <w:p w14:paraId="64E9EACA">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挖穴种植：选择健康无病的麦冬苗（分株苗或容器苗），根系发达、叶片翠绿。单丛栽植时，穴深8-10cm，间距15-20cm（如作地被需密植）。将麦冬苗放入穴中，舒展根系，覆土压实至根茎基部（原土痕与地面平齐）。</w:t>
      </w:r>
    </w:p>
    <w:p w14:paraId="1830D92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浇水：栽后立即浇透定根水，使土壤与根系紧密接触。栽植后1周内每天浇水1次（避开中午），之后逐步减少至每周2-3次，保持土壤湿润但不积水。雨季注意排水，防止烂根。</w:t>
      </w:r>
    </w:p>
    <w:p w14:paraId="6E00125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2"/>
          <w:sz w:val="24"/>
          <w:szCs w:val="24"/>
          <w:lang w:val="en-US" w:eastAsia="zh-CN" w:bidi="ar-SA"/>
        </w:rPr>
      </w:pPr>
      <w:bookmarkStart w:id="133" w:name="_Toc358462648"/>
      <w:bookmarkStart w:id="134" w:name="_Toc3060"/>
      <w:r>
        <w:rPr>
          <w:rFonts w:hint="eastAsia" w:ascii="宋体" w:hAnsi="宋体" w:eastAsia="宋体" w:cs="宋体"/>
          <w:b/>
          <w:bCs/>
          <w:kern w:val="2"/>
          <w:sz w:val="24"/>
          <w:szCs w:val="24"/>
          <w:lang w:val="en-US" w:eastAsia="zh-CN" w:bidi="ar-SA"/>
        </w:rPr>
        <w:t>5、养护管理措施</w:t>
      </w:r>
      <w:bookmarkEnd w:id="133"/>
      <w:bookmarkEnd w:id="134"/>
    </w:p>
    <w:p w14:paraId="7884FF8D">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苗木草坪栽种后，需要有丰富经验的专门的园艺人员进行栽后的养护和管理，了解情况及时发现问题，制定更可行管养计划，做到双层的管养监督，保证树木的成活率及达到设计效果。</w:t>
      </w:r>
    </w:p>
    <w:p w14:paraId="5BD11DAE">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浇水：若遇天旱，应对苗木进行浇水养护，每次应浇透，次数根据天气及各类苗木的需水情况确定，对其枝干、叶表进行喷水。</w:t>
      </w:r>
    </w:p>
    <w:p w14:paraId="0A0CD06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除草：在生长季节，应对杂草进行及时清除，以防杂草对苗木，草坪所需的水分，养分的竞争。中耕除草是绿地养护中的一项重要组成部分。通过中耕除草可保持根部土壤的疏松，利于根部的吸水和呼吸。松土可一月一次。中耕除草应选在晴朗天气，土壤不过分潮湿的时候，中耕深度以不影响根系生长为限。</w:t>
      </w:r>
    </w:p>
    <w:p w14:paraId="6F66B50C">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修剪：对移植的大树、大苗，在其根系恢复前，应控制树冠的大小和枝叶数量，以新梢进行适当的修剪，也可用其它办法。对地被植物，应定期进行整形修剪，对草坪的修剪，应保持草坪的剪留高度</w:t>
      </w:r>
      <w:r>
        <w:rPr>
          <w:rFonts w:hint="eastAsia" w:ascii="宋体" w:hAnsi="宋体" w:eastAsia="宋体" w:cs="宋体"/>
          <w:kern w:val="2"/>
          <w:sz w:val="24"/>
          <w:szCs w:val="24"/>
          <w:lang w:val="en-US" w:eastAsia="zh-CN" w:bidi="ar-SA"/>
        </w:rPr>
        <w:t>在3cm左右，修剪时应遵循1/3修剪的原则。</w:t>
      </w:r>
    </w:p>
    <w:p w14:paraId="0BE6297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病虫害防治：根据实际情况，不同品种苗木所处季节的不同，对可能发生的病虫害进行检测工作，并以防为主，一旦发生病虫害，应及时用药物进行防治。要加强绿地的养护管理，清除植物落叶，合理修剪。冬季气候，利用植物处于休眠期的特点，可适量减小修剪程度，使植物景观能够早日成形。在修剪时，保持透光通风。适时施肥促进植物生长健壮，减少病虫害侵害，一旦发现病虫害，采用物理或化学方法防治，及时治理。</w:t>
      </w:r>
    </w:p>
    <w:p w14:paraId="0C37FA0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防冻害：对当年栽植苗木，因其对外界的抵抗力未达到良好状态，在冬季要对其进行防寒处理，对大苗、大树要用石硫合剂对主干涂白，避免树干冻裂，还可杀死在树皮内越冬的害虫。涂白要均匀，不可漏涂，也还可对大苗、大树的主干用稻草或草绳将不耐寒的主干包起来，以达到保暖的目的。</w:t>
      </w:r>
    </w:p>
    <w:p w14:paraId="5E8E32C2">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施肥：在树木种植一段时间后，根据土壤的肥沃度，及各种苗木所需的养分适当进行施肥，但不宜施过多的肥，在种植时，应一次补足氮肥，具体剂量及种类要由土质测定结果出来后再相应确定。如果是秋季施工，应注意多施磷、钾肥，以提高植物搞冻和搞病虫害的能力，确保植物正常的生理状态。</w:t>
      </w:r>
    </w:p>
    <w:p w14:paraId="48541A9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补植：如发现有植株死亡，应及时用相同品种，规格的苗木进行补植，并加强对新栽苗木的养护管理。</w:t>
      </w:r>
    </w:p>
    <w:p w14:paraId="5B9A242A">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绿地管理：在养护期内，应经常对绿地进行清理，保持绿地的整洁。</w:t>
      </w:r>
    </w:p>
    <w:p w14:paraId="3EBC1F4D">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（二）坡体植被恢复绿化</w:t>
      </w:r>
    </w:p>
    <w:p w14:paraId="4F15EDC7">
      <w:pPr>
        <w:keepNext w:val="0"/>
        <w:keepLines w:val="0"/>
        <w:pageBreakBefore w:val="0"/>
        <w:widowControl w:val="0"/>
        <w:kinsoku/>
        <w:wordWrap/>
        <w:overflowPunct w:val="0"/>
        <w:topLinePunct w:val="0"/>
        <w:autoSpaceDE/>
        <w:autoSpaceDN/>
        <w:bidi w:val="0"/>
        <w:spacing w:line="360" w:lineRule="auto"/>
        <w:ind w:firstLine="482" w:firstLineChars="200"/>
        <w:jc w:val="both"/>
        <w:textAlignment w:val="auto"/>
        <w:outlineLvl w:val="9"/>
        <w:rPr>
          <w:rFonts w:hint="eastAsia" w:ascii="宋体" w:hAnsi="宋体" w:eastAsia="宋体" w:cs="宋体"/>
          <w:b/>
          <w:sz w:val="24"/>
          <w:szCs w:val="24"/>
          <w:lang w:bidi="ar"/>
        </w:rPr>
      </w:pPr>
      <w:r>
        <w:rPr>
          <w:rFonts w:hint="eastAsia" w:ascii="宋体" w:hAnsi="宋体" w:eastAsia="宋体" w:cs="宋体"/>
          <w:b/>
          <w:sz w:val="24"/>
          <w:szCs w:val="24"/>
          <w:lang w:bidi="ar"/>
        </w:rPr>
        <w:t>1、树种设计</w:t>
      </w:r>
    </w:p>
    <w:p w14:paraId="45CE559E">
      <w:pPr>
        <w:keepNext w:val="0"/>
        <w:keepLines w:val="0"/>
        <w:pageBreakBefore w:val="0"/>
        <w:widowControl w:val="0"/>
        <w:kinsoku/>
        <w:wordWrap/>
        <w:overflowPunct w:val="0"/>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bidi="ar"/>
        </w:rPr>
        <w:t>根据</w:t>
      </w:r>
      <w:r>
        <w:rPr>
          <w:rFonts w:hint="eastAsia" w:ascii="宋体" w:hAnsi="宋体" w:eastAsia="宋体" w:cs="宋体"/>
          <w:sz w:val="24"/>
          <w:szCs w:val="24"/>
          <w:lang w:eastAsia="zh-CN" w:bidi="ar"/>
        </w:rPr>
        <w:t>造林地</w:t>
      </w:r>
      <w:r>
        <w:rPr>
          <w:rFonts w:hint="eastAsia" w:ascii="宋体" w:hAnsi="宋体" w:eastAsia="宋体" w:cs="宋体"/>
          <w:sz w:val="24"/>
          <w:szCs w:val="24"/>
          <w:lang w:bidi="ar"/>
        </w:rPr>
        <w:t>立地条件、</w:t>
      </w:r>
      <w:r>
        <w:rPr>
          <w:rFonts w:hint="eastAsia" w:ascii="宋体" w:hAnsi="宋体" w:eastAsia="宋体" w:cs="宋体"/>
          <w:sz w:val="24"/>
          <w:szCs w:val="24"/>
          <w:lang w:eastAsia="zh-CN" w:bidi="ar"/>
        </w:rPr>
        <w:t>造林困难程度</w:t>
      </w:r>
      <w:r>
        <w:rPr>
          <w:rFonts w:hint="eastAsia" w:ascii="宋体" w:hAnsi="宋体" w:eastAsia="宋体" w:cs="宋体"/>
          <w:sz w:val="24"/>
          <w:szCs w:val="24"/>
          <w:lang w:bidi="ar"/>
        </w:rPr>
        <w:t>和各小班</w:t>
      </w:r>
      <w:r>
        <w:rPr>
          <w:rFonts w:hint="eastAsia" w:ascii="宋体" w:hAnsi="宋体" w:eastAsia="宋体" w:cs="宋体"/>
          <w:sz w:val="24"/>
          <w:szCs w:val="24"/>
          <w:lang w:eastAsia="zh-CN" w:bidi="ar"/>
        </w:rPr>
        <w:t>地理坡位、坡度、坡向</w:t>
      </w:r>
      <w:r>
        <w:rPr>
          <w:rFonts w:hint="eastAsia" w:ascii="宋体" w:hAnsi="宋体" w:eastAsia="宋体" w:cs="宋体"/>
          <w:sz w:val="24"/>
          <w:szCs w:val="24"/>
          <w:lang w:bidi="ar"/>
        </w:rPr>
        <w:t>等</w:t>
      </w:r>
      <w:r>
        <w:rPr>
          <w:rFonts w:hint="eastAsia" w:ascii="宋体" w:hAnsi="宋体" w:eastAsia="宋体" w:cs="宋体"/>
          <w:sz w:val="24"/>
          <w:szCs w:val="24"/>
          <w:lang w:eastAsia="zh-CN" w:bidi="ar"/>
        </w:rPr>
        <w:t>现状</w:t>
      </w:r>
      <w:r>
        <w:rPr>
          <w:rFonts w:hint="eastAsia" w:ascii="宋体" w:hAnsi="宋体" w:eastAsia="宋体" w:cs="宋体"/>
          <w:sz w:val="24"/>
          <w:szCs w:val="24"/>
          <w:lang w:bidi="ar"/>
        </w:rPr>
        <w:t>，选择</w:t>
      </w:r>
      <w:r>
        <w:rPr>
          <w:rFonts w:hint="eastAsia" w:ascii="宋体" w:hAnsi="宋体" w:eastAsia="宋体" w:cs="宋体"/>
          <w:sz w:val="24"/>
          <w:szCs w:val="24"/>
          <w:lang w:eastAsia="zh-CN" w:bidi="ar"/>
        </w:rPr>
        <w:t>云杉、侧柏为主栽乔木树种。</w:t>
      </w:r>
    </w:p>
    <w:p w14:paraId="5C4F53AD">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bidi="ar"/>
        </w:rPr>
        <w:t>2、种苗规格</w:t>
      </w:r>
    </w:p>
    <w:p w14:paraId="57FF7C4F">
      <w:pPr>
        <w:keepNext w:val="0"/>
        <w:keepLines w:val="0"/>
        <w:pageBreakBefore w:val="0"/>
        <w:widowControl w:val="0"/>
        <w:kinsoku/>
        <w:wordWrap/>
        <w:overflowPunct w:val="0"/>
        <w:topLinePunct w:val="0"/>
        <w:autoSpaceDE/>
        <w:autoSpaceDN/>
        <w:bidi w:val="0"/>
        <w:spacing w:line="360" w:lineRule="auto"/>
        <w:ind w:left="0" w:leftChars="0" w:firstLine="562"/>
        <w:jc w:val="both"/>
        <w:textAlignment w:val="auto"/>
        <w:outlineLvl w:val="9"/>
        <w:rPr>
          <w:rFonts w:hint="eastAsia" w:ascii="宋体" w:hAnsi="宋体" w:eastAsia="宋体" w:cs="宋体"/>
          <w:sz w:val="24"/>
          <w:szCs w:val="24"/>
        </w:rPr>
      </w:pPr>
      <w:r>
        <w:rPr>
          <w:rFonts w:hint="eastAsia" w:ascii="宋体" w:hAnsi="宋体" w:eastAsia="宋体" w:cs="宋体"/>
          <w:bCs/>
          <w:sz w:val="24"/>
          <w:szCs w:val="24"/>
        </w:rPr>
        <w:t>造林用苗必须采用林木种苗管理部门组织供应或经其检验的具有“两证一签”（即检疫证、检验合格证、</w:t>
      </w:r>
      <w:r>
        <w:rPr>
          <w:rFonts w:hint="eastAsia" w:ascii="宋体" w:hAnsi="宋体" w:eastAsia="宋体" w:cs="宋体"/>
          <w:bCs/>
          <w:sz w:val="24"/>
          <w:szCs w:val="24"/>
          <w:lang w:eastAsia="zh-CN"/>
        </w:rPr>
        <w:t>苗木</w:t>
      </w:r>
      <w:r>
        <w:rPr>
          <w:rFonts w:hint="eastAsia" w:ascii="宋体" w:hAnsi="宋体" w:eastAsia="宋体" w:cs="宋体"/>
          <w:bCs/>
          <w:sz w:val="24"/>
          <w:szCs w:val="24"/>
        </w:rPr>
        <w:t>标签）优质壮苗。苗木标准执行《主要造林树种苗木质量分级》（GB6000--1999）或高于该分级标准。造林所需苗木尽量选用当地繁育的苗木，不足部分就近调拨，要求来源清楚，严禁从疫区调入苗木。苗木坚持随起、随运、随栽原则，尽量缩短从起苗到栽植时间。苗木</w:t>
      </w:r>
      <w:r>
        <w:rPr>
          <w:rFonts w:hint="eastAsia" w:ascii="宋体" w:hAnsi="宋体" w:eastAsia="宋体" w:cs="宋体"/>
          <w:sz w:val="24"/>
          <w:szCs w:val="24"/>
        </w:rPr>
        <w:t>规格设计如下：</w:t>
      </w:r>
    </w:p>
    <w:p w14:paraId="31CEBFCB">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云杉（大）</w:t>
      </w:r>
      <w:r>
        <w:rPr>
          <w:rFonts w:hint="eastAsia" w:ascii="宋体" w:hAnsi="宋体" w:eastAsia="宋体" w:cs="宋体"/>
          <w:sz w:val="24"/>
          <w:szCs w:val="24"/>
        </w:rPr>
        <w:t>：高2.5米以上，土球50厘米，</w:t>
      </w:r>
      <w:r>
        <w:rPr>
          <w:rFonts w:hint="eastAsia" w:ascii="宋体" w:hAnsi="宋体" w:eastAsia="宋体" w:cs="宋体"/>
          <w:sz w:val="24"/>
          <w:szCs w:val="24"/>
          <w:lang w:eastAsia="zh-CN"/>
        </w:rPr>
        <w:t>无机械损伤，根系完整，</w:t>
      </w:r>
      <w:r>
        <w:rPr>
          <w:rFonts w:hint="eastAsia" w:ascii="宋体" w:hAnsi="宋体" w:eastAsia="宋体" w:cs="宋体"/>
          <w:sz w:val="24"/>
          <w:szCs w:val="24"/>
        </w:rPr>
        <w:t>色泽正常，无枯稍现象</w:t>
      </w:r>
      <w:r>
        <w:rPr>
          <w:rFonts w:hint="eastAsia" w:ascii="宋体" w:hAnsi="宋体" w:eastAsia="宋体" w:cs="宋体"/>
          <w:sz w:val="24"/>
          <w:szCs w:val="24"/>
          <w:lang w:eastAsia="zh-CN"/>
        </w:rPr>
        <w:t>，无病虫害</w:t>
      </w:r>
      <w:r>
        <w:rPr>
          <w:rFonts w:hint="eastAsia" w:ascii="宋体" w:hAnsi="宋体" w:eastAsia="宋体" w:cs="宋体"/>
          <w:sz w:val="24"/>
          <w:szCs w:val="24"/>
        </w:rPr>
        <w:t>；</w:t>
      </w:r>
    </w:p>
    <w:p w14:paraId="23FC14DA">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云杉（中）</w:t>
      </w:r>
      <w:r>
        <w:rPr>
          <w:rFonts w:hint="eastAsia" w:ascii="宋体" w:hAnsi="宋体" w:eastAsia="宋体" w:cs="宋体"/>
          <w:sz w:val="24"/>
          <w:szCs w:val="24"/>
          <w:lang w:eastAsia="zh-CN"/>
        </w:rPr>
        <w:t>：高1.5米以上，土球40厘米，无机械损伤，根系完整，</w:t>
      </w:r>
      <w:r>
        <w:rPr>
          <w:rFonts w:hint="eastAsia" w:ascii="宋体" w:hAnsi="宋体" w:eastAsia="宋体" w:cs="宋体"/>
          <w:sz w:val="24"/>
          <w:szCs w:val="24"/>
        </w:rPr>
        <w:t>色泽正常，无枯稍现象</w:t>
      </w:r>
      <w:r>
        <w:rPr>
          <w:rFonts w:hint="eastAsia" w:ascii="宋体" w:hAnsi="宋体" w:eastAsia="宋体" w:cs="宋体"/>
          <w:sz w:val="24"/>
          <w:szCs w:val="24"/>
          <w:lang w:eastAsia="zh-CN"/>
        </w:rPr>
        <w:t>，无病虫害</w:t>
      </w:r>
      <w:r>
        <w:rPr>
          <w:rFonts w:hint="eastAsia" w:ascii="宋体" w:hAnsi="宋体" w:eastAsia="宋体" w:cs="宋体"/>
          <w:sz w:val="24"/>
          <w:szCs w:val="24"/>
        </w:rPr>
        <w:t>；</w:t>
      </w:r>
    </w:p>
    <w:p w14:paraId="6073BB4C">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云杉（营养钵）：高1米，营养钵苗，无机械损伤，根系完整，</w:t>
      </w:r>
      <w:r>
        <w:rPr>
          <w:rFonts w:hint="eastAsia" w:ascii="宋体" w:hAnsi="宋体" w:eastAsia="宋体" w:cs="宋体"/>
          <w:sz w:val="24"/>
          <w:szCs w:val="24"/>
        </w:rPr>
        <w:t>色泽正常，无枯稍现象</w:t>
      </w:r>
      <w:r>
        <w:rPr>
          <w:rFonts w:hint="eastAsia" w:ascii="宋体" w:hAnsi="宋体" w:eastAsia="宋体" w:cs="宋体"/>
          <w:sz w:val="24"/>
          <w:szCs w:val="24"/>
          <w:lang w:eastAsia="zh-CN"/>
        </w:rPr>
        <w:t>，无病虫害</w:t>
      </w:r>
      <w:r>
        <w:rPr>
          <w:rFonts w:hint="eastAsia" w:ascii="宋体" w:hAnsi="宋体" w:eastAsia="宋体" w:cs="宋体"/>
          <w:sz w:val="24"/>
          <w:szCs w:val="24"/>
        </w:rPr>
        <w:t>；</w:t>
      </w:r>
    </w:p>
    <w:p w14:paraId="4714F037">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侧柏：大田定植苗，高1.5米，带土球</w:t>
      </w:r>
      <w:r>
        <w:rPr>
          <w:rFonts w:hint="eastAsia" w:ascii="宋体" w:hAnsi="宋体" w:eastAsia="宋体" w:cs="宋体"/>
          <w:sz w:val="24"/>
          <w:szCs w:val="24"/>
          <w:lang w:eastAsia="zh-CN"/>
        </w:rPr>
        <w:t>，无机械损伤，根系完整，</w:t>
      </w:r>
      <w:r>
        <w:rPr>
          <w:rFonts w:hint="eastAsia" w:ascii="宋体" w:hAnsi="宋体" w:eastAsia="宋体" w:cs="宋体"/>
          <w:sz w:val="24"/>
          <w:szCs w:val="24"/>
        </w:rPr>
        <w:t>色泽正常，无枯稍现象</w:t>
      </w:r>
      <w:r>
        <w:rPr>
          <w:rFonts w:hint="eastAsia" w:ascii="宋体" w:hAnsi="宋体" w:eastAsia="宋体" w:cs="宋体"/>
          <w:sz w:val="24"/>
          <w:szCs w:val="24"/>
          <w:lang w:eastAsia="zh-CN"/>
        </w:rPr>
        <w:t>，无病虫害</w:t>
      </w:r>
      <w:r>
        <w:rPr>
          <w:rFonts w:hint="eastAsia" w:ascii="宋体" w:hAnsi="宋体" w:eastAsia="宋体" w:cs="宋体"/>
          <w:sz w:val="24"/>
          <w:szCs w:val="24"/>
        </w:rPr>
        <w:t>；</w:t>
      </w:r>
    </w:p>
    <w:p w14:paraId="411395FA">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苗木运输时间应选择在夜间，避免风天运苗，运输苗木必须覆盖蓬布，并应做好散热、防冻、防晒、防雨、防风和防盗等工作，运输途中，行车宜平稳，避免长途运输。</w:t>
      </w:r>
    </w:p>
    <w:p w14:paraId="3F4E7976">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bidi="ar"/>
        </w:rPr>
        <w:t>3</w:t>
      </w:r>
      <w:r>
        <w:rPr>
          <w:rFonts w:hint="eastAsia" w:ascii="宋体" w:hAnsi="宋体" w:eastAsia="宋体" w:cs="宋体"/>
          <w:b/>
          <w:sz w:val="24"/>
          <w:szCs w:val="24"/>
          <w:lang w:bidi="ar"/>
        </w:rPr>
        <w:t>、种植密度</w:t>
      </w:r>
    </w:p>
    <w:p w14:paraId="7E5B5453">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eastAsia="zh-CN" w:bidi="ar"/>
        </w:rPr>
        <w:t>按照立地条件现状</w:t>
      </w:r>
      <w:r>
        <w:rPr>
          <w:rFonts w:hint="eastAsia" w:ascii="宋体" w:hAnsi="宋体" w:eastAsia="宋体" w:cs="宋体"/>
          <w:sz w:val="24"/>
          <w:szCs w:val="24"/>
          <w:lang w:eastAsia="zh-CN"/>
        </w:rPr>
        <w:t>云杉（大、中）、侧柏</w:t>
      </w:r>
      <w:r>
        <w:rPr>
          <w:rFonts w:hint="eastAsia" w:ascii="宋体" w:hAnsi="宋体" w:eastAsia="宋体" w:cs="宋体"/>
          <w:sz w:val="24"/>
          <w:szCs w:val="24"/>
        </w:rPr>
        <w:t>栽植株行距为</w:t>
      </w: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米，</w:t>
      </w:r>
      <w:r>
        <w:rPr>
          <w:rFonts w:hint="eastAsia" w:ascii="宋体" w:hAnsi="宋体" w:eastAsia="宋体" w:cs="宋体"/>
          <w:sz w:val="24"/>
          <w:szCs w:val="24"/>
          <w:lang w:val="en-US" w:eastAsia="zh-CN"/>
        </w:rPr>
        <w:t>222</w:t>
      </w:r>
      <w:r>
        <w:rPr>
          <w:rFonts w:hint="eastAsia" w:ascii="宋体" w:hAnsi="宋体" w:eastAsia="宋体" w:cs="宋体"/>
          <w:color w:val="auto"/>
          <w:sz w:val="24"/>
          <w:szCs w:val="24"/>
        </w:rPr>
        <w:t>株</w:t>
      </w:r>
      <w:r>
        <w:rPr>
          <w:rFonts w:hint="eastAsia" w:ascii="宋体" w:hAnsi="宋体" w:eastAsia="宋体" w:cs="宋体"/>
          <w:sz w:val="24"/>
          <w:szCs w:val="24"/>
          <w:lang w:bidi="ar"/>
        </w:rPr>
        <w:t>/亩</w:t>
      </w:r>
      <w:r>
        <w:rPr>
          <w:rFonts w:hint="eastAsia" w:ascii="宋体" w:hAnsi="宋体" w:eastAsia="宋体" w:cs="宋体"/>
          <w:sz w:val="24"/>
          <w:szCs w:val="24"/>
        </w:rPr>
        <w:t>，云杉（营养钵）</w:t>
      </w:r>
      <w:r>
        <w:rPr>
          <w:rFonts w:hint="eastAsia" w:ascii="宋体" w:hAnsi="宋体" w:eastAsia="宋体" w:cs="宋体"/>
          <w:sz w:val="24"/>
          <w:szCs w:val="24"/>
          <w:lang w:eastAsia="zh-CN"/>
        </w:rPr>
        <w:t>栽植株行距为</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米</w:t>
      </w:r>
      <w:r>
        <w:rPr>
          <w:rFonts w:hint="eastAsia" w:ascii="宋体" w:hAnsi="宋体" w:eastAsia="宋体" w:cs="宋体"/>
          <w:sz w:val="24"/>
          <w:szCs w:val="24"/>
          <w:lang w:eastAsia="zh-CN"/>
        </w:rPr>
        <w:t>。</w:t>
      </w:r>
    </w:p>
    <w:p w14:paraId="75334ECD">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bidi="ar"/>
        </w:rPr>
        <w:t>4</w:t>
      </w:r>
      <w:r>
        <w:rPr>
          <w:rFonts w:hint="eastAsia" w:ascii="宋体" w:hAnsi="宋体" w:eastAsia="宋体" w:cs="宋体"/>
          <w:b/>
          <w:sz w:val="24"/>
          <w:szCs w:val="24"/>
          <w:lang w:bidi="ar"/>
        </w:rPr>
        <w:t>、结构配置</w:t>
      </w:r>
    </w:p>
    <w:p w14:paraId="73EE3E34">
      <w:pPr>
        <w:keepNext w:val="0"/>
        <w:keepLines w:val="0"/>
        <w:pageBreakBefore w:val="0"/>
        <w:widowControl w:val="0"/>
        <w:kinsoku/>
        <w:wordWrap/>
        <w:overflowPunct w:val="0"/>
        <w:topLinePunct w:val="0"/>
        <w:autoSpaceDE/>
        <w:autoSpaceDN/>
        <w:bidi w:val="0"/>
        <w:spacing w:line="360" w:lineRule="auto"/>
        <w:ind w:left="0" w:leftChars="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bidi="ar"/>
        </w:rPr>
        <w:t>种植点一般采用三角形配置。坡面破碎、地形变化复杂的地方种植点位置可灵活掌握，应不拘于株行距的规定，但要保证单位面积种植点数量。</w:t>
      </w:r>
      <w:r>
        <w:rPr>
          <w:rFonts w:hint="eastAsia" w:ascii="宋体" w:hAnsi="宋体" w:eastAsia="宋体" w:cs="宋体"/>
          <w:color w:val="000000"/>
          <w:sz w:val="24"/>
          <w:szCs w:val="24"/>
          <w:lang w:bidi="ar"/>
        </w:rPr>
        <w:t>对于造林地上现有的散生乔木和幼苗幼树及密集深灌，施工时要全面保护，</w:t>
      </w:r>
      <w:r>
        <w:rPr>
          <w:rFonts w:hint="eastAsia" w:ascii="宋体" w:hAnsi="宋体" w:eastAsia="宋体" w:cs="宋体"/>
          <w:sz w:val="24"/>
          <w:szCs w:val="24"/>
          <w:lang w:bidi="ar"/>
        </w:rPr>
        <w:t>适当抚育。</w:t>
      </w:r>
    </w:p>
    <w:p w14:paraId="2370503F">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bidi="ar"/>
        </w:rPr>
        <w:t>5</w:t>
      </w:r>
      <w:r>
        <w:rPr>
          <w:rFonts w:hint="eastAsia" w:ascii="宋体" w:hAnsi="宋体" w:eastAsia="宋体" w:cs="宋体"/>
          <w:b/>
          <w:sz w:val="24"/>
          <w:szCs w:val="24"/>
          <w:lang w:bidi="ar"/>
        </w:rPr>
        <w:t>、整地方式方法</w:t>
      </w:r>
    </w:p>
    <w:p w14:paraId="2CB4DB88">
      <w:pPr>
        <w:keepNext w:val="0"/>
        <w:keepLines w:val="0"/>
        <w:pageBreakBefore w:val="0"/>
        <w:widowControl w:val="0"/>
        <w:kinsoku/>
        <w:wordWrap/>
        <w:overflowPunct w:val="0"/>
        <w:topLinePunct w:val="0"/>
        <w:autoSpaceDE/>
        <w:autoSpaceDN/>
        <w:bidi w:val="0"/>
        <w:spacing w:line="360" w:lineRule="auto"/>
        <w:ind w:left="0" w:leftChars="0" w:firstLine="64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穴状整地：采用大规格穴状整地，整地规格：</w:t>
      </w:r>
      <w:r>
        <w:rPr>
          <w:rFonts w:hint="eastAsia" w:ascii="宋体" w:hAnsi="宋体" w:eastAsia="宋体" w:cs="宋体"/>
          <w:sz w:val="24"/>
          <w:szCs w:val="24"/>
          <w:lang w:val="en-US" w:eastAsia="zh-CN"/>
        </w:rPr>
        <w:t>80</w:t>
      </w:r>
      <w:r>
        <w:rPr>
          <w:rFonts w:hint="eastAsia" w:ascii="宋体" w:hAnsi="宋体" w:eastAsia="宋体" w:cs="宋体"/>
          <w:sz w:val="24"/>
          <w:szCs w:val="24"/>
        </w:rPr>
        <w:t>×</w:t>
      </w:r>
      <w:r>
        <w:rPr>
          <w:rFonts w:hint="eastAsia" w:ascii="宋体" w:hAnsi="宋体" w:eastAsia="宋体" w:cs="宋体"/>
          <w:sz w:val="24"/>
          <w:szCs w:val="24"/>
          <w:lang w:val="en-US" w:eastAsia="zh-CN"/>
        </w:rPr>
        <w:t>80</w:t>
      </w:r>
      <w:r>
        <w:rPr>
          <w:rFonts w:hint="eastAsia" w:ascii="宋体" w:hAnsi="宋体" w:eastAsia="宋体" w:cs="宋体"/>
          <w:sz w:val="24"/>
          <w:szCs w:val="24"/>
        </w:rPr>
        <w:t>×</w:t>
      </w:r>
      <w:r>
        <w:rPr>
          <w:rFonts w:hint="eastAsia" w:ascii="宋体" w:hAnsi="宋体" w:eastAsia="宋体" w:cs="宋体"/>
          <w:sz w:val="24"/>
          <w:szCs w:val="24"/>
          <w:lang w:val="en-US" w:eastAsia="zh-CN"/>
        </w:rPr>
        <w:t>60</w:t>
      </w:r>
      <w:r>
        <w:rPr>
          <w:rFonts w:hint="eastAsia" w:ascii="宋体" w:hAnsi="宋体" w:eastAsia="宋体" w:cs="宋体"/>
          <w:sz w:val="24"/>
          <w:szCs w:val="24"/>
        </w:rPr>
        <w:t>cm，可用人工整地和机械整地，适用于各类林种、树种和立地条件。山地陡坡造林整地，不渗水栽植穴应开凿导流孔排水。机械整地采取电镐、风钻等工具在裸露岩体冲击打孔、破碎、开槽、切削、挖掘种植穴。</w:t>
      </w:r>
      <w:r>
        <w:rPr>
          <w:rFonts w:hint="eastAsia" w:ascii="宋体" w:hAnsi="宋体" w:eastAsia="宋体" w:cs="宋体"/>
          <w:sz w:val="24"/>
          <w:szCs w:val="24"/>
          <w:lang w:eastAsia="zh-CN"/>
        </w:rPr>
        <w:t>充分采用林业整地技术，树坑沿等高线、条状排列，种植穴的大小要按照设计要求，根据种苗根系、直径挖种植穴，必须垂直下挖，上口下底相等，规格应符合设计要求，穴面里低外高，表土回填，生土垒沿，拣净草根，石块，土壤不足可从穴上方取土补足，穴内土壤疏松，外沿埂体土层紧实，高不低于20厘米，以利蓄水保墒。</w:t>
      </w:r>
    </w:p>
    <w:p w14:paraId="14255EE6">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高墩整地：适用于采石采矿遗迹地整地，用砖头、石块砌</w:t>
      </w:r>
      <w:r>
        <w:rPr>
          <w:rFonts w:hint="eastAsia" w:ascii="宋体" w:hAnsi="宋体" w:eastAsia="宋体" w:cs="宋体"/>
          <w:sz w:val="24"/>
          <w:szCs w:val="24"/>
          <w:lang w:eastAsia="zh-CN"/>
        </w:rPr>
        <w:t>长</w:t>
      </w:r>
      <w:r>
        <w:rPr>
          <w:rFonts w:hint="eastAsia" w:ascii="宋体" w:hAnsi="宋体" w:eastAsia="宋体" w:cs="宋体"/>
          <w:sz w:val="24"/>
          <w:szCs w:val="24"/>
          <w:lang w:val="en-US" w:eastAsia="zh-CN"/>
        </w:rPr>
        <w:t>80</w:t>
      </w:r>
      <w:r>
        <w:rPr>
          <w:rFonts w:hint="eastAsia" w:ascii="宋体" w:hAnsi="宋体" w:eastAsia="宋体" w:cs="宋体"/>
          <w:sz w:val="24"/>
          <w:szCs w:val="24"/>
        </w:rPr>
        <w:t>cm、宽</w:t>
      </w:r>
      <w:r>
        <w:rPr>
          <w:rFonts w:hint="eastAsia" w:ascii="宋体" w:hAnsi="宋体" w:eastAsia="宋体" w:cs="宋体"/>
          <w:sz w:val="24"/>
          <w:szCs w:val="24"/>
          <w:lang w:val="en-US" w:eastAsia="zh-CN"/>
        </w:rPr>
        <w:t>80</w:t>
      </w:r>
      <w:r>
        <w:rPr>
          <w:rFonts w:hint="eastAsia" w:ascii="宋体" w:hAnsi="宋体" w:eastAsia="宋体" w:cs="宋体"/>
          <w:sz w:val="24"/>
          <w:szCs w:val="24"/>
        </w:rPr>
        <w:t>cm</w:t>
      </w:r>
      <w:r>
        <w:rPr>
          <w:rFonts w:hint="eastAsia" w:ascii="宋体" w:hAnsi="宋体" w:eastAsia="宋体" w:cs="宋体"/>
          <w:sz w:val="24"/>
          <w:szCs w:val="24"/>
          <w:lang w:eastAsia="zh-CN"/>
        </w:rPr>
        <w:t>、</w:t>
      </w:r>
      <w:r>
        <w:rPr>
          <w:rFonts w:hint="eastAsia" w:ascii="宋体" w:hAnsi="宋体" w:eastAsia="宋体" w:cs="宋体"/>
          <w:sz w:val="24"/>
          <w:szCs w:val="24"/>
        </w:rPr>
        <w:t>高60cm，长度根据地形确定的栽植坑，达到固定回填土壤、满足苗木生长、蓄水保墒条件的目的。</w:t>
      </w:r>
    </w:p>
    <w:p w14:paraId="645B41C1">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整地过程中要全面保护原有零星或块状分布的乔木树木或幼苗，不得有毁林造林现象发生。</w:t>
      </w:r>
      <w:r>
        <w:rPr>
          <w:rFonts w:hint="eastAsia" w:ascii="宋体" w:hAnsi="宋体" w:eastAsia="宋体" w:cs="宋体"/>
          <w:sz w:val="24"/>
          <w:szCs w:val="24"/>
          <w:lang w:eastAsia="zh-CN"/>
        </w:rPr>
        <w:t>有土壤条件的栽植点，</w:t>
      </w:r>
      <w:r>
        <w:rPr>
          <w:rFonts w:hint="eastAsia" w:ascii="宋体" w:hAnsi="宋体" w:eastAsia="宋体" w:cs="宋体"/>
          <w:sz w:val="24"/>
          <w:szCs w:val="24"/>
        </w:rPr>
        <w:t>整地时将表土堆置一旁，底土堆放另一旁，造林时将表土填入坑底，以达到改良土壤、清除杂草的目的。</w:t>
      </w:r>
    </w:p>
    <w:p w14:paraId="48787C14">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bidi="ar"/>
        </w:rPr>
        <w:t>6</w:t>
      </w:r>
      <w:r>
        <w:rPr>
          <w:rFonts w:hint="eastAsia" w:ascii="宋体" w:hAnsi="宋体" w:eastAsia="宋体" w:cs="宋体"/>
          <w:b/>
          <w:sz w:val="24"/>
          <w:szCs w:val="24"/>
          <w:lang w:bidi="ar"/>
        </w:rPr>
        <w:t>、换土</w:t>
      </w:r>
    </w:p>
    <w:p w14:paraId="70E3A07A">
      <w:pPr>
        <w:keepNext w:val="0"/>
        <w:keepLines w:val="0"/>
        <w:pageBreakBefore w:val="0"/>
        <w:widowControl w:val="0"/>
        <w:kinsoku/>
        <w:wordWrap/>
        <w:overflowPunct w:val="0"/>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栽植点现有土壤无法满足栽植要求的，采取客土回填措施，由别处移来用于置换原生土的境外土壤，通常是指质地好的壤土，挖走不适宜苗木生长的原生土，回填满足造林栽植标准的移植土，从而彻底改变苗木生长的不良基质。</w:t>
      </w:r>
    </w:p>
    <w:p w14:paraId="2CF28D21">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bidi="ar"/>
        </w:rPr>
        <w:t>7</w:t>
      </w:r>
      <w:r>
        <w:rPr>
          <w:rFonts w:hint="eastAsia" w:ascii="宋体" w:hAnsi="宋体" w:eastAsia="宋体" w:cs="宋体"/>
          <w:b/>
          <w:sz w:val="24"/>
          <w:szCs w:val="24"/>
          <w:lang w:bidi="ar"/>
        </w:rPr>
        <w:t>、栽植</w:t>
      </w:r>
    </w:p>
    <w:p w14:paraId="0E15A90B">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bidi="ar"/>
        </w:rPr>
        <w:t>栽植应在</w:t>
      </w:r>
      <w:r>
        <w:rPr>
          <w:rFonts w:hint="eastAsia" w:ascii="宋体" w:hAnsi="宋体" w:eastAsia="宋体" w:cs="宋体"/>
          <w:sz w:val="24"/>
          <w:szCs w:val="24"/>
          <w:lang w:eastAsia="zh-CN" w:bidi="ar"/>
        </w:rPr>
        <w:t>当年</w:t>
      </w:r>
      <w:r>
        <w:rPr>
          <w:rFonts w:hint="eastAsia" w:ascii="宋体" w:hAnsi="宋体" w:eastAsia="宋体" w:cs="宋体"/>
          <w:sz w:val="24"/>
          <w:szCs w:val="24"/>
          <w:lang w:bidi="ar"/>
        </w:rPr>
        <w:t>秋</w:t>
      </w:r>
      <w:r>
        <w:rPr>
          <w:rFonts w:hint="eastAsia" w:ascii="宋体" w:hAnsi="宋体" w:eastAsia="宋体" w:cs="宋体"/>
          <w:sz w:val="24"/>
          <w:szCs w:val="24"/>
          <w:lang w:eastAsia="zh-CN" w:bidi="ar"/>
        </w:rPr>
        <w:t>季</w:t>
      </w:r>
      <w:r>
        <w:rPr>
          <w:rFonts w:hint="eastAsia" w:ascii="宋体" w:hAnsi="宋体" w:eastAsia="宋体" w:cs="宋体"/>
          <w:sz w:val="24"/>
          <w:szCs w:val="24"/>
          <w:lang w:bidi="ar"/>
        </w:rPr>
        <w:t>抢墒造林，具体在2025年10</w:t>
      </w:r>
      <w:r>
        <w:rPr>
          <w:rFonts w:hint="eastAsia" w:ascii="宋体" w:hAnsi="宋体" w:eastAsia="宋体" w:cs="宋体"/>
          <w:sz w:val="24"/>
          <w:szCs w:val="24"/>
          <w:lang w:val="en-US" w:eastAsia="zh-CN" w:bidi="ar"/>
        </w:rPr>
        <w:t>-11</w:t>
      </w:r>
      <w:r>
        <w:rPr>
          <w:rFonts w:hint="eastAsia" w:ascii="宋体" w:hAnsi="宋体" w:eastAsia="宋体" w:cs="宋体"/>
          <w:sz w:val="24"/>
          <w:szCs w:val="24"/>
          <w:lang w:bidi="ar"/>
        </w:rPr>
        <w:t>月份。全部采用人工植苗造林，</w:t>
      </w:r>
      <w:r>
        <w:rPr>
          <w:rFonts w:hint="eastAsia" w:ascii="宋体" w:hAnsi="宋体" w:eastAsia="宋体" w:cs="宋体"/>
          <w:sz w:val="24"/>
          <w:szCs w:val="24"/>
        </w:rPr>
        <w:t>栽植时要轻拿轻放，保持树体端正，不倾斜。刺槐裸根苗栽植执行“三埋两踩一提”的技术措施，并在栽植前用高分子保水剂和生根粉水溶液进行浸根处理；</w:t>
      </w:r>
      <w:r>
        <w:rPr>
          <w:rFonts w:hint="eastAsia" w:ascii="宋体" w:hAnsi="宋体" w:eastAsia="宋体" w:cs="宋体"/>
          <w:sz w:val="24"/>
          <w:szCs w:val="24"/>
          <w:lang w:eastAsia="zh-CN"/>
        </w:rPr>
        <w:t>苗木均</w:t>
      </w:r>
      <w:r>
        <w:rPr>
          <w:rFonts w:hint="eastAsia" w:ascii="宋体" w:hAnsi="宋体" w:eastAsia="宋体" w:cs="宋体"/>
          <w:sz w:val="24"/>
          <w:szCs w:val="24"/>
        </w:rPr>
        <w:t>采用容器苗或土球苗，栽植一次性妥善放置到穴内，勿强拉硬扯造成土球破损，容器苗栽前应进行脱袋处理，同时注意保持深度，回填土壤时先回填表土，厚度 15cm 左右，将苗木放入栽植穴内，放直扶正，再回填心土和底土，分层将土壤压实，覆土高度略高于栽植穴为宜。在整个栽植中做到深松土，细栽植，根稳苗端，以确保苗木成活。</w:t>
      </w:r>
    </w:p>
    <w:p w14:paraId="02F8C5AB">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lang w:eastAsia="zh-CN" w:bidi="ar"/>
        </w:rPr>
      </w:pPr>
      <w:r>
        <w:rPr>
          <w:rFonts w:hint="eastAsia" w:ascii="宋体" w:hAnsi="宋体" w:eastAsia="宋体" w:cs="宋体"/>
          <w:b/>
          <w:sz w:val="24"/>
          <w:szCs w:val="24"/>
          <w:lang w:bidi="ar"/>
        </w:rPr>
        <w:t>8、</w:t>
      </w:r>
      <w:r>
        <w:rPr>
          <w:rFonts w:hint="eastAsia" w:ascii="宋体" w:hAnsi="宋体" w:eastAsia="宋体" w:cs="宋体"/>
          <w:b/>
          <w:sz w:val="24"/>
          <w:szCs w:val="24"/>
          <w:lang w:eastAsia="zh-CN" w:bidi="ar"/>
        </w:rPr>
        <w:t>浇水灌溉</w:t>
      </w:r>
    </w:p>
    <w:p w14:paraId="318D957E">
      <w:pPr>
        <w:keepNext w:val="0"/>
        <w:keepLines w:val="0"/>
        <w:pageBreakBefore w:val="0"/>
        <w:widowControl w:val="0"/>
        <w:kinsoku/>
        <w:wordWrap/>
        <w:overflowPunct w:val="0"/>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①修建蓄水池：在入山重要地段和山脊合理布设修建1个或多个蓄水池，深度 2m以上为宜，也可用沙袋堆砌，在池底铺设塑料薄膜，以防渗漏。</w:t>
      </w:r>
    </w:p>
    <w:p w14:paraId="72D64D76">
      <w:pPr>
        <w:keepNext w:val="0"/>
        <w:keepLines w:val="0"/>
        <w:pageBreakBefore w:val="0"/>
        <w:widowControl w:val="0"/>
        <w:kinsoku/>
        <w:wordWrap/>
        <w:overflowPunct w:val="0"/>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②多级抽水：水位高差在 100m 以上，可用高扬程自吸式水泵逐级抽水入池，水泵吸水管口浸入水的深度不小于 0.5m，蓄水易在晚间进行，白天用于灌溉。水源以河水、塘水为宜，其次选择自来水、井水等。</w:t>
      </w:r>
    </w:p>
    <w:p w14:paraId="68A687D9">
      <w:pPr>
        <w:keepNext w:val="0"/>
        <w:keepLines w:val="0"/>
        <w:pageBreakBefore w:val="0"/>
        <w:widowControl w:val="0"/>
        <w:kinsoku/>
        <w:wordWrap/>
        <w:overflowPunct w:val="0"/>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③生根粉使用：蓄水池中添加生根粉用于灌溉，可以促进生根，缩短生根时间，加速移栽过程中受伤根系的愈合，提高生根成活率。将生根粉按各厂家生产的使用说明按比例倒入蓄水池充分溶解稀释。</w:t>
      </w:r>
    </w:p>
    <w:p w14:paraId="35ADC241">
      <w:pPr>
        <w:keepNext w:val="0"/>
        <w:keepLines w:val="0"/>
        <w:pageBreakBefore w:val="0"/>
        <w:widowControl w:val="0"/>
        <w:kinsoku/>
        <w:wordWrap/>
        <w:overflowPunct w:val="0"/>
        <w:topLinePunct w:val="0"/>
        <w:autoSpaceDE/>
        <w:autoSpaceDN/>
        <w:bidi w:val="0"/>
        <w:adjustRightInd/>
        <w:snapToGrid w:val="0"/>
        <w:spacing w:line="360" w:lineRule="auto"/>
        <w:ind w:left="0" w:lef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④管道浇水：使用 1 至 3 根塑料软管，借助于水的重力作用，由上而下，逐株在不同部位同时灌溉，水量以浇透为度,不沟灌、大水漫灌,灌溉时间为上午 10 点之前，下午 5 点之后。</w:t>
      </w:r>
    </w:p>
    <w:p w14:paraId="4FDD4120">
      <w:pPr>
        <w:keepNext w:val="0"/>
        <w:keepLines w:val="0"/>
        <w:pageBreakBefore w:val="0"/>
        <w:widowControl w:val="0"/>
        <w:kinsoku/>
        <w:wordWrap/>
        <w:overflowPunct w:val="0"/>
        <w:topLinePunct w:val="0"/>
        <w:autoSpaceDE/>
        <w:autoSpaceDN/>
        <w:bidi w:val="0"/>
        <w:snapToGrid w:val="0"/>
        <w:spacing w:line="360" w:lineRule="auto"/>
        <w:ind w:left="0" w:lef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覆土、覆膜</w:t>
      </w:r>
      <w:r>
        <w:rPr>
          <w:rFonts w:hint="eastAsia" w:ascii="宋体" w:hAnsi="宋体" w:eastAsia="宋体" w:cs="宋体"/>
          <w:sz w:val="24"/>
          <w:szCs w:val="24"/>
        </w:rPr>
        <w:t>：浇水充分渗透后，用细土覆盖 5～l0cm，覆土时不填满坑穴，以便积蓄雨水。然后再覆盖薄膜并压实，保水护根以利成活，覆膜具有保湿、保温、抑制杂草等作用。用塑料薄膜覆盖面积稍小于种植穴口径，以利于雨水渗入。</w:t>
      </w:r>
    </w:p>
    <w:p w14:paraId="1A0EA445">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bidi="ar"/>
        </w:rPr>
        <w:t>10、</w:t>
      </w:r>
      <w:r>
        <w:rPr>
          <w:rFonts w:hint="eastAsia" w:ascii="宋体" w:hAnsi="宋体" w:eastAsia="宋体" w:cs="宋体"/>
          <w:b/>
          <w:bCs/>
          <w:sz w:val="24"/>
          <w:szCs w:val="24"/>
          <w:lang w:bidi="ar"/>
        </w:rPr>
        <w:t>成活率、保存率的调查与补植</w:t>
      </w:r>
    </w:p>
    <w:p w14:paraId="65ECD4AC">
      <w:pPr>
        <w:keepNext w:val="0"/>
        <w:keepLines w:val="0"/>
        <w:pageBreakBefore w:val="0"/>
        <w:widowControl w:val="0"/>
        <w:kinsoku/>
        <w:wordWrap/>
        <w:overflowPunct w:val="0"/>
        <w:topLinePunct w:val="0"/>
        <w:autoSpaceDE/>
        <w:autoSpaceDN/>
        <w:bidi w:val="0"/>
        <w:spacing w:line="360" w:lineRule="auto"/>
        <w:ind w:left="0" w:leftChars="0" w:firstLine="641"/>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bidi="ar"/>
        </w:rPr>
        <w:t>成活率调查在新造幼林经过一个生长季节后进行，秋季造林成活率调查时间在次年秋季进行。调查方法是在当年所有造林小班内选设具有代表性的标准地，分别计算成活与死亡株数。调查结果分别按85%以上、41—84%、40%以下三级统计。成活率在85%以上为</w:t>
      </w:r>
      <w:r>
        <w:rPr>
          <w:rFonts w:hint="eastAsia" w:ascii="宋体" w:hAnsi="宋体" w:eastAsia="宋体" w:cs="宋体"/>
          <w:spacing w:val="-11"/>
          <w:sz w:val="24"/>
          <w:szCs w:val="24"/>
          <w:lang w:bidi="ar"/>
        </w:rPr>
        <w:t>合格面积，40%以下的为造林失败面积，成活率41—84%按设计密度</w:t>
      </w:r>
      <w:r>
        <w:rPr>
          <w:rFonts w:hint="eastAsia" w:ascii="宋体" w:hAnsi="宋体" w:eastAsia="宋体" w:cs="宋体"/>
          <w:sz w:val="24"/>
          <w:szCs w:val="24"/>
          <w:lang w:bidi="ar"/>
        </w:rPr>
        <w:t>补植。</w:t>
      </w:r>
    </w:p>
    <w:p w14:paraId="77341295">
      <w:pPr>
        <w:keepNext w:val="0"/>
        <w:keepLines w:val="0"/>
        <w:pageBreakBefore w:val="0"/>
        <w:widowControl w:val="0"/>
        <w:kinsoku/>
        <w:wordWrap/>
        <w:overflowPunct w:val="0"/>
        <w:topLinePunct w:val="0"/>
        <w:autoSpaceDE/>
        <w:autoSpaceDN/>
        <w:bidi w:val="0"/>
        <w:spacing w:line="360" w:lineRule="auto"/>
        <w:ind w:left="0" w:leftChars="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bidi="ar"/>
        </w:rPr>
        <w:t>11</w:t>
      </w:r>
      <w:r>
        <w:rPr>
          <w:rFonts w:hint="eastAsia" w:ascii="宋体" w:hAnsi="宋体" w:eastAsia="宋体" w:cs="宋体"/>
          <w:b/>
          <w:sz w:val="24"/>
          <w:szCs w:val="24"/>
          <w:lang w:bidi="ar"/>
        </w:rPr>
        <w:t>、抚育管理</w:t>
      </w:r>
    </w:p>
    <w:p w14:paraId="266DDEA2">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①培土：山脊、风口部位的苗木应用尼龙绳三角形固定,遇到连续下雨或暴风雨、大风等灾害性天气后，应全面检查,如发现歪、斜、倒苗木,应立即扶正、加固，并对根部进行培土。</w:t>
      </w:r>
    </w:p>
    <w:p w14:paraId="219A8552">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②抗旱保苗：在夏季高温少雨时,要做好苗木根际的保墒工作,一般在第一次定根水后伏旱天气每月浇水 2至 3次，避免干旱死苗,确保造林成效。</w:t>
      </w:r>
    </w:p>
    <w:p w14:paraId="26B7D450">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③割草防火：秋冬季清除造林地林缘、坟周、地边、路旁等人为活动重点部位杂草，消除引起火灾隐患。</w:t>
      </w:r>
    </w:p>
    <w:p w14:paraId="7372C1FF">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抚育管护：造林后2年内连续抚育。抚育的主要内容是松土、除草、砍灌、培土、整枝等工序。要求做到三不伤（不伤根、不伤梢、不伤皮），二净（杂草除净、石块拣净），一培土。对造林地病虫害发生情况进行定期预测预报，一旦发生，及时组织防治。</w:t>
      </w:r>
    </w:p>
    <w:p w14:paraId="2EEF8443">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⑤苗木补缺：对死亡苗木进行清除,并在原有位置补栽同等规格苗木，对人为破坏的缺苗处也应进行补种，使整体的绿化面貌林相整齐。</w:t>
      </w:r>
    </w:p>
    <w:p w14:paraId="67E3BA21">
      <w:pPr>
        <w:keepNext w:val="0"/>
        <w:keepLines w:val="0"/>
        <w:pageBreakBefore w:val="0"/>
        <w:widowControl w:val="0"/>
        <w:kinsoku/>
        <w:wordWrap/>
        <w:overflowPunct w:val="0"/>
        <w:topLinePunct w:val="0"/>
        <w:autoSpaceDE/>
        <w:autoSpaceDN/>
        <w:bidi w:val="0"/>
        <w:snapToGrid w:val="0"/>
        <w:spacing w:line="360" w:lineRule="auto"/>
        <w:ind w:left="0" w:leftChars="0" w:firstLine="480"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⑥封山禁牧：在造林后要落实人员管护，严禁人畜危害和兽害。在造林主要出入口、人畜活动频繁区域设立界桩、围栏和标示牌。围栏可用机械围栏或栽植乔、灌木设置生物围栏，进行围封。</w:t>
      </w:r>
    </w:p>
    <w:p w14:paraId="46ECE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Style w:val="27"/>
          <w:rFonts w:hint="eastAsia" w:ascii="宋体" w:hAnsi="宋体" w:eastAsia="宋体" w:cs="宋体"/>
          <w:b/>
          <w:sz w:val="24"/>
          <w:szCs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14:paraId="3CA98D6A">
      <w:pPr>
        <w:pStyle w:val="2"/>
        <w:numPr>
          <w:ilvl w:val="0"/>
          <w:numId w:val="0"/>
        </w:numPr>
        <w:bidi w:val="0"/>
        <w:jc w:val="center"/>
        <w:rPr>
          <w:rFonts w:hint="eastAsia" w:ascii="宋体" w:hAnsi="宋体" w:eastAsia="宋体" w:cs="宋体"/>
          <w:b w:val="0"/>
          <w:bCs/>
          <w:kern w:val="2"/>
          <w:sz w:val="36"/>
          <w:szCs w:val="36"/>
          <w:highlight w:val="none"/>
        </w:rPr>
      </w:pPr>
      <w:bookmarkStart w:id="212" w:name="_GoBack"/>
      <w:bookmarkEnd w:id="212"/>
      <w:bookmarkStart w:id="135" w:name="_Toc10960"/>
      <w:r>
        <w:rPr>
          <w:rStyle w:val="27"/>
          <w:rFonts w:hint="eastAsia" w:ascii="宋体" w:hAnsi="宋体" w:eastAsia="宋体" w:cs="宋体"/>
          <w:b/>
          <w:sz w:val="36"/>
          <w:szCs w:val="21"/>
          <w:highlight w:val="none"/>
        </w:rPr>
        <w:t xml:space="preserve">第六章 </w:t>
      </w:r>
      <w:r>
        <w:rPr>
          <w:rStyle w:val="27"/>
          <w:rFonts w:hint="eastAsia" w:ascii="宋体" w:eastAsia="宋体" w:cs="宋体"/>
          <w:b/>
          <w:sz w:val="36"/>
          <w:szCs w:val="21"/>
          <w:highlight w:val="none"/>
          <w:lang w:val="en-US" w:eastAsia="zh-CN"/>
        </w:rPr>
        <w:t xml:space="preserve"> </w:t>
      </w:r>
      <w:r>
        <w:rPr>
          <w:rStyle w:val="27"/>
          <w:rFonts w:hint="eastAsia" w:ascii="宋体" w:hAnsi="宋体" w:eastAsia="宋体" w:cs="宋体"/>
          <w:b/>
          <w:sz w:val="36"/>
          <w:szCs w:val="21"/>
          <w:highlight w:val="none"/>
        </w:rPr>
        <w:t>竞争性磋商响应文件格式</w:t>
      </w:r>
      <w:bookmarkEnd w:id="108"/>
      <w:bookmarkEnd w:id="109"/>
      <w:bookmarkEnd w:id="110"/>
      <w:bookmarkEnd w:id="111"/>
      <w:bookmarkEnd w:id="135"/>
    </w:p>
    <w:p w14:paraId="109375F9">
      <w:pPr>
        <w:rPr>
          <w:rFonts w:hint="eastAsia" w:ascii="宋体" w:hAnsi="宋体" w:eastAsia="宋体" w:cs="宋体"/>
          <w:highlight w:val="none"/>
        </w:rPr>
      </w:pPr>
    </w:p>
    <w:p w14:paraId="6FE3C2D4">
      <w:pPr>
        <w:rPr>
          <w:rFonts w:hint="eastAsia" w:ascii="宋体" w:hAnsi="宋体" w:eastAsia="宋体" w:cs="宋体"/>
          <w:highlight w:val="none"/>
        </w:rPr>
      </w:pPr>
    </w:p>
    <w:p w14:paraId="73E7041C">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项目编号：HYGH2025-ZCCS-0921</w:t>
      </w:r>
    </w:p>
    <w:p w14:paraId="19E0B821">
      <w:pPr>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14:paraId="787EBE5E">
      <w:pPr>
        <w:jc w:val="right"/>
        <w:rPr>
          <w:rFonts w:hint="eastAsia" w:ascii="宋体" w:hAnsi="宋体" w:eastAsia="宋体" w:cs="宋体"/>
          <w:b/>
          <w:sz w:val="32"/>
          <w:szCs w:val="32"/>
          <w:highlight w:val="none"/>
        </w:rPr>
      </w:pPr>
    </w:p>
    <w:p w14:paraId="2281920D">
      <w:pPr>
        <w:jc w:val="right"/>
        <w:rPr>
          <w:rFonts w:hint="eastAsia" w:ascii="宋体" w:hAnsi="宋体" w:eastAsia="宋体" w:cs="宋体"/>
          <w:b/>
          <w:sz w:val="32"/>
          <w:szCs w:val="32"/>
          <w:highlight w:val="none"/>
        </w:rPr>
      </w:pPr>
    </w:p>
    <w:p w14:paraId="26F96819">
      <w:pPr>
        <w:pStyle w:val="8"/>
        <w:rPr>
          <w:rFonts w:hint="eastAsia" w:ascii="宋体" w:hAnsi="宋体" w:eastAsia="宋体" w:cs="宋体"/>
          <w:highlight w:val="none"/>
        </w:rPr>
      </w:pPr>
    </w:p>
    <w:p w14:paraId="6F5C8816">
      <w:pPr>
        <w:jc w:val="center"/>
        <w:outlineLvl w:val="9"/>
        <w:rPr>
          <w:rFonts w:hint="eastAsia" w:hAnsi="宋体" w:cs="宋体"/>
          <w:b/>
          <w:sz w:val="48"/>
          <w:szCs w:val="48"/>
          <w:highlight w:val="none"/>
          <w:lang w:eastAsia="zh-CN"/>
        </w:rPr>
      </w:pPr>
    </w:p>
    <w:p w14:paraId="14B9E792">
      <w:pPr>
        <w:jc w:val="center"/>
        <w:outlineLvl w:val="9"/>
        <w:rPr>
          <w:rFonts w:hint="eastAsia" w:ascii="宋体" w:hAnsi="宋体" w:eastAsia="宋体" w:cs="宋体"/>
          <w:b/>
          <w:sz w:val="44"/>
          <w:szCs w:val="44"/>
          <w:highlight w:val="none"/>
        </w:rPr>
      </w:pPr>
      <w:r>
        <w:rPr>
          <w:rFonts w:hint="eastAsia" w:hAnsi="宋体" w:cs="宋体"/>
          <w:b/>
          <w:sz w:val="48"/>
          <w:szCs w:val="48"/>
          <w:highlight w:val="none"/>
          <w:lang w:eastAsia="zh-CN"/>
        </w:rPr>
        <w:t>柞水县2025年重点区域绿化补助项目</w:t>
      </w:r>
    </w:p>
    <w:p w14:paraId="522B1175">
      <w:pPr>
        <w:jc w:val="center"/>
        <w:rPr>
          <w:rFonts w:hint="eastAsia" w:ascii="宋体" w:hAnsi="宋体" w:eastAsia="宋体" w:cs="宋体"/>
          <w:b/>
          <w:sz w:val="62"/>
          <w:szCs w:val="72"/>
          <w:highlight w:val="none"/>
        </w:rPr>
      </w:pPr>
    </w:p>
    <w:p w14:paraId="6EAA1970">
      <w:pPr>
        <w:pStyle w:val="8"/>
        <w:rPr>
          <w:rFonts w:hint="eastAsia" w:ascii="宋体" w:hAnsi="宋体" w:eastAsia="宋体" w:cs="宋体"/>
          <w:b/>
          <w:sz w:val="62"/>
          <w:szCs w:val="72"/>
          <w:highlight w:val="none"/>
        </w:rPr>
      </w:pPr>
    </w:p>
    <w:p w14:paraId="6E41A6EA">
      <w:pPr>
        <w:rPr>
          <w:rFonts w:hint="eastAsia" w:ascii="宋体" w:hAnsi="宋体" w:eastAsia="宋体" w:cs="宋体"/>
          <w:highlight w:val="none"/>
        </w:rPr>
      </w:pPr>
    </w:p>
    <w:p w14:paraId="643C5F4A">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14:paraId="08B84B99">
      <w:pPr>
        <w:jc w:val="center"/>
        <w:rPr>
          <w:rFonts w:hint="eastAsia" w:ascii="宋体" w:hAnsi="宋体" w:eastAsia="宋体" w:cs="宋体"/>
          <w:b/>
          <w:sz w:val="36"/>
          <w:szCs w:val="36"/>
          <w:highlight w:val="none"/>
        </w:rPr>
      </w:pPr>
    </w:p>
    <w:p w14:paraId="2ECEA9A9">
      <w:pPr>
        <w:rPr>
          <w:rFonts w:hint="eastAsia" w:ascii="宋体" w:hAnsi="宋体" w:eastAsia="宋体" w:cs="宋体"/>
          <w:b/>
          <w:sz w:val="36"/>
          <w:szCs w:val="36"/>
          <w:highlight w:val="none"/>
        </w:rPr>
      </w:pPr>
    </w:p>
    <w:p w14:paraId="23F66721">
      <w:pPr>
        <w:pStyle w:val="8"/>
        <w:rPr>
          <w:rFonts w:hint="eastAsia" w:ascii="宋体" w:hAnsi="宋体" w:eastAsia="宋体" w:cs="宋体"/>
          <w:highlight w:val="none"/>
        </w:rPr>
      </w:pPr>
    </w:p>
    <w:p w14:paraId="17BA0437">
      <w:pPr>
        <w:rPr>
          <w:rFonts w:hint="eastAsia" w:ascii="宋体" w:hAnsi="宋体" w:eastAsia="宋体" w:cs="宋体"/>
          <w:b/>
          <w:sz w:val="36"/>
          <w:szCs w:val="36"/>
          <w:highlight w:val="none"/>
        </w:rPr>
      </w:pPr>
    </w:p>
    <w:p w14:paraId="75776F24">
      <w:pPr>
        <w:tabs>
          <w:tab w:val="center" w:pos="5346"/>
        </w:tabs>
        <w:spacing w:line="480" w:lineRule="auto"/>
        <w:jc w:val="center"/>
        <w:outlineLvl w:val="9"/>
        <w:rPr>
          <w:rFonts w:hint="eastAsia" w:ascii="宋体" w:hAnsi="宋体" w:eastAsia="宋体" w:cs="宋体"/>
          <w:b/>
          <w:sz w:val="32"/>
          <w:szCs w:val="32"/>
          <w:highlight w:val="none"/>
        </w:rPr>
      </w:pPr>
    </w:p>
    <w:p w14:paraId="422D08AB">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w:t>
      </w:r>
      <w:r>
        <w:rPr>
          <w:rFonts w:hint="eastAsia" w:hAnsi="宋体" w:cs="宋体"/>
          <w:b/>
          <w:sz w:val="32"/>
          <w:szCs w:val="32"/>
          <w:highlight w:val="none"/>
          <w:lang w:eastAsia="zh-CN"/>
        </w:rPr>
        <w:t>：</w:t>
      </w:r>
      <w:r>
        <w:rPr>
          <w:rFonts w:hint="eastAsia" w:ascii="宋体" w:hAnsi="宋体" w:eastAsia="宋体" w:cs="宋体"/>
          <w:b/>
          <w:sz w:val="32"/>
          <w:szCs w:val="32"/>
          <w:highlight w:val="none"/>
        </w:rPr>
        <w:t>（公章）</w:t>
      </w:r>
    </w:p>
    <w:p w14:paraId="57400321">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36" w:name="_Toc344572156"/>
    </w:p>
    <w:p w14:paraId="0581F9E0">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14:paraId="26ABCC3E">
      <w:pPr>
        <w:pStyle w:val="8"/>
        <w:rPr>
          <w:rFonts w:hint="eastAsia" w:ascii="宋体" w:hAnsi="宋体" w:eastAsia="宋体" w:cs="宋体"/>
          <w:highlight w:val="none"/>
        </w:rPr>
      </w:pPr>
    </w:p>
    <w:p w14:paraId="32B7CD47">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14:paraId="04693A9B">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14:paraId="211D5111">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14:paraId="6F6029F5">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14:paraId="334B6533">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14:paraId="506A6D06">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14:paraId="461035BE">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14:paraId="67D935A2">
      <w:pPr>
        <w:pStyle w:val="6"/>
        <w:spacing w:line="360" w:lineRule="auto"/>
        <w:rPr>
          <w:rFonts w:hint="eastAsia" w:ascii="宋体" w:hAnsi="宋体" w:eastAsia="宋体" w:cs="宋体"/>
          <w:highlight w:val="none"/>
        </w:rPr>
      </w:pPr>
    </w:p>
    <w:p w14:paraId="13A1FECC">
      <w:pPr>
        <w:pStyle w:val="6"/>
        <w:spacing w:line="360" w:lineRule="auto"/>
        <w:rPr>
          <w:rFonts w:hint="eastAsia" w:ascii="宋体" w:hAnsi="宋体" w:eastAsia="宋体" w:cs="宋体"/>
          <w:highlight w:val="none"/>
        </w:rPr>
      </w:pPr>
    </w:p>
    <w:p w14:paraId="209342F5">
      <w:pPr>
        <w:keepNext/>
        <w:keepLines/>
        <w:widowControl/>
        <w:tabs>
          <w:tab w:val="left" w:pos="3705"/>
        </w:tabs>
        <w:spacing w:line="360" w:lineRule="auto"/>
        <w:ind w:left="3708"/>
        <w:rPr>
          <w:rFonts w:hint="eastAsia" w:ascii="宋体" w:hAnsi="宋体" w:eastAsia="宋体" w:cs="宋体"/>
          <w:bCs/>
          <w:sz w:val="44"/>
          <w:highlight w:val="none"/>
        </w:rPr>
      </w:pPr>
    </w:p>
    <w:p w14:paraId="09BDBBE3">
      <w:pPr>
        <w:pStyle w:val="6"/>
        <w:ind w:firstLine="880"/>
        <w:rPr>
          <w:rFonts w:hint="eastAsia" w:ascii="宋体" w:hAnsi="宋体" w:eastAsia="宋体" w:cs="宋体"/>
          <w:bCs/>
          <w:sz w:val="44"/>
          <w:highlight w:val="none"/>
        </w:rPr>
      </w:pPr>
    </w:p>
    <w:p w14:paraId="3F13DE4C">
      <w:pPr>
        <w:pStyle w:val="6"/>
        <w:ind w:firstLine="880"/>
        <w:rPr>
          <w:rFonts w:hint="eastAsia" w:ascii="宋体" w:hAnsi="宋体" w:eastAsia="宋体" w:cs="宋体"/>
          <w:bCs/>
          <w:sz w:val="44"/>
          <w:highlight w:val="none"/>
        </w:rPr>
      </w:pPr>
    </w:p>
    <w:bookmarkEnd w:id="136"/>
    <w:p w14:paraId="42C05112">
      <w:pPr>
        <w:pStyle w:val="8"/>
        <w:rPr>
          <w:rFonts w:hint="eastAsia" w:ascii="宋体" w:hAnsi="宋体" w:eastAsia="宋体" w:cs="宋体"/>
          <w:b/>
          <w:sz w:val="32"/>
          <w:szCs w:val="32"/>
          <w:highlight w:val="none"/>
        </w:rPr>
      </w:pPr>
      <w:bookmarkStart w:id="137" w:name="_Toc363474027"/>
      <w:bookmarkStart w:id="138" w:name="_Toc403077648"/>
      <w:bookmarkStart w:id="139" w:name="_Toc204524343"/>
    </w:p>
    <w:p w14:paraId="49ED417E">
      <w:pPr>
        <w:pStyle w:val="8"/>
        <w:rPr>
          <w:rFonts w:hint="eastAsia" w:ascii="宋体" w:hAnsi="宋体" w:eastAsia="宋体" w:cs="宋体"/>
          <w:b/>
          <w:sz w:val="32"/>
          <w:szCs w:val="32"/>
          <w:highlight w:val="none"/>
        </w:rPr>
      </w:pPr>
    </w:p>
    <w:p w14:paraId="29BC46D7">
      <w:pPr>
        <w:pStyle w:val="8"/>
        <w:rPr>
          <w:rFonts w:hint="eastAsia" w:ascii="宋体" w:hAnsi="宋体" w:eastAsia="宋体" w:cs="宋体"/>
          <w:b/>
          <w:sz w:val="32"/>
          <w:szCs w:val="32"/>
          <w:highlight w:val="none"/>
        </w:rPr>
      </w:pPr>
    </w:p>
    <w:p w14:paraId="4297E07C">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40" w:name="_Toc25239"/>
      <w:bookmarkStart w:id="141" w:name="_Toc32002"/>
      <w:bookmarkStart w:id="142" w:name="_Toc4367"/>
      <w:bookmarkStart w:id="143" w:name="_Toc11009"/>
      <w:bookmarkStart w:id="144" w:name="_Toc15762"/>
      <w:r>
        <w:rPr>
          <w:rFonts w:hint="eastAsia" w:ascii="宋体" w:hAnsi="宋体" w:eastAsia="宋体" w:cs="宋体"/>
          <w:b/>
          <w:sz w:val="32"/>
          <w:szCs w:val="32"/>
          <w:highlight w:val="none"/>
        </w:rPr>
        <w:t>一、磋商</w:t>
      </w:r>
      <w:bookmarkEnd w:id="137"/>
      <w:bookmarkEnd w:id="138"/>
      <w:r>
        <w:rPr>
          <w:rFonts w:hint="eastAsia" w:ascii="宋体" w:hAnsi="宋体" w:eastAsia="宋体" w:cs="宋体"/>
          <w:b/>
          <w:sz w:val="32"/>
          <w:szCs w:val="32"/>
          <w:highlight w:val="none"/>
        </w:rPr>
        <w:t>响应函</w:t>
      </w:r>
      <w:bookmarkEnd w:id="140"/>
      <w:bookmarkEnd w:id="141"/>
      <w:bookmarkEnd w:id="142"/>
      <w:bookmarkEnd w:id="143"/>
      <w:bookmarkEnd w:id="144"/>
    </w:p>
    <w:p w14:paraId="4C70716D">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陕西海源广合项目管理有限公司</w:t>
      </w:r>
    </w:p>
    <w:p w14:paraId="0547C5F8">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14:paraId="3824B545">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14:paraId="40625B66">
      <w:pPr>
        <w:numPr>
          <w:ilvl w:val="0"/>
          <w:numId w:val="7"/>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14:paraId="365701C0">
      <w:pPr>
        <w:numPr>
          <w:ilvl w:val="0"/>
          <w:numId w:val="7"/>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14:paraId="4CC5C3D5">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14:paraId="2CC9B05B">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14:paraId="5B317841">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14:paraId="067143A7">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陕西海源广合项目管理有限公司</w:t>
      </w:r>
      <w:r>
        <w:rPr>
          <w:rFonts w:hint="eastAsia" w:ascii="宋体" w:hAnsi="宋体" w:eastAsia="宋体" w:cs="宋体"/>
          <w:spacing w:val="4"/>
          <w:szCs w:val="24"/>
          <w:highlight w:val="none"/>
        </w:rPr>
        <w:t>交纳招标代理服务费。</w:t>
      </w:r>
    </w:p>
    <w:p w14:paraId="7D9480D6">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14:paraId="5AEA9642">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14:paraId="546359E1">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14:paraId="6AD7285A">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14:paraId="49767C40">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14:paraId="2A389B68">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14:paraId="07A0E7C4">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0288E605">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14:paraId="39B78D6F">
      <w:pPr>
        <w:pStyle w:val="3"/>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45" w:name="_Toc32094"/>
      <w:bookmarkStart w:id="146" w:name="_Toc9730"/>
      <w:bookmarkStart w:id="147" w:name="_Toc363474030"/>
      <w:bookmarkStart w:id="148" w:name="_Toc3630"/>
      <w:bookmarkStart w:id="149" w:name="_Toc403077651"/>
      <w:bookmarkStart w:id="150" w:name="_Toc28910"/>
      <w:bookmarkStart w:id="151" w:name="_Toc17800"/>
      <w:r>
        <w:rPr>
          <w:rFonts w:hint="eastAsia" w:ascii="宋体" w:hAnsi="宋体" w:eastAsia="宋体" w:cs="宋体"/>
          <w:b/>
          <w:bCs w:val="0"/>
          <w:sz w:val="32"/>
          <w:szCs w:val="32"/>
          <w:highlight w:val="none"/>
        </w:rPr>
        <w:t>二、磋商报价表</w:t>
      </w:r>
      <w:bookmarkEnd w:id="145"/>
      <w:bookmarkEnd w:id="146"/>
      <w:bookmarkEnd w:id="147"/>
      <w:bookmarkEnd w:id="148"/>
      <w:bookmarkEnd w:id="149"/>
      <w:bookmarkEnd w:id="150"/>
      <w:bookmarkEnd w:id="151"/>
    </w:p>
    <w:p w14:paraId="11B63ACD">
      <w:pPr>
        <w:jc w:val="center"/>
        <w:outlineLvl w:val="2"/>
        <w:rPr>
          <w:rFonts w:hint="eastAsia" w:ascii="宋体" w:hAnsi="宋体" w:eastAsia="宋体" w:cs="宋体"/>
          <w:b/>
          <w:bCs/>
          <w:sz w:val="28"/>
          <w:szCs w:val="28"/>
          <w:highlight w:val="none"/>
        </w:rPr>
      </w:pPr>
      <w:bookmarkStart w:id="152" w:name="_Toc1032"/>
      <w:bookmarkStart w:id="153" w:name="_Toc7982"/>
      <w:bookmarkStart w:id="154" w:name="_Toc21540"/>
      <w:bookmarkStart w:id="155" w:name="_Toc32277"/>
      <w:bookmarkStart w:id="156" w:name="_Toc12732"/>
      <w:r>
        <w:rPr>
          <w:rFonts w:hint="eastAsia" w:ascii="宋体" w:hAnsi="宋体" w:eastAsia="宋体" w:cs="宋体"/>
          <w:b/>
          <w:bCs/>
          <w:sz w:val="28"/>
          <w:szCs w:val="28"/>
          <w:highlight w:val="none"/>
        </w:rPr>
        <w:t>2.1报价一览表</w:t>
      </w:r>
      <w:bookmarkEnd w:id="152"/>
      <w:bookmarkEnd w:id="153"/>
      <w:bookmarkEnd w:id="154"/>
      <w:bookmarkEnd w:id="155"/>
      <w:bookmarkEnd w:id="156"/>
    </w:p>
    <w:p w14:paraId="14F7D754">
      <w:pPr>
        <w:spacing w:line="360" w:lineRule="auto"/>
        <w:jc w:val="center"/>
        <w:rPr>
          <w:rFonts w:hint="eastAsia" w:ascii="宋体" w:hAnsi="宋体" w:eastAsia="宋体" w:cs="宋体"/>
          <w:szCs w:val="24"/>
          <w:highlight w:val="none"/>
        </w:rPr>
      </w:pPr>
    </w:p>
    <w:p w14:paraId="7B373CD6">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14:paraId="3CC914F7">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5881"/>
      </w:tblGrid>
      <w:tr w14:paraId="2FB3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restart"/>
            <w:noWrap w:val="0"/>
            <w:vAlign w:val="center"/>
          </w:tcPr>
          <w:p w14:paraId="2E6574A5">
            <w:pPr>
              <w:jc w:val="center"/>
              <w:rPr>
                <w:szCs w:val="24"/>
                <w:highlight w:val="none"/>
              </w:rPr>
            </w:pPr>
            <w:r>
              <w:rPr>
                <w:rFonts w:hint="eastAsia" w:hAnsi="宋体" w:cs="宋体"/>
                <w:szCs w:val="24"/>
                <w:highlight w:val="none"/>
              </w:rPr>
              <w:t>磋商总报价（元）</w:t>
            </w:r>
          </w:p>
        </w:tc>
        <w:tc>
          <w:tcPr>
            <w:tcW w:w="5881" w:type="dxa"/>
            <w:noWrap w:val="0"/>
            <w:vAlign w:val="center"/>
          </w:tcPr>
          <w:p w14:paraId="3EA5AA22">
            <w:pPr>
              <w:rPr>
                <w:szCs w:val="24"/>
                <w:highlight w:val="none"/>
              </w:rPr>
            </w:pPr>
            <w:r>
              <w:rPr>
                <w:rFonts w:hint="eastAsia" w:hAnsi="宋体" w:cs="宋体"/>
                <w:szCs w:val="24"/>
                <w:highlight w:val="none"/>
              </w:rPr>
              <w:t>小写：</w:t>
            </w:r>
          </w:p>
        </w:tc>
      </w:tr>
      <w:tr w14:paraId="47D5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vMerge w:val="continue"/>
            <w:noWrap w:val="0"/>
            <w:vAlign w:val="center"/>
          </w:tcPr>
          <w:p w14:paraId="5691BBE2">
            <w:pPr>
              <w:rPr>
                <w:highlight w:val="none"/>
              </w:rPr>
            </w:pPr>
          </w:p>
        </w:tc>
        <w:tc>
          <w:tcPr>
            <w:tcW w:w="5881" w:type="dxa"/>
            <w:noWrap w:val="0"/>
            <w:vAlign w:val="center"/>
          </w:tcPr>
          <w:p w14:paraId="2A3766EC">
            <w:pPr>
              <w:rPr>
                <w:szCs w:val="24"/>
                <w:highlight w:val="none"/>
              </w:rPr>
            </w:pPr>
            <w:r>
              <w:rPr>
                <w:rFonts w:hint="eastAsia" w:hAnsi="宋体" w:cs="宋体"/>
                <w:szCs w:val="24"/>
                <w:highlight w:val="none"/>
              </w:rPr>
              <w:t>大写：</w:t>
            </w:r>
          </w:p>
        </w:tc>
      </w:tr>
      <w:tr w14:paraId="00DE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119A9AEB">
            <w:pPr>
              <w:jc w:val="center"/>
              <w:rPr>
                <w:rFonts w:hint="eastAsia" w:hAnsi="宋体" w:cs="宋体"/>
                <w:szCs w:val="24"/>
                <w:highlight w:val="none"/>
              </w:rPr>
            </w:pPr>
            <w:r>
              <w:rPr>
                <w:rFonts w:hint="eastAsia" w:hAnsi="宋体" w:cs="宋体"/>
                <w:szCs w:val="24"/>
                <w:highlight w:val="none"/>
              </w:rPr>
              <w:t>质量标准</w:t>
            </w:r>
          </w:p>
        </w:tc>
        <w:tc>
          <w:tcPr>
            <w:tcW w:w="5881" w:type="dxa"/>
            <w:noWrap w:val="0"/>
            <w:vAlign w:val="center"/>
          </w:tcPr>
          <w:p w14:paraId="75588D4A">
            <w:pPr>
              <w:rPr>
                <w:szCs w:val="24"/>
                <w:highlight w:val="none"/>
              </w:rPr>
            </w:pPr>
          </w:p>
        </w:tc>
      </w:tr>
      <w:tr w14:paraId="50D5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2A568B8B">
            <w:pPr>
              <w:jc w:val="center"/>
              <w:rPr>
                <w:rFonts w:hint="eastAsia" w:hAnsi="宋体" w:eastAsia="宋体" w:cs="宋体"/>
                <w:szCs w:val="24"/>
                <w:highlight w:val="none"/>
                <w:lang w:eastAsia="zh-CN"/>
              </w:rPr>
            </w:pPr>
            <w:r>
              <w:rPr>
                <w:rFonts w:hint="eastAsia"/>
                <w:szCs w:val="22"/>
                <w:highlight w:val="none"/>
                <w:lang w:val="en-US" w:eastAsia="zh-CN"/>
              </w:rPr>
              <w:t>工期</w:t>
            </w:r>
          </w:p>
        </w:tc>
        <w:tc>
          <w:tcPr>
            <w:tcW w:w="5881" w:type="dxa"/>
            <w:noWrap w:val="0"/>
            <w:vAlign w:val="center"/>
          </w:tcPr>
          <w:p w14:paraId="74A0BBAF">
            <w:pPr>
              <w:rPr>
                <w:szCs w:val="24"/>
                <w:highlight w:val="none"/>
              </w:rPr>
            </w:pPr>
          </w:p>
        </w:tc>
      </w:tr>
      <w:tr w14:paraId="4CF6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2E7160FD">
            <w:pPr>
              <w:jc w:val="center"/>
              <w:rPr>
                <w:rFonts w:hint="default"/>
                <w:szCs w:val="22"/>
                <w:highlight w:val="none"/>
                <w:lang w:val="en-US" w:eastAsia="zh-CN"/>
              </w:rPr>
            </w:pPr>
            <w:r>
              <w:rPr>
                <w:rFonts w:hint="eastAsia"/>
                <w:szCs w:val="22"/>
                <w:highlight w:val="none"/>
                <w:lang w:val="en-US" w:eastAsia="zh-CN"/>
              </w:rPr>
              <w:t>抚育管护期</w:t>
            </w:r>
          </w:p>
        </w:tc>
        <w:tc>
          <w:tcPr>
            <w:tcW w:w="5881" w:type="dxa"/>
            <w:noWrap w:val="0"/>
            <w:vAlign w:val="center"/>
          </w:tcPr>
          <w:p w14:paraId="0D5A9600">
            <w:pPr>
              <w:rPr>
                <w:szCs w:val="24"/>
                <w:highlight w:val="none"/>
              </w:rPr>
            </w:pPr>
          </w:p>
        </w:tc>
      </w:tr>
      <w:tr w14:paraId="6D5E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407" w:type="dxa"/>
            <w:noWrap w:val="0"/>
            <w:vAlign w:val="center"/>
          </w:tcPr>
          <w:p w14:paraId="6C480C9C">
            <w:pPr>
              <w:jc w:val="center"/>
              <w:rPr>
                <w:szCs w:val="24"/>
                <w:highlight w:val="none"/>
              </w:rPr>
            </w:pPr>
            <w:r>
              <w:rPr>
                <w:rFonts w:hint="eastAsia" w:hAnsi="宋体" w:cs="宋体"/>
                <w:szCs w:val="24"/>
                <w:highlight w:val="none"/>
              </w:rPr>
              <w:t>备注</w:t>
            </w:r>
          </w:p>
        </w:tc>
        <w:tc>
          <w:tcPr>
            <w:tcW w:w="5881" w:type="dxa"/>
            <w:noWrap w:val="0"/>
            <w:vAlign w:val="center"/>
          </w:tcPr>
          <w:p w14:paraId="0705AA7A">
            <w:pPr>
              <w:rPr>
                <w:szCs w:val="24"/>
                <w:highlight w:val="none"/>
              </w:rPr>
            </w:pPr>
          </w:p>
        </w:tc>
      </w:tr>
    </w:tbl>
    <w:p w14:paraId="4DBF6DB9">
      <w:pPr>
        <w:rPr>
          <w:rFonts w:hint="eastAsia" w:ascii="宋体" w:hAnsi="宋体" w:eastAsia="宋体" w:cs="宋体"/>
          <w:szCs w:val="24"/>
          <w:highlight w:val="none"/>
        </w:rPr>
      </w:pPr>
    </w:p>
    <w:p w14:paraId="74B1C5F5">
      <w:pPr>
        <w:rPr>
          <w:rFonts w:hint="eastAsia" w:ascii="宋体" w:hAnsi="宋体" w:eastAsia="宋体" w:cs="宋体"/>
          <w:szCs w:val="24"/>
          <w:highlight w:val="none"/>
        </w:rPr>
      </w:pPr>
    </w:p>
    <w:p w14:paraId="3E885D07">
      <w:pPr>
        <w:rPr>
          <w:rFonts w:hint="eastAsia" w:ascii="宋体" w:hAnsi="宋体" w:eastAsia="宋体" w:cs="宋体"/>
          <w:szCs w:val="24"/>
          <w:highlight w:val="none"/>
        </w:rPr>
      </w:pPr>
    </w:p>
    <w:p w14:paraId="4027E6E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14:paraId="11298359">
      <w:pPr>
        <w:spacing w:line="280" w:lineRule="exact"/>
        <w:ind w:right="617" w:rightChars="257"/>
        <w:jc w:val="left"/>
        <w:rPr>
          <w:rFonts w:hint="eastAsia" w:ascii="宋体" w:hAnsi="宋体" w:eastAsia="宋体" w:cs="宋体"/>
          <w:szCs w:val="24"/>
          <w:highlight w:val="none"/>
        </w:rPr>
      </w:pPr>
    </w:p>
    <w:p w14:paraId="2E214841">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14:paraId="3939E0F0">
      <w:pPr>
        <w:spacing w:line="280" w:lineRule="exact"/>
        <w:ind w:right="617" w:rightChars="257"/>
        <w:jc w:val="left"/>
        <w:rPr>
          <w:rFonts w:hint="eastAsia" w:ascii="宋体" w:hAnsi="宋体" w:eastAsia="宋体" w:cs="宋体"/>
          <w:szCs w:val="24"/>
          <w:highlight w:val="none"/>
        </w:rPr>
      </w:pPr>
    </w:p>
    <w:p w14:paraId="487FA5D2">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14:paraId="6042B3F2">
      <w:pPr>
        <w:jc w:val="center"/>
        <w:rPr>
          <w:rFonts w:hint="eastAsia" w:ascii="宋体" w:hAnsi="宋体" w:eastAsia="宋体" w:cs="宋体"/>
          <w:szCs w:val="24"/>
          <w:highlight w:val="none"/>
        </w:rPr>
      </w:pPr>
    </w:p>
    <w:p w14:paraId="3F3BEBDB">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14:paraId="11483CD4">
      <w:pPr>
        <w:jc w:val="center"/>
        <w:rPr>
          <w:rFonts w:hint="eastAsia" w:ascii="宋体" w:hAnsi="宋体" w:eastAsia="宋体" w:cs="宋体"/>
          <w:b/>
          <w:sz w:val="30"/>
          <w:szCs w:val="30"/>
          <w:highlight w:val="none"/>
        </w:rPr>
      </w:pPr>
    </w:p>
    <w:p w14:paraId="3AA6D793">
      <w:pPr>
        <w:jc w:val="center"/>
        <w:outlineLvl w:val="2"/>
        <w:rPr>
          <w:rFonts w:hint="default" w:hAnsi="宋体" w:cs="宋体"/>
          <w:b/>
          <w:bCs/>
          <w:sz w:val="28"/>
          <w:szCs w:val="28"/>
          <w:highlight w:val="none"/>
          <w:lang w:val="en-US" w:eastAsia="zh-CN"/>
        </w:rPr>
      </w:pPr>
      <w:r>
        <w:rPr>
          <w:rFonts w:hint="eastAsia" w:ascii="宋体" w:hAnsi="宋体" w:eastAsia="宋体" w:cs="宋体"/>
          <w:b/>
          <w:sz w:val="30"/>
          <w:szCs w:val="30"/>
          <w:highlight w:val="none"/>
        </w:rPr>
        <w:br w:type="page"/>
      </w:r>
      <w:bookmarkEnd w:id="139"/>
      <w:bookmarkStart w:id="157" w:name="_Toc14853"/>
      <w:bookmarkStart w:id="158" w:name="_Toc21044"/>
      <w:bookmarkStart w:id="159" w:name="_Toc3628"/>
      <w:bookmarkStart w:id="160" w:name="_Toc5944"/>
      <w:bookmarkStart w:id="161" w:name="_Toc32126"/>
      <w:bookmarkStart w:id="162" w:name="_Toc344572163"/>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57"/>
      <w:r>
        <w:rPr>
          <w:rFonts w:hint="eastAsia" w:hAnsi="宋体" w:cs="宋体"/>
          <w:b/>
          <w:bCs/>
          <w:sz w:val="28"/>
          <w:szCs w:val="28"/>
          <w:highlight w:val="none"/>
          <w:lang w:val="en-US" w:eastAsia="zh-CN"/>
        </w:rPr>
        <w:t>表</w:t>
      </w:r>
      <w:bookmarkEnd w:id="158"/>
    </w:p>
    <w:tbl>
      <w:tblPr>
        <w:tblStyle w:val="20"/>
        <w:tblW w:w="47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1866"/>
        <w:gridCol w:w="1224"/>
        <w:gridCol w:w="1303"/>
        <w:gridCol w:w="1526"/>
        <w:gridCol w:w="1470"/>
        <w:gridCol w:w="920"/>
      </w:tblGrid>
      <w:tr w14:paraId="30E9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4430139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bookmarkStart w:id="163" w:name="_Toc12382"/>
            <w:r>
              <w:rPr>
                <w:rFonts w:hint="eastAsia" w:ascii="宋体" w:hAnsi="宋体" w:eastAsia="宋体" w:cs="宋体"/>
                <w:b/>
                <w:bCs/>
                <w:sz w:val="28"/>
                <w:szCs w:val="28"/>
                <w:lang w:val="en-US" w:eastAsia="zh-CN"/>
              </w:rPr>
              <w:t>农村“四旁”绿化</w:t>
            </w:r>
          </w:p>
        </w:tc>
      </w:tr>
      <w:tr w14:paraId="06FA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6CD5231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3B600C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1F59224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0A22F13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3A31512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38F8507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41ABCE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20C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252A81C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048A12F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高杆石楠</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4328CE9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EE968E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F223C2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00D4D6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E76461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054A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4C2281A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3AEF59E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日本红枫</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51BA4A7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8B1458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DC81CF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5CF0E8E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7EA082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626B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30A8DF1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19914EE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枇杷</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77DE4B1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00196F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3764DB4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769C5F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87DD8F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4E11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5F50019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156AF45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红叶李</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75D888A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BF04CC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242</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35C014D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2B3D1C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D55F8F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3245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442EE4D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5B72478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桂花</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7B21507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1C0831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5B0513B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986FB9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EEC94E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325A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49538C0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04F159B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杏树</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6C1E27D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0FAD9A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805DC0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69CADF8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AEF912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589A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17AB3C3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62DE8BA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李子树</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9388EF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3C3C8F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5E58E3F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2F64153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7CACDB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542A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3F2C4A9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20704D4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柿子树</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79B2C83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75C672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E2510B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2362224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6A8CA5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25AB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18163A0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0382ECF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桃树</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307349E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75B1AC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2A208EF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901BB2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4696BD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6A52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6E651C6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4FFA2DE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樱桃</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6039C43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D0836E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46A6F06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0D2BD01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39997E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631E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277C926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5FA02F3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法桐</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6FD01A4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B0F6EB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42C7E37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8B9C05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BDE7C3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6DE1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0B29725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6BB39C4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金叶女贞球</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C0B246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64C2DE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7C98C6C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8B3A40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80FF67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4091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0F84F30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7694981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小叶女贞球</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4AE4F3EC">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2FEE3F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2AFC4A8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FB6DBF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63DCD5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3153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49358D8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6140933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雀舌黄杨</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51969C5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1FDF53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43BBE46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654DD22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6170DD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6B31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22FAFA8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428F219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黄杨球</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507313A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B4ECA3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685</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31D150D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5BA58BC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7071E9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34C8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07DA3A1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0227C3C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金镶玉竹</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D4642D6">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2A745F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7380</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073355F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1D1A5C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DDB2D5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3BD0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3E1ED0A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7D3A7FA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麦冬</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8EA74D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7D0C4A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298</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4A9045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261E53EA">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2E7818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254C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3D128D7B">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10DA9A1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覆土</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83DBE1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立方米</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750384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475</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654E86F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7587C52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467FF1F">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74B0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038A7CD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0B785B3D">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平整场地</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6175275">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BB89D2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4742</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2A1C843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2C4B5104">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76E30B5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23AE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28056A7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5AA370A9">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垃圾外运</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823CC83">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立方米</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6B53667">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237.1</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1FCBBAA1">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0A118FD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CA8DA02">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7997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47B0E9CE">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r>
              <w:rPr>
                <w:rFonts w:hint="eastAsia"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（元）</w:t>
            </w:r>
          </w:p>
        </w:tc>
      </w:tr>
      <w:tr w14:paraId="6380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29676B88">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坡体植被恢复绿化</w:t>
            </w:r>
          </w:p>
        </w:tc>
      </w:tr>
      <w:tr w14:paraId="55B1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1D6E8025">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F0B83A1">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671" w:type="pct"/>
            <w:tcBorders>
              <w:top w:val="single" w:color="000000" w:sz="4" w:space="0"/>
              <w:left w:val="single" w:color="000000" w:sz="4" w:space="0"/>
              <w:bottom w:val="single" w:color="000000" w:sz="4" w:space="0"/>
              <w:right w:val="single" w:color="000000" w:sz="4" w:space="0"/>
            </w:tcBorders>
            <w:noWrap w:val="0"/>
            <w:vAlign w:val="center"/>
          </w:tcPr>
          <w:p w14:paraId="7F62E810">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14:paraId="0096E44B">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175F9F82">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3A0357F7">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59E6062">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2546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79A7762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124B60B5">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云杉（大）</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61E2114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64B84B4">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1116</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213DBFD1">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0FB562F4">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5D6C226">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5E97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6DFA584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2B981530">
            <w:pPr>
              <w:keepNext w:val="0"/>
              <w:keepLines w:val="0"/>
              <w:pageBreakBefore w:val="0"/>
              <w:widowControl w:val="0"/>
              <w:suppressLineNumbers w:val="0"/>
              <w:kinsoku/>
              <w:wordWrap/>
              <w:overflowPunct w:val="0"/>
              <w:topLinePunct w:val="0"/>
              <w:autoSpaceDE/>
              <w:autoSpaceDN/>
              <w:bidi w:val="0"/>
              <w:adjustRightInd/>
              <w:snapToGrid/>
              <w:spacing w:line="300" w:lineRule="exact"/>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云杉（中）</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10EEF07A">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6A463DD">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13095</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2B090F03">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2C2B876">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AFF50AE">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5EC7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3C9656A5">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52D9A37A">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云杉（营养钵）</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23D92BB9">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FC3440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516</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37B43709">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5FA444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0F837AD1">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r>
      <w:tr w14:paraId="6504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439" w:type="pct"/>
            <w:tcBorders>
              <w:top w:val="single" w:color="000000" w:sz="4" w:space="0"/>
              <w:left w:val="single" w:color="000000" w:sz="4" w:space="0"/>
              <w:bottom w:val="single" w:color="000000" w:sz="4" w:space="0"/>
              <w:right w:val="single" w:color="000000" w:sz="4" w:space="0"/>
            </w:tcBorders>
            <w:noWrap/>
            <w:vAlign w:val="center"/>
          </w:tcPr>
          <w:p w14:paraId="5B0A401A">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024" w:type="pct"/>
            <w:tcBorders>
              <w:top w:val="single" w:color="000000" w:sz="4" w:space="0"/>
              <w:left w:val="single" w:color="000000" w:sz="4" w:space="0"/>
              <w:bottom w:val="single" w:color="000000" w:sz="4" w:space="0"/>
              <w:right w:val="single" w:color="000000" w:sz="4" w:space="0"/>
            </w:tcBorders>
            <w:noWrap/>
            <w:vAlign w:val="center"/>
          </w:tcPr>
          <w:p w14:paraId="2719586B">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480" w:firstLineChars="200"/>
              <w:jc w:val="both"/>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侧柏</w:t>
            </w:r>
          </w:p>
        </w:tc>
        <w:tc>
          <w:tcPr>
            <w:tcW w:w="671" w:type="pct"/>
            <w:tcBorders>
              <w:top w:val="single" w:color="000000" w:sz="4" w:space="0"/>
              <w:left w:val="single" w:color="000000" w:sz="4" w:space="0"/>
              <w:bottom w:val="single" w:color="000000" w:sz="4" w:space="0"/>
              <w:right w:val="single" w:color="000000" w:sz="4" w:space="0"/>
            </w:tcBorders>
            <w:noWrap/>
            <w:vAlign w:val="center"/>
          </w:tcPr>
          <w:p w14:paraId="310ED341">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株</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622B4A6">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383BCF5F">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0A22426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center"/>
              <w:textAlignment w:val="auto"/>
              <w:outlineLvl w:val="9"/>
              <w:rPr>
                <w:rFonts w:hint="eastAsia" w:ascii="宋体" w:hAnsi="宋体" w:eastAsia="宋体" w:cs="宋体"/>
                <w:i w:val="0"/>
                <w:iCs w:val="0"/>
                <w:color w:val="000000"/>
                <w:kern w:val="0"/>
                <w:sz w:val="24"/>
                <w:szCs w:val="24"/>
                <w:u w:val="none"/>
                <w:lang w:val="en-US" w:eastAsia="zh-CN" w:bidi="ar"/>
              </w:rPr>
            </w:pP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3559B7C">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firstLine="0" w:firstLineChars="0"/>
              <w:jc w:val="both"/>
              <w:textAlignment w:val="auto"/>
              <w:outlineLvl w:val="9"/>
              <w:rPr>
                <w:rFonts w:hint="eastAsia" w:ascii="宋体" w:hAnsi="宋体" w:eastAsia="宋体" w:cs="宋体"/>
                <w:i w:val="0"/>
                <w:iCs w:val="0"/>
                <w:color w:val="000000"/>
                <w:kern w:val="0"/>
                <w:sz w:val="24"/>
                <w:szCs w:val="24"/>
                <w:u w:val="none"/>
                <w:lang w:val="en-US" w:eastAsia="zh-CN" w:bidi="ar"/>
              </w:rPr>
            </w:pPr>
          </w:p>
        </w:tc>
      </w:tr>
      <w:tr w14:paraId="2560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1DD1DC70">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r>
              <w:rPr>
                <w:rFonts w:hint="eastAsia"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（元）</w:t>
            </w:r>
          </w:p>
        </w:tc>
      </w:tr>
    </w:tbl>
    <w:p w14:paraId="5519B785">
      <w:pPr>
        <w:spacing w:line="312" w:lineRule="auto"/>
        <w:ind w:right="617" w:rightChars="257"/>
        <w:jc w:val="left"/>
        <w:rPr>
          <w:rFonts w:hint="eastAsia" w:asciiTheme="minorEastAsia" w:hAnsiTheme="minorEastAsia" w:eastAsiaTheme="minorEastAsia" w:cstheme="minorEastAsia"/>
          <w:sz w:val="24"/>
          <w:highlight w:val="none"/>
        </w:rPr>
      </w:pPr>
    </w:p>
    <w:p w14:paraId="42B824C4">
      <w:pPr>
        <w:keepNext w:val="0"/>
        <w:keepLines w:val="0"/>
        <w:pageBreakBefore w:val="0"/>
        <w:widowControl w:val="0"/>
        <w:kinsoku/>
        <w:wordWrap/>
        <w:overflowPunct/>
        <w:topLinePunct w:val="0"/>
        <w:autoSpaceDE/>
        <w:autoSpaceDN/>
        <w:bidi w:val="0"/>
        <w:adjustRightInd/>
        <w:snapToGrid/>
        <w:spacing w:line="360" w:lineRule="auto"/>
        <w:ind w:right="617" w:rightChars="257"/>
        <w:jc w:val="left"/>
        <w:textAlignment w:val="auto"/>
        <w:rPr>
          <w:rFonts w:hint="default" w:asciiTheme="minorEastAsia" w:hAnsiTheme="minorEastAsia" w:eastAsiaTheme="minorEastAsia" w:cstheme="minorEastAsia"/>
          <w:sz w:val="24"/>
          <w:highlight w:val="none"/>
          <w:lang w:val="en-US" w:eastAsia="zh-CN"/>
        </w:rPr>
      </w:pPr>
    </w:p>
    <w:p w14:paraId="0BB17759">
      <w:pPr>
        <w:spacing w:line="312" w:lineRule="auto"/>
        <w:ind w:right="617" w:rightChars="257"/>
        <w:jc w:val="left"/>
        <w:rPr>
          <w:rFonts w:hint="eastAsia" w:asciiTheme="minorEastAsia" w:hAnsiTheme="minorEastAsia" w:eastAsiaTheme="minorEastAsia" w:cstheme="minorEastAsia"/>
          <w:sz w:val="24"/>
          <w:highlight w:val="none"/>
          <w:lang w:val="en-US" w:eastAsia="zh-CN"/>
        </w:rPr>
      </w:pPr>
    </w:p>
    <w:p w14:paraId="2710A828">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供应商</w:t>
      </w:r>
      <w:r>
        <w:rPr>
          <w:rFonts w:hint="eastAsia" w:asciiTheme="minorEastAsia" w:hAnsiTheme="minorEastAsia" w:eastAsiaTheme="minorEastAsia" w:cstheme="minorEastAsia"/>
          <w:sz w:val="24"/>
          <w:highlight w:val="none"/>
        </w:rPr>
        <w:t>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617"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185D2CEA">
      <w:pPr>
        <w:keepNext w:val="0"/>
        <w:keepLines w:val="0"/>
        <w:pageBreakBefore w:val="0"/>
        <w:widowControl w:val="0"/>
        <w:kinsoku/>
        <w:wordWrap/>
        <w:overflowPunct/>
        <w:topLinePunct w:val="0"/>
        <w:autoSpaceDE/>
        <w:autoSpaceDN/>
        <w:bidi w:val="0"/>
        <w:adjustRightInd/>
        <w:snapToGrid/>
        <w:spacing w:line="360" w:lineRule="auto"/>
        <w:ind w:right="617" w:rightChars="257"/>
        <w:jc w:val="left"/>
        <w:textAlignment w:val="auto"/>
        <w:rPr>
          <w:rFonts w:hint="eastAsia" w:asciiTheme="minorEastAsia" w:hAnsiTheme="minorEastAsia" w:eastAsiaTheme="minorEastAsia" w:cstheme="minorEastAsia"/>
          <w:sz w:val="24"/>
          <w:highlight w:val="none"/>
          <w:lang w:val="en-US" w:eastAsia="zh-CN"/>
        </w:rPr>
      </w:pPr>
    </w:p>
    <w:p w14:paraId="02E34679">
      <w:pPr>
        <w:keepNext w:val="0"/>
        <w:keepLines w:val="0"/>
        <w:pageBreakBefore w:val="0"/>
        <w:widowControl w:val="0"/>
        <w:kinsoku/>
        <w:wordWrap/>
        <w:overflowPunct/>
        <w:topLinePunct w:val="0"/>
        <w:autoSpaceDE/>
        <w:autoSpaceDN/>
        <w:bidi w:val="0"/>
        <w:adjustRightInd/>
        <w:snapToGrid/>
        <w:spacing w:line="360" w:lineRule="auto"/>
        <w:ind w:right="617" w:rightChars="257"/>
        <w:jc w:val="left"/>
        <w:textAlignment w:val="auto"/>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注：①农村“四旁”绿化苗木综合费(包含苗木费、起挖费、装卸车费、运输费、检疫检验费、栽植费、物料费、补植费、抚育管护1年所有费用及各类税费)。</w:t>
      </w:r>
    </w:p>
    <w:p w14:paraId="2FC5DA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②</w:t>
      </w:r>
      <w:r>
        <w:rPr>
          <w:rFonts w:hint="default" w:asciiTheme="minorEastAsia" w:hAnsiTheme="minorEastAsia" w:eastAsiaTheme="minorEastAsia" w:cstheme="minorEastAsia"/>
          <w:b/>
          <w:bCs/>
          <w:sz w:val="24"/>
          <w:highlight w:val="none"/>
          <w:lang w:val="en-US" w:eastAsia="zh-CN"/>
        </w:rPr>
        <w:t>坡体植被恢复绿化苗木综合费(包含苗木费、起挖费、装卸车费、运输费、检疫检验费、栽植费（整地、客土、栽植、浇水、覆膜等）、物料费、补植费、抚育管护1年所有费用及各类税费)。</w:t>
      </w:r>
    </w:p>
    <w:p w14:paraId="4D704A0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5567167">
      <w:pPr>
        <w:jc w:val="center"/>
        <w:outlineLvl w:val="1"/>
        <w:rPr>
          <w:rFonts w:hint="eastAsia" w:ascii="宋体" w:hAnsi="宋体" w:eastAsia="宋体" w:cs="宋体"/>
          <w:sz w:val="32"/>
          <w:szCs w:val="32"/>
          <w:highlight w:val="none"/>
        </w:rPr>
      </w:pPr>
      <w:bookmarkStart w:id="164" w:name="_Toc10703"/>
      <w:r>
        <w:rPr>
          <w:rFonts w:hint="eastAsia" w:ascii="宋体" w:hAnsi="宋体" w:eastAsia="宋体" w:cs="宋体"/>
          <w:b/>
          <w:bCs/>
          <w:sz w:val="32"/>
          <w:szCs w:val="32"/>
          <w:highlight w:val="none"/>
        </w:rPr>
        <w:t>三、磋商方案说明书</w:t>
      </w:r>
      <w:bookmarkEnd w:id="159"/>
      <w:bookmarkEnd w:id="160"/>
      <w:bookmarkEnd w:id="161"/>
      <w:bookmarkEnd w:id="163"/>
      <w:bookmarkEnd w:id="164"/>
    </w:p>
    <w:p w14:paraId="5F50A260">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14:paraId="61013F8C">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14:paraId="3A2AF88C">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14:paraId="34C568A5">
      <w:pPr>
        <w:pStyle w:val="8"/>
        <w:rPr>
          <w:rFonts w:hint="eastAsia" w:ascii="宋体" w:hAnsi="宋体" w:eastAsia="宋体" w:cs="宋体"/>
          <w:highlight w:val="none"/>
        </w:rPr>
      </w:pPr>
    </w:p>
    <w:p w14:paraId="0A1FFCAB">
      <w:pPr>
        <w:pStyle w:val="8"/>
        <w:rPr>
          <w:rFonts w:hint="eastAsia" w:ascii="宋体" w:hAnsi="宋体" w:eastAsia="宋体" w:cs="宋体"/>
          <w:highlight w:val="none"/>
        </w:rPr>
      </w:pPr>
    </w:p>
    <w:p w14:paraId="144D4550">
      <w:pPr>
        <w:rPr>
          <w:rFonts w:hint="eastAsia" w:ascii="宋体" w:hAnsi="宋体" w:eastAsia="宋体" w:cs="宋体"/>
          <w:highlight w:val="none"/>
        </w:rPr>
      </w:pPr>
    </w:p>
    <w:p w14:paraId="4478CC01">
      <w:pPr>
        <w:pStyle w:val="8"/>
        <w:rPr>
          <w:rFonts w:hint="eastAsia" w:ascii="宋体" w:hAnsi="宋体" w:eastAsia="宋体" w:cs="宋体"/>
          <w:highlight w:val="none"/>
        </w:rPr>
      </w:pPr>
    </w:p>
    <w:p w14:paraId="379221CA">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14:paraId="40904B1E">
      <w:pPr>
        <w:spacing w:line="480" w:lineRule="auto"/>
        <w:ind w:left="3725" w:leftChars="1552"/>
        <w:rPr>
          <w:rFonts w:hint="eastAsia" w:ascii="宋体" w:hAnsi="宋体" w:eastAsia="宋体" w:cs="宋体"/>
          <w:szCs w:val="24"/>
          <w:highlight w:val="none"/>
        </w:rPr>
      </w:pPr>
    </w:p>
    <w:p w14:paraId="01C94214">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14:paraId="3782C6B4">
      <w:pPr>
        <w:spacing w:line="480" w:lineRule="auto"/>
        <w:ind w:left="3725" w:leftChars="1552" w:firstLine="5668" w:firstLineChars="2362"/>
        <w:rPr>
          <w:rFonts w:hint="eastAsia" w:ascii="宋体" w:hAnsi="宋体" w:eastAsia="宋体" w:cs="宋体"/>
          <w:szCs w:val="24"/>
          <w:highlight w:val="none"/>
        </w:rPr>
      </w:pPr>
    </w:p>
    <w:p w14:paraId="1CDAC108">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14:paraId="13D8DC08">
      <w:pPr>
        <w:spacing w:after="120" w:line="480" w:lineRule="auto"/>
        <w:rPr>
          <w:rFonts w:hint="eastAsia" w:ascii="宋体" w:hAnsi="宋体" w:eastAsia="宋体" w:cs="宋体"/>
          <w:b/>
          <w:szCs w:val="24"/>
          <w:highlight w:val="none"/>
        </w:rPr>
      </w:pPr>
    </w:p>
    <w:p w14:paraId="7E57BB64">
      <w:pPr>
        <w:spacing w:after="120"/>
        <w:rPr>
          <w:rFonts w:hint="eastAsia" w:ascii="宋体" w:hAnsi="宋体" w:eastAsia="宋体" w:cs="宋体"/>
          <w:b/>
          <w:szCs w:val="24"/>
          <w:highlight w:val="none"/>
        </w:rPr>
      </w:pPr>
    </w:p>
    <w:p w14:paraId="26183688">
      <w:pPr>
        <w:spacing w:after="120"/>
        <w:rPr>
          <w:rFonts w:hint="eastAsia" w:ascii="宋体" w:hAnsi="宋体" w:eastAsia="宋体" w:cs="宋体"/>
          <w:b/>
          <w:szCs w:val="24"/>
          <w:highlight w:val="none"/>
        </w:rPr>
      </w:pPr>
    </w:p>
    <w:p w14:paraId="69C241C6">
      <w:pPr>
        <w:spacing w:after="120"/>
        <w:rPr>
          <w:rFonts w:hint="eastAsia" w:ascii="宋体" w:hAnsi="宋体" w:eastAsia="宋体" w:cs="宋体"/>
          <w:b/>
          <w:szCs w:val="24"/>
          <w:highlight w:val="none"/>
        </w:rPr>
      </w:pPr>
    </w:p>
    <w:p w14:paraId="57455D58">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65" w:name="_Toc23455"/>
      <w:bookmarkStart w:id="166" w:name="_Toc21284"/>
      <w:bookmarkStart w:id="167" w:name="_Toc2621"/>
      <w:bookmarkStart w:id="168" w:name="_Toc1379"/>
      <w:bookmarkStart w:id="169" w:name="_Toc9218"/>
      <w:bookmarkStart w:id="170" w:name="_Toc15265"/>
      <w:bookmarkStart w:id="171" w:name="_Toc5662"/>
      <w:bookmarkStart w:id="172" w:name="_Toc8845"/>
    </w:p>
    <w:p w14:paraId="03C66C67">
      <w:pPr>
        <w:ind w:firstLine="161" w:firstLineChars="50"/>
        <w:jc w:val="center"/>
        <w:outlineLvl w:val="1"/>
        <w:rPr>
          <w:rFonts w:hint="eastAsia" w:ascii="宋体" w:hAnsi="宋体" w:eastAsia="宋体" w:cs="宋体"/>
          <w:sz w:val="32"/>
          <w:szCs w:val="32"/>
          <w:highlight w:val="none"/>
        </w:rPr>
      </w:pPr>
      <w:bookmarkStart w:id="173" w:name="_Toc10135"/>
      <w:bookmarkStart w:id="174" w:name="_Toc25290"/>
      <w:r>
        <w:rPr>
          <w:rFonts w:hint="eastAsia" w:ascii="宋体" w:hAnsi="宋体" w:eastAsia="宋体" w:cs="宋体"/>
          <w:b/>
          <w:bCs/>
          <w:sz w:val="32"/>
          <w:szCs w:val="32"/>
          <w:highlight w:val="none"/>
        </w:rPr>
        <w:t>四、</w:t>
      </w:r>
      <w:bookmarkEnd w:id="165"/>
      <w:bookmarkEnd w:id="166"/>
      <w:bookmarkEnd w:id="167"/>
      <w:bookmarkEnd w:id="168"/>
      <w:bookmarkEnd w:id="169"/>
      <w:r>
        <w:rPr>
          <w:rFonts w:hint="eastAsia" w:ascii="宋体" w:hAnsi="宋体" w:eastAsia="宋体" w:cs="宋体"/>
          <w:b/>
          <w:bCs/>
          <w:sz w:val="32"/>
          <w:szCs w:val="32"/>
          <w:highlight w:val="none"/>
        </w:rPr>
        <w:t>商务条款偏离表</w:t>
      </w:r>
      <w:bookmarkEnd w:id="170"/>
      <w:bookmarkEnd w:id="171"/>
      <w:bookmarkEnd w:id="172"/>
      <w:bookmarkEnd w:id="173"/>
      <w:bookmarkEnd w:id="174"/>
    </w:p>
    <w:p w14:paraId="1BA2D1E1">
      <w:pPr>
        <w:pStyle w:val="18"/>
        <w:widowControl w:val="0"/>
        <w:spacing w:before="0" w:beforeAutospacing="0" w:after="0" w:afterAutospacing="0"/>
        <w:jc w:val="both"/>
        <w:rPr>
          <w:rFonts w:hint="eastAsia" w:ascii="宋体" w:hAnsi="宋体" w:eastAsia="宋体" w:cs="宋体"/>
          <w:highlight w:val="none"/>
        </w:rPr>
      </w:pPr>
    </w:p>
    <w:p w14:paraId="5F3CCD50">
      <w:pPr>
        <w:pStyle w:val="18"/>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14:paraId="4A095C31">
      <w:pPr>
        <w:pStyle w:val="18"/>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14:paraId="5946ED53">
      <w:pPr>
        <w:pStyle w:val="18"/>
        <w:widowControl w:val="0"/>
        <w:spacing w:before="0" w:beforeAutospacing="0" w:after="0" w:afterAutospacing="0"/>
        <w:ind w:firstLine="480" w:firstLineChars="200"/>
        <w:jc w:val="center"/>
        <w:rPr>
          <w:rFonts w:hint="eastAsia" w:ascii="宋体" w:hAnsi="宋体" w:eastAsia="宋体" w:cs="宋体"/>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141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D82603B">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AE50A70">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83DC05D">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1089083">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0D7144">
            <w:pPr>
              <w:pStyle w:val="18"/>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14:paraId="50D9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EDBC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5CB9C4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C1A6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17103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96CDE3D">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4F12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81EF64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373308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FF576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F8F080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3BE9ED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2661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184BE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B123D8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AF4A53">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FAC87B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4981A75">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4BE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E647D2F">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499DCA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4FFC55C">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4FF42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59DF29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17A7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AA2C224">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F152AD0">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F420878">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8A83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CA74CE1">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64EA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51E5C7E">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BA84CCD">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48FF7B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A365EE7">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BD52F39">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r w14:paraId="5564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A32DB1">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E8122EA">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D7AEB1B">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FE34972">
            <w:pPr>
              <w:pStyle w:val="18"/>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BEE4B0">
            <w:pPr>
              <w:pStyle w:val="18"/>
              <w:widowControl w:val="0"/>
              <w:spacing w:before="0" w:beforeAutospacing="0" w:after="0" w:afterAutospacing="0"/>
              <w:ind w:firstLine="480" w:firstLineChars="200"/>
              <w:jc w:val="center"/>
              <w:rPr>
                <w:rFonts w:hint="eastAsia" w:ascii="宋体" w:hAnsi="宋体" w:eastAsia="宋体" w:cs="宋体"/>
                <w:highlight w:val="none"/>
              </w:rPr>
            </w:pPr>
          </w:p>
        </w:tc>
      </w:tr>
    </w:tbl>
    <w:p w14:paraId="10B6CF26">
      <w:pPr>
        <w:pStyle w:val="18"/>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14:paraId="4997DC86">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14:paraId="54492A8D">
      <w:pPr>
        <w:pStyle w:val="18"/>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14:paraId="0C0E8227">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14:paraId="23B99D05">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07DC9B4E">
      <w:pPr>
        <w:pStyle w:val="18"/>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14:paraId="0CFC414A">
      <w:pPr>
        <w:pStyle w:val="18"/>
        <w:widowControl w:val="0"/>
        <w:spacing w:before="0" w:beforeAutospacing="0" w:after="0" w:afterAutospacing="0"/>
        <w:ind w:firstLine="480" w:firstLineChars="200"/>
        <w:jc w:val="center"/>
        <w:rPr>
          <w:rFonts w:hint="eastAsia" w:ascii="宋体" w:hAnsi="宋体" w:eastAsia="宋体" w:cs="宋体"/>
          <w:highlight w:val="none"/>
        </w:rPr>
      </w:pPr>
    </w:p>
    <w:p w14:paraId="1FA99B4F">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14:paraId="131B00B3">
      <w:pPr>
        <w:spacing w:line="360" w:lineRule="auto"/>
        <w:ind w:left="600" w:leftChars="250"/>
        <w:rPr>
          <w:rFonts w:hint="eastAsia" w:ascii="宋体" w:hAnsi="宋体" w:eastAsia="宋体" w:cs="宋体"/>
          <w:b/>
          <w:bCs/>
          <w:sz w:val="28"/>
          <w:szCs w:val="28"/>
          <w:highlight w:val="none"/>
        </w:rPr>
      </w:pPr>
    </w:p>
    <w:p w14:paraId="48974BDA">
      <w:pPr>
        <w:spacing w:line="440" w:lineRule="exact"/>
        <w:ind w:left="3725" w:leftChars="1552"/>
        <w:rPr>
          <w:rFonts w:hint="eastAsia" w:ascii="宋体" w:hAnsi="宋体" w:eastAsia="宋体" w:cs="宋体"/>
          <w:szCs w:val="24"/>
          <w:highlight w:val="none"/>
        </w:rPr>
      </w:pPr>
    </w:p>
    <w:p w14:paraId="20692510">
      <w:pPr>
        <w:spacing w:line="440" w:lineRule="exact"/>
        <w:ind w:left="3725" w:leftChars="1552"/>
        <w:rPr>
          <w:rFonts w:hint="eastAsia" w:ascii="宋体" w:hAnsi="宋体" w:eastAsia="宋体" w:cs="宋体"/>
          <w:szCs w:val="24"/>
          <w:highlight w:val="none"/>
        </w:rPr>
      </w:pPr>
    </w:p>
    <w:p w14:paraId="1A931A0B">
      <w:pPr>
        <w:spacing w:line="440" w:lineRule="exact"/>
        <w:ind w:left="3725" w:leftChars="1552"/>
        <w:rPr>
          <w:rFonts w:hint="eastAsia" w:ascii="宋体" w:hAnsi="宋体" w:eastAsia="宋体" w:cs="宋体"/>
          <w:szCs w:val="24"/>
          <w:highlight w:val="none"/>
        </w:rPr>
      </w:pPr>
    </w:p>
    <w:bookmarkEnd w:id="162"/>
    <w:p w14:paraId="278B1E83">
      <w:pPr>
        <w:spacing w:line="360" w:lineRule="auto"/>
        <w:jc w:val="center"/>
        <w:outlineLvl w:val="1"/>
        <w:rPr>
          <w:rFonts w:hint="eastAsia" w:ascii="宋体" w:hAnsi="宋体" w:eastAsia="宋体" w:cs="宋体"/>
          <w:b/>
          <w:bCs/>
          <w:sz w:val="30"/>
          <w:szCs w:val="30"/>
          <w:highlight w:val="none"/>
        </w:rPr>
      </w:pPr>
      <w:bookmarkStart w:id="175" w:name="_Toc403077656"/>
      <w:bookmarkStart w:id="176" w:name="_Toc363474033"/>
      <w:r>
        <w:rPr>
          <w:rFonts w:hint="eastAsia" w:ascii="宋体" w:hAnsi="宋体" w:eastAsia="宋体" w:cs="宋体"/>
          <w:b/>
          <w:bCs/>
          <w:sz w:val="30"/>
          <w:szCs w:val="30"/>
          <w:highlight w:val="none"/>
        </w:rPr>
        <w:br w:type="page"/>
      </w:r>
      <w:bookmarkStart w:id="177" w:name="_Toc2451"/>
      <w:bookmarkStart w:id="178" w:name="_Toc27470"/>
      <w:bookmarkStart w:id="179" w:name="_Toc1542"/>
      <w:bookmarkStart w:id="180" w:name="_Toc3386"/>
      <w:bookmarkStart w:id="181" w:name="_Toc6369"/>
      <w:r>
        <w:rPr>
          <w:rFonts w:hint="eastAsia" w:ascii="宋体" w:hAnsi="宋体" w:eastAsia="宋体" w:cs="宋体"/>
          <w:b/>
          <w:bCs/>
          <w:sz w:val="30"/>
          <w:szCs w:val="30"/>
          <w:highlight w:val="none"/>
        </w:rPr>
        <w:t>五、陕西省政府采购供应商拒绝政府采购领域商业贿赂承诺书</w:t>
      </w:r>
      <w:bookmarkEnd w:id="175"/>
      <w:bookmarkEnd w:id="176"/>
      <w:bookmarkEnd w:id="177"/>
      <w:bookmarkEnd w:id="178"/>
      <w:bookmarkEnd w:id="179"/>
      <w:bookmarkEnd w:id="180"/>
      <w:bookmarkEnd w:id="181"/>
    </w:p>
    <w:p w14:paraId="530E0B45">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14:paraId="633A2B7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14:paraId="6AFBA00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14:paraId="18260871">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14:paraId="7AE45EB9">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14:paraId="449691D7">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14:paraId="4B7043C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14:paraId="7B7D4846">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14:paraId="6408BD3E">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14:paraId="5CFF61FE">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14:paraId="755DD286">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14:paraId="71BB3E25">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14:paraId="7002FD79">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14:paraId="1D84F30A">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14:paraId="4049A8D0">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14:paraId="33CC017B">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14:paraId="35FDA4BF">
      <w:pPr>
        <w:jc w:val="center"/>
        <w:outlineLvl w:val="1"/>
        <w:rPr>
          <w:rFonts w:hint="eastAsia" w:ascii="宋体" w:hAnsi="宋体" w:eastAsia="宋体" w:cs="宋体"/>
          <w:highlight w:val="none"/>
          <w:shd w:val="clear" w:color="auto" w:fill="FFFFFF"/>
        </w:rPr>
      </w:pPr>
      <w:bookmarkStart w:id="182" w:name="_Toc403077657"/>
      <w:bookmarkStart w:id="183" w:name="_Toc363474034"/>
      <w:r>
        <w:rPr>
          <w:rFonts w:hint="eastAsia" w:ascii="宋体" w:hAnsi="宋体" w:eastAsia="宋体" w:cs="宋体"/>
          <w:b/>
          <w:bCs/>
          <w:sz w:val="30"/>
          <w:szCs w:val="30"/>
          <w:highlight w:val="none"/>
        </w:rPr>
        <w:br w:type="page"/>
      </w:r>
      <w:bookmarkStart w:id="184" w:name="_Toc12852"/>
      <w:bookmarkStart w:id="185" w:name="_Toc7842"/>
      <w:bookmarkStart w:id="186" w:name="_Toc29285"/>
      <w:bookmarkStart w:id="187" w:name="_Toc18776"/>
      <w:bookmarkStart w:id="188" w:name="_Toc32016"/>
      <w:r>
        <w:rPr>
          <w:rFonts w:hint="eastAsia" w:ascii="宋体" w:hAnsi="宋体" w:eastAsia="宋体" w:cs="宋体"/>
          <w:b/>
          <w:bCs/>
          <w:sz w:val="30"/>
          <w:szCs w:val="30"/>
          <w:highlight w:val="none"/>
        </w:rPr>
        <w:t>六、特定资格证明文件</w:t>
      </w:r>
      <w:bookmarkEnd w:id="182"/>
      <w:bookmarkEnd w:id="183"/>
      <w:bookmarkEnd w:id="184"/>
      <w:bookmarkEnd w:id="185"/>
      <w:bookmarkEnd w:id="186"/>
      <w:bookmarkEnd w:id="187"/>
      <w:bookmarkEnd w:id="188"/>
    </w:p>
    <w:p w14:paraId="6EDDAB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1、提供合格有效的法人或者其他组织的营业执照等证明文件，自然人的身份证明；</w:t>
      </w:r>
    </w:p>
    <w:p w14:paraId="349AA9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2、提供法定代表人授权书（附法定代表人、被授权人身份证复印件）及被授权人身份证原件（法定代表人直接参加磋商，须提供法定代表人身份证明及身份证原件）；</w:t>
      </w:r>
    </w:p>
    <w:p w14:paraId="477527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7F5FBD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4、税收缴纳证明：提供磋商截止日前一年内已缴纳的至少一个月的纳税证明或完税证明（任意税种），依法免税的单位应提供相关证明材料；</w:t>
      </w:r>
    </w:p>
    <w:p w14:paraId="1FCA9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2CA2A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6、提供具有履行本合同所必需的设备和专业技术能力的说明及承诺书；</w:t>
      </w:r>
    </w:p>
    <w:p w14:paraId="612022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7、供应商应通过“信用中国”网站(www.creditchina.gov.cn)、中国政府采购网(www.ccgp.gov.cn)查询相关主体信用记录；</w:t>
      </w:r>
    </w:p>
    <w:p w14:paraId="3BBBBC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8、参加政府采购活动前3年内，在经营活动中没有重大违法记录的书面声明；</w:t>
      </w:r>
    </w:p>
    <w:p w14:paraId="75D935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9、供应商须提供中小企业声明函（本项目专门面向小微企业）；</w:t>
      </w:r>
    </w:p>
    <w:p w14:paraId="1DE17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10、本项目不接受联合体磋商。</w:t>
      </w:r>
    </w:p>
    <w:p w14:paraId="3326BE82">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14:paraId="353B6471">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br w:type="page"/>
      </w:r>
    </w:p>
    <w:p w14:paraId="1671565A">
      <w:pPr>
        <w:spacing w:line="500" w:lineRule="exact"/>
        <w:jc w:val="center"/>
        <w:outlineLvl w:val="1"/>
        <w:rPr>
          <w:rFonts w:hint="eastAsia" w:ascii="宋体" w:hAnsi="宋体" w:eastAsia="宋体" w:cs="宋体"/>
          <w:b/>
          <w:bCs/>
          <w:sz w:val="30"/>
          <w:szCs w:val="30"/>
          <w:highlight w:val="none"/>
        </w:rPr>
      </w:pPr>
      <w:bookmarkStart w:id="189" w:name="_Toc6853"/>
      <w:bookmarkStart w:id="190" w:name="_Toc12717"/>
      <w:bookmarkStart w:id="191" w:name="_Toc22371"/>
      <w:bookmarkStart w:id="192" w:name="_Toc19114"/>
      <w:bookmarkStart w:id="193" w:name="_Toc25292"/>
      <w:r>
        <w:rPr>
          <w:rStyle w:val="27"/>
          <w:rFonts w:hint="eastAsia" w:ascii="宋体" w:eastAsia="宋体" w:cs="宋体"/>
          <w:sz w:val="36"/>
          <w:szCs w:val="21"/>
          <w:highlight w:val="none"/>
          <w:lang w:val="en-US" w:eastAsia="zh-CN" w:bidi="ar-SA"/>
        </w:rPr>
        <w:t>七、其它</w:t>
      </w:r>
      <w:bookmarkEnd w:id="189"/>
      <w:bookmarkEnd w:id="190"/>
      <w:bookmarkEnd w:id="191"/>
      <w:bookmarkEnd w:id="192"/>
      <w:bookmarkEnd w:id="193"/>
    </w:p>
    <w:p w14:paraId="289D6AF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14:paraId="0EC5E51D">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14:paraId="49C610EB">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94" w:name="_Toc6055"/>
      <w:bookmarkStart w:id="195" w:name="_Toc11863"/>
      <w:bookmarkStart w:id="196" w:name="_Toc17513"/>
      <w:bookmarkStart w:id="197" w:name="_Toc26767"/>
      <w:r>
        <w:rPr>
          <w:rFonts w:hint="eastAsia" w:ascii="宋体" w:hAnsi="宋体" w:eastAsia="宋体" w:cs="宋体"/>
          <w:b/>
          <w:sz w:val="28"/>
          <w:szCs w:val="28"/>
          <w:highlight w:val="none"/>
        </w:rPr>
        <w:t>附件1：法定代表人身份证明/法定代表人授权书</w:t>
      </w:r>
      <w:bookmarkEnd w:id="194"/>
      <w:bookmarkEnd w:id="195"/>
      <w:bookmarkEnd w:id="196"/>
      <w:bookmarkEnd w:id="197"/>
    </w:p>
    <w:p w14:paraId="26CC9943">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14:paraId="3A545A3C">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14:paraId="1D9ED275">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6571D70A">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14:paraId="7086ECD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14:paraId="6424EB6E">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36FF9592">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0A71AF74">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14:paraId="15B0DB71">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14:paraId="20BFEF48">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1F9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2DE9060">
            <w:pPr>
              <w:snapToGrid w:val="0"/>
              <w:spacing w:line="480" w:lineRule="auto"/>
              <w:jc w:val="center"/>
              <w:rPr>
                <w:rFonts w:hint="eastAsia" w:ascii="宋体" w:hAnsi="宋体" w:eastAsia="宋体" w:cs="宋体"/>
                <w:szCs w:val="21"/>
                <w:highlight w:val="none"/>
              </w:rPr>
            </w:pPr>
          </w:p>
          <w:p w14:paraId="4AF86560">
            <w:pPr>
              <w:snapToGrid w:val="0"/>
              <w:spacing w:line="480" w:lineRule="auto"/>
              <w:jc w:val="center"/>
              <w:rPr>
                <w:rFonts w:hint="eastAsia" w:ascii="宋体" w:hAnsi="宋体" w:eastAsia="宋体" w:cs="宋体"/>
                <w:szCs w:val="21"/>
                <w:highlight w:val="none"/>
              </w:rPr>
            </w:pPr>
          </w:p>
          <w:p w14:paraId="5B50B3F1">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14:paraId="7EB6619C">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14:paraId="4D991E50">
            <w:pPr>
              <w:snapToGrid w:val="0"/>
              <w:spacing w:line="480" w:lineRule="auto"/>
              <w:jc w:val="center"/>
              <w:rPr>
                <w:rFonts w:hint="eastAsia" w:ascii="宋体" w:hAnsi="宋体" w:eastAsia="宋体" w:cs="宋体"/>
                <w:szCs w:val="21"/>
                <w:highlight w:val="none"/>
              </w:rPr>
            </w:pPr>
          </w:p>
          <w:p w14:paraId="1E4608EF">
            <w:pPr>
              <w:snapToGrid w:val="0"/>
              <w:spacing w:line="480" w:lineRule="auto"/>
              <w:jc w:val="center"/>
              <w:rPr>
                <w:rFonts w:hint="eastAsia" w:ascii="宋体" w:hAnsi="宋体" w:eastAsia="宋体" w:cs="宋体"/>
                <w:szCs w:val="21"/>
                <w:highlight w:val="none"/>
              </w:rPr>
            </w:pPr>
          </w:p>
        </w:tc>
      </w:tr>
    </w:tbl>
    <w:p w14:paraId="276F14B3">
      <w:pPr>
        <w:snapToGrid w:val="0"/>
        <w:spacing w:line="480" w:lineRule="auto"/>
        <w:rPr>
          <w:rFonts w:hint="eastAsia" w:ascii="宋体" w:hAnsi="宋体" w:eastAsia="宋体" w:cs="宋体"/>
          <w:szCs w:val="21"/>
          <w:highlight w:val="none"/>
        </w:rPr>
      </w:pPr>
    </w:p>
    <w:p w14:paraId="621C539F">
      <w:pPr>
        <w:snapToGrid w:val="0"/>
        <w:rPr>
          <w:rFonts w:hint="eastAsia" w:ascii="宋体" w:hAnsi="宋体" w:eastAsia="宋体" w:cs="宋体"/>
          <w:szCs w:val="21"/>
          <w:highlight w:val="none"/>
        </w:rPr>
      </w:pPr>
    </w:p>
    <w:p w14:paraId="0C33FB77">
      <w:pPr>
        <w:snapToGrid w:val="0"/>
        <w:rPr>
          <w:rFonts w:hint="eastAsia" w:ascii="宋体" w:hAnsi="宋体" w:eastAsia="宋体" w:cs="宋体"/>
          <w:szCs w:val="21"/>
          <w:highlight w:val="none"/>
        </w:rPr>
      </w:pPr>
    </w:p>
    <w:p w14:paraId="2F34CB52">
      <w:pPr>
        <w:snapToGrid w:val="0"/>
        <w:rPr>
          <w:rFonts w:hint="eastAsia" w:ascii="宋体" w:hAnsi="宋体" w:eastAsia="宋体" w:cs="宋体"/>
          <w:szCs w:val="21"/>
          <w:highlight w:val="none"/>
        </w:rPr>
      </w:pPr>
    </w:p>
    <w:p w14:paraId="740178A0">
      <w:pPr>
        <w:snapToGrid w:val="0"/>
        <w:rPr>
          <w:rFonts w:hint="eastAsia" w:ascii="宋体" w:hAnsi="宋体" w:eastAsia="宋体" w:cs="宋体"/>
          <w:szCs w:val="21"/>
          <w:highlight w:val="none"/>
        </w:rPr>
      </w:pPr>
    </w:p>
    <w:p w14:paraId="5E19CAA4">
      <w:pPr>
        <w:adjustRightInd w:val="0"/>
        <w:snapToGrid w:val="0"/>
        <w:spacing w:line="360" w:lineRule="auto"/>
        <w:rPr>
          <w:rFonts w:hint="eastAsia" w:ascii="宋体" w:hAnsi="宋体" w:eastAsia="宋体" w:cs="宋体"/>
          <w:highlight w:val="none"/>
        </w:rPr>
      </w:pPr>
    </w:p>
    <w:p w14:paraId="287E0E24">
      <w:pPr>
        <w:adjustRightInd w:val="0"/>
        <w:snapToGrid w:val="0"/>
        <w:spacing w:line="360" w:lineRule="auto"/>
        <w:ind w:right="420"/>
        <w:rPr>
          <w:rFonts w:hint="eastAsia" w:ascii="宋体" w:hAnsi="宋体" w:eastAsia="宋体" w:cs="宋体"/>
          <w:highlight w:val="none"/>
        </w:rPr>
      </w:pPr>
    </w:p>
    <w:p w14:paraId="29167169">
      <w:pPr>
        <w:adjustRightInd w:val="0"/>
        <w:snapToGrid w:val="0"/>
        <w:spacing w:line="360" w:lineRule="auto"/>
        <w:ind w:right="420"/>
        <w:rPr>
          <w:rFonts w:hint="eastAsia" w:ascii="宋体" w:hAnsi="宋体" w:eastAsia="宋体" w:cs="宋体"/>
          <w:highlight w:val="none"/>
        </w:rPr>
      </w:pPr>
    </w:p>
    <w:p w14:paraId="36A2EAA7">
      <w:pPr>
        <w:adjustRightInd w:val="0"/>
        <w:snapToGrid w:val="0"/>
        <w:spacing w:line="360" w:lineRule="auto"/>
        <w:ind w:right="420"/>
        <w:rPr>
          <w:rFonts w:hint="eastAsia" w:ascii="宋体" w:hAnsi="宋体" w:eastAsia="宋体" w:cs="宋体"/>
          <w:highlight w:val="none"/>
        </w:rPr>
      </w:pPr>
    </w:p>
    <w:p w14:paraId="62A41CB5">
      <w:pPr>
        <w:adjustRightInd w:val="0"/>
        <w:snapToGrid w:val="0"/>
        <w:spacing w:line="360" w:lineRule="auto"/>
        <w:ind w:right="420"/>
        <w:rPr>
          <w:rFonts w:hint="eastAsia" w:ascii="宋体" w:hAnsi="宋体" w:eastAsia="宋体" w:cs="宋体"/>
          <w:highlight w:val="none"/>
        </w:rPr>
      </w:pPr>
    </w:p>
    <w:p w14:paraId="61344FD5">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14:paraId="70DADD14">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14:paraId="0AE0A7E9">
      <w:pPr>
        <w:pStyle w:val="8"/>
        <w:rPr>
          <w:rFonts w:hint="eastAsia" w:ascii="宋体" w:hAnsi="宋体" w:eastAsia="宋体" w:cs="宋体"/>
          <w:highlight w:val="none"/>
        </w:rPr>
      </w:pPr>
    </w:p>
    <w:p w14:paraId="111C36C8">
      <w:pPr>
        <w:spacing w:line="360" w:lineRule="auto"/>
        <w:jc w:val="left"/>
        <w:rPr>
          <w:rFonts w:hint="eastAsia" w:ascii="宋体" w:hAnsi="宋体" w:eastAsia="宋体" w:cs="宋体"/>
          <w:spacing w:val="4"/>
          <w:szCs w:val="24"/>
          <w:highlight w:val="none"/>
        </w:rPr>
      </w:pPr>
    </w:p>
    <w:p w14:paraId="55449E01">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5A7136E">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14:paraId="5F858D05">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陕西海源广合项目管理有限公司</w:t>
      </w:r>
      <w:r>
        <w:rPr>
          <w:rFonts w:hint="eastAsia" w:ascii="宋体" w:hAnsi="宋体" w:eastAsia="宋体" w:cs="宋体"/>
          <w:spacing w:val="4"/>
          <w:szCs w:val="24"/>
          <w:highlight w:val="none"/>
          <w:u w:val="single"/>
        </w:rPr>
        <w:t xml:space="preserve"> </w:t>
      </w:r>
    </w:p>
    <w:p w14:paraId="7C6C9883">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14:paraId="72C06CBD">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14:paraId="57DDC85A">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14:paraId="794C2C67">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14:paraId="28608DA6">
      <w:pPr>
        <w:spacing w:line="360" w:lineRule="auto"/>
        <w:ind w:firstLine="496" w:firstLineChars="200"/>
        <w:jc w:val="left"/>
        <w:rPr>
          <w:rFonts w:hint="eastAsia" w:ascii="宋体" w:hAnsi="宋体" w:eastAsia="宋体" w:cs="宋体"/>
          <w:spacing w:val="4"/>
          <w:szCs w:val="24"/>
          <w:highlight w:val="none"/>
        </w:rPr>
      </w:pPr>
    </w:p>
    <w:tbl>
      <w:tblPr>
        <w:tblStyle w:val="20"/>
        <w:tblW w:w="0" w:type="auto"/>
        <w:tblInd w:w="633" w:type="dxa"/>
        <w:tblLayout w:type="fixed"/>
        <w:tblCellMar>
          <w:top w:w="0" w:type="dxa"/>
          <w:left w:w="108" w:type="dxa"/>
          <w:bottom w:w="0" w:type="dxa"/>
          <w:right w:w="108" w:type="dxa"/>
        </w:tblCellMar>
      </w:tblPr>
      <w:tblGrid>
        <w:gridCol w:w="4200"/>
        <w:gridCol w:w="3990"/>
      </w:tblGrid>
      <w:tr w14:paraId="4E175947">
        <w:tblPrEx>
          <w:tblCellMar>
            <w:top w:w="0" w:type="dxa"/>
            <w:left w:w="108" w:type="dxa"/>
            <w:bottom w:w="0" w:type="dxa"/>
            <w:right w:w="108" w:type="dxa"/>
          </w:tblCellMar>
        </w:tblPrEx>
        <w:trPr>
          <w:trHeight w:val="600" w:hRule="atLeast"/>
        </w:trPr>
        <w:tc>
          <w:tcPr>
            <w:tcW w:w="4200" w:type="dxa"/>
            <w:noWrap w:val="0"/>
            <w:vAlign w:val="top"/>
          </w:tcPr>
          <w:p w14:paraId="70B040BD">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14:paraId="2646ED1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14:paraId="71D9D0DE">
        <w:tblPrEx>
          <w:tblCellMar>
            <w:top w:w="0" w:type="dxa"/>
            <w:left w:w="108" w:type="dxa"/>
            <w:bottom w:w="0" w:type="dxa"/>
            <w:right w:w="108" w:type="dxa"/>
          </w:tblCellMar>
        </w:tblPrEx>
        <w:trPr>
          <w:trHeight w:val="600" w:hRule="atLeast"/>
        </w:trPr>
        <w:tc>
          <w:tcPr>
            <w:tcW w:w="4200" w:type="dxa"/>
            <w:noWrap w:val="0"/>
            <w:vAlign w:val="top"/>
          </w:tcPr>
          <w:p w14:paraId="156887F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2BFAF864">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14:paraId="74B41445">
        <w:tblPrEx>
          <w:tblCellMar>
            <w:top w:w="0" w:type="dxa"/>
            <w:left w:w="108" w:type="dxa"/>
            <w:bottom w:w="0" w:type="dxa"/>
            <w:right w:w="108" w:type="dxa"/>
          </w:tblCellMar>
        </w:tblPrEx>
        <w:trPr>
          <w:trHeight w:val="600" w:hRule="atLeast"/>
        </w:trPr>
        <w:tc>
          <w:tcPr>
            <w:tcW w:w="4200" w:type="dxa"/>
            <w:noWrap w:val="0"/>
            <w:vAlign w:val="top"/>
          </w:tcPr>
          <w:p w14:paraId="6859AEBF">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14:paraId="07A15283">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14:paraId="363566E3">
        <w:tblPrEx>
          <w:tblCellMar>
            <w:top w:w="0" w:type="dxa"/>
            <w:left w:w="108" w:type="dxa"/>
            <w:bottom w:w="0" w:type="dxa"/>
            <w:right w:w="108" w:type="dxa"/>
          </w:tblCellMar>
        </w:tblPrEx>
        <w:trPr>
          <w:trHeight w:val="600" w:hRule="atLeast"/>
        </w:trPr>
        <w:tc>
          <w:tcPr>
            <w:tcW w:w="4200" w:type="dxa"/>
            <w:noWrap w:val="0"/>
            <w:vAlign w:val="top"/>
          </w:tcPr>
          <w:p w14:paraId="0CE6A91C">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14:paraId="64807A86">
            <w:pPr>
              <w:spacing w:line="360" w:lineRule="auto"/>
              <w:jc w:val="left"/>
              <w:rPr>
                <w:rFonts w:hint="eastAsia" w:ascii="宋体" w:hAnsi="宋体" w:eastAsia="宋体" w:cs="宋体"/>
                <w:spacing w:val="4"/>
                <w:szCs w:val="24"/>
                <w:highlight w:val="none"/>
              </w:rPr>
            </w:pPr>
          </w:p>
        </w:tc>
      </w:tr>
    </w:tbl>
    <w:p w14:paraId="071B9ABE">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14:paraId="6E870E05">
      <w:pPr>
        <w:spacing w:line="360" w:lineRule="auto"/>
        <w:rPr>
          <w:rFonts w:hint="eastAsia" w:ascii="宋体" w:hAnsi="宋体" w:eastAsia="宋体" w:cs="宋体"/>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6FBA901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55D23D2">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14:paraId="68178624">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5C7510E0">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14:paraId="68C9FE8F">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14:paraId="7BFCBE70">
      <w:pPr>
        <w:spacing w:line="360" w:lineRule="auto"/>
        <w:ind w:firstLine="510"/>
        <w:rPr>
          <w:rFonts w:hint="eastAsia" w:ascii="宋体" w:hAnsi="宋体" w:eastAsia="宋体" w:cs="宋体"/>
          <w:spacing w:val="4"/>
          <w:szCs w:val="24"/>
          <w:highlight w:val="none"/>
        </w:rPr>
      </w:pPr>
    </w:p>
    <w:p w14:paraId="0349BC97">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14:paraId="0BB393D0">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r>
        <w:rPr>
          <w:rFonts w:hint="eastAsia" w:ascii="宋体" w:hAnsi="宋体" w:eastAsia="宋体" w:cs="宋体"/>
          <w:highlight w:val="none"/>
        </w:rPr>
        <w:t xml:space="preserve">    年  月  日</w:t>
      </w:r>
    </w:p>
    <w:p w14:paraId="4487B6CA">
      <w:pPr>
        <w:widowControl/>
        <w:spacing w:line="360" w:lineRule="auto"/>
        <w:ind w:left="1" w:firstLine="281" w:firstLineChars="100"/>
        <w:rPr>
          <w:rFonts w:hint="eastAsia" w:ascii="宋体" w:hAnsi="宋体" w:eastAsia="宋体" w:cs="宋体"/>
          <w:b/>
          <w:kern w:val="0"/>
          <w:sz w:val="32"/>
          <w:szCs w:val="32"/>
          <w:highlight w:val="none"/>
        </w:rPr>
      </w:pPr>
      <w:r>
        <w:rPr>
          <w:rFonts w:hint="eastAsia" w:ascii="宋体" w:hAnsi="宋体" w:eastAsia="宋体" w:cs="宋体"/>
          <w:b/>
          <w:sz w:val="28"/>
          <w:szCs w:val="28"/>
          <w:highlight w:val="none"/>
          <w:lang w:val="en-US" w:eastAsia="zh-CN"/>
        </w:rPr>
        <w:br w:type="page"/>
      </w:r>
      <w:bookmarkStart w:id="198" w:name="_Toc11767"/>
      <w:bookmarkStart w:id="199" w:name="_Toc17295"/>
    </w:p>
    <w:p w14:paraId="68CE191E">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14:paraId="6BE4D091">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14:paraId="1DB1CD9E">
      <w:pPr>
        <w:pStyle w:val="18"/>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14:paraId="745D99AD">
      <w:pPr>
        <w:pStyle w:val="18"/>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14:paraId="535EE11D">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7C100023">
      <w:pPr>
        <w:pStyle w:val="18"/>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如有不实，我方将无条件地退出本项目的采购活动，并遵照《</w:t>
      </w:r>
      <w:r>
        <w:rPr>
          <w:rFonts w:hint="eastAsia" w:hAnsi="宋体" w:cs="宋体"/>
          <w:szCs w:val="24"/>
          <w:highlight w:val="none"/>
          <w:lang w:val="en-US" w:eastAsia="zh-CN"/>
        </w:rPr>
        <w:t>中华人民共和国</w:t>
      </w:r>
      <w:r>
        <w:rPr>
          <w:rFonts w:hint="eastAsia" w:ascii="宋体" w:hAnsi="宋体" w:eastAsia="宋体" w:cs="宋体"/>
          <w:highlight w:val="none"/>
          <w:shd w:val="clear" w:color="auto" w:fill="FFFFFF"/>
        </w:rPr>
        <w:t xml:space="preserve">政府采购法》有关“提供虚假材料的规定”接受处罚。 </w:t>
      </w:r>
    </w:p>
    <w:p w14:paraId="23641350">
      <w:pPr>
        <w:pStyle w:val="18"/>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14:paraId="45E92910">
      <w:pPr>
        <w:pStyle w:val="18"/>
        <w:wordWrap w:val="0"/>
        <w:spacing w:beforeAutospacing="0" w:afterAutospacing="0" w:line="560" w:lineRule="exact"/>
        <w:ind w:firstLine="420"/>
        <w:rPr>
          <w:rFonts w:hint="eastAsia" w:ascii="宋体" w:hAnsi="宋体" w:eastAsia="宋体" w:cs="宋体"/>
          <w:highlight w:val="none"/>
          <w:shd w:val="clear" w:color="auto" w:fill="FFFFFF"/>
        </w:rPr>
      </w:pPr>
    </w:p>
    <w:p w14:paraId="02ABA016">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76C69B77">
      <w:pPr>
        <w:pStyle w:val="29"/>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D01B4B6">
      <w:pPr>
        <w:adjustRightInd w:val="0"/>
        <w:snapToGrid w:val="0"/>
        <w:spacing w:line="360" w:lineRule="auto"/>
        <w:jc w:val="center"/>
        <w:rPr>
          <w:rFonts w:hint="eastAsia"/>
          <w:highlight w:val="none"/>
        </w:rPr>
      </w:pPr>
      <w:r>
        <w:rPr>
          <w:rFonts w:hint="eastAsia" w:asciiTheme="minorEastAsia" w:hAnsiTheme="minorEastAsia" w:eastAsiaTheme="minorEastAsia" w:cstheme="minorEastAsia"/>
          <w:b/>
          <w:color w:val="auto"/>
          <w:sz w:val="28"/>
          <w:szCs w:val="28"/>
          <w:highlight w:val="none"/>
        </w:rPr>
        <w:br w:type="page"/>
      </w:r>
    </w:p>
    <w:p w14:paraId="52A06DA1">
      <w:pPr>
        <w:adjustRightInd w:val="0"/>
        <w:snapToGrid w:val="0"/>
        <w:spacing w:line="360" w:lineRule="auto"/>
        <w:jc w:val="center"/>
        <w:rPr>
          <w:rFonts w:hint="eastAsia" w:ascii="宋体" w:hAnsi="宋体" w:eastAsia="宋体" w:cs="宋体"/>
          <w:b/>
          <w:sz w:val="28"/>
          <w:szCs w:val="28"/>
          <w:highlight w:val="none"/>
          <w:lang w:eastAsia="zh-CN"/>
        </w:rPr>
      </w:pPr>
      <w:r>
        <w:rPr>
          <w:rFonts w:hint="eastAsia" w:ascii="宋体" w:hAnsi="宋体" w:eastAsia="宋体" w:cs="宋体"/>
          <w:b/>
          <w:sz w:val="32"/>
          <w:szCs w:val="32"/>
          <w:highlight w:val="none"/>
        </w:rPr>
        <w:t>具有履行本合同所必需的设备和专业技术能力的</w:t>
      </w:r>
      <w:r>
        <w:rPr>
          <w:rFonts w:hint="eastAsia" w:hAnsi="宋体" w:cs="宋体"/>
          <w:b/>
          <w:sz w:val="32"/>
          <w:szCs w:val="32"/>
          <w:highlight w:val="none"/>
          <w:lang w:val="en-US" w:eastAsia="zh-CN"/>
        </w:rPr>
        <w:t>承诺函</w:t>
      </w:r>
    </w:p>
    <w:p w14:paraId="142B4A02">
      <w:pPr>
        <w:widowControl/>
        <w:spacing w:line="360" w:lineRule="auto"/>
        <w:ind w:left="1"/>
        <w:jc w:val="center"/>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（格式）</w:t>
      </w:r>
    </w:p>
    <w:p w14:paraId="47AED6B7">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14:paraId="50E19275">
      <w:pPr>
        <w:pStyle w:val="11"/>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14:paraId="343C4F46">
      <w:pPr>
        <w:pStyle w:val="11"/>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14:paraId="14F979F0">
      <w:pPr>
        <w:pStyle w:val="11"/>
        <w:adjustRightInd w:val="0"/>
        <w:snapToGrid w:val="0"/>
        <w:spacing w:line="720" w:lineRule="exact"/>
        <w:rPr>
          <w:rFonts w:hint="eastAsia" w:ascii="宋体" w:hAnsi="宋体" w:eastAsia="宋体" w:cs="宋体"/>
          <w:spacing w:val="4"/>
          <w:sz w:val="24"/>
          <w:szCs w:val="24"/>
          <w:highlight w:val="none"/>
        </w:rPr>
      </w:pPr>
    </w:p>
    <w:p w14:paraId="04E34EB1">
      <w:pPr>
        <w:pStyle w:val="11"/>
        <w:adjustRightInd w:val="0"/>
        <w:snapToGrid w:val="0"/>
        <w:spacing w:line="720" w:lineRule="exact"/>
        <w:rPr>
          <w:rFonts w:hint="eastAsia" w:ascii="宋体" w:hAnsi="宋体" w:eastAsia="宋体" w:cs="宋体"/>
          <w:spacing w:val="4"/>
          <w:sz w:val="24"/>
          <w:szCs w:val="24"/>
          <w:highlight w:val="none"/>
        </w:rPr>
      </w:pPr>
    </w:p>
    <w:p w14:paraId="50DA3CF8">
      <w:pPr>
        <w:pStyle w:val="11"/>
        <w:adjustRightInd w:val="0"/>
        <w:snapToGrid w:val="0"/>
        <w:spacing w:line="720" w:lineRule="exact"/>
        <w:rPr>
          <w:rFonts w:hint="eastAsia" w:ascii="宋体" w:hAnsi="宋体" w:eastAsia="宋体" w:cs="宋体"/>
          <w:spacing w:val="4"/>
          <w:sz w:val="24"/>
          <w:szCs w:val="24"/>
          <w:highlight w:val="none"/>
        </w:rPr>
      </w:pPr>
    </w:p>
    <w:p w14:paraId="4AABA347">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14:paraId="4BB29F9F">
      <w:pPr>
        <w:pStyle w:val="29"/>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4E6F86A">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14:paraId="3DF12596">
      <w:pPr>
        <w:spacing w:before="100" w:beforeAutospacing="1" w:afterLines="50" w:line="360" w:lineRule="auto"/>
        <w:jc w:val="left"/>
        <w:outlineLvl w:val="2"/>
        <w:rPr>
          <w:rFonts w:hint="eastAsia" w:ascii="宋体" w:hAnsi="宋体" w:eastAsia="宋体" w:cs="宋体"/>
          <w:b/>
          <w:color w:val="auto"/>
          <w:spacing w:val="6"/>
          <w:sz w:val="32"/>
          <w:szCs w:val="32"/>
          <w:highlight w:val="none"/>
        </w:rPr>
      </w:pPr>
      <w:bookmarkStart w:id="200" w:name="_Toc23920"/>
      <w:bookmarkStart w:id="201" w:name="_Toc30285"/>
      <w:r>
        <w:rPr>
          <w:rFonts w:hint="eastAsia" w:ascii="宋体" w:hAnsi="宋体" w:eastAsia="宋体" w:cs="宋体"/>
          <w:b/>
          <w:sz w:val="28"/>
          <w:szCs w:val="28"/>
          <w:highlight w:val="none"/>
          <w:lang w:val="en-US" w:eastAsia="zh-CN"/>
        </w:rPr>
        <w:t>附件2：中小企业声明函</w:t>
      </w:r>
      <w:bookmarkEnd w:id="198"/>
      <w:bookmarkEnd w:id="199"/>
      <w:bookmarkEnd w:id="200"/>
      <w:bookmarkEnd w:id="201"/>
      <w:bookmarkStart w:id="202" w:name="_Toc13836"/>
    </w:p>
    <w:p w14:paraId="3268CD7F">
      <w:pPr>
        <w:spacing w:before="156" w:beforeLines="50" w:after="156" w:afterLines="50" w:line="360" w:lineRule="auto"/>
        <w:jc w:val="center"/>
        <w:rPr>
          <w:rFonts w:hint="eastAsia" w:hAnsi="宋体" w:cs="宋体"/>
          <w:szCs w:val="24"/>
          <w:highlight w:val="none"/>
        </w:rPr>
      </w:pPr>
      <w:bookmarkStart w:id="203" w:name="_Toc13530"/>
      <w:bookmarkStart w:id="204" w:name="_Toc20139"/>
      <w:bookmarkStart w:id="205" w:name="_Toc12704"/>
      <w:r>
        <w:rPr>
          <w:rFonts w:hint="eastAsia" w:hAnsi="宋体" w:cs="宋体"/>
          <w:b/>
          <w:sz w:val="28"/>
          <w:szCs w:val="28"/>
          <w:highlight w:val="none"/>
        </w:rPr>
        <w:t>中小企业声明函</w:t>
      </w:r>
    </w:p>
    <w:p w14:paraId="3EC1FEF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4485D2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F2ACA7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3AE4FA0C">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2BDB9A9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79284AF6">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55D856C5">
      <w:pPr>
        <w:tabs>
          <w:tab w:val="left" w:pos="1620"/>
          <w:tab w:val="left" w:pos="1800"/>
        </w:tabs>
        <w:spacing w:line="500" w:lineRule="exact"/>
        <w:rPr>
          <w:rFonts w:hint="eastAsia" w:hAnsi="宋体" w:cs="宋体"/>
          <w:szCs w:val="24"/>
          <w:highlight w:val="none"/>
        </w:rPr>
      </w:pPr>
    </w:p>
    <w:p w14:paraId="4A7E7008">
      <w:pPr>
        <w:tabs>
          <w:tab w:val="left" w:pos="1620"/>
          <w:tab w:val="left" w:pos="1800"/>
        </w:tabs>
        <w:spacing w:line="500" w:lineRule="exact"/>
        <w:rPr>
          <w:rFonts w:hint="eastAsia" w:hAnsi="宋体" w:cs="宋体"/>
          <w:szCs w:val="24"/>
          <w:highlight w:val="none"/>
        </w:rPr>
      </w:pPr>
    </w:p>
    <w:p w14:paraId="2221F545">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6149BCD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55646C52">
      <w:pPr>
        <w:spacing w:before="100" w:beforeAutospacing="1" w:after="156" w:afterLines="50" w:line="360" w:lineRule="auto"/>
        <w:rPr>
          <w:rFonts w:hint="eastAsia" w:hAnsi="宋体" w:cs="宋体"/>
          <w:b/>
          <w:bCs/>
          <w:spacing w:val="6"/>
          <w:sz w:val="30"/>
          <w:szCs w:val="30"/>
          <w:highlight w:val="none"/>
        </w:rPr>
      </w:pPr>
    </w:p>
    <w:p w14:paraId="0F2D7F4B">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E9F2BB0">
      <w:pPr>
        <w:spacing w:before="100" w:beforeAutospacing="1" w:afterLines="50" w:line="360" w:lineRule="auto"/>
        <w:outlineLvl w:val="2"/>
        <w:rPr>
          <w:rFonts w:hint="eastAsia" w:ascii="宋体" w:hAnsi="宋体" w:eastAsia="宋体" w:cs="宋体"/>
          <w:b/>
          <w:bCs/>
          <w:spacing w:val="6"/>
          <w:sz w:val="30"/>
          <w:szCs w:val="30"/>
          <w:highlight w:val="none"/>
          <w:lang w:eastAsia="zh-CN"/>
        </w:rPr>
      </w:pPr>
      <w:bookmarkStart w:id="206" w:name="_Toc32512"/>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w:t>
      </w:r>
      <w:bookmarkEnd w:id="202"/>
      <w:bookmarkEnd w:id="203"/>
      <w:bookmarkEnd w:id="204"/>
      <w:bookmarkEnd w:id="205"/>
      <w:bookmarkStart w:id="207" w:name="_Toc11235"/>
      <w:bookmarkStart w:id="208" w:name="_Toc22425"/>
      <w:bookmarkStart w:id="209" w:name="_Toc9308"/>
      <w:r>
        <w:rPr>
          <w:rFonts w:hint="eastAsia" w:ascii="宋体" w:hAnsi="宋体" w:eastAsia="宋体" w:cs="宋体"/>
          <w:b/>
          <w:bCs/>
          <w:spacing w:val="6"/>
          <w:sz w:val="30"/>
          <w:szCs w:val="30"/>
          <w:highlight w:val="none"/>
        </w:rPr>
        <w:t>：残疾人福利性单位声明函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206"/>
      <w:bookmarkEnd w:id="207"/>
      <w:bookmarkEnd w:id="208"/>
      <w:bookmarkEnd w:id="209"/>
    </w:p>
    <w:p w14:paraId="106C7F57">
      <w:pPr>
        <w:spacing w:line="588" w:lineRule="exact"/>
        <w:jc w:val="center"/>
        <w:outlineLvl w:val="9"/>
        <w:rPr>
          <w:rFonts w:hint="eastAsia" w:ascii="宋体" w:hAnsi="宋体" w:eastAsia="宋体" w:cs="宋体"/>
          <w:b/>
          <w:spacing w:val="6"/>
          <w:sz w:val="32"/>
          <w:szCs w:val="32"/>
          <w:highlight w:val="none"/>
        </w:rPr>
      </w:pPr>
      <w:bookmarkStart w:id="210" w:name="OLE_LINK13"/>
      <w:bookmarkStart w:id="211" w:name="OLE_LINK14"/>
      <w:r>
        <w:rPr>
          <w:rFonts w:hint="eastAsia" w:ascii="宋体" w:hAnsi="宋体" w:eastAsia="宋体" w:cs="宋体"/>
          <w:b/>
          <w:spacing w:val="6"/>
          <w:sz w:val="32"/>
          <w:szCs w:val="32"/>
          <w:highlight w:val="none"/>
        </w:rPr>
        <w:t>残疾人福利性单位声明函</w:t>
      </w:r>
    </w:p>
    <w:bookmarkEnd w:id="210"/>
    <w:bookmarkEnd w:id="211"/>
    <w:p w14:paraId="1F9851C3">
      <w:pPr>
        <w:spacing w:line="588" w:lineRule="exact"/>
        <w:rPr>
          <w:rFonts w:hint="eastAsia" w:ascii="宋体" w:hAnsi="宋体" w:eastAsia="宋体" w:cs="宋体"/>
          <w:b/>
          <w:spacing w:val="6"/>
          <w:sz w:val="30"/>
          <w:szCs w:val="30"/>
          <w:highlight w:val="none"/>
        </w:rPr>
      </w:pPr>
    </w:p>
    <w:p w14:paraId="30CF847F">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90DF12">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6A6EE3AB">
      <w:pPr>
        <w:spacing w:line="588" w:lineRule="exact"/>
        <w:ind w:firstLine="504" w:firstLineChars="200"/>
        <w:rPr>
          <w:rFonts w:hint="eastAsia" w:ascii="宋体" w:hAnsi="宋体" w:eastAsia="宋体" w:cs="宋体"/>
          <w:spacing w:val="6"/>
          <w:szCs w:val="24"/>
          <w:highlight w:val="none"/>
        </w:rPr>
      </w:pPr>
    </w:p>
    <w:p w14:paraId="42FEDE77">
      <w:pPr>
        <w:spacing w:line="588" w:lineRule="exact"/>
        <w:ind w:firstLine="504" w:firstLineChars="200"/>
        <w:rPr>
          <w:rFonts w:hint="eastAsia" w:ascii="宋体" w:hAnsi="宋体" w:eastAsia="宋体" w:cs="宋体"/>
          <w:spacing w:val="6"/>
          <w:szCs w:val="24"/>
          <w:highlight w:val="none"/>
        </w:rPr>
      </w:pPr>
    </w:p>
    <w:p w14:paraId="79E0E126">
      <w:pPr>
        <w:spacing w:line="588" w:lineRule="exact"/>
        <w:ind w:firstLine="504" w:firstLineChars="200"/>
        <w:rPr>
          <w:rFonts w:hint="eastAsia" w:ascii="宋体" w:hAnsi="宋体" w:eastAsia="宋体" w:cs="宋体"/>
          <w:spacing w:val="6"/>
          <w:szCs w:val="24"/>
          <w:highlight w:val="none"/>
        </w:rPr>
      </w:pPr>
    </w:p>
    <w:p w14:paraId="39285C5E">
      <w:pPr>
        <w:spacing w:line="588" w:lineRule="exact"/>
        <w:ind w:firstLine="504" w:firstLineChars="200"/>
        <w:rPr>
          <w:rFonts w:hint="eastAsia" w:ascii="宋体" w:hAnsi="宋体" w:eastAsia="宋体" w:cs="宋体"/>
          <w:spacing w:val="6"/>
          <w:szCs w:val="24"/>
          <w:highlight w:val="none"/>
        </w:rPr>
      </w:pPr>
    </w:p>
    <w:p w14:paraId="50521B50">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14:paraId="615A640A">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14:paraId="15BE2B53">
      <w:pPr>
        <w:rPr>
          <w:rFonts w:hint="eastAsia" w:ascii="宋体" w:hAnsi="宋体" w:eastAsia="宋体" w:cs="宋体"/>
          <w:szCs w:val="24"/>
          <w:highlight w:val="none"/>
        </w:rPr>
      </w:pPr>
      <w:r>
        <w:rPr>
          <w:rFonts w:hint="eastAsia" w:ascii="宋体" w:hAnsi="宋体" w:eastAsia="宋体" w:cs="宋体"/>
          <w:szCs w:val="24"/>
          <w:highlight w:val="none"/>
        </w:rPr>
        <w:br w:type="page"/>
      </w:r>
    </w:p>
    <w:p w14:paraId="6B63604E">
      <w:pPr>
        <w:spacing w:line="360" w:lineRule="auto"/>
        <w:rPr>
          <w:rFonts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w:t>
      </w:r>
    </w:p>
    <w:p w14:paraId="36886F51">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399F5F6E">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16C21A8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0E4C8C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783DAE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964361A">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CC6147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58F8D2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454A631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4A898E1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0A85DA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99252E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0E6126E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65D6A5B2">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2878D6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53E707C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D9BF304">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80C4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47D11D8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F153F9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9E22C6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48662E0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1E46FCA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62DA070F">
      <w:pPr>
        <w:rPr>
          <w:rFonts w:hAnsi="宋体" w:cs="宋体"/>
          <w:color w:val="auto"/>
          <w:szCs w:val="24"/>
          <w:highlight w:val="none"/>
        </w:rPr>
      </w:pPr>
      <w:r>
        <w:rPr>
          <w:rFonts w:hint="eastAsia" w:hAnsi="宋体" w:cs="宋体"/>
          <w:color w:val="auto"/>
          <w:szCs w:val="24"/>
          <w:highlight w:val="none"/>
        </w:rPr>
        <w:t xml:space="preserve">签字(签章)：                   公章：                      </w:t>
      </w:r>
    </w:p>
    <w:p w14:paraId="6D3E4DC0">
      <w:pPr>
        <w:rPr>
          <w:rFonts w:hAnsi="宋体" w:cs="宋体"/>
          <w:color w:val="auto"/>
          <w:szCs w:val="24"/>
          <w:highlight w:val="none"/>
        </w:rPr>
      </w:pPr>
      <w:r>
        <w:rPr>
          <w:rFonts w:hint="eastAsia" w:hAnsi="宋体" w:cs="宋体"/>
          <w:color w:val="auto"/>
          <w:szCs w:val="24"/>
          <w:highlight w:val="none"/>
        </w:rPr>
        <w:t xml:space="preserve">日期：    </w:t>
      </w:r>
    </w:p>
    <w:p w14:paraId="6350485F">
      <w:pPr>
        <w:jc w:val="center"/>
        <w:rPr>
          <w:rFonts w:hAnsi="宋体" w:cs="宋体"/>
          <w:b/>
          <w:color w:val="auto"/>
          <w:sz w:val="44"/>
          <w:szCs w:val="44"/>
          <w:highlight w:val="none"/>
        </w:rPr>
      </w:pPr>
    </w:p>
    <w:p w14:paraId="0CF3C859">
      <w:pPr>
        <w:jc w:val="center"/>
        <w:rPr>
          <w:rFonts w:hAnsi="宋体" w:cs="宋体"/>
          <w:b/>
          <w:color w:val="auto"/>
          <w:sz w:val="44"/>
          <w:szCs w:val="44"/>
          <w:highlight w:val="none"/>
        </w:rPr>
      </w:pPr>
    </w:p>
    <w:p w14:paraId="37CDE01A">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694947BC">
      <w:pPr>
        <w:rPr>
          <w:rFonts w:hAnsi="宋体" w:cs="宋体"/>
          <w:color w:val="auto"/>
          <w:szCs w:val="24"/>
          <w:highlight w:val="none"/>
        </w:rPr>
      </w:pPr>
      <w:r>
        <w:rPr>
          <w:rFonts w:hint="eastAsia" w:hAnsi="宋体" w:cs="宋体"/>
          <w:color w:val="auto"/>
          <w:szCs w:val="24"/>
          <w:highlight w:val="none"/>
        </w:rPr>
        <w:t>一、投诉相关主体基本情况</w:t>
      </w:r>
    </w:p>
    <w:p w14:paraId="316936F9">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A40570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63DE643">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A94C1AB">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6F6F5DA">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241B9562">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06ACFD4D">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3AD73A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8D5B1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723149E">
      <w:pPr>
        <w:rPr>
          <w:rFonts w:hAnsi="宋体" w:cs="宋体"/>
          <w:color w:val="auto"/>
          <w:szCs w:val="24"/>
          <w:highlight w:val="none"/>
        </w:rPr>
      </w:pPr>
      <w:r>
        <w:rPr>
          <w:rFonts w:hint="eastAsia" w:hAnsi="宋体" w:cs="宋体"/>
          <w:color w:val="auto"/>
          <w:szCs w:val="24"/>
          <w:highlight w:val="none"/>
        </w:rPr>
        <w:t>被投诉人2</w:t>
      </w:r>
    </w:p>
    <w:p w14:paraId="35BAC051">
      <w:pPr>
        <w:rPr>
          <w:rFonts w:hAnsi="宋体" w:cs="宋体"/>
          <w:color w:val="auto"/>
          <w:szCs w:val="24"/>
          <w:highlight w:val="none"/>
          <w:u w:val="dotted"/>
        </w:rPr>
      </w:pPr>
      <w:r>
        <w:rPr>
          <w:rFonts w:hint="eastAsia" w:hAnsi="宋体" w:cs="宋体"/>
          <w:color w:val="auto"/>
          <w:szCs w:val="24"/>
          <w:highlight w:val="none"/>
        </w:rPr>
        <w:t>……</w:t>
      </w:r>
    </w:p>
    <w:p w14:paraId="6AAE88B9">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0A95BD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9618B5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B2B0D">
      <w:pPr>
        <w:rPr>
          <w:rFonts w:hAnsi="宋体" w:cs="宋体"/>
          <w:color w:val="auto"/>
          <w:szCs w:val="24"/>
          <w:highlight w:val="none"/>
        </w:rPr>
      </w:pPr>
      <w:r>
        <w:rPr>
          <w:rFonts w:hint="eastAsia" w:hAnsi="宋体" w:cs="宋体"/>
          <w:color w:val="auto"/>
          <w:szCs w:val="24"/>
          <w:highlight w:val="none"/>
        </w:rPr>
        <w:t>二、投诉项目基本情况</w:t>
      </w:r>
    </w:p>
    <w:p w14:paraId="04BDCF50">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F54E740">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36D35403">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DEE4259">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79B6082">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7F7A37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DA3FBD0">
      <w:pPr>
        <w:rPr>
          <w:rFonts w:hAnsi="宋体" w:cs="宋体"/>
          <w:color w:val="auto"/>
          <w:szCs w:val="24"/>
          <w:highlight w:val="none"/>
        </w:rPr>
      </w:pPr>
      <w:r>
        <w:rPr>
          <w:rFonts w:hint="eastAsia" w:hAnsi="宋体" w:cs="宋体"/>
          <w:color w:val="auto"/>
          <w:szCs w:val="24"/>
          <w:highlight w:val="none"/>
        </w:rPr>
        <w:t>三、质疑基本情况</w:t>
      </w:r>
    </w:p>
    <w:p w14:paraId="578B0E5A">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CE52EE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1AC301D6">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70A10588">
      <w:pPr>
        <w:rPr>
          <w:rFonts w:hAnsi="宋体" w:cs="宋体"/>
          <w:color w:val="auto"/>
          <w:szCs w:val="24"/>
          <w:highlight w:val="none"/>
        </w:rPr>
      </w:pPr>
      <w:r>
        <w:rPr>
          <w:rFonts w:hint="eastAsia" w:hAnsi="宋体" w:cs="宋体"/>
          <w:color w:val="auto"/>
          <w:szCs w:val="24"/>
          <w:highlight w:val="none"/>
        </w:rPr>
        <w:t>四、投诉事项具体内容</w:t>
      </w:r>
    </w:p>
    <w:p w14:paraId="054C61D4">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9B7BD8D">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057CC85">
      <w:pPr>
        <w:rPr>
          <w:rFonts w:hAnsi="宋体" w:cs="宋体"/>
          <w:color w:val="auto"/>
          <w:szCs w:val="24"/>
          <w:highlight w:val="none"/>
          <w:u w:val="dotted"/>
        </w:rPr>
      </w:pPr>
      <w:r>
        <w:rPr>
          <w:rFonts w:hint="eastAsia" w:hAnsi="宋体" w:cs="宋体"/>
          <w:color w:val="auto"/>
          <w:szCs w:val="24"/>
          <w:highlight w:val="none"/>
          <w:u w:val="dotted"/>
        </w:rPr>
        <w:t xml:space="preserve">                                                      </w:t>
      </w:r>
    </w:p>
    <w:p w14:paraId="07EAFD24">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75FD435C">
      <w:pPr>
        <w:rPr>
          <w:rFonts w:hAnsi="宋体" w:cs="宋体"/>
          <w:color w:val="auto"/>
          <w:szCs w:val="24"/>
          <w:highlight w:val="none"/>
          <w:u w:val="dotted"/>
        </w:rPr>
      </w:pPr>
      <w:r>
        <w:rPr>
          <w:rFonts w:hint="eastAsia" w:hAnsi="宋体" w:cs="宋体"/>
          <w:color w:val="auto"/>
          <w:szCs w:val="24"/>
          <w:highlight w:val="none"/>
          <w:u w:val="dotted"/>
        </w:rPr>
        <w:t xml:space="preserve">                                                      </w:t>
      </w:r>
    </w:p>
    <w:p w14:paraId="51E29105">
      <w:pPr>
        <w:rPr>
          <w:rFonts w:hAnsi="宋体" w:cs="宋体"/>
          <w:color w:val="auto"/>
          <w:szCs w:val="24"/>
          <w:highlight w:val="none"/>
        </w:rPr>
      </w:pPr>
      <w:r>
        <w:rPr>
          <w:rFonts w:hint="eastAsia" w:hAnsi="宋体" w:cs="宋体"/>
          <w:color w:val="auto"/>
          <w:szCs w:val="24"/>
          <w:highlight w:val="none"/>
        </w:rPr>
        <w:t>投诉事项2</w:t>
      </w:r>
    </w:p>
    <w:p w14:paraId="1469D19B">
      <w:pPr>
        <w:rPr>
          <w:rFonts w:hAnsi="宋体" w:cs="宋体"/>
          <w:color w:val="auto"/>
          <w:szCs w:val="24"/>
          <w:highlight w:val="none"/>
          <w:u w:val="dotted"/>
        </w:rPr>
      </w:pPr>
      <w:r>
        <w:rPr>
          <w:rFonts w:hint="eastAsia" w:hAnsi="宋体" w:cs="宋体"/>
          <w:color w:val="auto"/>
          <w:szCs w:val="24"/>
          <w:highlight w:val="none"/>
        </w:rPr>
        <w:t>……</w:t>
      </w:r>
    </w:p>
    <w:p w14:paraId="7F59CBFE">
      <w:pPr>
        <w:rPr>
          <w:rFonts w:hAnsi="宋体" w:cs="宋体"/>
          <w:color w:val="auto"/>
          <w:szCs w:val="24"/>
          <w:highlight w:val="none"/>
        </w:rPr>
      </w:pPr>
      <w:r>
        <w:rPr>
          <w:rFonts w:hint="eastAsia" w:hAnsi="宋体" w:cs="宋体"/>
          <w:color w:val="auto"/>
          <w:szCs w:val="24"/>
          <w:highlight w:val="none"/>
        </w:rPr>
        <w:t>五、与投诉事项相关的投诉请求</w:t>
      </w:r>
    </w:p>
    <w:p w14:paraId="15F96BF7">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0421F92">
      <w:pPr>
        <w:rPr>
          <w:rFonts w:hAnsi="宋体" w:cs="宋体"/>
          <w:color w:val="auto"/>
          <w:szCs w:val="24"/>
          <w:highlight w:val="none"/>
          <w:u w:val="single"/>
        </w:rPr>
      </w:pPr>
      <w:r>
        <w:rPr>
          <w:rFonts w:hint="eastAsia" w:hAnsi="宋体" w:cs="宋体"/>
          <w:color w:val="auto"/>
          <w:szCs w:val="24"/>
          <w:highlight w:val="none"/>
        </w:rPr>
        <w:t xml:space="preserve">                                                                                                    </w:t>
      </w:r>
    </w:p>
    <w:p w14:paraId="0F2566F0">
      <w:pPr>
        <w:rPr>
          <w:rFonts w:hAnsi="宋体" w:cs="宋体"/>
          <w:color w:val="auto"/>
          <w:szCs w:val="24"/>
          <w:highlight w:val="none"/>
        </w:rPr>
      </w:pPr>
      <w:r>
        <w:rPr>
          <w:rFonts w:hint="eastAsia" w:hAnsi="宋体" w:cs="宋体"/>
          <w:color w:val="auto"/>
          <w:szCs w:val="24"/>
          <w:highlight w:val="none"/>
        </w:rPr>
        <w:t xml:space="preserve">签字(签章)：                   公章：                      </w:t>
      </w:r>
    </w:p>
    <w:p w14:paraId="62790682">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p w14:paraId="44479257">
      <w:pPr>
        <w:spacing w:line="360" w:lineRule="auto"/>
        <w:rPr>
          <w:rFonts w:hint="eastAsia" w:ascii="宋体" w:hAnsi="宋体" w:eastAsia="宋体" w:cs="宋体"/>
          <w:szCs w:val="24"/>
          <w:highlight w:val="none"/>
        </w:rPr>
      </w:pPr>
    </w:p>
    <w:sectPr>
      <w:pgSz w:w="11906" w:h="16838"/>
      <w:pgMar w:top="1361" w:right="1304" w:bottom="1361" w:left="130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B8B2A">
    <w:pPr>
      <w:pStyle w:val="12"/>
      <w:rPr>
        <w:rFonts w:hint="eastAsia" w:eastAsia="宋体"/>
        <w:lang w:eastAsia="zh-CN"/>
      </w:rPr>
    </w:pPr>
    <w:r>
      <w:rPr>
        <w:rFonts w:hint="eastAsia"/>
        <w:lang w:eastAsia="zh-CN"/>
      </w:rPr>
      <w:t>陕西海源广合项目管理有限公司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A8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4D2E">
    <w:pPr>
      <w:pStyle w:val="12"/>
      <w:rPr>
        <w:rFonts w:hint="eastAsia" w:eastAsia="宋体"/>
        <w:lang w:eastAsia="zh-CN"/>
      </w:rPr>
    </w:pPr>
    <w:r>
      <w:rPr>
        <w:rFonts w:hint="eastAsia"/>
        <w:lang w:eastAsia="zh-CN"/>
      </w:rPr>
      <w:t>陕西海源广合项目管理有限公司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2362">
    <w:pPr>
      <w:pStyle w:val="12"/>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1E85">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A99D3">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7A99D3">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0A6BF641">
    <w:pPr>
      <w:pStyle w:val="12"/>
      <w:jc w:val="both"/>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9D33">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287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F2EC">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E0E32">
                          <w:pPr>
                            <w:pStyle w:val="12"/>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CE0E32">
                    <w:pPr>
                      <w:pStyle w:val="12"/>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0986">
    <w:pPr>
      <w:pStyle w:val="12"/>
      <w:rPr>
        <w:rFonts w:ascii="Times New Roman" w:hAnsi="Times New Roman"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BCCDC">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0BCCDC">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9022">
    <w:pPr>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FD959">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0FD959">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8A23">
    <w:pPr>
      <w:spacing w:line="500" w:lineRule="exact"/>
      <w:ind w:left="1530" w:hanging="1530" w:hangingChars="850"/>
      <w:jc w:val="left"/>
      <w:rPr>
        <w:rFonts w:hAnsi="宋体" w:cs="宋体"/>
        <w:szCs w:val="24"/>
      </w:rPr>
    </w:pPr>
    <w:r>
      <w:rPr>
        <w:rFonts w:hint="eastAsia" w:hAnsi="宋体"/>
        <w:bCs/>
        <w:sz w:val="18"/>
        <w:szCs w:val="18"/>
        <w:u w:val="single"/>
      </w:rPr>
      <w:t xml:space="preserve">柞水县2025年重点区域绿化补助项目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72F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5B9C">
    <w:pPr>
      <w:pStyle w:val="1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F092">
    <w:pPr>
      <w:spacing w:line="500" w:lineRule="exact"/>
      <w:ind w:left="1530" w:hanging="1530" w:hangingChars="850"/>
      <w:jc w:val="left"/>
      <w:rPr>
        <w:rFonts w:hAnsi="宋体" w:cs="宋体"/>
        <w:szCs w:val="24"/>
      </w:rPr>
    </w:pPr>
    <w:r>
      <w:rPr>
        <w:rFonts w:hint="eastAsia" w:hAnsi="宋体"/>
        <w:bCs/>
        <w:sz w:val="18"/>
        <w:szCs w:val="18"/>
        <w:u w:val="single"/>
      </w:rPr>
      <w:t xml:space="preserve">柞水县2025年重点区域绿化补助项目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E865C01"/>
    <w:multiLevelType w:val="multilevel"/>
    <w:tmpl w:val="0E865C01"/>
    <w:lvl w:ilvl="0" w:tentative="0">
      <w:start w:val="1"/>
      <w:numFmt w:val="chineseCountingThousand"/>
      <w:suff w:val="space"/>
      <w:lvlText w:val="第%1章"/>
      <w:lvlJc w:val="center"/>
      <w:pPr>
        <w:ind w:left="0" w:firstLine="0"/>
      </w:pPr>
      <w:rPr>
        <w:rFonts w:hint="eastAsia"/>
        <w:bCs w:val="0"/>
        <w:i w:val="0"/>
        <w:iCs w:val="0"/>
        <w:caps w:val="0"/>
        <w:smallCaps w:val="0"/>
        <w:strike w:val="0"/>
        <w:dstrike w:val="0"/>
        <w:vanish w:val="0"/>
        <w:spacing w:val="0"/>
        <w:position w:val="0"/>
        <w:u w:val="none"/>
        <w:vertAlign w:val="baseline"/>
      </w:rPr>
    </w:lvl>
    <w:lvl w:ilvl="1" w:tentative="0">
      <w:start w:val="1"/>
      <w:numFmt w:val="decimal"/>
      <w:isLgl/>
      <w:suff w:val="space"/>
      <w:lvlText w:val="%1.%2"/>
      <w:lvlJc w:val="left"/>
      <w:pPr>
        <w:ind w:left="-2787" w:firstLine="0"/>
      </w:pPr>
      <w:rPr>
        <w:rFonts w:hint="default" w:ascii="Times New Roman" w:hAnsi="Times New Roman" w:cs="Times New Roman"/>
      </w:rPr>
    </w:lvl>
    <w:lvl w:ilvl="2" w:tentative="0">
      <w:start w:val="1"/>
      <w:numFmt w:val="decimal"/>
      <w:isLgl/>
      <w:suff w:val="space"/>
      <w:lvlText w:val="%1.%2.%3"/>
      <w:lvlJc w:val="left"/>
      <w:pPr>
        <w:ind w:left="-2787" w:firstLine="0"/>
      </w:pPr>
      <w:rPr>
        <w:rFonts w:hint="default" w:ascii="Times New Roman" w:hAnsi="Times New Roman" w:cs="Times New Roman"/>
      </w:rPr>
    </w:lvl>
    <w:lvl w:ilvl="3" w:tentative="0">
      <w:start w:val="1"/>
      <w:numFmt w:val="decimal"/>
      <w:pStyle w:val="38"/>
      <w:suff w:val="nothing"/>
      <w:lvlText w:val="%4、"/>
      <w:lvlJc w:val="left"/>
      <w:pPr>
        <w:ind w:left="0" w:firstLine="0"/>
      </w:pPr>
      <w:rPr>
        <w:rFonts w:hint="eastAsia" w:cs="Times New Roman"/>
        <w:bCs w:val="0"/>
        <w:i w:val="0"/>
        <w:iCs w:val="0"/>
        <w:caps w:val="0"/>
        <w:smallCaps w:val="0"/>
        <w:strike w:val="0"/>
        <w:dstrike w:val="0"/>
        <w:vanish w:val="0"/>
        <w:spacing w:val="0"/>
        <w:position w:val="0"/>
        <w:u w:val="none"/>
        <w:vertAlign w:val="baseline"/>
      </w:rPr>
    </w:lvl>
    <w:lvl w:ilvl="4" w:tentative="0">
      <w:start w:val="1"/>
      <w:numFmt w:val="decimal"/>
      <w:suff w:val="nothing"/>
      <w:lvlText w:val="（%5）"/>
      <w:lvlJc w:val="left"/>
      <w:pPr>
        <w:ind w:left="0" w:firstLine="0"/>
      </w:pPr>
      <w:rPr>
        <w:rFonts w:hint="eastAsia" w:cs="Times New Roman"/>
        <w:bCs w:val="0"/>
        <w:i w:val="0"/>
        <w:iCs w:val="0"/>
        <w:caps w:val="0"/>
        <w:smallCaps w:val="0"/>
        <w:strike w:val="0"/>
        <w:dstrike w:val="0"/>
        <w:vanish w:val="0"/>
        <w:spacing w:val="0"/>
        <w:position w:val="0"/>
        <w:u w:val="none"/>
        <w:vertAlign w:val="baseline"/>
      </w:rPr>
    </w:lvl>
    <w:lvl w:ilvl="5" w:tentative="0">
      <w:start w:val="1"/>
      <w:numFmt w:val="none"/>
      <w:suff w:val="nothing"/>
      <w:lvlText w:val=""/>
      <w:lvlJc w:val="left"/>
      <w:pPr>
        <w:ind w:left="-2787" w:firstLine="0"/>
      </w:pPr>
      <w:rPr>
        <w:rFonts w:hint="eastAsia"/>
      </w:rPr>
    </w:lvl>
    <w:lvl w:ilvl="6" w:tentative="0">
      <w:start w:val="1"/>
      <w:numFmt w:val="none"/>
      <w:suff w:val="nothing"/>
      <w:lvlText w:val=""/>
      <w:lvlJc w:val="left"/>
      <w:pPr>
        <w:ind w:left="-2787" w:firstLine="0"/>
      </w:pPr>
      <w:rPr>
        <w:rFonts w:hint="eastAsia"/>
      </w:rPr>
    </w:lvl>
    <w:lvl w:ilvl="7" w:tentative="0">
      <w:start w:val="1"/>
      <w:numFmt w:val="none"/>
      <w:suff w:val="nothing"/>
      <w:lvlText w:val=""/>
      <w:lvlJc w:val="left"/>
      <w:pPr>
        <w:ind w:left="-2787" w:firstLine="0"/>
      </w:pPr>
      <w:rPr>
        <w:rFonts w:hint="eastAsia"/>
      </w:rPr>
    </w:lvl>
    <w:lvl w:ilvl="8" w:tentative="0">
      <w:start w:val="1"/>
      <w:numFmt w:val="none"/>
      <w:suff w:val="nothing"/>
      <w:lvlText w:val=""/>
      <w:lvlJc w:val="left"/>
      <w:pPr>
        <w:ind w:left="-2787" w:firstLine="0"/>
      </w:pPr>
      <w:rPr>
        <w:rFonts w:hint="eastAsia"/>
      </w:rPr>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33CEC18F"/>
    <w:multiLevelType w:val="singleLevel"/>
    <w:tmpl w:val="33CEC18F"/>
    <w:lvl w:ilvl="0" w:tentative="0">
      <w:start w:val="3"/>
      <w:numFmt w:val="chineseCounting"/>
      <w:suff w:val="space"/>
      <w:lvlText w:val="第%1章"/>
      <w:lvlJc w:val="left"/>
      <w:rPr>
        <w:rFonts w:hint="eastAsia"/>
      </w:rPr>
    </w:lvl>
  </w:abstractNum>
  <w:abstractNum w:abstractNumId="4">
    <w:nsid w:val="5354ECB6"/>
    <w:multiLevelType w:val="singleLevel"/>
    <w:tmpl w:val="5354ECB6"/>
    <w:lvl w:ilvl="0" w:tentative="0">
      <w:start w:val="1"/>
      <w:numFmt w:val="decimal"/>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F0981"/>
    <w:multiLevelType w:val="singleLevel"/>
    <w:tmpl w:val="59CF0981"/>
    <w:lvl w:ilvl="0" w:tentative="0">
      <w:start w:val="1"/>
      <w:numFmt w:val="decimal"/>
      <w:suff w:val="nothing"/>
      <w:lvlText w:val="%1、"/>
      <w:lvlJc w:val="left"/>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000000"/>
    <w:rsid w:val="027F39A3"/>
    <w:rsid w:val="02DB30C0"/>
    <w:rsid w:val="03003BEF"/>
    <w:rsid w:val="03805942"/>
    <w:rsid w:val="03984E6C"/>
    <w:rsid w:val="062F6AA3"/>
    <w:rsid w:val="08900771"/>
    <w:rsid w:val="08FF5785"/>
    <w:rsid w:val="0A621DE4"/>
    <w:rsid w:val="0AA96DC2"/>
    <w:rsid w:val="0AD02CD3"/>
    <w:rsid w:val="0B7D3086"/>
    <w:rsid w:val="0BAF72D6"/>
    <w:rsid w:val="0D312B02"/>
    <w:rsid w:val="0D9C49BC"/>
    <w:rsid w:val="0ED369FD"/>
    <w:rsid w:val="0FCF3D54"/>
    <w:rsid w:val="10484987"/>
    <w:rsid w:val="16374A99"/>
    <w:rsid w:val="167E0785"/>
    <w:rsid w:val="17587E2E"/>
    <w:rsid w:val="177A1A88"/>
    <w:rsid w:val="185376D8"/>
    <w:rsid w:val="1D5E4931"/>
    <w:rsid w:val="1DA7093D"/>
    <w:rsid w:val="1E71154D"/>
    <w:rsid w:val="1E93534B"/>
    <w:rsid w:val="1FAC4007"/>
    <w:rsid w:val="1FD55B9E"/>
    <w:rsid w:val="1FD71C96"/>
    <w:rsid w:val="1FFA6E05"/>
    <w:rsid w:val="20B6409E"/>
    <w:rsid w:val="21507B40"/>
    <w:rsid w:val="21A41C3A"/>
    <w:rsid w:val="21ED35E0"/>
    <w:rsid w:val="22A31EF1"/>
    <w:rsid w:val="23783027"/>
    <w:rsid w:val="238B4E5F"/>
    <w:rsid w:val="247C75B5"/>
    <w:rsid w:val="25AF5F1E"/>
    <w:rsid w:val="26550AE2"/>
    <w:rsid w:val="2808340F"/>
    <w:rsid w:val="28294B17"/>
    <w:rsid w:val="2BEB5215"/>
    <w:rsid w:val="2C007380"/>
    <w:rsid w:val="2D8368BF"/>
    <w:rsid w:val="2E123C46"/>
    <w:rsid w:val="2F1D3960"/>
    <w:rsid w:val="2F4862FA"/>
    <w:rsid w:val="2F742AF9"/>
    <w:rsid w:val="3072141A"/>
    <w:rsid w:val="31126BC0"/>
    <w:rsid w:val="32DE79B1"/>
    <w:rsid w:val="344A596A"/>
    <w:rsid w:val="36673126"/>
    <w:rsid w:val="38442EB7"/>
    <w:rsid w:val="3A0544CE"/>
    <w:rsid w:val="3A2F45B0"/>
    <w:rsid w:val="3AF62EE4"/>
    <w:rsid w:val="3B581E62"/>
    <w:rsid w:val="3C934794"/>
    <w:rsid w:val="3DB868C6"/>
    <w:rsid w:val="3DD9438E"/>
    <w:rsid w:val="3DFD1AFF"/>
    <w:rsid w:val="3F734DA3"/>
    <w:rsid w:val="40194B81"/>
    <w:rsid w:val="40BB3B48"/>
    <w:rsid w:val="41A32991"/>
    <w:rsid w:val="41FD03B0"/>
    <w:rsid w:val="44B77688"/>
    <w:rsid w:val="46556D0D"/>
    <w:rsid w:val="468A1E4C"/>
    <w:rsid w:val="46B42555"/>
    <w:rsid w:val="47264B6E"/>
    <w:rsid w:val="483E1AB6"/>
    <w:rsid w:val="4AB541D3"/>
    <w:rsid w:val="4B900DCE"/>
    <w:rsid w:val="4BB24A44"/>
    <w:rsid w:val="4CFE47D7"/>
    <w:rsid w:val="4FB235F0"/>
    <w:rsid w:val="51012813"/>
    <w:rsid w:val="516D45E5"/>
    <w:rsid w:val="54B76D3F"/>
    <w:rsid w:val="550D73A8"/>
    <w:rsid w:val="550F1D78"/>
    <w:rsid w:val="551D2408"/>
    <w:rsid w:val="55F74B93"/>
    <w:rsid w:val="58E90F33"/>
    <w:rsid w:val="5A4A2DB4"/>
    <w:rsid w:val="5B3A53C9"/>
    <w:rsid w:val="5BB75EDA"/>
    <w:rsid w:val="5C9E6BB9"/>
    <w:rsid w:val="5D2A2F89"/>
    <w:rsid w:val="5D9277EA"/>
    <w:rsid w:val="5F3C1FEB"/>
    <w:rsid w:val="62AF2A80"/>
    <w:rsid w:val="630177CF"/>
    <w:rsid w:val="64D44EE8"/>
    <w:rsid w:val="64DF6288"/>
    <w:rsid w:val="679F7FF6"/>
    <w:rsid w:val="686A72EE"/>
    <w:rsid w:val="69DB2E2E"/>
    <w:rsid w:val="69F666F3"/>
    <w:rsid w:val="6A520D7C"/>
    <w:rsid w:val="6B6A456A"/>
    <w:rsid w:val="6BD64640"/>
    <w:rsid w:val="6F1417D1"/>
    <w:rsid w:val="70181D36"/>
    <w:rsid w:val="718A4F10"/>
    <w:rsid w:val="72922AB3"/>
    <w:rsid w:val="7297083C"/>
    <w:rsid w:val="72E91A6A"/>
    <w:rsid w:val="738B20A7"/>
    <w:rsid w:val="739466BB"/>
    <w:rsid w:val="74321011"/>
    <w:rsid w:val="74631D93"/>
    <w:rsid w:val="74F32F6D"/>
    <w:rsid w:val="763A4B60"/>
    <w:rsid w:val="772A6852"/>
    <w:rsid w:val="774371D9"/>
    <w:rsid w:val="77912F43"/>
    <w:rsid w:val="7A713A71"/>
    <w:rsid w:val="7B7A2964"/>
    <w:rsid w:val="7CF130FA"/>
    <w:rsid w:val="7E533BCF"/>
    <w:rsid w:val="7F6B0C8F"/>
    <w:rsid w:val="7F6D7501"/>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7"/>
    <w:autoRedefine/>
    <w:qFormat/>
    <w:uiPriority w:val="0"/>
    <w:pPr>
      <w:keepNext/>
      <w:outlineLvl w:val="0"/>
    </w:pPr>
    <w:rPr>
      <w:rFonts w:ascii="仿宋_GB2312" w:hAnsi="宋体" w:eastAsia="仿宋_GB2312"/>
      <w:b/>
      <w:kern w:val="2"/>
      <w:sz w:val="32"/>
    </w:rPr>
  </w:style>
  <w:style w:type="paragraph" w:styleId="3">
    <w:name w:val="heading 2"/>
    <w:basedOn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autoRedefine/>
    <w:qFormat/>
    <w:uiPriority w:val="0"/>
    <w:pPr>
      <w:keepNext/>
      <w:spacing w:line="600" w:lineRule="exact"/>
      <w:jc w:val="center"/>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toa heading"/>
    <w:basedOn w:val="1"/>
    <w:next w:val="1"/>
    <w:unhideWhenUsed/>
    <w:qFormat/>
    <w:uiPriority w:val="99"/>
    <w:pPr>
      <w:spacing w:before="120"/>
    </w:pPr>
    <w:rPr>
      <w:rFonts w:ascii="Cambria" w:hAnsi="Cambria" w:cs="Times New Roman"/>
      <w:sz w:val="24"/>
      <w:szCs w:val="24"/>
    </w:rPr>
  </w:style>
  <w:style w:type="paragraph" w:styleId="8">
    <w:name w:val="Body Text"/>
    <w:basedOn w:val="1"/>
    <w:autoRedefine/>
    <w:qFormat/>
    <w:uiPriority w:val="0"/>
    <w:pPr>
      <w:spacing w:after="120"/>
    </w:pPr>
    <w:rPr>
      <w:rFonts w:ascii="Calibri"/>
      <w:kern w:val="2"/>
      <w:sz w:val="21"/>
    </w:rPr>
  </w:style>
  <w:style w:type="paragraph" w:styleId="9">
    <w:name w:val="Body Text Indent"/>
    <w:basedOn w:val="1"/>
    <w:qFormat/>
    <w:uiPriority w:val="99"/>
    <w:pPr>
      <w:ind w:firstLine="420" w:firstLineChars="200"/>
    </w:pPr>
  </w:style>
  <w:style w:type="paragraph" w:styleId="10">
    <w:name w:val="toc 3"/>
    <w:basedOn w:val="1"/>
    <w:next w:val="1"/>
    <w:autoRedefine/>
    <w:qFormat/>
    <w:uiPriority w:val="0"/>
    <w:pPr>
      <w:ind w:left="840" w:leftChars="400"/>
    </w:pPr>
  </w:style>
  <w:style w:type="paragraph" w:styleId="11">
    <w:name w:val="Plain Text"/>
    <w:basedOn w:val="1"/>
    <w:autoRedefine/>
    <w:qFormat/>
    <w:uiPriority w:val="0"/>
    <w:rPr>
      <w:rFonts w:hAnsi="Courier New"/>
      <w:kern w:val="2"/>
      <w:sz w:val="21"/>
    </w:rPr>
  </w:style>
  <w:style w:type="paragraph" w:styleId="12">
    <w:name w:val="footer"/>
    <w:basedOn w:val="1"/>
    <w:next w:val="1"/>
    <w:autoRedefine/>
    <w:qFormat/>
    <w:uiPriority w:val="99"/>
    <w:pPr>
      <w:tabs>
        <w:tab w:val="center" w:pos="4153"/>
        <w:tab w:val="right" w:pos="8306"/>
      </w:tabs>
      <w:snapToGrid w:val="0"/>
      <w:jc w:val="left"/>
    </w:pPr>
    <w:rPr>
      <w:rFonts w:ascii="Calibri"/>
      <w:kern w:val="2"/>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line="240" w:lineRule="auto"/>
      <w:ind w:left="1260" w:leftChars="600"/>
    </w:pPr>
  </w:style>
  <w:style w:type="paragraph" w:styleId="16">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2"/>
    <w:basedOn w:val="9"/>
    <w:qFormat/>
    <w:uiPriority w:val="99"/>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paragraph" w:customStyle="1" w:styleId="25">
    <w:name w:val="List Paragraph"/>
    <w:basedOn w:val="1"/>
    <w:autoRedefine/>
    <w:qFormat/>
    <w:uiPriority w:val="34"/>
    <w:pPr>
      <w:ind w:firstLine="420" w:firstLineChars="200"/>
    </w:pPr>
  </w:style>
  <w:style w:type="paragraph" w:customStyle="1" w:styleId="26">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7">
    <w:name w:val="标题 1 字符"/>
    <w:link w:val="2"/>
    <w:autoRedefine/>
    <w:qFormat/>
    <w:uiPriority w:val="0"/>
    <w:rPr>
      <w:rFonts w:ascii="仿宋_GB2312" w:hAnsi="宋体" w:eastAsia="仿宋_GB2312"/>
      <w:b/>
      <w:kern w:val="2"/>
      <w:sz w:val="32"/>
    </w:r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列出段落11"/>
    <w:basedOn w:val="1"/>
    <w:autoRedefine/>
    <w:qFormat/>
    <w:uiPriority w:val="34"/>
    <w:pPr>
      <w:ind w:firstLine="420" w:firstLineChars="200"/>
    </w:pPr>
    <w:rPr>
      <w:rFonts w:ascii="Calibri" w:hAnsi="Calibri"/>
      <w:szCs w:val="22"/>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paragraph" w:customStyle="1" w:styleId="31">
    <w:name w:val="NormalIndent"/>
    <w:basedOn w:val="1"/>
    <w:qFormat/>
    <w:uiPriority w:val="99"/>
    <w:pPr>
      <w:tabs>
        <w:tab w:val="left" w:leader="hyphen" w:pos="4117"/>
      </w:tabs>
      <w:spacing w:line="500" w:lineRule="exact"/>
      <w:ind w:firstLine="517" w:firstLineChars="200"/>
    </w:pPr>
    <w:rPr>
      <w:rFonts w:ascii="宋体" w:cs="宋体"/>
      <w:spacing w:val="-20"/>
      <w:kern w:val="0"/>
      <w:sz w:val="24"/>
      <w:szCs w:val="24"/>
    </w:rPr>
  </w:style>
  <w:style w:type="character" w:customStyle="1" w:styleId="32">
    <w:name w:val="font41"/>
    <w:basedOn w:val="22"/>
    <w:qFormat/>
    <w:uiPriority w:val="0"/>
    <w:rPr>
      <w:rFonts w:hint="eastAsia" w:ascii="宋体" w:hAnsi="宋体" w:eastAsia="宋体" w:cs="宋体"/>
      <w:color w:val="000000"/>
      <w:sz w:val="20"/>
      <w:szCs w:val="20"/>
      <w:u w:val="none"/>
    </w:rPr>
  </w:style>
  <w:style w:type="character" w:customStyle="1" w:styleId="33">
    <w:name w:val="font81"/>
    <w:basedOn w:val="22"/>
    <w:qFormat/>
    <w:uiPriority w:val="0"/>
    <w:rPr>
      <w:rFonts w:hint="eastAsia" w:ascii="宋体" w:hAnsi="宋体" w:eastAsia="宋体" w:cs="宋体"/>
      <w:color w:val="000000"/>
      <w:sz w:val="20"/>
      <w:szCs w:val="20"/>
      <w:u w:val="none"/>
      <w:vertAlign w:val="superscript"/>
    </w:rPr>
  </w:style>
  <w:style w:type="paragraph" w:customStyle="1" w:styleId="34">
    <w:name w:val="一级标题"/>
    <w:basedOn w:val="2"/>
    <w:qFormat/>
    <w:uiPriority w:val="0"/>
    <w:pPr>
      <w:spacing w:line="480" w:lineRule="auto"/>
    </w:pPr>
    <w:rPr>
      <w:rFonts w:ascii="仿宋" w:hAnsi="仿宋" w:eastAsia="仿宋"/>
    </w:rPr>
  </w:style>
  <w:style w:type="paragraph" w:customStyle="1" w:styleId="35">
    <w:name w:val="三级标题"/>
    <w:basedOn w:val="1"/>
    <w:qFormat/>
    <w:uiPriority w:val="0"/>
    <w:pPr>
      <w:ind w:firstLine="602"/>
    </w:pPr>
    <w:rPr>
      <w:rFonts w:ascii="仿宋" w:hAnsi="仿宋" w:eastAsia="仿宋" w:cs="宋体"/>
      <w:b/>
      <w:sz w:val="30"/>
      <w:szCs w:val="20"/>
    </w:rPr>
  </w:style>
  <w:style w:type="paragraph" w:customStyle="1" w:styleId="36">
    <w:name w:val="二级标题"/>
    <w:basedOn w:val="3"/>
    <w:qFormat/>
    <w:uiPriority w:val="0"/>
    <w:pPr>
      <w:spacing w:line="480" w:lineRule="auto"/>
      <w:ind w:firstLine="0" w:firstLineChars="0"/>
      <w:jc w:val="center"/>
    </w:pPr>
    <w:rPr>
      <w:rFonts w:ascii="新宋体" w:hAnsi="新宋体" w:eastAsia="仿宋" w:cs="宋体"/>
      <w:sz w:val="30"/>
      <w:szCs w:val="20"/>
    </w:rPr>
  </w:style>
  <w:style w:type="paragraph" w:customStyle="1" w:styleId="37">
    <w:name w:val="文章正文"/>
    <w:basedOn w:val="1"/>
    <w:qFormat/>
    <w:uiPriority w:val="0"/>
    <w:pPr>
      <w:ind w:left="-538" w:leftChars="-192" w:firstLine="600"/>
    </w:pPr>
    <w:rPr>
      <w:rFonts w:eastAsia="仿宋" w:cs="宋体"/>
      <w:sz w:val="30"/>
      <w:szCs w:val="20"/>
    </w:rPr>
  </w:style>
  <w:style w:type="paragraph" w:customStyle="1" w:styleId="38">
    <w:name w:val="正文一"/>
    <w:basedOn w:val="1"/>
    <w:next w:val="1"/>
    <w:qFormat/>
    <w:uiPriority w:val="0"/>
    <w:pPr>
      <w:numPr>
        <w:ilvl w:val="3"/>
        <w:numId w:val="1"/>
      </w:numPr>
      <w:ind w:firstLine="56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19527</Words>
  <Characters>21134</Characters>
  <Lines>1</Lines>
  <Paragraphs>1</Paragraphs>
  <TotalTime>79</TotalTime>
  <ScaleCrop>false</ScaleCrop>
  <LinksUpToDate>false</LinksUpToDate>
  <CharactersWithSpaces>22259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救赎</cp:lastModifiedBy>
  <dcterms:modified xsi:type="dcterms:W3CDTF">2025-10-14T09:02:00Z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BC6DC1994F1D42258D9EAC222EC02312_13</vt:lpwstr>
  </property>
  <property fmtid="{D5CDD505-2E9C-101B-9397-08002B2CF9AE}" pid="4" name="KSOTemplateDocerSaveRecord">
    <vt:lpwstr>eyJoZGlkIjoiOTMxMjYxMTc2YmNmM2ZiYzM3MzRiYzBiMTAxOWMxMDciLCJ1c2VySWQiOiIxNTU5MDg0MTUyIn0=</vt:lpwstr>
  </property>
</Properties>
</file>