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7AA17">
      <w:pPr>
        <w:pStyle w:val="5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采购内容及要求</w:t>
      </w:r>
    </w:p>
    <w:p w14:paraId="3F58654D">
      <w:pPr>
        <w:pStyle w:val="5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以下内容由采购单位提供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3274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一、核心采购内容</w:t>
      </w:r>
    </w:p>
    <w:p w14:paraId="7C070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涵盖食堂所需全品类主副食品，具体包括：</w:t>
      </w:r>
    </w:p>
    <w:p w14:paraId="0854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蔬菜类（含菌类）、瓜果类、豆制品类；</w:t>
      </w:r>
    </w:p>
    <w:p w14:paraId="68BA0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鲜肉类、冻品类、水产类、禽类、蛋类、奶制品；</w:t>
      </w:r>
    </w:p>
    <w:p w14:paraId="177A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米面类（大米、面粉等）、食用油、调配料类、干货类等。</w:t>
      </w:r>
    </w:p>
    <w:p w14:paraId="2D53F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二、折扣率采购核心规则</w:t>
      </w:r>
    </w:p>
    <w:p w14:paraId="013B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1.基准价确定：以旬阳市当地主流农贸市场售货价、主流超市售价为基准价，每个月不定时询价。</w:t>
      </w:r>
    </w:p>
    <w:p w14:paraId="7771AE13">
      <w:pPr>
        <w:pStyle w:val="2"/>
        <w:ind w:left="0" w:leftChars="0" w:firstLine="560" w:firstLineChars="200"/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成立询价小组：由采购人员、司务长及供应商组成3人及以上询价小组进行询价，然后汇集资料进行比价。</w:t>
      </w:r>
      <w:r>
        <w:rPr>
          <w:rFonts w:hint="default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①</w:t>
      </w:r>
      <w:r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采集渠道：主流农贸市场选择交易量较大、具有代表性的摊位进行询价；主流超市选取城区经营规模较大、货品齐全的超市。</w:t>
      </w:r>
      <w:r>
        <w:rPr>
          <w:rFonts w:hint="default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②</w:t>
      </w:r>
      <w:r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采集频率：每季度不定时进行市场询价，原则上每季度不少于2次。</w:t>
      </w:r>
      <w:r>
        <w:rPr>
          <w:rFonts w:hint="default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③</w:t>
      </w:r>
      <w:r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采集品类与规格：明确记录商品品名、规格、等级、产地等信息，确保价格对比的一致性。</w:t>
      </w:r>
    </w:p>
    <w:p w14:paraId="05AB88C1">
      <w:pPr>
        <w:pStyle w:val="2"/>
        <w:ind w:left="0" w:leftChars="0" w:firstLine="560" w:firstLineChars="200"/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2.价格调整机制</w:t>
      </w:r>
      <w:r>
        <w:rPr>
          <w:rFonts w:hint="eastAsia" w:hAnsi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当市场价格连续两次采集结果与基准价偏离超过±10%时，应及时调整基准价。</w:t>
      </w:r>
    </w:p>
    <w:p w14:paraId="1C32C212">
      <w:pPr>
        <w:pStyle w:val="2"/>
        <w:ind w:left="0" w:leftChars="0" w:firstLine="560" w:firstLineChars="200"/>
        <w:rPr>
          <w:rFonts w:hint="default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3.档案管理</w:t>
      </w:r>
      <w:r>
        <w:rPr>
          <w:rFonts w:hint="eastAsia" w:hAnsi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>每次询价结果需形成书面或电子记录，包括日期、地点、商品信息、价格、采集人等。所有原始数据及计算过程应存档。</w:t>
      </w:r>
      <w:r>
        <w:rPr>
          <w:rFonts w:hint="eastAsia" w:hAnsi="宋体" w:cs="宋体"/>
          <w:b w:val="0"/>
          <w:bCs w:val="0"/>
          <w:smallCaps w:val="0"/>
          <w:color w:val="auto"/>
          <w:sz w:val="28"/>
          <w:szCs w:val="28"/>
          <w:lang w:val="en-US" w:eastAsia="zh-CN" w:bidi="ar-SA"/>
        </w:rPr>
        <w:t xml:space="preserve"> </w:t>
      </w:r>
    </w:p>
    <w:p w14:paraId="7394C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hAnsi="宋体" w:cs="宋体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.结算公式：最终结算金额=实际配送量×</w:t>
      </w:r>
      <w:r>
        <w:rPr>
          <w:rFonts w:hint="eastAsia" w:hAnsi="宋体" w:cs="宋体"/>
          <w:b w:val="0"/>
          <w:bCs w:val="0"/>
          <w:color w:val="auto"/>
          <w:sz w:val="28"/>
          <w:szCs w:val="28"/>
          <w:lang w:val="en-US" w:eastAsia="zh-CN"/>
        </w:rPr>
        <w:t>单价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zh-CN" w:eastAsia="zh-CN"/>
        </w:rPr>
        <w:t>×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中标折扣率</w:t>
      </w:r>
    </w:p>
    <w:p w14:paraId="2B9FF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hAnsi="宋体" w:cs="宋体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.报价要求：供应商需直接报折扣率（如95%），折扣率为结算价，折扣率越低代表价格优惠力度越大。</w:t>
      </w:r>
    </w:p>
    <w:p w14:paraId="6E9A8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三、供应商资质要求</w:t>
      </w:r>
    </w:p>
    <w:p w14:paraId="552C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1.具备合法经营资质，持有营业执照、食品经营许可证等有效证照；大米、面粉、食用油、肉类、调料等大宗品类供应商，还需提供产品质量检验报告、动物检疫合格证等专项资质。</w:t>
      </w:r>
    </w:p>
    <w:p w14:paraId="58B53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2.信誉优良，无违反食品安全法规行为，未发生过食品安全事故，无重大债权债务纠纷。</w:t>
      </w:r>
    </w:p>
    <w:p w14:paraId="08464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3.具备食材溯源能力，可追踪采购源头，不采购来源不明的“路边货”。</w:t>
      </w:r>
    </w:p>
    <w:p w14:paraId="64330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四、质量与安全要求</w:t>
      </w:r>
    </w:p>
    <w:p w14:paraId="580C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1.食材须符合国家食品安全标准，肉类带检疫合格印章及证明，蔬菜经农药残留检测，每批次物资需提供合格检验报告。</w:t>
      </w:r>
    </w:p>
    <w:p w14:paraId="5FD7E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2.食材需新鲜无变质，无致病性微生物、重金属等超标情况，预包装食品标签齐全合规。</w:t>
      </w:r>
    </w:p>
    <w:p w14:paraId="1CF7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3.实行24小时实物留样制度，因食材质量导致食品安全问题的，供应商承担全部法律责任与经济损失。</w:t>
      </w:r>
    </w:p>
    <w:p w14:paraId="1D49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五、配送服务要求</w:t>
      </w:r>
    </w:p>
    <w:p w14:paraId="3BB36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1.时效要求：每日20:00前接收次日需求，早餐食材需在7:00前送达，其他食材9:00前送达；临时紧急补货需3小时内响应并送达。</w:t>
      </w:r>
    </w:p>
    <w:p w14:paraId="21E5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2.运输规范：食材分类包装，生熟、干湿分离，使用冷藏保温设备，避免挤压损坏，运输车辆及人员保持清洁。</w:t>
      </w:r>
    </w:p>
    <w:p w14:paraId="01B91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3.验收与退换：送货时双方共同称重验收，核对送货清单（注明数量、重量、价格）并签字；出现变质食材需无偿退换，每月2次以上质量问题将处以10倍货款处罚。</w:t>
      </w:r>
    </w:p>
    <w:p w14:paraId="40A4F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六、服务期限与结算</w:t>
      </w:r>
    </w:p>
    <w:p w14:paraId="439F3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1.服务期限</w:t>
      </w:r>
      <w:r>
        <w:rPr>
          <w:rFonts w:hint="eastAsia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年。</w:t>
      </w:r>
    </w:p>
    <w:p w14:paraId="367AD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2.结算方式：按月结算，次月凭合规税务发票以对公转账方式支付上月货款。</w:t>
      </w:r>
    </w:p>
    <w:p w14:paraId="23002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七、其他要求</w:t>
      </w:r>
    </w:p>
    <w:p w14:paraId="631E0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1.供应商需遵守消防救援队伍管理规定，配送人员安全及相关损害由供应商自行负责。</w:t>
      </w:r>
    </w:p>
    <w:p w14:paraId="27C3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2.采购方每半月对供应商的质量、时效、服务等进行综合评价，不合格者予以调整。</w:t>
      </w:r>
    </w:p>
    <w:p w14:paraId="055795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D69C8"/>
    <w:rsid w:val="320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40"/>
    </w:pPr>
    <w:rPr>
      <w:smallCaps/>
      <w:szCs w:val="20"/>
    </w:rPr>
  </w:style>
  <w:style w:type="paragraph" w:customStyle="1" w:styleId="5">
    <w:name w:val="※章节标题（第X章）"/>
    <w:basedOn w:val="1"/>
    <w:qFormat/>
    <w:uiPriority w:val="0"/>
    <w:pPr>
      <w:spacing w:line="240" w:lineRule="auto"/>
      <w:jc w:val="center"/>
      <w:outlineLvl w:val="0"/>
    </w:pPr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2025-10-23T02:40:00Z</dcterms:created>
  <dc:creator>新晴</dc:creator>
  <cp:lastModifiedBy>新晴</cp:lastModifiedBy>
  <dcterms:modified xsi:type="dcterms:W3CDTF">2025-10-23T02:40:20Z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2DA77AB88667496DA1D7FD785D0811E0_11</vt:lpwstr>
  </property>
  <property fmtid="{D5CDD505-2E9C-101B-9397-08002B2CF9AE}" pid="4" name="KSOTemplateDocerSaveRecord">
    <vt:lpwstr>eyJoZGlkIjoiOGRlODFjYzQ1OWU0NTY0MTIzZGZlNWMxMGExZGMxMTciLCJ1c2VySWQiOiIzNTk5ODE1MDIifQ==</vt:lpwstr>
  </property>
</Properties>
</file>