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520"/>
        <w:gridCol w:w="7657"/>
      </w:tblGrid>
      <w:tr w14:paraId="2AA0E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</w:tcPr>
          <w:p w14:paraId="6E8FD008">
            <w:pPr>
              <w:pStyle w:val="6"/>
              <w:rPr>
                <w:rFonts w:hint="default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520" w:type="dxa"/>
          </w:tcPr>
          <w:p w14:paraId="6B6BEABD">
            <w:pPr>
              <w:pStyle w:val="6"/>
              <w:rPr>
                <w:rFonts w:hint="default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参数性质</w:t>
            </w:r>
          </w:p>
        </w:tc>
        <w:tc>
          <w:tcPr>
            <w:tcW w:w="7657" w:type="dxa"/>
            <w:vAlign w:val="center"/>
          </w:tcPr>
          <w:p w14:paraId="5ACFDB99">
            <w:pPr>
              <w:pStyle w:val="6"/>
              <w:jc w:val="center"/>
              <w:rPr>
                <w:rFonts w:hint="default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技术参数与性能指标</w:t>
            </w:r>
            <w:bookmarkStart w:id="0" w:name="_GoBack"/>
            <w:bookmarkEnd w:id="0"/>
          </w:p>
        </w:tc>
      </w:tr>
      <w:tr w14:paraId="0B69F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</w:tcPr>
          <w:p w14:paraId="32DE3E0E">
            <w:pPr>
              <w:pStyle w:val="6"/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520" w:type="dxa"/>
          </w:tcPr>
          <w:p w14:paraId="4AEFD9C8"/>
        </w:tc>
        <w:tc>
          <w:tcPr>
            <w:tcW w:w="7657" w:type="dxa"/>
          </w:tcPr>
          <w:tbl>
            <w:tblPr>
              <w:tblStyle w:val="4"/>
              <w:tblW w:w="73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8"/>
              <w:gridCol w:w="5296"/>
              <w:gridCol w:w="709"/>
              <w:gridCol w:w="740"/>
            </w:tblGrid>
            <w:tr w14:paraId="146046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 w14:paraId="440CA38C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名称</w:t>
                  </w:r>
                </w:p>
              </w:tc>
              <w:tc>
                <w:tcPr>
                  <w:tcW w:w="5296" w:type="dxa"/>
                  <w:vAlign w:val="center"/>
                </w:tcPr>
                <w:p w14:paraId="0208F555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技术参数</w:t>
                  </w:r>
                </w:p>
              </w:tc>
              <w:tc>
                <w:tcPr>
                  <w:tcW w:w="709" w:type="dxa"/>
                  <w:vAlign w:val="center"/>
                </w:tcPr>
                <w:p w14:paraId="6E5E6E51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单位</w:t>
                  </w:r>
                </w:p>
              </w:tc>
              <w:tc>
                <w:tcPr>
                  <w:tcW w:w="740" w:type="dxa"/>
                  <w:vAlign w:val="center"/>
                </w:tcPr>
                <w:p w14:paraId="26A37861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数量</w:t>
                  </w:r>
                </w:p>
              </w:tc>
            </w:tr>
            <w:tr w14:paraId="1C9CA5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dxa"/>
                  <w:vAlign w:val="center"/>
                </w:tcPr>
                <w:p w14:paraId="0561C2ED">
                  <w:pPr>
                    <w:pStyle w:val="6"/>
                    <w:widowControl w:val="0"/>
                    <w:jc w:val="both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超窄线宽稳频激光器</w:t>
                  </w:r>
                </w:p>
              </w:tc>
              <w:tc>
                <w:tcPr>
                  <w:tcW w:w="5296" w:type="dxa"/>
                  <w:vAlign w:val="center"/>
                </w:tcPr>
                <w:p w14:paraId="1CE67848">
                  <w:pP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▲1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波长在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1530-1650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nm之间，输出功率为10mW；激光线宽≤3Hz，日频率漂移≤100kHz，工作温度范围为18~25°C；</w:t>
                  </w:r>
                </w:p>
                <w:p w14:paraId="530C30B6">
                  <w:pP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功耗≤100W；</w:t>
                  </w:r>
                </w:p>
                <w:p w14:paraId="6238AD4B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3、集成触摸屏接口，可监控和控制锁定状态，调整环路增益设置；适用于光纤传感、激光雷达、微波生成等应用；</w:t>
                  </w:r>
                </w:p>
                <w:p w14:paraId="2E2D2304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</w:rPr>
                    <w:t>、系统总质量≥45kg；</w:t>
                  </w:r>
                </w:p>
                <w:p w14:paraId="2DE0E49C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5</w:t>
                  </w:r>
                  <w:r>
                    <w:rPr>
                      <w:rFonts w:ascii="仿宋_GB2312" w:hAnsi="仿宋_GB2312" w:eastAsia="仿宋_GB2312" w:cs="仿宋_GB2312"/>
                    </w:rPr>
                    <w:t>、可模拟输出PDH误差信号；</w:t>
                  </w:r>
                </w:p>
                <w:p w14:paraId="72E26605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6</w:t>
                  </w:r>
                  <w:r>
                    <w:rPr>
                      <w:rFonts w:ascii="仿宋_GB2312" w:hAnsi="仿宋_GB2312" w:eastAsia="仿宋_GB2312" w:cs="仿宋_GB2312"/>
                    </w:rPr>
                    <w:t>、腔体透光、腔体反射功率、输出对应同步扫描信号，在受到外部干扰时可直接扫描并锁定激光器；</w:t>
                  </w:r>
                </w:p>
                <w:p w14:paraId="0398A35F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7</w:t>
                  </w:r>
                  <w:r>
                    <w:rPr>
                      <w:rFonts w:ascii="仿宋_GB2312" w:hAnsi="仿宋_GB2312" w:eastAsia="仿宋_GB2312" w:cs="仿宋_GB2312"/>
                    </w:rPr>
                    <w:t>、外部显示激光温度及电流参数，腔体内配备温度监控装置、真空检测装置等，可直接反馈于面板，或与外置工作台相连接；</w:t>
                  </w:r>
                </w:p>
                <w:p w14:paraId="3971E384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▲</w:t>
                  </w: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8</w:t>
                  </w:r>
                  <w:r>
                    <w:rPr>
                      <w:rFonts w:ascii="仿宋_GB2312" w:hAnsi="仿宋_GB2312" w:eastAsia="仿宋_GB2312" w:cs="仿宋_GB2312"/>
                    </w:rPr>
                    <w:t>、腔内自由光谱程≥3GHz；</w:t>
                  </w:r>
                </w:p>
                <w:p w14:paraId="5822B3A1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▲</w:t>
                  </w: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9</w:t>
                  </w:r>
                  <w:r>
                    <w:rPr>
                      <w:rFonts w:ascii="仿宋_GB2312" w:hAnsi="仿宋_GB2312" w:eastAsia="仿宋_GB2312" w:cs="仿宋_GB2312"/>
                    </w:rPr>
                    <w:t>、偏差1秒无限性频率漂移≤9e-15；</w:t>
                  </w:r>
                </w:p>
                <w:p w14:paraId="1FB71CA4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0</w:t>
                  </w:r>
                  <w:r>
                    <w:rPr>
                      <w:rFonts w:ascii="仿宋_GB2312" w:hAnsi="仿宋_GB2312" w:eastAsia="仿宋_GB2312" w:cs="仿宋_GB2312"/>
                    </w:rPr>
                    <w:t>、偏频锁定范围为：100MHz-700MHz；</w:t>
                  </w:r>
                </w:p>
                <w:p w14:paraId="3AA1C18C">
                  <w:pPr>
                    <w:pStyle w:val="6"/>
                    <w:widowControl w:val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1</w:t>
                  </w:r>
                  <w:r>
                    <w:rPr>
                      <w:rFonts w:ascii="仿宋_GB2312" w:hAnsi="仿宋_GB2312" w:eastAsia="仿宋_GB2312" w:cs="仿宋_GB2312"/>
                    </w:rPr>
                    <w:t>、有波形发生器，多仪器并行等功能；</w:t>
                  </w:r>
                </w:p>
                <w:p w14:paraId="594295ED">
                  <w:pPr>
                    <w:widowControl/>
                    <w:jc w:val="left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ascii="仿宋_GB2312" w:hAnsi="仿宋_GB2312" w:eastAsia="仿宋_GB2312" w:cs="仿宋_GB2312"/>
                      <w:highlight w:val="none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eastAsia="zh-CN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highlight w:val="none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highlight w:val="none"/>
                      <w:lang w:eastAsia="zh-CN"/>
                    </w:rPr>
                    <w:t>配套软件实现对系统可进行偏置锁定与精细频率调节，对系统内参数进行可视化监控与系统诊断告警，失锁时可自动扫描激光频率并重新锁定；</w:t>
                  </w:r>
                </w:p>
              </w:tc>
              <w:tc>
                <w:tcPr>
                  <w:tcW w:w="709" w:type="dxa"/>
                  <w:vAlign w:val="center"/>
                </w:tcPr>
                <w:p w14:paraId="6A3CCD51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套</w:t>
                  </w:r>
                </w:p>
              </w:tc>
              <w:tc>
                <w:tcPr>
                  <w:tcW w:w="740" w:type="dxa"/>
                  <w:vAlign w:val="center"/>
                </w:tcPr>
                <w:p w14:paraId="39650DD1">
                  <w:pPr>
                    <w:pStyle w:val="6"/>
                    <w:widowControl w:val="0"/>
                    <w:jc w:val="center"/>
                    <w:rPr>
                      <w:rFonts w:hint="default"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  <w:r>
                    <w:rPr>
                      <w:rFonts w:hint="default" w:ascii="仿宋_GB2312" w:hAnsi="仿宋_GB2312" w:eastAsia="仿宋_GB2312" w:cs="仿宋_GB2312"/>
                    </w:rPr>
                    <w:t xml:space="preserve"> </w:t>
                  </w:r>
                </w:p>
              </w:tc>
            </w:tr>
          </w:tbl>
          <w:p w14:paraId="1BCBA9B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A2308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dxa"/>
          </w:tcPr>
          <w:p w14:paraId="4EC0FB6D">
            <w:pPr>
              <w:pStyle w:val="6"/>
              <w:numPr>
                <w:ilvl w:val="0"/>
                <w:numId w:val="1"/>
              </w:numPr>
              <w:rPr>
                <w:rFonts w:hint="default"/>
              </w:rPr>
            </w:pPr>
          </w:p>
        </w:tc>
        <w:tc>
          <w:tcPr>
            <w:tcW w:w="520" w:type="dxa"/>
          </w:tcPr>
          <w:p w14:paraId="568F013B"/>
        </w:tc>
        <w:tc>
          <w:tcPr>
            <w:tcW w:w="7657" w:type="dxa"/>
          </w:tcPr>
          <w:p w14:paraId="6DC9E4FB"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技术培训</w:t>
            </w:r>
          </w:p>
          <w:p w14:paraId="0D287310">
            <w:pPr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1.仪器安装后进行2天的现场培训，内容包括仪器的技术原理、操作、数据处理、基本维护等；应用工程师现场培训≥3天；免费4人次（人／周）培训（免培训费，食宿自理）。</w:t>
            </w:r>
          </w:p>
          <w:p w14:paraId="6F772D95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2.详细的培训计划，提供设备全套的操作流程及使用手册，维修手册等。</w:t>
            </w:r>
          </w:p>
        </w:tc>
      </w:tr>
    </w:tbl>
    <w:p w14:paraId="510FA8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90C12"/>
    <w:multiLevelType w:val="singleLevel"/>
    <w:tmpl w:val="96C90C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2025-10-23T08:58:12Z</dcterms:created>
  <dc:creator>Administrator</dc:creator>
  <cp:lastModifiedBy>BanBo</cp:lastModifiedBy>
  <dcterms:modified xsi:type="dcterms:W3CDTF">2025-10-23T08:59:22Z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08182DFDB60249B1AE65975002624375_12</vt:lpwstr>
  </property>
</Properties>
</file>