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7"/>
        <w:gridCol w:w="759"/>
        <w:gridCol w:w="6741"/>
      </w:tblGrid>
      <w:tr w14:paraId="1010F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1D7F9D2C">
            <w:pPr>
              <w:pStyle w:val="4"/>
              <w:jc w:val="center"/>
              <w:rPr>
                <w:highlight w:val="none"/>
              </w:rPr>
            </w:pPr>
            <w:r>
              <w:rPr>
                <w:rFonts w:ascii="仿宋_GB2312" w:hAnsi="仿宋_GB2312" w:eastAsia="仿宋_GB2312" w:cs="仿宋_GB2312"/>
                <w:highlight w:val="none"/>
              </w:rPr>
              <w:t>序号</w:t>
            </w:r>
          </w:p>
        </w:tc>
        <w:tc>
          <w:tcPr>
            <w:tcW w:w="759" w:type="dxa"/>
            <w:vAlign w:val="center"/>
          </w:tcPr>
          <w:p w14:paraId="7110DEA7">
            <w:pPr>
              <w:pStyle w:val="4"/>
              <w:jc w:val="center"/>
              <w:rPr>
                <w:highlight w:val="none"/>
              </w:rPr>
            </w:pPr>
            <w:r>
              <w:rPr>
                <w:rFonts w:ascii="仿宋_GB2312" w:hAnsi="仿宋_GB2312" w:eastAsia="仿宋_GB2312" w:cs="仿宋_GB2312"/>
                <w:highlight w:val="none"/>
              </w:rPr>
              <w:t>参数性质</w:t>
            </w:r>
          </w:p>
        </w:tc>
        <w:tc>
          <w:tcPr>
            <w:tcW w:w="6741" w:type="dxa"/>
            <w:vAlign w:val="center"/>
          </w:tcPr>
          <w:p w14:paraId="0B1B99D9">
            <w:pPr>
              <w:pStyle w:val="4"/>
              <w:jc w:val="center"/>
              <w:rPr>
                <w:highlight w:val="none"/>
              </w:rPr>
            </w:pPr>
            <w:r>
              <w:rPr>
                <w:rFonts w:ascii="仿宋_GB2312" w:hAnsi="仿宋_GB2312" w:eastAsia="仿宋_GB2312" w:cs="仿宋_GB2312"/>
                <w:highlight w:val="none"/>
              </w:rPr>
              <w:t>技术参数与性能指标</w:t>
            </w:r>
          </w:p>
        </w:tc>
      </w:tr>
      <w:tr w14:paraId="0A545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442769F8">
            <w:pPr>
              <w:pStyle w:val="4"/>
              <w:jc w:val="center"/>
              <w:rPr>
                <w:highlight w:val="none"/>
              </w:rPr>
            </w:pPr>
            <w:r>
              <w:rPr>
                <w:rFonts w:ascii="仿宋_GB2312" w:hAnsi="仿宋_GB2312" w:eastAsia="仿宋_GB2312" w:cs="仿宋_GB2312"/>
                <w:highlight w:val="none"/>
              </w:rPr>
              <w:t>1</w:t>
            </w:r>
          </w:p>
        </w:tc>
        <w:tc>
          <w:tcPr>
            <w:tcW w:w="759" w:type="dxa"/>
            <w:vAlign w:val="center"/>
          </w:tcPr>
          <w:p w14:paraId="592B96A0">
            <w:pPr>
              <w:pStyle w:val="4"/>
              <w:rPr>
                <w:rFonts w:ascii="仿宋_GB2312" w:hAnsi="仿宋_GB2312" w:eastAsia="仿宋_GB2312" w:cs="仿宋_GB2312"/>
                <w:highlight w:val="none"/>
              </w:rPr>
            </w:pPr>
          </w:p>
        </w:tc>
        <w:tc>
          <w:tcPr>
            <w:tcW w:w="6741" w:type="dxa"/>
            <w:vAlign w:val="center"/>
          </w:tcPr>
          <w:p w14:paraId="7196D7F3">
            <w:pPr>
              <w:pStyle w:val="4"/>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一、技术要求</w:t>
            </w:r>
          </w:p>
          <w:p w14:paraId="6BA3F357">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 光纤加热和熔接方式：采用双光束CO</w:t>
            </w:r>
            <w:r>
              <w:rPr>
                <w:rFonts w:hint="eastAsia" w:ascii="仿宋_GB2312" w:hAnsi="仿宋_GB2312" w:eastAsia="仿宋_GB2312" w:cs="仿宋_GB2312"/>
                <w:highlight w:val="none"/>
                <w:vertAlign w:val="subscript"/>
              </w:rPr>
              <w:t>2</w:t>
            </w:r>
            <w:r>
              <w:rPr>
                <w:rFonts w:hint="eastAsia" w:ascii="仿宋_GB2312" w:hAnsi="仿宋_GB2312" w:eastAsia="仿宋_GB2312" w:cs="仿宋_GB2312"/>
                <w:highlight w:val="none"/>
              </w:rPr>
              <w:t>激光器作为唯一加热源</w:t>
            </w:r>
          </w:p>
          <w:p w14:paraId="4CB5107D">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(2) CO</w:t>
            </w:r>
            <w:r>
              <w:rPr>
                <w:rFonts w:hint="eastAsia" w:ascii="仿宋_GB2312" w:hAnsi="仿宋_GB2312" w:eastAsia="仿宋_GB2312" w:cs="仿宋_GB2312"/>
                <w:highlight w:val="none"/>
                <w:vertAlign w:val="subscript"/>
              </w:rPr>
              <w:t>2</w:t>
            </w:r>
            <w:r>
              <w:rPr>
                <w:rFonts w:hint="eastAsia" w:ascii="仿宋_GB2312" w:hAnsi="仿宋_GB2312" w:eastAsia="仿宋_GB2312" w:cs="仿宋_GB2312"/>
                <w:highlight w:val="none"/>
              </w:rPr>
              <w:t>激光器功率：</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30W</w:t>
            </w:r>
          </w:p>
          <w:p w14:paraId="66FF4F2D">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(3) 适用光纤类型：单模光纤、多模光纤、保偏光纤、色散位移光纤、非零色散位移光纤、色散补偿光纤、超大芯径光纤、小芯径光纤、特殊组份光纤等</w:t>
            </w:r>
          </w:p>
          <w:p w14:paraId="27278F1C">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(4) 典型熔接损耗：</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0.02dB@SMF</w:t>
            </w:r>
          </w:p>
          <w:p w14:paraId="6101DAF2">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(5) 典型熔接强度：</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250Kpsi@SMF</w:t>
            </w:r>
          </w:p>
          <w:p w14:paraId="214083D9">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(6) CCD视场：</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2.7mm</w:t>
            </w:r>
          </w:p>
          <w:p w14:paraId="65DD1B21">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(7) 光纤观察方式：包层&amp;纤芯PAS侧面观察、WSI热像观察、End-View端面观察</w:t>
            </w:r>
          </w:p>
          <w:p w14:paraId="6A6E2BA8">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(8) 自动熔接光纤直径范围：80</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2300</w:t>
            </w:r>
            <w:r>
              <w:rPr>
                <w:rFonts w:hint="eastAsia" w:ascii="仿宋_GB2312" w:hAnsi="仿宋_GB2312" w:eastAsia="仿宋_GB2312" w:cs="仿宋_GB2312"/>
                <w:highlight w:val="none"/>
                <w:lang w:val="en-US" w:eastAsia="zh-CN"/>
              </w:rPr>
              <w:t>μm</w:t>
            </w:r>
            <w:r>
              <w:rPr>
                <w:rFonts w:hint="eastAsia" w:ascii="仿宋_GB2312" w:hAnsi="仿宋_GB2312" w:eastAsia="仿宋_GB2312" w:cs="仿宋_GB2312"/>
                <w:highlight w:val="none"/>
              </w:rPr>
              <w:t>（光纤，端帽，玻璃管）</w:t>
            </w:r>
          </w:p>
          <w:p w14:paraId="04044560">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(9) V槽夹持系统：分离式V型槽，可实现80</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2300</w:t>
            </w:r>
            <w:r>
              <w:rPr>
                <w:rFonts w:hint="eastAsia" w:ascii="仿宋_GB2312" w:hAnsi="仿宋_GB2312" w:eastAsia="仿宋_GB2312" w:cs="仿宋_GB2312"/>
                <w:highlight w:val="none"/>
                <w:lang w:val="en-US" w:eastAsia="zh-CN"/>
              </w:rPr>
              <w:t>μm</w:t>
            </w:r>
            <w:r>
              <w:rPr>
                <w:rFonts w:hint="eastAsia" w:ascii="仿宋_GB2312" w:hAnsi="仿宋_GB2312" w:eastAsia="仿宋_GB2312" w:cs="仿宋_GB2312"/>
                <w:highlight w:val="none"/>
              </w:rPr>
              <w:t>直径光纤的自动适配夹持</w:t>
            </w:r>
          </w:p>
          <w:p w14:paraId="3F9E114A">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(10) 光纤对轴方式：自动、手动、PC控制</w:t>
            </w:r>
          </w:p>
          <w:p w14:paraId="4345E990">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(11) 旋转马达：连续360°旋转，旋转分辨率</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0.1°</w:t>
            </w:r>
            <w:r>
              <w:rPr>
                <w:rFonts w:hint="eastAsia" w:ascii="仿宋_GB2312" w:hAnsi="仿宋_GB2312" w:eastAsia="仿宋_GB2312" w:cs="仿宋_GB2312"/>
                <w:b/>
                <w:bCs/>
                <w:highlight w:val="none"/>
              </w:rPr>
              <w:t>（需提供支撑材料）</w:t>
            </w:r>
          </w:p>
          <w:p w14:paraId="4CF4B2E4">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(12) X/Y位移分辨率：</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0.1</w:t>
            </w:r>
            <w:r>
              <w:rPr>
                <w:rFonts w:hint="eastAsia" w:ascii="仿宋_GB2312" w:hAnsi="仿宋_GB2312" w:eastAsia="仿宋_GB2312" w:cs="仿宋_GB2312"/>
                <w:highlight w:val="none"/>
                <w:lang w:val="en-US" w:eastAsia="zh-CN"/>
              </w:rPr>
              <w:t>μm</w:t>
            </w:r>
            <w:r>
              <w:rPr>
                <w:rFonts w:hint="eastAsia" w:ascii="仿宋_GB2312" w:hAnsi="仿宋_GB2312" w:eastAsia="仿宋_GB2312" w:cs="仿宋_GB2312"/>
                <w:b/>
                <w:bCs/>
                <w:highlight w:val="none"/>
              </w:rPr>
              <w:t>（需提供支撑材料）</w:t>
            </w:r>
          </w:p>
          <w:p w14:paraId="07C2DEB3">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(13) Z轴马达最大行程：</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150mm</w:t>
            </w:r>
          </w:p>
          <w:p w14:paraId="300D41E1">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(14) 最大拉锥长度：</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130mm</w:t>
            </w:r>
          </w:p>
          <w:p w14:paraId="058D7182">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(15) Z轴移动分辨率：</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0.1</w:t>
            </w:r>
            <w:r>
              <w:rPr>
                <w:rFonts w:hint="eastAsia" w:ascii="仿宋_GB2312" w:hAnsi="仿宋_GB2312" w:eastAsia="仿宋_GB2312" w:cs="仿宋_GB2312"/>
                <w:highlight w:val="none"/>
                <w:lang w:val="en-US" w:eastAsia="zh-CN"/>
              </w:rPr>
              <w:t>3μm</w:t>
            </w:r>
          </w:p>
          <w:p w14:paraId="102DEE78">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(16) 操作控制：手动操作、电脑FPS软件操作（拉锥、旋转烧球、图像编程软件，提供软件功能界面支撑材料）</w:t>
            </w:r>
          </w:p>
          <w:p w14:paraId="6521FFE0">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(17) 最大拉锥比：10:1</w:t>
            </w:r>
          </w:p>
          <w:p w14:paraId="504E4BDC">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(18) 最大拉锥速度：1mm/s</w:t>
            </w:r>
          </w:p>
          <w:p w14:paraId="479F57B3">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(19) 接口：USB &amp;GPIB</w:t>
            </w:r>
          </w:p>
          <w:p w14:paraId="1128F3D1">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(20) 其他功能</w:t>
            </w:r>
            <w:r>
              <w:rPr>
                <w:rFonts w:hint="eastAsia" w:ascii="仿宋_GB2312" w:hAnsi="仿宋_GB2312" w:eastAsia="仿宋_GB2312" w:cs="仿宋_GB2312"/>
                <w:highlight w:val="none"/>
                <w:lang w:val="en-US" w:eastAsia="zh-CN"/>
              </w:rPr>
              <w:t>包含：</w:t>
            </w:r>
            <w:r>
              <w:rPr>
                <w:rFonts w:hint="eastAsia" w:ascii="仿宋_GB2312" w:hAnsi="仿宋_GB2312" w:eastAsia="仿宋_GB2312" w:cs="仿宋_GB2312"/>
                <w:highlight w:val="none"/>
              </w:rPr>
              <w:t>光纤耦合器、光纤合束器、光纤端帽、光纤模场适配器、光纤锥形透镜、光纤光栅等器件的制作</w:t>
            </w:r>
          </w:p>
          <w:p w14:paraId="295E5BAB">
            <w:pPr>
              <w:pStyle w:val="4"/>
              <w:rPr>
                <w:rFonts w:ascii="仿宋_GB2312" w:hAnsi="仿宋_GB2312" w:eastAsia="仿宋_GB2312" w:cs="仿宋_GB2312"/>
                <w:highlight w:val="none"/>
              </w:rPr>
            </w:pPr>
            <w:r>
              <w:rPr>
                <w:rFonts w:hint="eastAsia" w:ascii="仿宋_GB2312" w:hAnsi="仿宋_GB2312" w:eastAsia="仿宋_GB2312" w:cs="仿宋_GB2312"/>
                <w:highlight w:val="none"/>
              </w:rPr>
              <w:t>(21)熔接控制：内置固件或者PC电脑</w:t>
            </w:r>
          </w:p>
        </w:tc>
      </w:tr>
      <w:tr w14:paraId="6AAF0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13F0FBCF">
            <w:pPr>
              <w:pStyle w:val="4"/>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p>
        </w:tc>
        <w:tc>
          <w:tcPr>
            <w:tcW w:w="759" w:type="dxa"/>
            <w:vAlign w:val="center"/>
          </w:tcPr>
          <w:p w14:paraId="0EB7D0C6">
            <w:pPr>
              <w:pStyle w:val="4"/>
              <w:rPr>
                <w:rFonts w:ascii="仿宋_GB2312" w:hAnsi="仿宋_GB2312" w:eastAsia="仿宋_GB2312" w:cs="仿宋_GB2312"/>
                <w:highlight w:val="none"/>
              </w:rPr>
            </w:pPr>
          </w:p>
        </w:tc>
        <w:tc>
          <w:tcPr>
            <w:tcW w:w="6741" w:type="dxa"/>
            <w:vAlign w:val="center"/>
          </w:tcPr>
          <w:p w14:paraId="2B1B300C">
            <w:pPr>
              <w:pStyle w:val="4"/>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二、其他要求</w:t>
            </w:r>
          </w:p>
          <w:p w14:paraId="53495FB4">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1.交货期：</w:t>
            </w:r>
            <w:r>
              <w:rPr>
                <w:rFonts w:ascii="仿宋_GB2312" w:hAnsi="仿宋_GB2312" w:eastAsia="仿宋_GB2312" w:cs="仿宋_GB2312"/>
                <w:color w:val="auto"/>
                <w:highlight w:val="none"/>
              </w:rPr>
              <w:t>合同签订后</w:t>
            </w:r>
            <w:r>
              <w:rPr>
                <w:rFonts w:hint="eastAsia" w:ascii="仿宋_GB2312" w:hAnsi="仿宋_GB2312" w:eastAsia="仿宋_GB2312" w:cs="仿宋_GB2312"/>
                <w:color w:val="auto"/>
                <w:highlight w:val="none"/>
                <w:lang w:val="en-US" w:eastAsia="zh-CN"/>
              </w:rPr>
              <w:t>45日历日内</w:t>
            </w:r>
            <w:r>
              <w:rPr>
                <w:rFonts w:ascii="仿宋_GB2312" w:hAnsi="仿宋_GB2312" w:eastAsia="仿宋_GB2312" w:cs="仿宋_GB2312"/>
                <w:color w:val="auto"/>
                <w:highlight w:val="none"/>
              </w:rPr>
              <w:t>安装调试完成保证可正常使用</w:t>
            </w:r>
            <w:r>
              <w:rPr>
                <w:rFonts w:hint="eastAsia" w:ascii="仿宋_GB2312" w:hAnsi="仿宋_GB2312" w:eastAsia="仿宋_GB2312" w:cs="仿宋_GB2312"/>
                <w:color w:val="auto"/>
                <w:highlight w:val="none"/>
              </w:rPr>
              <w:t>。</w:t>
            </w:r>
          </w:p>
          <w:p w14:paraId="3A54117D">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2.质保期：验收合格后</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年。</w:t>
            </w:r>
          </w:p>
          <w:p w14:paraId="3FA53469">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3.售后服务要求：</w:t>
            </w:r>
          </w:p>
          <w:p w14:paraId="3D4F9CC3">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设备有维修服务中心，且具备良好的售后服务保障体系</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售后服务响应时间（质保期内）：4小时即时响应（包括电话响应）；电话响应无法解决 48小时内到达现场（非工作日72小时、国家法定节假日除外）。修复时间 120 小时内解决；如在 120 小时内无法修复，则提供部件冗余服务或采取应急措施，提供相同产品或不低于故障产品规格档次的备用产品供采购人使用，以确保货物的正常使用。该设备如有耗材，供应商标明后期耗材的销售价格。</w:t>
            </w:r>
          </w:p>
          <w:p w14:paraId="2A2546CF">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）在保修期外, 若设备发生故障供应商可提供优惠价格的维修服务。</w:t>
            </w:r>
          </w:p>
          <w:p w14:paraId="1F6E01CB">
            <w:pPr>
              <w:pStyle w:val="4"/>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3）合同价款包含</w:t>
            </w:r>
            <w:r>
              <w:rPr>
                <w:rFonts w:ascii="仿宋_GB2312" w:hAnsi="仿宋_GB2312" w:eastAsia="仿宋_GB2312" w:cs="仿宋_GB2312"/>
                <w:color w:val="auto"/>
                <w:highlight w:val="none"/>
              </w:rPr>
              <w:t>一次设备移机服务。</w:t>
            </w:r>
          </w:p>
          <w:p w14:paraId="2AE72417">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rPr>
              <w:t>4.安装地点：西安邮电大学长安校区2号实验楼236实验室</w:t>
            </w:r>
          </w:p>
          <w:p w14:paraId="0F7242F2">
            <w:pPr>
              <w:pStyle w:val="4"/>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安装调试、培训要求</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验收要求：</w:t>
            </w:r>
          </w:p>
          <w:p w14:paraId="0FF6DE9A">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1）设备到达使用现场前，供应商将向采购人或设备最终用户告知设备安装运行的环境要求。</w:t>
            </w:r>
          </w:p>
          <w:p w14:paraId="46E65E2F">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2）设备安装过程中，供应商服务工程师将对设备用户使用人员介绍设备的性能特点，并提供设备的基本操作及维护保养提供免费培训并熟练操作。</w:t>
            </w:r>
          </w:p>
          <w:p w14:paraId="05D4F651">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3）在正常使用的情况下，对设备提供自验收合格之日起12个月的保修期。</w:t>
            </w:r>
          </w:p>
          <w:p w14:paraId="18D595E3">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在保修期内，当供应商接到最终用户报修后将于4小时内予以响应，包括通过电话或电子邮件进行远程支持。若供应商确认故障无法通过远程支持予以解决，则供应商将在确认后6个工作日内派服务工程师到达最终用户现场查找原因并提供解决方案。若供应商确认设备无法通过远程或现场维修解决的，供应商将予以返厂维修或更换，且供应商将承担设备流转所产生的费用，包括检验费、运费、保险费、仓储费和装卸费。</w:t>
            </w:r>
          </w:p>
          <w:p w14:paraId="623B6F53">
            <w:pPr>
              <w:pStyle w:val="4"/>
              <w:rPr>
                <w:rFonts w:ascii="仿宋_GB2312" w:hAnsi="仿宋_GB2312" w:eastAsia="仿宋_GB2312" w:cs="仿宋_GB2312"/>
                <w:highlight w:val="none"/>
              </w:rPr>
            </w:pPr>
            <w:r>
              <w:rPr>
                <w:rFonts w:hint="eastAsia" w:ascii="仿宋_GB2312" w:hAnsi="仿宋_GB2312" w:eastAsia="仿宋_GB2312" w:cs="仿宋_GB2312"/>
                <w:highlight w:val="none"/>
              </w:rPr>
              <w:t>5）</w:t>
            </w:r>
            <w:r>
              <w:rPr>
                <w:rFonts w:hint="eastAsia" w:ascii="仿宋_GB2312" w:hAnsi="仿宋_GB2312" w:eastAsia="仿宋_GB2312" w:cs="仿宋_GB2312"/>
                <w:highlight w:val="none"/>
                <w:lang w:val="en-US" w:eastAsia="zh-CN"/>
              </w:rPr>
              <w:t>验收要求：</w:t>
            </w:r>
            <w:r>
              <w:rPr>
                <w:rFonts w:ascii="仿宋_GB2312" w:hAnsi="仿宋_GB2312" w:eastAsia="仿宋_GB2312" w:cs="仿宋_GB2312"/>
                <w:highlight w:val="none"/>
              </w:rPr>
              <w:t>根据采购单位通知的时间和地点，安排具有相关经验的工程技术人员参与采购单位验收，根据各项技术指标提供相应测试报告对货物进行验收，</w:t>
            </w:r>
            <w:r>
              <w:rPr>
                <w:rFonts w:hint="eastAsia" w:ascii="仿宋_GB2312" w:hAnsi="仿宋_GB2312" w:eastAsia="仿宋_GB2312" w:cs="仿宋_GB2312"/>
                <w:highlight w:val="none"/>
                <w:lang w:val="en-US" w:eastAsia="zh-CN"/>
              </w:rPr>
              <w:t>供应商</w:t>
            </w:r>
            <w:r>
              <w:rPr>
                <w:rFonts w:ascii="仿宋_GB2312" w:hAnsi="仿宋_GB2312" w:eastAsia="仿宋_GB2312" w:cs="仿宋_GB2312"/>
                <w:highlight w:val="none"/>
              </w:rPr>
              <w:t>配合需求单位进行验收，形成验收报告。</w:t>
            </w:r>
          </w:p>
        </w:tc>
      </w:tr>
      <w:tr w14:paraId="42641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vAlign w:val="center"/>
          </w:tcPr>
          <w:p w14:paraId="6607B862">
            <w:pPr>
              <w:pStyle w:val="4"/>
              <w:jc w:val="center"/>
              <w:rPr>
                <w:rFonts w:hint="eastAsia" w:eastAsiaTheme="minorEastAsia"/>
                <w:highlight w:val="none"/>
                <w:lang w:eastAsia="zh-CN"/>
              </w:rPr>
            </w:pPr>
            <w:r>
              <w:rPr>
                <w:rFonts w:hint="eastAsia" w:ascii="仿宋_GB2312" w:hAnsi="仿宋_GB2312" w:eastAsia="仿宋_GB2312" w:cs="仿宋_GB2312"/>
                <w:highlight w:val="none"/>
                <w:lang w:val="en-US" w:eastAsia="zh-CN"/>
              </w:rPr>
              <w:t>3</w:t>
            </w:r>
          </w:p>
        </w:tc>
        <w:tc>
          <w:tcPr>
            <w:tcW w:w="759" w:type="dxa"/>
            <w:vAlign w:val="center"/>
          </w:tcPr>
          <w:p w14:paraId="23BE4334">
            <w:pPr>
              <w:jc w:val="center"/>
              <w:rPr>
                <w:rFonts w:hint="eastAsia" w:ascii="仿宋_GB2312" w:hAnsi="仿宋_GB2312" w:eastAsia="仿宋_GB2312" w:cs="仿宋_GB2312"/>
                <w:snapToGrid/>
                <w:color w:val="auto"/>
                <w:sz w:val="20"/>
                <w:szCs w:val="20"/>
                <w:highlight w:val="none"/>
                <w:lang w:val="en-US" w:eastAsia="zh-Hans"/>
              </w:rPr>
            </w:pPr>
          </w:p>
        </w:tc>
        <w:tc>
          <w:tcPr>
            <w:tcW w:w="6741" w:type="dxa"/>
            <w:vAlign w:val="center"/>
          </w:tcPr>
          <w:p w14:paraId="53620E53">
            <w:pPr>
              <w:pStyle w:val="4"/>
              <w:rPr>
                <w:rFonts w:hint="eastAsia" w:ascii="仿宋_GB2312" w:hAnsi="仿宋_GB2312" w:eastAsia="仿宋_GB2312" w:cs="仿宋_GB2312"/>
                <w:snapToGrid/>
                <w:color w:val="auto"/>
                <w:sz w:val="20"/>
                <w:szCs w:val="20"/>
                <w:highlight w:val="none"/>
                <w:lang w:val="en-US" w:eastAsia="zh-Hans"/>
              </w:rPr>
            </w:pPr>
            <w:r>
              <w:rPr>
                <w:rFonts w:hint="eastAsia" w:ascii="仿宋_GB2312" w:hAnsi="仿宋_GB2312" w:eastAsia="仿宋_GB2312" w:cs="仿宋_GB2312"/>
                <w:snapToGrid/>
                <w:color w:val="auto"/>
                <w:sz w:val="20"/>
                <w:szCs w:val="20"/>
                <w:highlight w:val="none"/>
                <w:lang w:val="en-US" w:eastAsia="zh-Hans"/>
              </w:rPr>
              <w:t>备注：以上参数为实质性要求，供应商任意一项负偏离，</w:t>
            </w:r>
            <w:r>
              <w:rPr>
                <w:rFonts w:hint="eastAsia" w:ascii="仿宋_GB2312" w:hAnsi="仿宋_GB2312" w:eastAsia="仿宋_GB2312" w:cs="仿宋_GB2312"/>
                <w:snapToGrid/>
                <w:color w:val="auto"/>
                <w:sz w:val="20"/>
                <w:szCs w:val="20"/>
                <w:highlight w:val="none"/>
                <w:lang w:val="en-US" w:eastAsia="zh-CN"/>
              </w:rPr>
              <w:t>响应文件</w:t>
            </w:r>
            <w:r>
              <w:rPr>
                <w:rFonts w:hint="eastAsia" w:ascii="仿宋_GB2312" w:hAnsi="仿宋_GB2312" w:eastAsia="仿宋_GB2312" w:cs="仿宋_GB2312"/>
                <w:snapToGrid/>
                <w:color w:val="auto"/>
                <w:sz w:val="20"/>
                <w:szCs w:val="20"/>
                <w:highlight w:val="none"/>
                <w:lang w:val="en-US" w:eastAsia="zh-Hans"/>
              </w:rPr>
              <w:t>按无效响应处理。</w:t>
            </w:r>
          </w:p>
        </w:tc>
      </w:tr>
    </w:tbl>
    <w:p w14:paraId="2B28B56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B7E53"/>
    <w:rsid w:val="7EFB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2025-10-23T10:19:00Z</dcterms:created>
  <dc:creator>白日梦</dc:creator>
  <cp:lastModifiedBy>白日梦</cp:lastModifiedBy>
  <dcterms:modified xsi:type="dcterms:W3CDTF">2025-10-23T10:20:15Z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24ECD0120A304E42B1A9D2CC2ED5DC3C_11</vt:lpwstr>
  </property>
  <property fmtid="{D5CDD505-2E9C-101B-9397-08002B2CF9AE}" pid="4" name="KSOTemplateDocerSaveRecord">
    <vt:lpwstr>eyJoZGlkIjoiOTQyNjJhYWQ1Y2ZkMWY1OTgyN2E4ZDZkNGNkNDQwMjYiLCJ1c2VySWQiOiIzMTI3MDEwNzEifQ==</vt:lpwstr>
  </property>
</Properties>
</file>