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7549E">
      <w:pPr>
        <w:jc w:val="center"/>
        <w:rPr>
          <w:rFonts w:ascii="宋体" w:hAnsi="宋体" w:cs="宋体"/>
          <w:b/>
          <w:bCs/>
          <w:color w:val="auto"/>
          <w:kern w:val="0"/>
          <w:szCs w:val="21"/>
        </w:rPr>
      </w:pPr>
      <w:bookmarkStart w:id="0" w:name="_Toc29945_WPSOffice_Type1"/>
      <w:r>
        <w:drawing>
          <wp:anchor distT="0" distB="0" distL="114300" distR="114300" simplePos="0" relativeHeight="251659264" behindDoc="1" locked="0" layoutInCell="1" allowOverlap="1">
            <wp:simplePos x="0" y="0"/>
            <wp:positionH relativeFrom="column">
              <wp:posOffset>-13335</wp:posOffset>
            </wp:positionH>
            <wp:positionV relativeFrom="paragraph">
              <wp:posOffset>466090</wp:posOffset>
            </wp:positionV>
            <wp:extent cx="5410200" cy="6781800"/>
            <wp:effectExtent l="0" t="0" r="0" b="0"/>
            <wp:wrapTight wrapText="bothSides">
              <wp:wrapPolygon>
                <wp:start x="0" y="0"/>
                <wp:lineTo x="0" y="21539"/>
                <wp:lineTo x="21524" y="21539"/>
                <wp:lineTo x="2152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10200" cy="6781800"/>
                    </a:xfrm>
                    <a:prstGeom prst="rect">
                      <a:avLst/>
                    </a:prstGeom>
                    <a:noFill/>
                    <a:ln>
                      <a:noFill/>
                    </a:ln>
                  </pic:spPr>
                </pic:pic>
              </a:graphicData>
            </a:graphic>
          </wp:anchor>
        </w:drawing>
      </w:r>
    </w:p>
    <w:p w14:paraId="10FE582A">
      <w:pPr>
        <w:pStyle w:val="4"/>
      </w:pPr>
    </w:p>
    <w:p w14:paraId="44F916AF">
      <w:pPr>
        <w:adjustRightInd w:val="0"/>
        <w:snapToGrid w:val="0"/>
        <w:spacing w:beforeLines="20" w:afterLines="20" w:line="540" w:lineRule="exact"/>
        <w:ind w:left="927" w:leftChars="256" w:hanging="364" w:hangingChars="192"/>
        <w:rPr>
          <w:rFonts w:ascii="宋体" w:hAnsi="宋体" w:cs="宋体"/>
          <w:b/>
          <w:color w:val="auto"/>
          <w:sz w:val="18"/>
          <w:szCs w:val="18"/>
        </w:rPr>
      </w:pPr>
    </w:p>
    <w:p w14:paraId="57A4B5AD">
      <w:pPr>
        <w:pStyle w:val="6"/>
        <w:rPr>
          <w:color w:val="auto"/>
        </w:rPr>
      </w:pPr>
    </w:p>
    <w:p w14:paraId="0F7F73CA">
      <w:pPr>
        <w:pStyle w:val="64"/>
        <w:tabs>
          <w:tab w:val="right" w:leader="dot" w:pos="8618"/>
        </w:tabs>
        <w:jc w:val="center"/>
        <w:rPr>
          <w:rFonts w:hint="eastAsia" w:ascii="宋体" w:hAnsi="宋体" w:eastAsia="宋体" w:cs="宋体"/>
          <w:b/>
          <w:bCs/>
          <w:color w:val="auto"/>
          <w:sz w:val="36"/>
          <w:szCs w:val="36"/>
        </w:rPr>
        <w:sectPr>
          <w:headerReference r:id="rId3" w:type="default"/>
          <w:footerReference r:id="rId4" w:type="default"/>
          <w:pgSz w:w="11906" w:h="16838"/>
          <w:pgMar w:top="1440" w:right="1587" w:bottom="1361" w:left="1701" w:header="851" w:footer="1191" w:gutter="0"/>
          <w:pgBorders>
            <w:top w:val="none" w:sz="0" w:space="0"/>
            <w:left w:val="none" w:sz="0" w:space="0"/>
            <w:bottom w:val="none" w:sz="0" w:space="0"/>
            <w:right w:val="none" w:sz="0" w:space="0"/>
          </w:pgBorders>
          <w:pgNumType w:fmt="decimal" w:start="1"/>
          <w:cols w:space="0" w:num="1"/>
          <w:rtlGutter w:val="0"/>
          <w:docGrid w:type="linesAndChars" w:linePitch="390" w:charSpace="2048"/>
        </w:sectPr>
      </w:pPr>
    </w:p>
    <w:p w14:paraId="35F10E67">
      <w:pPr>
        <w:pStyle w:val="64"/>
        <w:tabs>
          <w:tab w:val="right" w:leader="dot" w:pos="8618"/>
        </w:tabs>
        <w:jc w:val="center"/>
        <w:rPr>
          <w:rFonts w:ascii="宋体" w:hAnsi="宋体" w:eastAsia="宋体" w:cs="宋体"/>
          <w:color w:val="auto"/>
          <w:sz w:val="36"/>
          <w:szCs w:val="36"/>
        </w:rPr>
      </w:pPr>
      <w:r>
        <w:rPr>
          <w:rFonts w:hint="eastAsia" w:ascii="宋体" w:hAnsi="宋体" w:eastAsia="宋体" w:cs="宋体"/>
          <w:b/>
          <w:bCs/>
          <w:color w:val="auto"/>
          <w:sz w:val="36"/>
          <w:szCs w:val="36"/>
        </w:rPr>
        <w:t>目  录</w:t>
      </w:r>
      <w:bookmarkEnd w:id="0"/>
    </w:p>
    <w:p w14:paraId="0BA7E139">
      <w:pPr>
        <w:pStyle w:val="22"/>
        <w:keepNext w:val="0"/>
        <w:keepLines w:val="0"/>
        <w:pageBreakBefore w:val="0"/>
        <w:widowControl w:val="0"/>
        <w:tabs>
          <w:tab w:val="right" w:leader="dot" w:pos="8618"/>
        </w:tabs>
        <w:kinsoku/>
        <w:wordWrap/>
        <w:overflowPunct/>
        <w:topLinePunct w:val="0"/>
        <w:autoSpaceDE/>
        <w:autoSpaceDN/>
        <w:bidi w:val="0"/>
        <w:adjustRightInd/>
        <w:snapToGrid/>
        <w:spacing w:line="640" w:lineRule="exact"/>
        <w:textAlignment w:val="auto"/>
        <w:rPr>
          <w:rFonts w:hint="eastAsia" w:ascii="宋体" w:hAnsi="宋体" w:eastAsia="宋体" w:cs="宋体"/>
          <w:b/>
          <w:bCs/>
          <w:sz w:val="22"/>
          <w:szCs w:val="22"/>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b/>
          <w:bCs/>
          <w:color w:val="auto"/>
          <w:sz w:val="22"/>
          <w:szCs w:val="22"/>
        </w:rPr>
        <w:fldChar w:fldCharType="begin"/>
      </w:r>
      <w:r>
        <w:rPr>
          <w:rFonts w:hint="eastAsia" w:ascii="宋体" w:hAnsi="宋体" w:eastAsia="宋体" w:cs="宋体"/>
          <w:b/>
          <w:bCs/>
          <w:sz w:val="22"/>
          <w:szCs w:val="22"/>
        </w:rPr>
        <w:instrText xml:space="preserve"> HYPERLINK \l _Toc31517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第一部分 竞争性磋商公告</w:t>
      </w:r>
      <w:r>
        <w:rPr>
          <w:rFonts w:hint="eastAsia" w:ascii="宋体" w:hAnsi="宋体" w:eastAsia="宋体" w:cs="宋体"/>
          <w:b/>
          <w:bCs/>
          <w:sz w:val="22"/>
          <w:szCs w:val="22"/>
        </w:rPr>
        <w:tab/>
      </w: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PAGEREF _Toc31517 \h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1</w:t>
      </w:r>
      <w:r>
        <w:rPr>
          <w:rFonts w:hint="eastAsia" w:ascii="宋体" w:hAnsi="宋体" w:eastAsia="宋体" w:cs="宋体"/>
          <w:b/>
          <w:bCs/>
          <w:sz w:val="22"/>
          <w:szCs w:val="22"/>
        </w:rPr>
        <w:fldChar w:fldCharType="end"/>
      </w:r>
      <w:r>
        <w:rPr>
          <w:rFonts w:hint="eastAsia" w:ascii="宋体" w:hAnsi="宋体" w:eastAsia="宋体" w:cs="宋体"/>
          <w:b/>
          <w:bCs/>
          <w:color w:val="auto"/>
          <w:sz w:val="22"/>
          <w:szCs w:val="22"/>
        </w:rPr>
        <w:fldChar w:fldCharType="end"/>
      </w:r>
    </w:p>
    <w:p w14:paraId="45998928">
      <w:pPr>
        <w:pStyle w:val="22"/>
        <w:keepNext w:val="0"/>
        <w:keepLines w:val="0"/>
        <w:pageBreakBefore w:val="0"/>
        <w:widowControl w:val="0"/>
        <w:tabs>
          <w:tab w:val="right" w:leader="dot" w:pos="8618"/>
        </w:tabs>
        <w:kinsoku/>
        <w:wordWrap/>
        <w:overflowPunct/>
        <w:topLinePunct w:val="0"/>
        <w:autoSpaceDE/>
        <w:autoSpaceDN/>
        <w:bidi w:val="0"/>
        <w:adjustRightInd/>
        <w:snapToGrid/>
        <w:spacing w:line="640" w:lineRule="exact"/>
        <w:textAlignment w:val="auto"/>
        <w:rPr>
          <w:rFonts w:hint="eastAsia" w:ascii="宋体" w:hAnsi="宋体" w:eastAsia="宋体" w:cs="宋体"/>
          <w:b/>
          <w:bCs/>
          <w:sz w:val="22"/>
          <w:szCs w:val="22"/>
        </w:rPr>
      </w:pPr>
      <w:r>
        <w:rPr>
          <w:rFonts w:hint="eastAsia" w:ascii="宋体" w:hAnsi="宋体" w:eastAsia="宋体" w:cs="宋体"/>
          <w:b/>
          <w:bCs/>
          <w:color w:val="auto"/>
          <w:sz w:val="22"/>
          <w:szCs w:val="22"/>
        </w:rPr>
        <w:fldChar w:fldCharType="begin"/>
      </w:r>
      <w:r>
        <w:rPr>
          <w:rFonts w:hint="eastAsia" w:ascii="宋体" w:hAnsi="宋体" w:eastAsia="宋体" w:cs="宋体"/>
          <w:b/>
          <w:bCs/>
          <w:sz w:val="22"/>
          <w:szCs w:val="22"/>
        </w:rPr>
        <w:instrText xml:space="preserve"> HYPERLINK \l _Toc13189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第二部分 供应商须知</w:t>
      </w:r>
      <w:r>
        <w:rPr>
          <w:rFonts w:hint="eastAsia" w:ascii="宋体" w:hAnsi="宋体" w:eastAsia="宋体" w:cs="宋体"/>
          <w:b/>
          <w:bCs/>
          <w:sz w:val="22"/>
          <w:szCs w:val="22"/>
        </w:rPr>
        <w:tab/>
      </w: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PAGEREF _Toc13189 \h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6</w:t>
      </w:r>
      <w:r>
        <w:rPr>
          <w:rFonts w:hint="eastAsia" w:ascii="宋体" w:hAnsi="宋体" w:eastAsia="宋体" w:cs="宋体"/>
          <w:b/>
          <w:bCs/>
          <w:sz w:val="22"/>
          <w:szCs w:val="22"/>
        </w:rPr>
        <w:fldChar w:fldCharType="end"/>
      </w:r>
      <w:r>
        <w:rPr>
          <w:rFonts w:hint="eastAsia" w:ascii="宋体" w:hAnsi="宋体" w:eastAsia="宋体" w:cs="宋体"/>
          <w:b/>
          <w:bCs/>
          <w:color w:val="auto"/>
          <w:sz w:val="22"/>
          <w:szCs w:val="22"/>
        </w:rPr>
        <w:fldChar w:fldCharType="end"/>
      </w:r>
    </w:p>
    <w:p w14:paraId="3FD774E0">
      <w:pPr>
        <w:pStyle w:val="22"/>
        <w:keepNext w:val="0"/>
        <w:keepLines w:val="0"/>
        <w:pageBreakBefore w:val="0"/>
        <w:widowControl w:val="0"/>
        <w:tabs>
          <w:tab w:val="right" w:leader="dot" w:pos="8618"/>
        </w:tabs>
        <w:kinsoku/>
        <w:wordWrap/>
        <w:overflowPunct/>
        <w:topLinePunct w:val="0"/>
        <w:autoSpaceDE/>
        <w:autoSpaceDN/>
        <w:bidi w:val="0"/>
        <w:adjustRightInd/>
        <w:snapToGrid/>
        <w:spacing w:line="640" w:lineRule="exact"/>
        <w:textAlignment w:val="auto"/>
        <w:rPr>
          <w:rFonts w:hint="eastAsia" w:ascii="宋体" w:hAnsi="宋体" w:eastAsia="宋体" w:cs="宋体"/>
          <w:b/>
          <w:bCs/>
          <w:sz w:val="22"/>
          <w:szCs w:val="22"/>
        </w:rPr>
      </w:pPr>
      <w:r>
        <w:rPr>
          <w:rFonts w:hint="eastAsia" w:ascii="宋体" w:hAnsi="宋体" w:eastAsia="宋体" w:cs="宋体"/>
          <w:b/>
          <w:bCs/>
          <w:color w:val="auto"/>
          <w:sz w:val="22"/>
          <w:szCs w:val="22"/>
        </w:rPr>
        <w:fldChar w:fldCharType="begin"/>
      </w:r>
      <w:r>
        <w:rPr>
          <w:rFonts w:hint="eastAsia" w:ascii="宋体" w:hAnsi="宋体" w:eastAsia="宋体" w:cs="宋体"/>
          <w:b/>
          <w:bCs/>
          <w:sz w:val="22"/>
          <w:szCs w:val="22"/>
        </w:rPr>
        <w:instrText xml:space="preserve"> HYPERLINK \l _Toc3401 </w:instrText>
      </w:r>
      <w:r>
        <w:rPr>
          <w:rFonts w:hint="eastAsia" w:ascii="宋体" w:hAnsi="宋体" w:eastAsia="宋体" w:cs="宋体"/>
          <w:b/>
          <w:bCs/>
          <w:sz w:val="22"/>
          <w:szCs w:val="22"/>
        </w:rPr>
        <w:fldChar w:fldCharType="separate"/>
      </w:r>
      <w:r>
        <w:rPr>
          <w:rFonts w:hint="eastAsia" w:ascii="宋体" w:hAnsi="宋体" w:eastAsia="宋体" w:cs="宋体"/>
          <w:b/>
          <w:bCs/>
          <w:kern w:val="0"/>
          <w:sz w:val="22"/>
          <w:szCs w:val="22"/>
        </w:rPr>
        <w:t>第三部分 采购内容及要求</w:t>
      </w:r>
      <w:r>
        <w:rPr>
          <w:rFonts w:hint="eastAsia" w:ascii="宋体" w:hAnsi="宋体" w:eastAsia="宋体" w:cs="宋体"/>
          <w:b/>
          <w:bCs/>
          <w:sz w:val="22"/>
          <w:szCs w:val="22"/>
        </w:rPr>
        <w:tab/>
      </w: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PAGEREF _Toc3401 \h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38</w:t>
      </w:r>
      <w:r>
        <w:rPr>
          <w:rFonts w:hint="eastAsia" w:ascii="宋体" w:hAnsi="宋体" w:eastAsia="宋体" w:cs="宋体"/>
          <w:b/>
          <w:bCs/>
          <w:sz w:val="22"/>
          <w:szCs w:val="22"/>
        </w:rPr>
        <w:fldChar w:fldCharType="end"/>
      </w:r>
      <w:r>
        <w:rPr>
          <w:rFonts w:hint="eastAsia" w:ascii="宋体" w:hAnsi="宋体" w:eastAsia="宋体" w:cs="宋体"/>
          <w:b/>
          <w:bCs/>
          <w:color w:val="auto"/>
          <w:sz w:val="22"/>
          <w:szCs w:val="22"/>
        </w:rPr>
        <w:fldChar w:fldCharType="end"/>
      </w:r>
    </w:p>
    <w:p w14:paraId="3D39C4D0">
      <w:pPr>
        <w:pStyle w:val="22"/>
        <w:keepNext w:val="0"/>
        <w:keepLines w:val="0"/>
        <w:pageBreakBefore w:val="0"/>
        <w:widowControl w:val="0"/>
        <w:tabs>
          <w:tab w:val="right" w:leader="dot" w:pos="8618"/>
        </w:tabs>
        <w:kinsoku/>
        <w:wordWrap/>
        <w:overflowPunct/>
        <w:topLinePunct w:val="0"/>
        <w:autoSpaceDE/>
        <w:autoSpaceDN/>
        <w:bidi w:val="0"/>
        <w:adjustRightInd/>
        <w:snapToGrid/>
        <w:spacing w:line="640" w:lineRule="exact"/>
        <w:textAlignment w:val="auto"/>
        <w:rPr>
          <w:rFonts w:hint="eastAsia" w:ascii="宋体" w:hAnsi="宋体" w:eastAsia="宋体" w:cs="宋体"/>
          <w:b/>
          <w:bCs/>
          <w:sz w:val="22"/>
          <w:szCs w:val="22"/>
        </w:rPr>
      </w:pPr>
      <w:r>
        <w:rPr>
          <w:rFonts w:hint="eastAsia" w:ascii="宋体" w:hAnsi="宋体" w:eastAsia="宋体" w:cs="宋体"/>
          <w:b/>
          <w:bCs/>
          <w:color w:val="auto"/>
          <w:sz w:val="22"/>
          <w:szCs w:val="22"/>
        </w:rPr>
        <w:fldChar w:fldCharType="begin"/>
      </w:r>
      <w:r>
        <w:rPr>
          <w:rFonts w:hint="eastAsia" w:ascii="宋体" w:hAnsi="宋体" w:eastAsia="宋体" w:cs="宋体"/>
          <w:b/>
          <w:bCs/>
          <w:sz w:val="22"/>
          <w:szCs w:val="22"/>
        </w:rPr>
        <w:instrText xml:space="preserve"> HYPERLINK \l _Toc954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highlight w:val="none"/>
        </w:rPr>
        <w:t>第四部分 合同条款</w:t>
      </w:r>
      <w:r>
        <w:rPr>
          <w:rFonts w:hint="eastAsia" w:ascii="宋体" w:hAnsi="宋体" w:eastAsia="宋体" w:cs="宋体"/>
          <w:b/>
          <w:bCs/>
          <w:sz w:val="22"/>
          <w:szCs w:val="22"/>
        </w:rPr>
        <w:tab/>
      </w: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PAGEREF _Toc954 \h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39</w:t>
      </w:r>
      <w:r>
        <w:rPr>
          <w:rFonts w:hint="eastAsia" w:ascii="宋体" w:hAnsi="宋体" w:eastAsia="宋体" w:cs="宋体"/>
          <w:b/>
          <w:bCs/>
          <w:sz w:val="22"/>
          <w:szCs w:val="22"/>
        </w:rPr>
        <w:fldChar w:fldCharType="end"/>
      </w:r>
      <w:r>
        <w:rPr>
          <w:rFonts w:hint="eastAsia" w:ascii="宋体" w:hAnsi="宋体" w:eastAsia="宋体" w:cs="宋体"/>
          <w:b/>
          <w:bCs/>
          <w:color w:val="auto"/>
          <w:sz w:val="22"/>
          <w:szCs w:val="22"/>
        </w:rPr>
        <w:fldChar w:fldCharType="end"/>
      </w:r>
    </w:p>
    <w:p w14:paraId="13B73709">
      <w:pPr>
        <w:pStyle w:val="22"/>
        <w:keepNext w:val="0"/>
        <w:keepLines w:val="0"/>
        <w:pageBreakBefore w:val="0"/>
        <w:widowControl w:val="0"/>
        <w:tabs>
          <w:tab w:val="right" w:leader="dot" w:pos="8618"/>
        </w:tabs>
        <w:kinsoku/>
        <w:wordWrap/>
        <w:overflowPunct/>
        <w:topLinePunct w:val="0"/>
        <w:autoSpaceDE/>
        <w:autoSpaceDN/>
        <w:bidi w:val="0"/>
        <w:adjustRightInd/>
        <w:snapToGrid/>
        <w:spacing w:line="640" w:lineRule="exact"/>
        <w:textAlignment w:val="auto"/>
        <w:rPr>
          <w:rFonts w:hint="eastAsia" w:ascii="宋体" w:hAnsi="宋体" w:eastAsia="宋体" w:cs="宋体"/>
          <w:sz w:val="22"/>
          <w:szCs w:val="22"/>
        </w:rPr>
      </w:pPr>
      <w:r>
        <w:rPr>
          <w:rFonts w:hint="eastAsia" w:ascii="宋体" w:hAnsi="宋体" w:eastAsia="宋体" w:cs="宋体"/>
          <w:b/>
          <w:bCs/>
          <w:color w:val="auto"/>
          <w:sz w:val="22"/>
          <w:szCs w:val="22"/>
        </w:rPr>
        <w:fldChar w:fldCharType="begin"/>
      </w:r>
      <w:r>
        <w:rPr>
          <w:rFonts w:hint="eastAsia" w:ascii="宋体" w:hAnsi="宋体" w:eastAsia="宋体" w:cs="宋体"/>
          <w:b/>
          <w:bCs/>
          <w:sz w:val="22"/>
          <w:szCs w:val="22"/>
        </w:rPr>
        <w:instrText xml:space="preserve"> HYPERLINK \l _Toc12060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highlight w:val="none"/>
        </w:rPr>
        <w:t>第五部分 竞争性磋商响应文件格式</w:t>
      </w:r>
      <w:r>
        <w:rPr>
          <w:rFonts w:hint="eastAsia" w:ascii="宋体" w:hAnsi="宋体" w:eastAsia="宋体" w:cs="宋体"/>
          <w:b/>
          <w:bCs/>
          <w:sz w:val="22"/>
          <w:szCs w:val="22"/>
        </w:rPr>
        <w:tab/>
      </w: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PAGEREF _Toc12060 \h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43</w:t>
      </w:r>
      <w:r>
        <w:rPr>
          <w:rFonts w:hint="eastAsia" w:ascii="宋体" w:hAnsi="宋体" w:eastAsia="宋体" w:cs="宋体"/>
          <w:b/>
          <w:bCs/>
          <w:sz w:val="22"/>
          <w:szCs w:val="22"/>
        </w:rPr>
        <w:fldChar w:fldCharType="end"/>
      </w:r>
      <w:r>
        <w:rPr>
          <w:rFonts w:hint="eastAsia" w:ascii="宋体" w:hAnsi="宋体" w:eastAsia="宋体" w:cs="宋体"/>
          <w:b/>
          <w:bCs/>
          <w:color w:val="auto"/>
          <w:sz w:val="22"/>
          <w:szCs w:val="22"/>
        </w:rPr>
        <w:fldChar w:fldCharType="end"/>
      </w:r>
    </w:p>
    <w:p w14:paraId="12583A98">
      <w:pPr>
        <w:pStyle w:val="64"/>
        <w:tabs>
          <w:tab w:val="right" w:leader="dot" w:pos="8618"/>
        </w:tabs>
        <w:spacing w:line="360" w:lineRule="auto"/>
        <w:rPr>
          <w:rFonts w:ascii="宋体" w:hAnsi="宋体" w:eastAsia="宋体" w:cs="宋体"/>
          <w:color w:val="auto"/>
          <w:szCs w:val="21"/>
        </w:rPr>
      </w:pPr>
      <w:r>
        <w:rPr>
          <w:rFonts w:hint="eastAsia" w:ascii="宋体" w:hAnsi="宋体" w:eastAsia="宋体" w:cs="宋体"/>
          <w:color w:val="auto"/>
          <w:szCs w:val="21"/>
        </w:rPr>
        <w:fldChar w:fldCharType="end"/>
      </w:r>
    </w:p>
    <w:p w14:paraId="50084B4C">
      <w:pPr>
        <w:pStyle w:val="64"/>
        <w:tabs>
          <w:tab w:val="right" w:leader="dot" w:pos="8618"/>
        </w:tabs>
        <w:spacing w:line="360" w:lineRule="auto"/>
        <w:rPr>
          <w:rFonts w:ascii="宋体" w:hAnsi="宋体" w:eastAsia="宋体" w:cs="宋体"/>
          <w:color w:val="auto"/>
          <w:szCs w:val="21"/>
        </w:rPr>
      </w:pPr>
    </w:p>
    <w:p w14:paraId="5A66F88F">
      <w:pPr>
        <w:pStyle w:val="64"/>
        <w:tabs>
          <w:tab w:val="right" w:leader="dot" w:pos="8618"/>
        </w:tabs>
        <w:spacing w:line="360" w:lineRule="auto"/>
        <w:rPr>
          <w:rFonts w:ascii="宋体" w:hAnsi="宋体" w:eastAsia="宋体" w:cs="宋体"/>
          <w:color w:val="auto"/>
          <w:szCs w:val="21"/>
        </w:rPr>
      </w:pPr>
    </w:p>
    <w:p w14:paraId="23005775">
      <w:pPr>
        <w:keepNext w:val="0"/>
        <w:keepLines w:val="0"/>
        <w:pageBreakBefore w:val="0"/>
        <w:widowControl w:val="0"/>
        <w:kinsoku/>
        <w:wordWrap/>
        <w:overflowPunct/>
        <w:topLinePunct w:val="0"/>
        <w:autoSpaceDE/>
        <w:autoSpaceDN/>
        <w:bidi w:val="0"/>
        <w:adjustRightInd/>
        <w:snapToGrid/>
        <w:spacing w:before="196" w:beforeLines="50" w:line="700" w:lineRule="exact"/>
        <w:ind w:left="0" w:leftChars="0" w:right="0" w:rightChars="0" w:firstLine="0" w:firstLineChars="0"/>
        <w:jc w:val="center"/>
        <w:textAlignment w:val="auto"/>
        <w:outlineLvl w:val="0"/>
        <w:rPr>
          <w:rFonts w:hint="eastAsia" w:ascii="宋体" w:hAnsi="宋体" w:cs="宋体"/>
          <w:b/>
          <w:color w:val="auto"/>
          <w:sz w:val="36"/>
          <w:szCs w:val="36"/>
        </w:rPr>
        <w:sectPr>
          <w:footerReference r:id="rId5" w:type="default"/>
          <w:pgSz w:w="11906" w:h="16838"/>
          <w:pgMar w:top="1440" w:right="1587" w:bottom="1361" w:left="1701" w:header="851" w:footer="1191" w:gutter="0"/>
          <w:pgBorders>
            <w:top w:val="none" w:sz="0" w:space="0"/>
            <w:left w:val="none" w:sz="0" w:space="0"/>
            <w:bottom w:val="none" w:sz="0" w:space="0"/>
            <w:right w:val="none" w:sz="0" w:space="0"/>
          </w:pgBorders>
          <w:pgNumType w:fmt="decimal" w:start="1"/>
          <w:cols w:space="0" w:num="1"/>
          <w:rtlGutter w:val="0"/>
          <w:docGrid w:type="linesAndChars" w:linePitch="390" w:charSpace="2048"/>
        </w:sectPr>
      </w:pPr>
      <w:bookmarkStart w:id="1" w:name="_Toc1741_WPSOffice_Level1"/>
      <w:bookmarkStart w:id="2" w:name="_Toc31517"/>
      <w:bookmarkStart w:id="3" w:name="_Toc29386_WPSOffice_Level1"/>
    </w:p>
    <w:p w14:paraId="343FC0B5">
      <w:pPr>
        <w:widowControl/>
        <w:spacing w:line="460" w:lineRule="exact"/>
        <w:jc w:val="center"/>
        <w:rPr>
          <w:rFonts w:hint="eastAsia" w:ascii="宋体" w:hAnsi="宋体" w:eastAsia="宋体" w:cs="宋体"/>
          <w:b/>
          <w:color w:val="auto"/>
          <w:sz w:val="36"/>
          <w:szCs w:val="36"/>
          <w:lang w:eastAsia="zh-CN"/>
        </w:rPr>
      </w:pPr>
      <w:r>
        <w:rPr>
          <w:rFonts w:hint="eastAsia" w:ascii="宋体" w:hAnsi="宋体" w:cs="宋体"/>
          <w:b/>
          <w:color w:val="auto"/>
          <w:sz w:val="36"/>
          <w:szCs w:val="36"/>
        </w:rPr>
        <w:t xml:space="preserve">第一部分 </w:t>
      </w:r>
      <w:bookmarkEnd w:id="1"/>
      <w:bookmarkEnd w:id="2"/>
      <w:r>
        <w:rPr>
          <w:rFonts w:hint="eastAsia" w:ascii="宋体" w:hAnsi="宋体" w:cs="宋体"/>
          <w:b/>
          <w:bCs/>
          <w:color w:val="auto"/>
          <w:kern w:val="0"/>
          <w:sz w:val="36"/>
          <w:szCs w:val="36"/>
        </w:rPr>
        <w:t>竞争性磋商</w:t>
      </w:r>
      <w:r>
        <w:rPr>
          <w:rFonts w:hint="eastAsia" w:ascii="宋体" w:hAnsi="宋体" w:cs="宋体"/>
          <w:b/>
          <w:bCs/>
          <w:color w:val="auto"/>
          <w:kern w:val="0"/>
          <w:sz w:val="36"/>
          <w:szCs w:val="36"/>
          <w:lang w:eastAsia="zh-CN"/>
        </w:rPr>
        <w:t>公告</w:t>
      </w:r>
    </w:p>
    <w:p w14:paraId="71E16FE3">
      <w:pPr>
        <w:widowControl/>
        <w:spacing w:line="460" w:lineRule="exact"/>
        <w:ind w:firstLine="50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2025年城关镇村集体经济组织规模化高梁等农作物种植产能提升项目</w:t>
      </w:r>
      <w:r>
        <w:rPr>
          <w:rFonts w:hint="eastAsia" w:asciiTheme="minorEastAsia" w:hAnsiTheme="minorEastAsia" w:eastAsiaTheme="minorEastAsia" w:cstheme="minorEastAsia"/>
          <w:b/>
          <w:bCs/>
          <w:color w:val="auto"/>
          <w:sz w:val="24"/>
          <w:szCs w:val="24"/>
        </w:rPr>
        <w:t>潜在的供应商应在全国公共资源交易平台（陕西省·宝鸡市）获取采购文件，并于</w:t>
      </w:r>
      <w:r>
        <w:rPr>
          <w:rFonts w:hint="eastAsia" w:asciiTheme="minorEastAsia" w:hAnsiTheme="minorEastAsia" w:eastAsiaTheme="minorEastAsia" w:cstheme="minorEastAsia"/>
          <w:b/>
          <w:bCs/>
          <w:color w:val="auto"/>
          <w:sz w:val="24"/>
          <w:szCs w:val="24"/>
          <w:lang w:eastAsia="zh-CN"/>
        </w:rPr>
        <w:t>202</w:t>
      </w: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lang w:eastAsia="zh-CN"/>
        </w:rPr>
        <w:t>年</w:t>
      </w:r>
      <w:r>
        <w:rPr>
          <w:rFonts w:hint="eastAsia" w:asciiTheme="minorEastAsia" w:hAnsiTheme="minorEastAsia" w:eastAsiaTheme="minorEastAsia" w:cstheme="minorEastAsia"/>
          <w:b/>
          <w:bCs/>
          <w:color w:val="auto"/>
          <w:sz w:val="24"/>
          <w:szCs w:val="24"/>
          <w:lang w:val="en-US" w:eastAsia="zh-CN"/>
        </w:rPr>
        <w:t>10</w:t>
      </w:r>
      <w:r>
        <w:rPr>
          <w:rFonts w:hint="eastAsia" w:asciiTheme="minorEastAsia" w:hAnsiTheme="minorEastAsia" w:eastAsiaTheme="minorEastAsia" w:cstheme="minorEastAsia"/>
          <w:b/>
          <w:bCs/>
          <w:color w:val="auto"/>
          <w:sz w:val="24"/>
          <w:szCs w:val="24"/>
          <w:lang w:eastAsia="zh-CN"/>
        </w:rPr>
        <w:t>月</w:t>
      </w:r>
      <w:r>
        <w:rPr>
          <w:rFonts w:hint="eastAsia" w:asciiTheme="minorEastAsia" w:hAnsiTheme="minorEastAsia" w:eastAsiaTheme="minorEastAsia" w:cstheme="minorEastAsia"/>
          <w:b/>
          <w:bCs/>
          <w:color w:val="auto"/>
          <w:sz w:val="24"/>
          <w:szCs w:val="24"/>
          <w:lang w:val="en-US" w:eastAsia="zh-CN"/>
        </w:rPr>
        <w:t>27</w:t>
      </w:r>
      <w:r>
        <w:rPr>
          <w:rFonts w:hint="eastAsia" w:asciiTheme="minorEastAsia" w:hAnsiTheme="minorEastAsia" w:eastAsiaTheme="minorEastAsia" w:cstheme="minorEastAsia"/>
          <w:b/>
          <w:bCs/>
          <w:color w:val="auto"/>
          <w:sz w:val="24"/>
          <w:szCs w:val="24"/>
          <w:lang w:eastAsia="zh-CN"/>
        </w:rPr>
        <w:t>日</w:t>
      </w:r>
      <w:r>
        <w:rPr>
          <w:rFonts w:hint="eastAsia" w:asciiTheme="minorEastAsia" w:hAnsiTheme="minorEastAsia" w:eastAsiaTheme="minorEastAsia" w:cstheme="minorEastAsia"/>
          <w:b/>
          <w:bCs/>
          <w:color w:val="auto"/>
          <w:sz w:val="24"/>
          <w:szCs w:val="24"/>
          <w:lang w:val="en-US" w:eastAsia="zh-CN"/>
        </w:rPr>
        <w:t>14</w:t>
      </w:r>
      <w:r>
        <w:rPr>
          <w:rFonts w:hint="eastAsia" w:asciiTheme="minorEastAsia" w:hAnsiTheme="minorEastAsia" w:eastAsiaTheme="minorEastAsia" w:cstheme="minorEastAsia"/>
          <w:b/>
          <w:bCs/>
          <w:color w:val="auto"/>
          <w:sz w:val="24"/>
          <w:szCs w:val="24"/>
        </w:rPr>
        <w:t xml:space="preserve">时00分前递交响应文件。 </w:t>
      </w:r>
    </w:p>
    <w:p w14:paraId="696D1BD4">
      <w:pPr>
        <w:widowControl/>
        <w:spacing w:line="460" w:lineRule="exact"/>
        <w:ind w:firstLine="50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一、项目基本情况：</w:t>
      </w:r>
    </w:p>
    <w:p w14:paraId="60A1907D">
      <w:pPr>
        <w:widowControl/>
        <w:spacing w:line="460" w:lineRule="exact"/>
        <w:ind w:firstLine="50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SXHXBJ-2025-10-001</w:t>
      </w:r>
    </w:p>
    <w:p w14:paraId="54E0940A">
      <w:pPr>
        <w:pStyle w:val="27"/>
        <w:widowControl/>
        <w:wordWrap w:val="0"/>
        <w:spacing w:before="0" w:beforeAutospacing="0" w:after="0" w:afterAutospacing="0" w:line="460" w:lineRule="exact"/>
        <w:ind w:firstLine="500" w:firstLineChars="200"/>
        <w:jc w:val="both"/>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项目名称：</w:t>
      </w:r>
      <w:r>
        <w:rPr>
          <w:rFonts w:hint="eastAsia" w:asciiTheme="minorEastAsia" w:hAnsiTheme="minorEastAsia" w:eastAsiaTheme="minorEastAsia" w:cstheme="minorEastAsia"/>
          <w:color w:val="auto"/>
          <w:szCs w:val="24"/>
          <w:lang w:eastAsia="zh-CN"/>
        </w:rPr>
        <w:t>2025年城关镇村集体经济组织规模化高梁等农作物种植产能提升项目</w:t>
      </w:r>
    </w:p>
    <w:p w14:paraId="14C3D60F">
      <w:pPr>
        <w:pStyle w:val="27"/>
        <w:widowControl/>
        <w:wordWrap w:val="0"/>
        <w:spacing w:before="0" w:beforeAutospacing="0" w:after="0" w:afterAutospacing="0" w:line="460" w:lineRule="exact"/>
        <w:ind w:firstLine="500" w:firstLineChars="200"/>
        <w:jc w:val="both"/>
        <w:rPr>
          <w:rFonts w:ascii="宋体" w:hAnsi="宋体" w:cs="宋体"/>
          <w:color w:val="auto"/>
          <w:szCs w:val="24"/>
        </w:rPr>
      </w:pPr>
      <w:r>
        <w:rPr>
          <w:rFonts w:hint="eastAsia" w:ascii="宋体" w:hAnsi="宋体" w:cs="宋体"/>
          <w:color w:val="auto"/>
          <w:szCs w:val="24"/>
          <w:shd w:val="clear" w:color="auto" w:fill="FFFFFF"/>
        </w:rPr>
        <w:t>采购方式：竞争性磋商</w:t>
      </w:r>
    </w:p>
    <w:p w14:paraId="0D593659">
      <w:pPr>
        <w:pStyle w:val="27"/>
        <w:widowControl/>
        <w:wordWrap w:val="0"/>
        <w:spacing w:before="0" w:beforeAutospacing="0" w:after="0" w:afterAutospacing="0" w:line="460" w:lineRule="exact"/>
        <w:ind w:firstLine="500" w:firstLineChars="200"/>
        <w:jc w:val="both"/>
        <w:rPr>
          <w:rFonts w:ascii="宋体" w:hAnsi="宋体" w:cs="宋体"/>
          <w:color w:val="auto"/>
          <w:szCs w:val="24"/>
        </w:rPr>
      </w:pPr>
      <w:r>
        <w:rPr>
          <w:rFonts w:hint="eastAsia" w:ascii="宋体" w:hAnsi="宋体" w:cs="宋体"/>
          <w:color w:val="auto"/>
          <w:szCs w:val="24"/>
          <w:shd w:val="clear" w:color="auto" w:fill="FFFFFF"/>
        </w:rPr>
        <w:t>预算金额：</w:t>
      </w:r>
      <w:r>
        <w:rPr>
          <w:rFonts w:hint="eastAsia" w:ascii="宋体" w:hAnsi="宋体" w:cs="宋体"/>
          <w:color w:val="auto"/>
          <w:szCs w:val="24"/>
          <w:shd w:val="clear" w:color="auto" w:fill="FFFFFF"/>
          <w:lang w:val="en-US" w:eastAsia="zh-CN"/>
        </w:rPr>
        <w:t>676000.00</w:t>
      </w:r>
      <w:r>
        <w:rPr>
          <w:rFonts w:hint="eastAsia" w:ascii="宋体" w:hAnsi="宋体" w:cs="宋体"/>
          <w:color w:val="auto"/>
          <w:szCs w:val="24"/>
          <w:shd w:val="clear" w:color="auto" w:fill="FFFFFF"/>
        </w:rPr>
        <w:t>元</w:t>
      </w:r>
    </w:p>
    <w:p w14:paraId="7E6D75C7">
      <w:pPr>
        <w:widowControl/>
        <w:spacing w:line="46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p>
    <w:p w14:paraId="34E9C5A9">
      <w:pPr>
        <w:widowControl/>
        <w:spacing w:line="46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合同包1(</w:t>
      </w:r>
      <w:r>
        <w:rPr>
          <w:rFonts w:hint="eastAsia" w:asciiTheme="minorEastAsia" w:hAnsiTheme="minorEastAsia" w:eastAsiaTheme="minorEastAsia" w:cstheme="minorEastAsia"/>
          <w:color w:val="auto"/>
          <w:sz w:val="24"/>
          <w:szCs w:val="24"/>
          <w:lang w:eastAsia="zh-CN"/>
        </w:rPr>
        <w:t>2025年城关镇村集体经济组织规模化高梁等农作物种植产能提升项目）</w:t>
      </w:r>
    </w:p>
    <w:p w14:paraId="6BB1FC16">
      <w:pPr>
        <w:widowControl/>
        <w:spacing w:line="46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合同包预算金额</w:t>
      </w:r>
      <w:r>
        <w:rPr>
          <w:rFonts w:hint="eastAsia" w:asciiTheme="minorEastAsia" w:hAnsiTheme="minorEastAsia" w:eastAsiaTheme="minorEastAsia" w:cstheme="minorEastAsia"/>
          <w:color w:val="auto"/>
          <w:sz w:val="24"/>
          <w:szCs w:val="24"/>
          <w:lang w:val="en-US" w:eastAsia="zh-CN"/>
        </w:rPr>
        <w:t>676000.00</w:t>
      </w:r>
      <w:r>
        <w:rPr>
          <w:rFonts w:hint="eastAsia" w:asciiTheme="minorEastAsia" w:hAnsiTheme="minorEastAsia" w:eastAsiaTheme="minorEastAsia" w:cstheme="minorEastAsia"/>
          <w:color w:val="auto"/>
          <w:sz w:val="24"/>
          <w:szCs w:val="24"/>
        </w:rPr>
        <w:t>元</w:t>
      </w:r>
    </w:p>
    <w:p w14:paraId="527E29CC">
      <w:pPr>
        <w:widowControl/>
        <w:spacing w:afterLines="50" w:line="460" w:lineRule="exact"/>
        <w:ind w:firstLine="500" w:firstLineChars="200"/>
        <w:jc w:val="left"/>
        <w:rPr>
          <w:rFonts w:ascii="宋体" w:hAnsi="宋体" w:cs="宋体"/>
          <w:color w:val="auto"/>
          <w:kern w:val="0"/>
          <w:sz w:val="24"/>
          <w:szCs w:val="24"/>
          <w:shd w:val="clear" w:color="auto" w:fill="FFFFFF"/>
        </w:rPr>
      </w:pPr>
      <w:r>
        <w:rPr>
          <w:rFonts w:hint="eastAsia" w:asciiTheme="minorEastAsia" w:hAnsiTheme="minorEastAsia" w:eastAsiaTheme="minorEastAsia" w:cstheme="minorEastAsia"/>
          <w:color w:val="auto"/>
          <w:sz w:val="24"/>
          <w:szCs w:val="24"/>
        </w:rPr>
        <w:t>合同包最高限价</w:t>
      </w:r>
      <w:r>
        <w:rPr>
          <w:rFonts w:hint="eastAsia" w:asciiTheme="minorEastAsia" w:hAnsiTheme="minorEastAsia" w:eastAsiaTheme="minorEastAsia" w:cstheme="minorEastAsia"/>
          <w:color w:val="auto"/>
          <w:sz w:val="24"/>
          <w:szCs w:val="24"/>
          <w:lang w:val="en-US" w:eastAsia="zh-CN"/>
        </w:rPr>
        <w:t>676000.00</w:t>
      </w:r>
      <w:r>
        <w:rPr>
          <w:rFonts w:hint="eastAsia" w:ascii="宋体" w:hAnsi="宋体" w:cs="宋体"/>
          <w:color w:val="auto"/>
          <w:kern w:val="0"/>
          <w:sz w:val="24"/>
          <w:szCs w:val="24"/>
          <w:shd w:val="clear" w:color="auto" w:fill="FFFFFF"/>
        </w:rPr>
        <w:t>元</w:t>
      </w:r>
    </w:p>
    <w:tbl>
      <w:tblPr>
        <w:tblStyle w:val="31"/>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3"/>
        <w:gridCol w:w="1609"/>
        <w:gridCol w:w="1527"/>
        <w:gridCol w:w="1047"/>
        <w:gridCol w:w="2351"/>
        <w:gridCol w:w="1316"/>
      </w:tblGrid>
      <w:tr w14:paraId="28913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Header/>
          <w:jc w:val="center"/>
        </w:trPr>
        <w:tc>
          <w:tcPr>
            <w:tcW w:w="56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A82142A">
            <w:pPr>
              <w:widowControl/>
              <w:wordWrap w:val="0"/>
              <w:spacing w:line="240" w:lineRule="atLeast"/>
              <w:jc w:val="center"/>
              <w:rPr>
                <w:rFonts w:hint="eastAsia" w:ascii="宋体" w:hAnsi="宋体" w:eastAsia="宋体" w:cs="宋体"/>
                <w:b/>
                <w:bCs/>
                <w:color w:val="auto"/>
                <w:szCs w:val="21"/>
                <w:lang w:eastAsia="zh-CN"/>
              </w:rPr>
            </w:pPr>
            <w:r>
              <w:rPr>
                <w:rFonts w:hint="eastAsia" w:ascii="宋体" w:hAnsi="宋体" w:cs="宋体"/>
                <w:b/>
                <w:bCs/>
                <w:color w:val="auto"/>
                <w:kern w:val="0"/>
                <w:szCs w:val="21"/>
              </w:rPr>
              <w:t>品目</w:t>
            </w:r>
            <w:r>
              <w:rPr>
                <w:rFonts w:hint="eastAsia" w:ascii="宋体" w:hAnsi="宋体" w:cs="宋体"/>
                <w:b/>
                <w:bCs/>
                <w:color w:val="auto"/>
                <w:kern w:val="0"/>
                <w:szCs w:val="21"/>
                <w:lang w:eastAsia="zh-CN"/>
              </w:rPr>
              <w:t>号</w:t>
            </w:r>
          </w:p>
        </w:tc>
        <w:tc>
          <w:tcPr>
            <w:tcW w:w="90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3BB9BF5">
            <w:pPr>
              <w:widowControl/>
              <w:wordWrap w:val="0"/>
              <w:spacing w:line="240" w:lineRule="atLeast"/>
              <w:jc w:val="center"/>
              <w:rPr>
                <w:rFonts w:ascii="宋体" w:hAnsi="宋体" w:cs="宋体"/>
                <w:b/>
                <w:bCs/>
                <w:color w:val="auto"/>
                <w:szCs w:val="21"/>
              </w:rPr>
            </w:pPr>
            <w:r>
              <w:rPr>
                <w:rFonts w:hint="eastAsia" w:ascii="宋体" w:hAnsi="宋体" w:cs="宋体"/>
                <w:b/>
                <w:bCs/>
                <w:color w:val="auto"/>
                <w:kern w:val="0"/>
                <w:szCs w:val="21"/>
              </w:rPr>
              <w:t>品目名称</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E72A4A6">
            <w:pPr>
              <w:widowControl/>
              <w:wordWrap w:val="0"/>
              <w:spacing w:line="240" w:lineRule="atLeast"/>
              <w:jc w:val="center"/>
              <w:rPr>
                <w:rFonts w:hint="eastAsia" w:ascii="宋体" w:hAnsi="宋体" w:eastAsia="宋体" w:cs="宋体"/>
                <w:b/>
                <w:bCs/>
                <w:color w:val="auto"/>
                <w:szCs w:val="21"/>
                <w:lang w:eastAsia="zh-CN"/>
              </w:rPr>
            </w:pPr>
            <w:r>
              <w:rPr>
                <w:rFonts w:hint="eastAsia" w:ascii="宋体" w:hAnsi="宋体" w:cs="宋体"/>
                <w:b/>
                <w:bCs/>
                <w:color w:val="auto"/>
                <w:kern w:val="0"/>
                <w:szCs w:val="21"/>
                <w:highlight w:val="none"/>
                <w:lang w:eastAsia="zh-CN"/>
              </w:rPr>
              <w:t>采购标的</w:t>
            </w:r>
          </w:p>
        </w:tc>
        <w:tc>
          <w:tcPr>
            <w:tcW w:w="59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DB02963">
            <w:pPr>
              <w:widowControl/>
              <w:wordWrap w:val="0"/>
              <w:spacing w:line="240" w:lineRule="atLeast"/>
              <w:jc w:val="center"/>
              <w:rPr>
                <w:rFonts w:ascii="宋体" w:hAnsi="宋体" w:cs="宋体"/>
                <w:b/>
                <w:bCs/>
                <w:color w:val="auto"/>
                <w:kern w:val="0"/>
                <w:szCs w:val="21"/>
              </w:rPr>
            </w:pPr>
            <w:r>
              <w:rPr>
                <w:rFonts w:hint="eastAsia" w:ascii="宋体" w:hAnsi="宋体" w:cs="宋体"/>
                <w:b/>
                <w:bCs/>
                <w:color w:val="auto"/>
                <w:kern w:val="0"/>
                <w:szCs w:val="21"/>
              </w:rPr>
              <w:t>数量</w:t>
            </w:r>
          </w:p>
          <w:p w14:paraId="6A7430F4">
            <w:pPr>
              <w:widowControl/>
              <w:wordWrap w:val="0"/>
              <w:spacing w:line="240" w:lineRule="atLeast"/>
              <w:jc w:val="center"/>
              <w:rPr>
                <w:rFonts w:ascii="宋体" w:hAnsi="宋体" w:cs="宋体"/>
                <w:b/>
                <w:bCs/>
                <w:color w:val="auto"/>
                <w:szCs w:val="21"/>
              </w:rPr>
            </w:pPr>
            <w:r>
              <w:rPr>
                <w:rFonts w:hint="eastAsia" w:ascii="宋体" w:hAnsi="宋体" w:cs="宋体"/>
                <w:b/>
                <w:bCs/>
                <w:color w:val="auto"/>
                <w:kern w:val="0"/>
                <w:szCs w:val="21"/>
              </w:rPr>
              <w:t>（单位）</w:t>
            </w:r>
          </w:p>
        </w:tc>
        <w:tc>
          <w:tcPr>
            <w:tcW w:w="132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339A046">
            <w:pPr>
              <w:widowControl/>
              <w:wordWrap w:val="0"/>
              <w:spacing w:line="240" w:lineRule="atLeas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技术规格、参数及要求</w:t>
            </w:r>
          </w:p>
        </w:tc>
        <w:tc>
          <w:tcPr>
            <w:tcW w:w="74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E3B3D7">
            <w:pPr>
              <w:widowControl/>
              <w:wordWrap w:val="0"/>
              <w:spacing w:line="240" w:lineRule="atLeast"/>
              <w:jc w:val="center"/>
              <w:rPr>
                <w:rFonts w:ascii="宋体" w:hAnsi="宋体" w:cs="宋体"/>
                <w:b/>
                <w:bCs/>
                <w:color w:val="auto"/>
                <w:szCs w:val="21"/>
              </w:rPr>
            </w:pPr>
            <w:r>
              <w:rPr>
                <w:rFonts w:hint="eastAsia" w:ascii="宋体" w:hAnsi="宋体" w:cs="宋体"/>
                <w:b/>
                <w:bCs/>
                <w:color w:val="auto"/>
                <w:kern w:val="0"/>
                <w:szCs w:val="21"/>
                <w:lang w:eastAsia="zh-CN"/>
              </w:rPr>
              <w:t>预算金额</w:t>
            </w:r>
            <w:r>
              <w:rPr>
                <w:rFonts w:hint="eastAsia" w:ascii="宋体" w:hAnsi="宋体" w:cs="宋体"/>
                <w:b/>
                <w:bCs/>
                <w:color w:val="auto"/>
                <w:kern w:val="0"/>
                <w:szCs w:val="21"/>
              </w:rPr>
              <w:t>（元）</w:t>
            </w:r>
          </w:p>
        </w:tc>
      </w:tr>
      <w:tr w14:paraId="218E8E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56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CD91AB5">
            <w:pPr>
              <w:widowControl/>
              <w:spacing w:line="240" w:lineRule="atLeast"/>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w:t>
            </w:r>
          </w:p>
        </w:tc>
        <w:tc>
          <w:tcPr>
            <w:tcW w:w="90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4061040">
            <w:pPr>
              <w:widowControl/>
              <w:spacing w:line="240" w:lineRule="atLeast"/>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排灌机械</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D93B62A">
            <w:pPr>
              <w:widowControl/>
              <w:spacing w:line="240" w:lineRule="atLeast"/>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购置绞盘式喷灌机</w:t>
            </w:r>
          </w:p>
        </w:tc>
        <w:tc>
          <w:tcPr>
            <w:tcW w:w="59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B9501C5">
            <w:pPr>
              <w:widowControl/>
              <w:spacing w:line="240" w:lineRule="atLeast"/>
              <w:jc w:val="cente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r>
              <w:rPr>
                <w:rFonts w:hint="eastAsia" w:asciiTheme="minorEastAsia" w:hAnsiTheme="minorEastAsia" w:eastAsiaTheme="minorEastAsia" w:cstheme="minorEastAsia"/>
                <w:color w:val="auto"/>
                <w:sz w:val="22"/>
                <w:szCs w:val="22"/>
                <w:lang w:eastAsia="zh-CN"/>
              </w:rPr>
              <w:t>批</w:t>
            </w:r>
            <w:r>
              <w:rPr>
                <w:rFonts w:hint="eastAsia" w:asciiTheme="minorEastAsia" w:hAnsiTheme="minorEastAsia" w:eastAsiaTheme="minorEastAsia" w:cstheme="minorEastAsia"/>
                <w:color w:val="auto"/>
                <w:sz w:val="22"/>
                <w:szCs w:val="22"/>
              </w:rPr>
              <w:t>）</w:t>
            </w:r>
          </w:p>
        </w:tc>
        <w:tc>
          <w:tcPr>
            <w:tcW w:w="132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3EA11A3">
            <w:pPr>
              <w:widowControl/>
              <w:spacing w:line="240" w:lineRule="atLeast"/>
              <w:jc w:val="center"/>
              <w:rPr>
                <w:rFonts w:hint="eastAsia" w:ascii="宋体" w:hAnsi="宋体" w:cs="宋体" w:eastAsiaTheme="minorEastAsia"/>
                <w:color w:val="auto"/>
                <w:kern w:val="0"/>
                <w:sz w:val="22"/>
                <w:szCs w:val="22"/>
                <w:shd w:val="clear" w:color="auto" w:fill="FFFFFF"/>
                <w:lang w:val="en-US" w:eastAsia="zh-CN"/>
              </w:rPr>
            </w:pPr>
            <w:r>
              <w:rPr>
                <w:rFonts w:hint="eastAsia" w:ascii="宋体" w:hAnsi="宋体" w:cs="宋体" w:eastAsiaTheme="minorEastAsia"/>
                <w:color w:val="auto"/>
                <w:kern w:val="0"/>
                <w:sz w:val="22"/>
                <w:szCs w:val="22"/>
                <w:shd w:val="clear" w:color="auto" w:fill="FFFFFF"/>
                <w:lang w:val="en-US" w:eastAsia="zh-CN"/>
              </w:rPr>
              <w:t>详见采购文件</w:t>
            </w:r>
          </w:p>
        </w:tc>
        <w:tc>
          <w:tcPr>
            <w:tcW w:w="74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2E05D01">
            <w:pPr>
              <w:widowControl/>
              <w:spacing w:line="240" w:lineRule="atLeast"/>
              <w:jc w:val="center"/>
              <w:rPr>
                <w:rFonts w:hint="default" w:asciiTheme="minorEastAsia" w:hAnsiTheme="minorEastAsia" w:eastAsiaTheme="minorEastAsia" w:cstheme="minorEastAsia"/>
                <w:color w:val="auto"/>
                <w:sz w:val="22"/>
                <w:szCs w:val="22"/>
                <w:lang w:val="en-US" w:eastAsia="zh-CN"/>
              </w:rPr>
            </w:pPr>
            <w:r>
              <w:rPr>
                <w:rFonts w:hint="eastAsia" w:ascii="宋体" w:hAnsi="宋体" w:cs="宋体" w:eastAsiaTheme="minorEastAsia"/>
                <w:color w:val="auto"/>
                <w:kern w:val="0"/>
                <w:sz w:val="22"/>
                <w:szCs w:val="22"/>
                <w:shd w:val="clear" w:color="auto" w:fill="FFFFFF"/>
                <w:lang w:val="en-US" w:eastAsia="zh-CN"/>
              </w:rPr>
              <w:t>676000.00</w:t>
            </w:r>
          </w:p>
        </w:tc>
      </w:tr>
    </w:tbl>
    <w:p w14:paraId="2780C284">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本合同包</w:t>
      </w:r>
      <w:r>
        <w:rPr>
          <w:rFonts w:hint="eastAsia" w:asciiTheme="minorEastAsia" w:hAnsiTheme="minorEastAsia" w:eastAsiaTheme="minorEastAsia" w:cstheme="minorEastAsia"/>
          <w:color w:val="auto"/>
          <w:sz w:val="24"/>
          <w:szCs w:val="24"/>
        </w:rPr>
        <w:t>不接受联合体投标</w:t>
      </w:r>
    </w:p>
    <w:p w14:paraId="18A779B4">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合同履行期限：</w:t>
      </w:r>
      <w:r>
        <w:rPr>
          <w:rFonts w:hint="eastAsia" w:asciiTheme="minorEastAsia" w:hAnsiTheme="minorEastAsia" w:eastAsiaTheme="minorEastAsia" w:cstheme="minorEastAsia"/>
          <w:color w:val="auto"/>
          <w:sz w:val="24"/>
          <w:szCs w:val="24"/>
          <w:lang w:val="en-US" w:eastAsia="zh-CN"/>
        </w:rPr>
        <w:t>详见采购文件</w:t>
      </w:r>
    </w:p>
    <w:p w14:paraId="33185E81">
      <w:pPr>
        <w:widowControl/>
        <w:spacing w:line="500" w:lineRule="exact"/>
        <w:ind w:firstLine="50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二、申请人的资格要求  </w:t>
      </w:r>
    </w:p>
    <w:p w14:paraId="0DC5705D">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27117779">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w:t>
      </w:r>
    </w:p>
    <w:p w14:paraId="4E4A0ABB">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合同包1(</w:t>
      </w:r>
      <w:r>
        <w:rPr>
          <w:rFonts w:hint="eastAsia" w:asciiTheme="minorEastAsia" w:hAnsiTheme="minorEastAsia" w:eastAsiaTheme="minorEastAsia" w:cstheme="minorEastAsia"/>
          <w:color w:val="auto"/>
          <w:kern w:val="0"/>
          <w:sz w:val="24"/>
          <w:szCs w:val="24"/>
          <w:lang w:eastAsia="zh-CN"/>
        </w:rPr>
        <w:t>2025年城关镇村集体经济组织规模化高梁等农作物种植产能提升项目</w:t>
      </w:r>
      <w:r>
        <w:rPr>
          <w:rFonts w:hint="eastAsia" w:asciiTheme="minorEastAsia" w:hAnsiTheme="minorEastAsia" w:eastAsiaTheme="minorEastAsia" w:cstheme="minorEastAsia"/>
          <w:color w:val="auto"/>
          <w:kern w:val="0"/>
          <w:sz w:val="24"/>
          <w:szCs w:val="24"/>
        </w:rPr>
        <w:t>)落实政府采购政策需满足的资格要求如下：</w:t>
      </w:r>
    </w:p>
    <w:p w14:paraId="324F1BA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w:t>
      </w:r>
    </w:p>
    <w:p w14:paraId="57A8E44E">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14:paraId="0FA7405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45BD150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（4）陕西省财政厅关于印发《陕西省中小企业政府采购信用融资办法》（陕财办采〔2018〕23 号）、《陕西省财政厅关于加快推进我省中小企业政府采购信用融资工作的通知》（陕财办采〔2020〕15 号）、《陕西省财政厅关于落实政府采购支持中小企业政策有关事项的通知》（陕财办采〔2022〕10号）；</w:t>
      </w:r>
    </w:p>
    <w:p w14:paraId="6D0812CA">
      <w:pPr>
        <w:widowControl/>
        <w:spacing w:line="500" w:lineRule="exact"/>
        <w:ind w:firstLine="50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 《关于政府采购优先购买福利性企业产品和服务的意见》（陕民发〔2015〕1号）。</w:t>
      </w:r>
    </w:p>
    <w:p w14:paraId="0DEF1D61">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3、本项目的特定资格要求：</w:t>
      </w:r>
    </w:p>
    <w:p w14:paraId="6388E492">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合同包1(</w:t>
      </w:r>
      <w:r>
        <w:rPr>
          <w:rFonts w:hint="eastAsia" w:asciiTheme="minorEastAsia" w:hAnsiTheme="minorEastAsia" w:eastAsiaTheme="minorEastAsia" w:cstheme="minorEastAsia"/>
          <w:color w:val="auto"/>
          <w:kern w:val="0"/>
          <w:sz w:val="24"/>
          <w:szCs w:val="24"/>
          <w:lang w:eastAsia="zh-CN"/>
        </w:rPr>
        <w:t>2025年城关镇村集体经济组织规模化高梁等农作物种植产能提升项目</w:t>
      </w:r>
      <w:r>
        <w:rPr>
          <w:rFonts w:hint="eastAsia" w:asciiTheme="minorEastAsia" w:hAnsiTheme="minorEastAsia" w:eastAsiaTheme="minorEastAsia" w:cstheme="minorEastAsia"/>
          <w:color w:val="auto"/>
          <w:kern w:val="0"/>
          <w:sz w:val="24"/>
          <w:szCs w:val="24"/>
        </w:rPr>
        <w:t>)特定资格要求如下：</w:t>
      </w:r>
    </w:p>
    <w:p w14:paraId="6CF1C537">
      <w:pPr>
        <w:widowControl/>
        <w:numPr>
          <w:ilvl w:val="0"/>
          <w:numId w:val="1"/>
        </w:numPr>
        <w:spacing w:line="500" w:lineRule="exact"/>
        <w:ind w:firstLine="50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供应商须为合法注册的法人、其他组织或者自然人，并具有独立承担民事责任的能力；提供统一社会信用代码的营业执照（或事业法人证、自然人身份证）等证</w:t>
      </w:r>
      <w:r>
        <w:rPr>
          <w:rFonts w:hint="eastAsia" w:asciiTheme="minorEastAsia" w:hAnsiTheme="minorEastAsia" w:eastAsiaTheme="minorEastAsia" w:cstheme="minorEastAsia"/>
          <w:color w:val="auto"/>
          <w:kern w:val="0"/>
          <w:sz w:val="24"/>
          <w:szCs w:val="24"/>
          <w:lang w:eastAsia="zh-CN"/>
        </w:rPr>
        <w:t>明文件；</w:t>
      </w:r>
    </w:p>
    <w:p w14:paraId="495C043E">
      <w:pPr>
        <w:widowControl/>
        <w:numPr>
          <w:ilvl w:val="0"/>
          <w:numId w:val="1"/>
        </w:numPr>
        <w:spacing w:line="500" w:lineRule="exact"/>
        <w:ind w:firstLine="50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法定代表人直接参加磋商的，须提供法定代表人身份证明书（附法定代表人身份证复印件并加盖公章）；委托代理人参加磋商的，须提供法人授权委托书（附法定代表人</w:t>
      </w:r>
      <w:r>
        <w:rPr>
          <w:rFonts w:hint="eastAsia" w:asciiTheme="minorEastAsia" w:hAnsiTheme="minorEastAsia" w:eastAsiaTheme="minorEastAsia" w:cstheme="minorEastAsia"/>
          <w:color w:val="auto"/>
          <w:kern w:val="0"/>
          <w:sz w:val="24"/>
          <w:szCs w:val="24"/>
        </w:rPr>
        <w:t>及委托代理人身份证复印件并加盖公章）；</w:t>
      </w:r>
    </w:p>
    <w:p w14:paraId="230F3C0A">
      <w:pPr>
        <w:keepNext w:val="0"/>
        <w:keepLines w:val="0"/>
        <w:pageBreakBefore w:val="0"/>
        <w:widowControl w:val="0"/>
        <w:kinsoku w:val="0"/>
        <w:wordWrap/>
        <w:overflowPunct w:val="0"/>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）供应商财务状况报告：提供2024年度经审计的财务报告（至少包括资产负债表和利润表，成立时间至提交响应文件截止时间不足一年的可提供成立后任意时段的资产负债表）</w:t>
      </w:r>
      <w:r>
        <w:rPr>
          <w:rFonts w:hint="eastAsia" w:asciiTheme="minorEastAsia" w:hAnsiTheme="minorEastAsia" w:eastAsiaTheme="minorEastAsia" w:cstheme="minorEastAsia"/>
          <w:color w:val="auto"/>
          <w:kern w:val="0"/>
          <w:sz w:val="24"/>
          <w:szCs w:val="24"/>
          <w:lang w:eastAsia="zh-CN"/>
        </w:rPr>
        <w:t>（报告须真实有效并符合《关于加强审计报告查验工作的通知》（财会[2023]15号）文件的要求，报告须赋二维码）</w:t>
      </w:r>
      <w:r>
        <w:rPr>
          <w:rFonts w:hint="eastAsia" w:asciiTheme="minorEastAsia" w:hAnsiTheme="minorEastAsia" w:eastAsiaTheme="minorEastAsia" w:cstheme="minorEastAsia"/>
          <w:color w:val="auto"/>
          <w:kern w:val="0"/>
          <w:sz w:val="24"/>
          <w:szCs w:val="24"/>
        </w:rPr>
        <w:t xml:space="preserve">，或其开标前三个月内基本存款账户开户银行出具的资信证明及基本存款账户开户许可证或基本存款账户信息，（以上两种形式的资料提供任何一种即可）；  </w:t>
      </w:r>
    </w:p>
    <w:p w14:paraId="79FEB550">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）供应商税收缴纳证明：提供磋商截止时间前六个月内，</w:t>
      </w:r>
      <w:r>
        <w:rPr>
          <w:rFonts w:hint="eastAsia" w:asciiTheme="minorEastAsia" w:hAnsiTheme="minorEastAsia" w:eastAsiaTheme="minorEastAsia" w:cstheme="minorEastAsia"/>
          <w:color w:val="auto"/>
          <w:kern w:val="0"/>
          <w:sz w:val="24"/>
          <w:szCs w:val="24"/>
          <w:lang w:eastAsia="zh-CN"/>
        </w:rPr>
        <w:t>任意一个月已</w:t>
      </w:r>
      <w:r>
        <w:rPr>
          <w:rFonts w:hint="eastAsia" w:asciiTheme="minorEastAsia" w:hAnsiTheme="minorEastAsia" w:eastAsiaTheme="minorEastAsia" w:cstheme="minorEastAsia"/>
          <w:color w:val="auto"/>
          <w:kern w:val="0"/>
          <w:sz w:val="24"/>
          <w:szCs w:val="24"/>
        </w:rPr>
        <w:t xml:space="preserve">缴纳的纳税证明或完税证明，依法免税的供应商应提供相关证明材料； </w:t>
      </w:r>
    </w:p>
    <w:p w14:paraId="67FB35C1">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）供应商社会保障资金缴纳证明：提供磋商截止时间前六个月内，</w:t>
      </w:r>
      <w:r>
        <w:rPr>
          <w:rFonts w:hint="eastAsia" w:asciiTheme="minorEastAsia" w:hAnsiTheme="minorEastAsia" w:eastAsiaTheme="minorEastAsia" w:cstheme="minorEastAsia"/>
          <w:color w:val="auto"/>
          <w:kern w:val="0"/>
          <w:sz w:val="24"/>
          <w:szCs w:val="24"/>
          <w:lang w:eastAsia="zh-CN"/>
        </w:rPr>
        <w:t>任意一个月已</w:t>
      </w:r>
      <w:r>
        <w:rPr>
          <w:rFonts w:hint="eastAsia" w:asciiTheme="minorEastAsia" w:hAnsiTheme="minorEastAsia" w:eastAsiaTheme="minorEastAsia" w:cstheme="minorEastAsia"/>
          <w:color w:val="auto"/>
          <w:kern w:val="0"/>
          <w:sz w:val="24"/>
          <w:szCs w:val="24"/>
        </w:rPr>
        <w:t>缴存的社会保障资金缴存单据或社保机构开具的社会保险参保缴费情况证明；依法不需要缴纳社会保障资金的供应商应提供相关文件证明；</w:t>
      </w:r>
    </w:p>
    <w:p w14:paraId="5C0DF0B0">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 xml:space="preserve">）参加政府采购活动前三年内，在经营活动中没有重大违法记录的书面声明； </w:t>
      </w:r>
    </w:p>
    <w:p w14:paraId="68971A73">
      <w:pPr>
        <w:pStyle w:val="6"/>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textAlignment w:val="auto"/>
        <w:outlineLvl w:val="9"/>
        <w:rPr>
          <w:rFonts w:eastAsiaTheme="minorEastAsia"/>
          <w:color w:val="auto"/>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）具有履行合同所必须的设备和专业技术能力的说明及承诺；</w:t>
      </w:r>
    </w:p>
    <w:p w14:paraId="44E9A59B">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）供应商须在磋商时限内</w:t>
      </w:r>
      <w:r>
        <w:rPr>
          <w:rFonts w:hint="eastAsia" w:asciiTheme="minorEastAsia" w:hAnsiTheme="minorEastAsia" w:eastAsiaTheme="minorEastAsia" w:cstheme="minorEastAsia"/>
          <w:color w:val="auto"/>
          <w:kern w:val="0"/>
          <w:sz w:val="24"/>
          <w:szCs w:val="24"/>
          <w:lang w:eastAsia="zh-CN"/>
        </w:rPr>
        <w:t>在</w:t>
      </w:r>
      <w:r>
        <w:rPr>
          <w:rFonts w:hint="eastAsia" w:asciiTheme="minorEastAsia" w:hAnsiTheme="minorEastAsia" w:eastAsiaTheme="minorEastAsia" w:cstheme="minorEastAsia"/>
          <w:color w:val="auto"/>
          <w:kern w:val="0"/>
          <w:sz w:val="24"/>
          <w:szCs w:val="24"/>
        </w:rPr>
        <w:t>“信用中国”网站（www.creditchina.gov.cn）未被列入失信被执行人和</w:t>
      </w:r>
      <w:r>
        <w:rPr>
          <w:rFonts w:hint="eastAsia" w:asciiTheme="minorEastAsia" w:hAnsiTheme="minorEastAsia" w:eastAsiaTheme="minorEastAsia" w:cstheme="minorEastAsia"/>
          <w:color w:val="auto"/>
          <w:kern w:val="0"/>
          <w:sz w:val="24"/>
          <w:szCs w:val="24"/>
          <w:lang w:eastAsia="zh-CN"/>
        </w:rPr>
        <w:t>重大税收违法失信主体</w:t>
      </w:r>
      <w:r>
        <w:rPr>
          <w:rFonts w:hint="eastAsia" w:asciiTheme="minorEastAsia" w:hAnsiTheme="minorEastAsia" w:eastAsiaTheme="minorEastAsia" w:cstheme="minorEastAsia"/>
          <w:color w:val="auto"/>
          <w:kern w:val="0"/>
          <w:sz w:val="24"/>
          <w:szCs w:val="24"/>
        </w:rPr>
        <w:t>中、未在“中国政府采购网”（www.ccgp.gov.cn）政府采购严重违法失信行为记录名单中被财政部门禁止参加政府采购活动的供应商；</w:t>
      </w:r>
    </w:p>
    <w:p w14:paraId="4D75AC6D">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单位负责人为同一人或者存在控股、管理关系的不同单位，不得参加同一合同项下的政府采购活动</w:t>
      </w:r>
      <w:r>
        <w:rPr>
          <w:rFonts w:hint="eastAsia" w:asciiTheme="minorEastAsia" w:hAnsiTheme="minorEastAsia" w:eastAsiaTheme="minorEastAsia" w:cstheme="minorEastAsia"/>
          <w:color w:val="auto"/>
          <w:kern w:val="0"/>
          <w:sz w:val="24"/>
          <w:szCs w:val="24"/>
          <w:lang w:eastAsia="zh-CN"/>
        </w:rPr>
        <w:t>；（提供承诺书及国家企业信用信息公示系统网页查询截图（体现股东及出资详细信息）并加盖公章）；</w:t>
      </w:r>
    </w:p>
    <w:p w14:paraId="21878A15">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本项目专门面向中小企业采购，供应商须提供中小企业声明函（如有虚假，将依法承担相应责任）；</w:t>
      </w:r>
    </w:p>
    <w:p w14:paraId="0528F796">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（11</w:t>
      </w:r>
      <w:r>
        <w:rPr>
          <w:rFonts w:hint="eastAsia" w:asciiTheme="minorEastAsia" w:hAnsiTheme="minorEastAsia" w:eastAsiaTheme="minorEastAsia" w:cstheme="minorEastAsia"/>
          <w:color w:val="auto"/>
          <w:kern w:val="0"/>
          <w:sz w:val="24"/>
          <w:szCs w:val="24"/>
          <w:lang w:eastAsia="zh-CN"/>
        </w:rPr>
        <w:t>）本项目不接受联合体投标。</w:t>
      </w:r>
    </w:p>
    <w:p w14:paraId="4D35F486">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sz w:val="24"/>
          <w:szCs w:val="24"/>
        </w:rPr>
        <w:t xml:space="preserve">三、获取采购文件 </w:t>
      </w:r>
    </w:p>
    <w:p w14:paraId="3B585114">
      <w:pPr>
        <w:widowControl/>
        <w:spacing w:line="500" w:lineRule="exact"/>
        <w:ind w:firstLine="50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日至202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日，每天上午00:00:00 至 12:00:00 ，下午 12:00:00 至 23:59:59 （北京时间,法定节假日除外）</w:t>
      </w:r>
    </w:p>
    <w:p w14:paraId="39103D59">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途径：全国公共资源交易平台（陕西省·宝鸡市）</w:t>
      </w:r>
    </w:p>
    <w:p w14:paraId="68AA471F">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方式：在线获取</w:t>
      </w:r>
    </w:p>
    <w:p w14:paraId="255BCF3B">
      <w:pPr>
        <w:widowControl/>
        <w:spacing w:line="500" w:lineRule="exact"/>
        <w:ind w:firstLine="50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售价：0元</w:t>
      </w:r>
    </w:p>
    <w:p w14:paraId="07A9E51F">
      <w:pPr>
        <w:widowControl/>
        <w:spacing w:line="500" w:lineRule="exact"/>
        <w:ind w:firstLine="50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四、响应文件提交 </w:t>
      </w:r>
    </w:p>
    <w:p w14:paraId="5703D900">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截止时间：202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lang w:eastAsia="zh-CN"/>
        </w:rPr>
        <w:t>日</w:t>
      </w: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时00分00秒（北京时间）</w:t>
      </w:r>
    </w:p>
    <w:p w14:paraId="181E552B">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地点：全国公共资源交易平台（陕西省·宝鸡市）线上提交</w:t>
      </w:r>
    </w:p>
    <w:p w14:paraId="48BE79B3">
      <w:pPr>
        <w:widowControl/>
        <w:spacing w:line="500" w:lineRule="exact"/>
        <w:ind w:firstLine="50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五、开启</w:t>
      </w:r>
    </w:p>
    <w:p w14:paraId="7DD07300">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lang w:eastAsia="zh-CN"/>
        </w:rPr>
        <w:t>日</w:t>
      </w: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时00分00秒（北京时间）</w:t>
      </w:r>
    </w:p>
    <w:p w14:paraId="3B79A0A9">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地点：全国公共资源交易平台（陕西省·宝鸡市）→不见面开标系统（新）</w:t>
      </w:r>
    </w:p>
    <w:p w14:paraId="41B6EABF">
      <w:pPr>
        <w:widowControl/>
        <w:numPr>
          <w:ilvl w:val="0"/>
          <w:numId w:val="2"/>
        </w:numPr>
        <w:spacing w:line="500" w:lineRule="exact"/>
        <w:ind w:firstLine="50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公告期限</w:t>
      </w:r>
    </w:p>
    <w:p w14:paraId="6E366D5E">
      <w:pPr>
        <w:pStyle w:val="6"/>
        <w:spacing w:line="500" w:lineRule="exact"/>
        <w:ind w:firstLine="5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自本公告发布之日起3个工作日。</w:t>
      </w:r>
    </w:p>
    <w:p w14:paraId="1867490D">
      <w:pPr>
        <w:widowControl/>
        <w:numPr>
          <w:ilvl w:val="0"/>
          <w:numId w:val="2"/>
        </w:numPr>
        <w:spacing w:line="500" w:lineRule="exact"/>
        <w:ind w:firstLine="50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其他补充事宜</w:t>
      </w:r>
    </w:p>
    <w:p w14:paraId="5B261474">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1、本项目有意向的供应商须登录全国公共资源交易平台（陕西省宝鸡市）宝鸡市公共资源交易中心（</w:t>
      </w:r>
      <w:r>
        <w:rPr>
          <w:rFonts w:hint="eastAsia" w:ascii="宋体" w:hAnsi="宋体" w:eastAsia="宋体" w:cs="宋体"/>
          <w:color w:val="auto"/>
          <w:kern w:val="0"/>
          <w:sz w:val="24"/>
          <w:szCs w:val="24"/>
        </w:rPr>
        <w:t>http://ggzy.baoji.gov.cn/</w:t>
      </w:r>
      <w:r>
        <w:rPr>
          <w:rFonts w:hint="eastAsia" w:asciiTheme="minorEastAsia" w:hAnsiTheme="minorEastAsia" w:eastAsiaTheme="minorEastAsia" w:cstheme="minorEastAsia"/>
          <w:color w:val="auto"/>
          <w:kern w:val="0"/>
          <w:sz w:val="24"/>
          <w:szCs w:val="24"/>
        </w:rPr>
        <w:t>），交易平台〖首页〉电子交易平台〉企业端〗后，在〖招标公告/出让公告〗模块中选择有意向的项目点击“我要投标”，并打印回执单，报名成功后可从〖我的项目〉项目流程〉交易文件下载〗中下载电子文件（*.SXSZF 格式），如未及时下载电子文件（*.SXSZF格式），所引起的不良后果，由供应商自行承担；</w:t>
      </w:r>
    </w:p>
    <w:p w14:paraId="18CF06D8">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2、供应商在网上填写单位信息（单位名称、营业执照相关信息）时应与采购文件要求及后期上传的电子磋商响应文件中相关信息一致，否则造成资格审查不通过的后果自负；</w:t>
      </w:r>
    </w:p>
    <w:p w14:paraId="2EA9B3CB">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3、本项目为“全流程电子化”采购模式，实行线上电子投标方式，各供应商须自行在网上下载采购文件、缴纳投标保证金，并登录全国公共资源交易平台（陕西省宝鸡市）宝鸡市公共资源交易中心（</w:t>
      </w:r>
      <w:r>
        <w:rPr>
          <w:rFonts w:hint="eastAsia" w:ascii="宋体" w:hAnsi="宋体" w:eastAsia="宋体" w:cs="宋体"/>
          <w:color w:val="auto"/>
          <w:kern w:val="0"/>
          <w:sz w:val="24"/>
          <w:szCs w:val="24"/>
        </w:rPr>
        <w:t>http://ggzy.baoji.gov.cn/</w:t>
      </w:r>
      <w:r>
        <w:rPr>
          <w:rFonts w:hint="eastAsia" w:asciiTheme="minorEastAsia" w:hAnsiTheme="minorEastAsia" w:eastAsiaTheme="minorEastAsia" w:cstheme="minorEastAsia"/>
          <w:color w:val="auto"/>
          <w:kern w:val="0"/>
          <w:sz w:val="24"/>
          <w:szCs w:val="24"/>
        </w:rPr>
        <w:t>）-服务指南-下载专区-下载“政府采购电子化交易-投标单位培训实操演示及操作手册”，并下载政府采购电子标书制作工具，按照流程制作电子标书并在规定的磋商截止时前上传电子磋商响应文件；</w:t>
      </w:r>
    </w:p>
    <w:p w14:paraId="03BAF162">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4、未完成网上投标或未在规定时间内在平台上下载电子采购文件的，导致无法完成后续流程的责任自负；</w:t>
      </w:r>
    </w:p>
    <w:p w14:paraId="156D06FC">
      <w:pPr>
        <w:widowControl/>
        <w:spacing w:line="500" w:lineRule="exact"/>
        <w:ind w:firstLine="50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5、为了保证远程不见面开标顺利进行，供应商需使用配备相关设备的电脑提前一小时登录网络开标大厅。因供应商自身设施故障或自身原因导致无法完成投标的，由供应商自行承担后果；</w:t>
      </w:r>
    </w:p>
    <w:p w14:paraId="5BD8A36E">
      <w:pPr>
        <w:widowControl/>
        <w:spacing w:line="500" w:lineRule="exact"/>
        <w:ind w:firstLine="500" w:firstLineChars="200"/>
        <w:jc w:val="left"/>
        <w:rPr>
          <w:rFonts w:ascii="宋体" w:hAnsi="宋体" w:cs="宋体"/>
          <w:color w:val="auto"/>
          <w:sz w:val="24"/>
          <w:szCs w:val="24"/>
          <w:shd w:val="clear" w:color="auto" w:fill="FFFFFF"/>
        </w:rPr>
      </w:pPr>
      <w:r>
        <w:rPr>
          <w:rFonts w:hint="eastAsia" w:asciiTheme="minorEastAsia" w:hAnsiTheme="minorEastAsia" w:eastAsiaTheme="minorEastAsia" w:cstheme="minorEastAsia"/>
          <w:color w:val="auto"/>
          <w:kern w:val="0"/>
          <w:sz w:val="24"/>
          <w:szCs w:val="24"/>
        </w:rPr>
        <w:t>6、供应商请登陆陕西省政府采购网（http://www.ccgp-shaanxi.gov.cn/）按照“供应商注册注意事项”要求，完成注册审核。</w:t>
      </w:r>
    </w:p>
    <w:p w14:paraId="3B9E9F57">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八、凡对本次采购提出询问，请按以下方式联系。</w:t>
      </w:r>
    </w:p>
    <w:p w14:paraId="08F8C895">
      <w:pPr>
        <w:widowControl/>
        <w:spacing w:line="500" w:lineRule="exact"/>
        <w:ind w:firstLine="50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1、采购人信息：</w:t>
      </w:r>
      <w:r>
        <w:rPr>
          <w:rFonts w:hint="eastAsia" w:asciiTheme="minorEastAsia" w:hAnsiTheme="minorEastAsia" w:eastAsiaTheme="minorEastAsia" w:cstheme="minorEastAsia"/>
          <w:color w:val="auto"/>
          <w:sz w:val="24"/>
          <w:szCs w:val="24"/>
          <w:lang w:eastAsia="zh-CN"/>
        </w:rPr>
        <w:t>宝鸡市凤翔区城关镇人民政府</w:t>
      </w:r>
    </w:p>
    <w:p w14:paraId="4597629D">
      <w:pPr>
        <w:widowControl/>
        <w:spacing w:line="500" w:lineRule="exact"/>
        <w:ind w:firstLine="50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lang w:eastAsia="zh-CN"/>
        </w:rPr>
        <w:t>宝鸡市凤翔区城关镇秦凤路4号</w:t>
      </w:r>
    </w:p>
    <w:p w14:paraId="4404AC54">
      <w:pPr>
        <w:widowControl/>
        <w:spacing w:line="500" w:lineRule="exact"/>
        <w:ind w:firstLine="50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电话：0917-7212129</w:t>
      </w:r>
    </w:p>
    <w:p w14:paraId="78EA2484">
      <w:pPr>
        <w:widowControl/>
        <w:spacing w:line="500" w:lineRule="exact"/>
        <w:ind w:firstLine="500" w:firstLineChars="200"/>
        <w:jc w:val="left"/>
        <w:rPr>
          <w:rFonts w:hint="eastAsia" w:asciiTheme="minorEastAsia" w:hAnsiTheme="minorEastAsia" w:eastAsiaTheme="minorEastAsia" w:cstheme="minorEastAsia"/>
          <w:color w:val="auto"/>
          <w:sz w:val="24"/>
          <w:szCs w:val="24"/>
        </w:rPr>
      </w:pPr>
    </w:p>
    <w:p w14:paraId="2A591C5A">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2.采购代理机构信息</w:t>
      </w:r>
    </w:p>
    <w:p w14:paraId="35456BCF">
      <w:pPr>
        <w:widowControl/>
        <w:spacing w:line="500" w:lineRule="exact"/>
        <w:ind w:firstLine="50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名称：陕西华信项目管理有限公司</w:t>
      </w:r>
    </w:p>
    <w:p w14:paraId="62D01360">
      <w:pPr>
        <w:widowControl/>
        <w:spacing w:line="500" w:lineRule="exact"/>
        <w:ind w:firstLine="500" w:firstLineChars="200"/>
        <w:jc w:val="left"/>
        <w:rPr>
          <w:rFonts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pacing w:val="0"/>
          <w:sz w:val="24"/>
          <w:szCs w:val="24"/>
        </w:rPr>
        <w:t>：宝鸡市渭滨区创业路6号</w:t>
      </w:r>
    </w:p>
    <w:p w14:paraId="09162F60">
      <w:pPr>
        <w:widowControl/>
        <w:spacing w:line="500" w:lineRule="exact"/>
        <w:ind w:firstLine="500" w:firstLineChars="200"/>
        <w:jc w:val="left"/>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pacing w:val="0"/>
          <w:sz w:val="24"/>
          <w:szCs w:val="24"/>
        </w:rPr>
        <w:t>联系方式：0917-3606086</w:t>
      </w:r>
    </w:p>
    <w:p w14:paraId="04D159E3">
      <w:pPr>
        <w:widowControl/>
        <w:spacing w:line="500" w:lineRule="exact"/>
        <w:ind w:firstLine="500" w:firstLineChars="200"/>
        <w:jc w:val="left"/>
        <w:rPr>
          <w:rFonts w:hint="eastAsia" w:asciiTheme="minorEastAsia" w:hAnsiTheme="minorEastAsia" w:eastAsiaTheme="minorEastAsia" w:cstheme="minorEastAsia"/>
          <w:color w:val="auto"/>
          <w:spacing w:val="0"/>
          <w:sz w:val="24"/>
          <w:szCs w:val="24"/>
        </w:rPr>
      </w:pPr>
    </w:p>
    <w:p w14:paraId="5FDC0724">
      <w:pPr>
        <w:widowControl/>
        <w:spacing w:line="500" w:lineRule="exact"/>
        <w:ind w:firstLine="500" w:firstLineChars="200"/>
        <w:jc w:val="left"/>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pacing w:val="0"/>
          <w:sz w:val="24"/>
          <w:szCs w:val="24"/>
        </w:rPr>
        <w:t>3.项目联系方式</w:t>
      </w:r>
    </w:p>
    <w:p w14:paraId="5D7E3B61">
      <w:pPr>
        <w:widowControl/>
        <w:spacing w:line="500" w:lineRule="exact"/>
        <w:ind w:firstLine="500" w:firstLineChars="200"/>
        <w:jc w:val="left"/>
        <w:rPr>
          <w:rFonts w:hint="eastAsia" w:asciiTheme="minorEastAsia" w:hAnsiTheme="minorEastAsia" w:eastAsiaTheme="minorEastAsia" w:cstheme="minorEastAsia"/>
          <w:color w:val="auto"/>
          <w:spacing w:val="0"/>
          <w:sz w:val="24"/>
          <w:szCs w:val="24"/>
          <w:lang w:eastAsia="zh-CN"/>
        </w:rPr>
      </w:pPr>
      <w:r>
        <w:rPr>
          <w:rFonts w:hint="eastAsia" w:asciiTheme="minorEastAsia" w:hAnsiTheme="minorEastAsia" w:eastAsiaTheme="minorEastAsia" w:cstheme="minorEastAsia"/>
          <w:color w:val="auto"/>
          <w:spacing w:val="0"/>
          <w:sz w:val="24"/>
          <w:szCs w:val="24"/>
        </w:rPr>
        <w:t>项目联系人：</w:t>
      </w:r>
      <w:r>
        <w:rPr>
          <w:rFonts w:hint="eastAsia" w:asciiTheme="minorEastAsia" w:hAnsiTheme="minorEastAsia" w:eastAsiaTheme="minorEastAsia" w:cstheme="minorEastAsia"/>
          <w:color w:val="auto"/>
          <w:spacing w:val="0"/>
          <w:sz w:val="24"/>
          <w:szCs w:val="24"/>
          <w:lang w:eastAsia="zh-CN"/>
        </w:rPr>
        <w:t>范红霞</w:t>
      </w:r>
    </w:p>
    <w:p w14:paraId="02EF738B">
      <w:pPr>
        <w:widowControl/>
        <w:spacing w:line="500" w:lineRule="exact"/>
        <w:ind w:firstLine="500" w:firstLineChars="200"/>
        <w:jc w:val="left"/>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pacing w:val="0"/>
          <w:sz w:val="24"/>
          <w:szCs w:val="24"/>
        </w:rPr>
        <w:t>电话：0917-3606086</w:t>
      </w:r>
    </w:p>
    <w:p w14:paraId="1A299699">
      <w:pPr>
        <w:pStyle w:val="48"/>
        <w:ind w:firstLine="4180" w:firstLineChars="1900"/>
        <w:rPr>
          <w:rFonts w:hint="eastAsia"/>
          <w:color w:val="auto"/>
        </w:rPr>
      </w:pPr>
    </w:p>
    <w:p w14:paraId="15258D19">
      <w:pPr>
        <w:pStyle w:val="48"/>
        <w:ind w:firstLine="4180" w:firstLineChars="1900"/>
        <w:rPr>
          <w:rFonts w:hint="eastAsia"/>
          <w:color w:val="auto"/>
        </w:rPr>
      </w:pPr>
    </w:p>
    <w:p w14:paraId="7174089C">
      <w:pPr>
        <w:pStyle w:val="48"/>
        <w:spacing w:line="240" w:lineRule="auto"/>
        <w:jc w:val="righ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陕西华信项目管理有限公司</w:t>
      </w:r>
    </w:p>
    <w:p w14:paraId="11585575">
      <w:pPr>
        <w:widowControl/>
        <w:spacing w:line="240" w:lineRule="auto"/>
        <w:ind w:firstLine="50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2025年10月14日</w:t>
      </w:r>
    </w:p>
    <w:p w14:paraId="45EAB627"/>
    <w:p w14:paraId="3624FD1C"/>
    <w:p w14:paraId="00C14893">
      <w:pPr>
        <w:widowControl/>
        <w:spacing w:line="240" w:lineRule="auto"/>
        <w:ind w:firstLine="500" w:firstLineChars="200"/>
        <w:jc w:val="left"/>
        <w:rPr>
          <w:rFonts w:hint="eastAsia" w:asciiTheme="minorEastAsia" w:hAnsiTheme="minorEastAsia" w:eastAsiaTheme="minorEastAsia" w:cstheme="minorEastAsia"/>
          <w:color w:val="auto"/>
          <w:kern w:val="2"/>
          <w:sz w:val="24"/>
          <w:szCs w:val="24"/>
          <w:lang w:val="en-US" w:eastAsia="zh-CN" w:bidi="ar-SA"/>
        </w:rPr>
      </w:pPr>
    </w:p>
    <w:p w14:paraId="3B6EE26E"/>
    <w:p w14:paraId="4A3D715C">
      <w:pPr>
        <w:widowControl/>
        <w:spacing w:line="240" w:lineRule="auto"/>
        <w:ind w:firstLine="500" w:firstLineChars="200"/>
        <w:jc w:val="left"/>
        <w:rPr>
          <w:rFonts w:hint="eastAsia" w:asciiTheme="minorEastAsia" w:hAnsiTheme="minorEastAsia" w:eastAsiaTheme="minorEastAsia" w:cstheme="minorEastAsia"/>
          <w:color w:val="auto"/>
          <w:kern w:val="2"/>
          <w:sz w:val="24"/>
          <w:szCs w:val="24"/>
          <w:lang w:val="en-US" w:eastAsia="zh-CN" w:bidi="ar-SA"/>
        </w:rPr>
      </w:pPr>
    </w:p>
    <w:p w14:paraId="79D22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宋体" w:hAnsi="宋体" w:cs="宋体"/>
          <w:bCs/>
          <w:color w:val="auto"/>
          <w:sz w:val="36"/>
          <w:szCs w:val="36"/>
        </w:rPr>
      </w:pPr>
      <w:bookmarkStart w:id="4" w:name="_Toc13189"/>
      <w:r>
        <w:rPr>
          <w:rFonts w:hint="eastAsia" w:ascii="宋体" w:hAnsi="宋体" w:cs="宋体"/>
          <w:b/>
          <w:color w:val="auto"/>
          <w:sz w:val="36"/>
          <w:szCs w:val="36"/>
        </w:rPr>
        <w:t>第二部分 供应商须知</w:t>
      </w:r>
      <w:bookmarkEnd w:id="3"/>
      <w:bookmarkEnd w:id="4"/>
    </w:p>
    <w:p w14:paraId="13E35080">
      <w:pPr>
        <w:pStyle w:val="6"/>
        <w:jc w:val="center"/>
        <w:rPr>
          <w:rFonts w:hint="eastAsia" w:eastAsia="宋体"/>
          <w:color w:val="auto"/>
          <w:sz w:val="24"/>
          <w:szCs w:val="24"/>
          <w:lang w:eastAsia="zh-CN"/>
        </w:rPr>
      </w:pPr>
      <w:r>
        <w:rPr>
          <w:rFonts w:hint="eastAsia" w:ascii="宋体" w:hAnsi="宋体" w:cs="宋体"/>
          <w:b/>
          <w:color w:val="auto"/>
          <w:sz w:val="24"/>
          <w:szCs w:val="24"/>
          <w:lang w:eastAsia="zh-CN"/>
        </w:rPr>
        <w:t>供应商须知前附表</w:t>
      </w:r>
    </w:p>
    <w:tbl>
      <w:tblPr>
        <w:tblStyle w:val="31"/>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10"/>
        <w:gridCol w:w="6371"/>
      </w:tblGrid>
      <w:tr w14:paraId="53598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07" w:type="dxa"/>
            <w:tcBorders>
              <w:tl2br w:val="nil"/>
              <w:tr2bl w:val="nil"/>
            </w:tcBorders>
            <w:vAlign w:val="center"/>
          </w:tcPr>
          <w:p w14:paraId="22F76EEE">
            <w:pPr>
              <w:rPr>
                <w:rFonts w:ascii="宋体" w:hAnsi="宋体" w:cs="宋体"/>
                <w:b/>
                <w:color w:val="auto"/>
                <w:sz w:val="24"/>
              </w:rPr>
            </w:pPr>
            <w:r>
              <w:rPr>
                <w:rFonts w:hint="eastAsia" w:ascii="宋体" w:hAnsi="宋体" w:cs="宋体"/>
                <w:b/>
                <w:color w:val="auto"/>
                <w:szCs w:val="21"/>
              </w:rPr>
              <w:t>条款号</w:t>
            </w:r>
          </w:p>
        </w:tc>
        <w:tc>
          <w:tcPr>
            <w:tcW w:w="2010" w:type="dxa"/>
            <w:tcBorders>
              <w:tl2br w:val="nil"/>
              <w:tr2bl w:val="nil"/>
            </w:tcBorders>
            <w:vAlign w:val="center"/>
          </w:tcPr>
          <w:p w14:paraId="7C70CADF">
            <w:pPr>
              <w:ind w:left="440" w:leftChars="200"/>
              <w:rPr>
                <w:rFonts w:ascii="宋体" w:hAnsi="宋体" w:cs="宋体"/>
                <w:b/>
                <w:color w:val="auto"/>
                <w:sz w:val="24"/>
              </w:rPr>
            </w:pPr>
            <w:r>
              <w:rPr>
                <w:rFonts w:hint="eastAsia" w:ascii="宋体" w:hAnsi="宋体" w:cs="宋体"/>
                <w:b/>
                <w:color w:val="auto"/>
                <w:sz w:val="24"/>
              </w:rPr>
              <w:t>条款名称</w:t>
            </w:r>
          </w:p>
        </w:tc>
        <w:tc>
          <w:tcPr>
            <w:tcW w:w="6371" w:type="dxa"/>
            <w:tcBorders>
              <w:tl2br w:val="nil"/>
              <w:tr2bl w:val="nil"/>
            </w:tcBorders>
            <w:vAlign w:val="center"/>
          </w:tcPr>
          <w:p w14:paraId="03B2FE3A">
            <w:pPr>
              <w:ind w:left="489" w:leftChars="24" w:hanging="437" w:hangingChars="175"/>
              <w:jc w:val="center"/>
              <w:rPr>
                <w:rFonts w:ascii="宋体" w:hAnsi="宋体" w:cs="宋体"/>
                <w:b/>
                <w:color w:val="auto"/>
                <w:sz w:val="24"/>
              </w:rPr>
            </w:pPr>
            <w:r>
              <w:rPr>
                <w:rFonts w:hint="eastAsia" w:ascii="宋体" w:hAnsi="宋体" w:cs="宋体"/>
                <w:b/>
                <w:color w:val="auto"/>
                <w:sz w:val="24"/>
              </w:rPr>
              <w:t>编  列  内  容</w:t>
            </w:r>
          </w:p>
        </w:tc>
      </w:tr>
      <w:tr w14:paraId="321E7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07" w:type="dxa"/>
            <w:tcBorders>
              <w:tl2br w:val="nil"/>
              <w:tr2bl w:val="nil"/>
            </w:tcBorders>
            <w:vAlign w:val="center"/>
          </w:tcPr>
          <w:p w14:paraId="69C09BAE">
            <w:pPr>
              <w:autoSpaceDE w:val="0"/>
              <w:autoSpaceDN w:val="0"/>
              <w:ind w:left="487" w:leftChars="23"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010" w:type="dxa"/>
            <w:tcBorders>
              <w:tl2br w:val="nil"/>
              <w:tr2bl w:val="nil"/>
            </w:tcBorders>
            <w:vAlign w:val="center"/>
          </w:tcPr>
          <w:p w14:paraId="12E236D6">
            <w:pPr>
              <w:autoSpaceDE w:val="0"/>
              <w:autoSpaceDN w:val="0"/>
              <w:spacing w:after="120"/>
              <w:jc w:val="center"/>
              <w:rPr>
                <w:rFonts w:ascii="宋体" w:hAnsi="宋体" w:cs="宋体"/>
                <w:color w:val="auto"/>
                <w:kern w:val="0"/>
                <w:sz w:val="24"/>
                <w:szCs w:val="24"/>
              </w:rPr>
            </w:pPr>
            <w:r>
              <w:rPr>
                <w:rFonts w:hint="eastAsia" w:ascii="宋体" w:hAnsi="宋体" w:cs="宋体"/>
                <w:color w:val="auto"/>
                <w:kern w:val="0"/>
                <w:sz w:val="24"/>
                <w:szCs w:val="24"/>
              </w:rPr>
              <w:t>采 购 人</w:t>
            </w:r>
          </w:p>
        </w:tc>
        <w:tc>
          <w:tcPr>
            <w:tcW w:w="6371" w:type="dxa"/>
            <w:tcBorders>
              <w:tl2br w:val="nil"/>
              <w:tr2bl w:val="nil"/>
            </w:tcBorders>
            <w:vAlign w:val="center"/>
          </w:tcPr>
          <w:p w14:paraId="4DBCA6DB">
            <w:pPr>
              <w:widowControl/>
              <w:spacing w:line="240" w:lineRule="auto"/>
              <w:ind w:left="66" w:leftChars="3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Theme="minorEastAsia" w:hAnsiTheme="minorEastAsia" w:eastAsiaTheme="minorEastAsia" w:cstheme="minorEastAsia"/>
                <w:color w:val="auto"/>
                <w:sz w:val="24"/>
                <w:szCs w:val="24"/>
                <w:lang w:eastAsia="zh-CN"/>
              </w:rPr>
              <w:t>宝鸡市凤翔区城关镇人民政府</w:t>
            </w:r>
          </w:p>
          <w:p w14:paraId="102CE6E7">
            <w:pPr>
              <w:widowControl/>
              <w:spacing w:line="240" w:lineRule="auto"/>
              <w:ind w:left="66" w:leftChars="30"/>
              <w:jc w:val="left"/>
              <w:rPr>
                <w:rFonts w:ascii="宋体" w:hAnsi="宋体" w:cs="宋体"/>
                <w:color w:val="auto"/>
                <w:kern w:val="0"/>
                <w:sz w:val="24"/>
                <w:szCs w:val="24"/>
              </w:rPr>
            </w:pPr>
            <w:r>
              <w:rPr>
                <w:rFonts w:hint="eastAsia" w:ascii="宋体" w:hAnsi="宋体" w:cs="宋体"/>
                <w:color w:val="auto"/>
                <w:kern w:val="0"/>
                <w:sz w:val="24"/>
                <w:szCs w:val="24"/>
              </w:rPr>
              <w:t>地  址：</w:t>
            </w:r>
            <w:r>
              <w:rPr>
                <w:rFonts w:hint="eastAsia" w:asciiTheme="minorEastAsia" w:hAnsiTheme="minorEastAsia" w:eastAsiaTheme="minorEastAsia" w:cstheme="minorEastAsia"/>
                <w:color w:val="auto"/>
                <w:sz w:val="24"/>
                <w:szCs w:val="24"/>
                <w:lang w:eastAsia="zh-CN"/>
              </w:rPr>
              <w:t>宝鸡市凤翔区城关镇秦凤路4号</w:t>
            </w:r>
          </w:p>
          <w:p w14:paraId="490A0313">
            <w:pPr>
              <w:widowControl/>
              <w:spacing w:line="240" w:lineRule="auto"/>
              <w:ind w:left="66" w:leftChars="3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杨应魁</w:t>
            </w:r>
          </w:p>
          <w:p w14:paraId="0781B5B8">
            <w:pPr>
              <w:widowControl/>
              <w:spacing w:line="240" w:lineRule="auto"/>
              <w:ind w:left="66" w:leftChars="3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电  话：</w:t>
            </w:r>
            <w:r>
              <w:rPr>
                <w:rFonts w:hint="eastAsia" w:asciiTheme="minorEastAsia" w:hAnsiTheme="minorEastAsia" w:eastAsiaTheme="minorEastAsia" w:cstheme="minorEastAsia"/>
                <w:color w:val="auto"/>
                <w:sz w:val="24"/>
                <w:szCs w:val="24"/>
              </w:rPr>
              <w:t>0917-7212129</w:t>
            </w:r>
          </w:p>
        </w:tc>
      </w:tr>
      <w:tr w14:paraId="67FB8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07" w:type="dxa"/>
            <w:tcBorders>
              <w:tl2br w:val="nil"/>
              <w:tr2bl w:val="nil"/>
            </w:tcBorders>
            <w:vAlign w:val="center"/>
          </w:tcPr>
          <w:p w14:paraId="53F35215">
            <w:pPr>
              <w:ind w:left="487" w:leftChars="23" w:hanging="437" w:hangingChars="175"/>
              <w:jc w:val="center"/>
              <w:rPr>
                <w:rFonts w:ascii="宋体" w:hAnsi="宋体" w:cs="宋体"/>
                <w:color w:val="auto"/>
                <w:sz w:val="24"/>
                <w:szCs w:val="24"/>
              </w:rPr>
            </w:pPr>
            <w:r>
              <w:rPr>
                <w:rFonts w:hint="eastAsia" w:ascii="宋体" w:hAnsi="宋体" w:cs="宋体"/>
                <w:color w:val="auto"/>
                <w:sz w:val="24"/>
                <w:szCs w:val="24"/>
              </w:rPr>
              <w:t>2</w:t>
            </w:r>
          </w:p>
        </w:tc>
        <w:tc>
          <w:tcPr>
            <w:tcW w:w="2010" w:type="dxa"/>
            <w:tcBorders>
              <w:tl2br w:val="nil"/>
              <w:tr2bl w:val="nil"/>
            </w:tcBorders>
            <w:vAlign w:val="center"/>
          </w:tcPr>
          <w:p w14:paraId="00186031">
            <w:pPr>
              <w:spacing w:after="120"/>
              <w:ind w:left="489" w:leftChars="24" w:hanging="437" w:hangingChars="175"/>
              <w:jc w:val="center"/>
              <w:rPr>
                <w:rFonts w:ascii="宋体" w:hAnsi="宋体" w:cs="宋体"/>
                <w:color w:val="auto"/>
                <w:sz w:val="24"/>
                <w:szCs w:val="24"/>
              </w:rPr>
            </w:pPr>
            <w:r>
              <w:rPr>
                <w:rFonts w:hint="eastAsia" w:ascii="宋体" w:hAnsi="宋体" w:cs="宋体"/>
                <w:color w:val="auto"/>
                <w:sz w:val="24"/>
                <w:szCs w:val="24"/>
              </w:rPr>
              <w:t>采购代理机构</w:t>
            </w:r>
          </w:p>
        </w:tc>
        <w:tc>
          <w:tcPr>
            <w:tcW w:w="6371" w:type="dxa"/>
            <w:tcBorders>
              <w:tl2br w:val="nil"/>
              <w:tr2bl w:val="nil"/>
            </w:tcBorders>
            <w:vAlign w:val="center"/>
          </w:tcPr>
          <w:p w14:paraId="38E32D26">
            <w:pPr>
              <w:widowControl/>
              <w:spacing w:line="240" w:lineRule="auto"/>
              <w:ind w:left="66" w:leftChars="3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eastAsia="zh-CN"/>
              </w:rPr>
              <w:t>陕西华信项目管理有限公司</w:t>
            </w:r>
          </w:p>
          <w:p w14:paraId="41C2DA4A">
            <w:pPr>
              <w:widowControl/>
              <w:spacing w:line="240" w:lineRule="auto"/>
              <w:ind w:left="66" w:leftChars="30"/>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3"/>
                <w:szCs w:val="23"/>
                <w:highlight w:val="none"/>
              </w:rPr>
              <w:t>地</w:t>
            </w:r>
            <w:r>
              <w:rPr>
                <w:rFonts w:hint="eastAsia" w:ascii="宋体" w:hAnsi="宋体" w:cs="宋体"/>
                <w:color w:val="auto"/>
                <w:kern w:val="0"/>
                <w:sz w:val="23"/>
                <w:szCs w:val="23"/>
                <w:highlight w:val="none"/>
                <w:lang w:val="en-US" w:eastAsia="zh-CN"/>
              </w:rPr>
              <w:t xml:space="preserve">  </w:t>
            </w:r>
            <w:r>
              <w:rPr>
                <w:rFonts w:hint="eastAsia" w:ascii="宋体" w:hAnsi="宋体" w:cs="宋体"/>
                <w:color w:val="auto"/>
                <w:kern w:val="0"/>
                <w:sz w:val="23"/>
                <w:szCs w:val="23"/>
                <w:highlight w:val="none"/>
              </w:rPr>
              <w:t>址：</w:t>
            </w:r>
            <w:r>
              <w:rPr>
                <w:rFonts w:hint="eastAsia" w:ascii="宋体" w:hAnsi="宋体" w:cs="宋体"/>
                <w:color w:val="auto"/>
                <w:kern w:val="0"/>
                <w:sz w:val="23"/>
                <w:szCs w:val="23"/>
                <w:highlight w:val="none"/>
                <w:lang w:eastAsia="zh-CN"/>
              </w:rPr>
              <w:t>宝鸡市渭滨区创业路6号</w:t>
            </w:r>
          </w:p>
          <w:p w14:paraId="71E248B9">
            <w:pPr>
              <w:widowControl/>
              <w:spacing w:line="240" w:lineRule="auto"/>
              <w:ind w:left="66" w:leftChars="30"/>
              <w:jc w:val="left"/>
              <w:rPr>
                <w:rFonts w:ascii="宋体" w:hAnsi="宋体" w:cs="宋体"/>
                <w:color w:val="auto"/>
                <w:kern w:val="0"/>
                <w:sz w:val="24"/>
                <w:szCs w:val="24"/>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范红霞</w:t>
            </w:r>
            <w:r>
              <w:rPr>
                <w:rFonts w:hint="eastAsia" w:ascii="宋体" w:hAnsi="宋体" w:cs="宋体"/>
                <w:color w:val="auto"/>
                <w:kern w:val="0"/>
                <w:sz w:val="24"/>
                <w:szCs w:val="24"/>
              </w:rPr>
              <w:t xml:space="preserve"> </w:t>
            </w:r>
          </w:p>
          <w:p w14:paraId="67DC6672">
            <w:pPr>
              <w:widowControl/>
              <w:spacing w:line="240" w:lineRule="auto"/>
              <w:ind w:left="66" w:leftChars="30"/>
              <w:jc w:val="left"/>
              <w:rPr>
                <w:rFonts w:hint="default" w:ascii="宋体" w:hAnsi="宋体" w:cs="宋体"/>
                <w:color w:val="auto"/>
                <w:sz w:val="24"/>
                <w:szCs w:val="24"/>
                <w:lang w:val="en-US"/>
              </w:rPr>
            </w:pPr>
            <w:r>
              <w:rPr>
                <w:rFonts w:hint="eastAsia" w:ascii="宋体" w:hAnsi="宋体" w:cs="宋体"/>
                <w:color w:val="auto"/>
                <w:kern w:val="0"/>
                <w:sz w:val="24"/>
                <w:szCs w:val="24"/>
              </w:rPr>
              <w:t>电  话：</w:t>
            </w:r>
            <w:r>
              <w:rPr>
                <w:rFonts w:hint="eastAsia" w:asciiTheme="minorEastAsia" w:hAnsiTheme="minorEastAsia" w:eastAsiaTheme="minorEastAsia" w:cstheme="minorEastAsia"/>
                <w:color w:val="auto"/>
                <w:sz w:val="24"/>
                <w:szCs w:val="24"/>
                <w:lang w:val="en-US" w:eastAsia="zh-CN"/>
              </w:rPr>
              <w:t>0917-3606086</w:t>
            </w:r>
          </w:p>
        </w:tc>
      </w:tr>
      <w:tr w14:paraId="120D9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7" w:type="dxa"/>
            <w:tcBorders>
              <w:tl2br w:val="nil"/>
              <w:tr2bl w:val="nil"/>
            </w:tcBorders>
            <w:vAlign w:val="center"/>
          </w:tcPr>
          <w:p w14:paraId="01F998BB">
            <w:pPr>
              <w:spacing w:line="240" w:lineRule="auto"/>
              <w:ind w:left="489" w:leftChars="24" w:hanging="437" w:hangingChars="175"/>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2010" w:type="dxa"/>
            <w:tcBorders>
              <w:tl2br w:val="nil"/>
              <w:tr2bl w:val="nil"/>
            </w:tcBorders>
            <w:vAlign w:val="center"/>
          </w:tcPr>
          <w:p w14:paraId="221E5531">
            <w:pPr>
              <w:autoSpaceDE w:val="0"/>
              <w:autoSpaceDN w:val="0"/>
              <w:spacing w:line="240" w:lineRule="auto"/>
              <w:ind w:left="67" w:leftChars="30" w:hanging="1"/>
              <w:jc w:val="center"/>
              <w:rPr>
                <w:rFonts w:hint="eastAsia" w:ascii="宋体" w:hAnsi="宋体" w:cs="宋体"/>
                <w:color w:val="auto"/>
                <w:kern w:val="0"/>
                <w:sz w:val="24"/>
                <w:szCs w:val="24"/>
              </w:rPr>
            </w:pPr>
            <w:r>
              <w:rPr>
                <w:rFonts w:hint="eastAsia" w:ascii="宋体" w:hAnsi="宋体" w:eastAsia="宋体" w:cs="宋体"/>
                <w:color w:val="auto"/>
                <w:sz w:val="24"/>
                <w:szCs w:val="24"/>
              </w:rPr>
              <w:t>监督机构</w:t>
            </w:r>
          </w:p>
        </w:tc>
        <w:tc>
          <w:tcPr>
            <w:tcW w:w="6371" w:type="dxa"/>
            <w:tcBorders>
              <w:tl2br w:val="nil"/>
              <w:tr2bl w:val="nil"/>
            </w:tcBorders>
            <w:vAlign w:val="center"/>
          </w:tcPr>
          <w:p w14:paraId="36DA86E1">
            <w:pPr>
              <w:autoSpaceDE w:val="0"/>
              <w:autoSpaceDN w:val="0"/>
              <w:spacing w:line="240" w:lineRule="auto"/>
              <w:ind w:left="67" w:leftChars="30" w:hanging="1"/>
              <w:jc w:val="left"/>
              <w:rPr>
                <w:rFonts w:hint="eastAsia" w:ascii="宋体" w:hAnsi="宋体" w:cs="宋体"/>
                <w:color w:val="auto"/>
                <w:kern w:val="0"/>
                <w:sz w:val="24"/>
                <w:szCs w:val="24"/>
                <w:lang w:eastAsia="zh-CN"/>
              </w:rPr>
            </w:pPr>
            <w:r>
              <w:rPr>
                <w:rFonts w:hint="eastAsia" w:asciiTheme="minorEastAsia" w:hAnsiTheme="minorEastAsia" w:eastAsiaTheme="minorEastAsia" w:cstheme="minorEastAsia"/>
                <w:color w:val="auto"/>
                <w:sz w:val="24"/>
                <w:szCs w:val="24"/>
                <w:lang w:eastAsia="zh-CN"/>
              </w:rPr>
              <w:t>中国共产党宝鸡市凤翔区城关镇纪律检查委员会</w:t>
            </w:r>
          </w:p>
        </w:tc>
      </w:tr>
      <w:tr w14:paraId="45F67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7" w:type="dxa"/>
            <w:tcBorders>
              <w:tl2br w:val="nil"/>
              <w:tr2bl w:val="nil"/>
            </w:tcBorders>
            <w:vAlign w:val="center"/>
          </w:tcPr>
          <w:p w14:paraId="73CC3B82">
            <w:pPr>
              <w:spacing w:line="240" w:lineRule="auto"/>
              <w:ind w:left="489" w:leftChars="24" w:hanging="437" w:hangingChars="175"/>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2010" w:type="dxa"/>
            <w:tcBorders>
              <w:tl2br w:val="nil"/>
              <w:tr2bl w:val="nil"/>
            </w:tcBorders>
            <w:vAlign w:val="center"/>
          </w:tcPr>
          <w:p w14:paraId="3062B83D">
            <w:pPr>
              <w:autoSpaceDE w:val="0"/>
              <w:autoSpaceDN w:val="0"/>
              <w:spacing w:line="240" w:lineRule="auto"/>
              <w:ind w:left="67" w:leftChars="30" w:hanging="1"/>
              <w:jc w:val="center"/>
              <w:rPr>
                <w:rFonts w:hint="eastAsia" w:ascii="宋体" w:hAnsi="宋体" w:cs="宋体"/>
                <w:color w:val="auto"/>
                <w:kern w:val="0"/>
                <w:sz w:val="24"/>
                <w:szCs w:val="24"/>
              </w:rPr>
            </w:pPr>
            <w:r>
              <w:rPr>
                <w:rFonts w:hint="eastAsia" w:ascii="宋体" w:hAnsi="宋体" w:cs="宋体"/>
                <w:color w:val="auto"/>
                <w:kern w:val="0"/>
                <w:sz w:val="24"/>
                <w:szCs w:val="24"/>
              </w:rPr>
              <w:t>项目名称</w:t>
            </w:r>
          </w:p>
        </w:tc>
        <w:tc>
          <w:tcPr>
            <w:tcW w:w="6371" w:type="dxa"/>
            <w:tcBorders>
              <w:tl2br w:val="nil"/>
              <w:tr2bl w:val="nil"/>
            </w:tcBorders>
            <w:vAlign w:val="center"/>
          </w:tcPr>
          <w:p w14:paraId="3B4FEBED">
            <w:pPr>
              <w:autoSpaceDE w:val="0"/>
              <w:autoSpaceDN w:val="0"/>
              <w:spacing w:line="240" w:lineRule="auto"/>
              <w:ind w:left="67" w:leftChars="30" w:hanging="1"/>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2025年城关镇村集体经济组织规模化高梁等农作物种植产能提升项目</w:t>
            </w:r>
          </w:p>
        </w:tc>
      </w:tr>
      <w:tr w14:paraId="71DFC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7" w:type="dxa"/>
            <w:tcBorders>
              <w:tl2br w:val="nil"/>
              <w:tr2bl w:val="nil"/>
            </w:tcBorders>
            <w:vAlign w:val="center"/>
          </w:tcPr>
          <w:p w14:paraId="7F8972C8">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c>
          <w:tcPr>
            <w:tcW w:w="2010" w:type="dxa"/>
            <w:tcBorders>
              <w:tl2br w:val="nil"/>
              <w:tr2bl w:val="nil"/>
            </w:tcBorders>
            <w:vAlign w:val="center"/>
          </w:tcPr>
          <w:p w14:paraId="7C1BF7BA">
            <w:pPr>
              <w:autoSpaceDE w:val="0"/>
              <w:autoSpaceDN w:val="0"/>
              <w:spacing w:line="240" w:lineRule="auto"/>
              <w:ind w:left="67" w:leftChars="30" w:hanging="1"/>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资金落实情况</w:t>
            </w:r>
          </w:p>
        </w:tc>
        <w:tc>
          <w:tcPr>
            <w:tcW w:w="6371" w:type="dxa"/>
            <w:tcBorders>
              <w:tl2br w:val="nil"/>
              <w:tr2bl w:val="nil"/>
            </w:tcBorders>
            <w:vAlign w:val="center"/>
          </w:tcPr>
          <w:p w14:paraId="73E1E5B6">
            <w:pPr>
              <w:autoSpaceDE w:val="0"/>
              <w:autoSpaceDN w:val="0"/>
              <w:spacing w:line="240" w:lineRule="auto"/>
              <w:ind w:left="67" w:leftChars="30" w:hanging="1"/>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已落实</w:t>
            </w:r>
          </w:p>
        </w:tc>
      </w:tr>
      <w:tr w14:paraId="30864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7" w:type="dxa"/>
            <w:tcBorders>
              <w:tl2br w:val="nil"/>
              <w:tr2bl w:val="nil"/>
            </w:tcBorders>
            <w:vAlign w:val="center"/>
          </w:tcPr>
          <w:p w14:paraId="52388E04">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2010" w:type="dxa"/>
            <w:tcBorders>
              <w:tl2br w:val="nil"/>
              <w:tr2bl w:val="nil"/>
            </w:tcBorders>
            <w:vAlign w:val="center"/>
          </w:tcPr>
          <w:p w14:paraId="587604BC">
            <w:pPr>
              <w:spacing w:line="240" w:lineRule="auto"/>
              <w:jc w:val="center"/>
              <w:rPr>
                <w:rFonts w:ascii="宋体" w:hAnsi="宋体" w:cs="宋体"/>
                <w:color w:val="auto"/>
                <w:sz w:val="24"/>
                <w:szCs w:val="24"/>
              </w:rPr>
            </w:pPr>
            <w:r>
              <w:rPr>
                <w:rFonts w:hint="eastAsia" w:ascii="宋体" w:hAnsi="宋体" w:cs="宋体"/>
                <w:color w:val="auto"/>
                <w:sz w:val="24"/>
                <w:szCs w:val="24"/>
              </w:rPr>
              <w:t>资金来源</w:t>
            </w:r>
          </w:p>
        </w:tc>
        <w:tc>
          <w:tcPr>
            <w:tcW w:w="6371" w:type="dxa"/>
            <w:tcBorders>
              <w:tl2br w:val="nil"/>
              <w:tr2bl w:val="nil"/>
            </w:tcBorders>
            <w:vAlign w:val="center"/>
          </w:tcPr>
          <w:p w14:paraId="07A3F74E">
            <w:pPr>
              <w:autoSpaceDE w:val="0"/>
              <w:autoSpaceDN w:val="0"/>
              <w:spacing w:line="240" w:lineRule="auto"/>
              <w:ind w:left="67" w:leftChars="30" w:hanging="1"/>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2025年度第二批财政衔接资金项目资金</w:t>
            </w:r>
          </w:p>
        </w:tc>
      </w:tr>
      <w:tr w14:paraId="288ED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907" w:type="dxa"/>
            <w:tcBorders>
              <w:tl2br w:val="nil"/>
              <w:tr2bl w:val="nil"/>
            </w:tcBorders>
            <w:vAlign w:val="center"/>
          </w:tcPr>
          <w:p w14:paraId="2B901CB6">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c>
          <w:tcPr>
            <w:tcW w:w="2010" w:type="dxa"/>
            <w:tcBorders>
              <w:tl2br w:val="nil"/>
              <w:tr2bl w:val="nil"/>
            </w:tcBorders>
            <w:vAlign w:val="center"/>
          </w:tcPr>
          <w:p w14:paraId="08406309">
            <w:pPr>
              <w:autoSpaceDE w:val="0"/>
              <w:autoSpaceDN w:val="0"/>
              <w:jc w:val="center"/>
              <w:rPr>
                <w:rFonts w:ascii="宋体" w:hAnsi="宋体" w:cs="宋体"/>
                <w:color w:val="auto"/>
                <w:kern w:val="0"/>
                <w:sz w:val="24"/>
                <w:szCs w:val="24"/>
              </w:rPr>
            </w:pPr>
            <w:r>
              <w:rPr>
                <w:rFonts w:hint="eastAsia" w:ascii="宋体" w:hAnsi="宋体" w:cs="宋体"/>
                <w:color w:val="auto"/>
                <w:kern w:val="0"/>
                <w:sz w:val="24"/>
                <w:szCs w:val="24"/>
              </w:rPr>
              <w:t>采购内容</w:t>
            </w:r>
          </w:p>
        </w:tc>
        <w:tc>
          <w:tcPr>
            <w:tcW w:w="6371" w:type="dxa"/>
            <w:tcBorders>
              <w:tl2br w:val="nil"/>
              <w:tr2bl w:val="nil"/>
            </w:tcBorders>
            <w:vAlign w:val="center"/>
          </w:tcPr>
          <w:p w14:paraId="3EF8057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jc w:val="both"/>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本项目</w:t>
            </w:r>
            <w:r>
              <w:rPr>
                <w:rFonts w:hint="eastAsia" w:ascii="宋体" w:hAnsi="宋体" w:cs="宋体"/>
                <w:color w:val="auto"/>
                <w:kern w:val="0"/>
                <w:sz w:val="24"/>
                <w:szCs w:val="24"/>
                <w:lang w:val="en-US" w:eastAsia="zh-CN"/>
              </w:rPr>
              <w:t>采购内容为购置绞盘式喷灌机。具体内容详见采购文件。</w:t>
            </w:r>
          </w:p>
        </w:tc>
      </w:tr>
      <w:tr w14:paraId="12ECB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7" w:type="dxa"/>
            <w:tcBorders>
              <w:tl2br w:val="nil"/>
              <w:tr2bl w:val="nil"/>
            </w:tcBorders>
            <w:vAlign w:val="center"/>
          </w:tcPr>
          <w:p w14:paraId="29405A51">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8</w:t>
            </w:r>
          </w:p>
        </w:tc>
        <w:tc>
          <w:tcPr>
            <w:tcW w:w="2010" w:type="dxa"/>
            <w:tcBorders>
              <w:tl2br w:val="nil"/>
              <w:tr2bl w:val="nil"/>
            </w:tcBorders>
            <w:vAlign w:val="center"/>
          </w:tcPr>
          <w:p w14:paraId="0A767268">
            <w:pPr>
              <w:spacing w:line="280" w:lineRule="exact"/>
              <w:jc w:val="center"/>
              <w:rPr>
                <w:rFonts w:ascii="宋体" w:hAnsi="宋体" w:cs="宋体"/>
                <w:color w:val="auto"/>
                <w:kern w:val="0"/>
                <w:sz w:val="24"/>
                <w:szCs w:val="24"/>
              </w:rPr>
            </w:pPr>
            <w:r>
              <w:rPr>
                <w:rFonts w:hint="eastAsia" w:ascii="宋体" w:hAnsi="宋体" w:cs="宋体"/>
                <w:color w:val="auto"/>
                <w:w w:val="100"/>
                <w:sz w:val="24"/>
                <w:szCs w:val="24"/>
                <w:highlight w:val="none"/>
                <w:lang w:val="en-US" w:eastAsia="zh-CN"/>
              </w:rPr>
              <w:t>供货</w:t>
            </w:r>
            <w:r>
              <w:rPr>
                <w:rFonts w:hint="eastAsia" w:ascii="宋体" w:hAnsi="宋体" w:eastAsia="宋体" w:cs="宋体"/>
                <w:color w:val="auto"/>
                <w:w w:val="100"/>
                <w:sz w:val="24"/>
                <w:szCs w:val="24"/>
                <w:highlight w:val="none"/>
                <w:lang w:val="en-US" w:eastAsia="zh-CN"/>
              </w:rPr>
              <w:t>期</w:t>
            </w:r>
          </w:p>
        </w:tc>
        <w:tc>
          <w:tcPr>
            <w:tcW w:w="6371" w:type="dxa"/>
            <w:tcBorders>
              <w:tl2br w:val="nil"/>
              <w:tr2bl w:val="nil"/>
            </w:tcBorders>
            <w:vAlign w:val="center"/>
          </w:tcPr>
          <w:p w14:paraId="1D225E73">
            <w:pPr>
              <w:autoSpaceDE w:val="0"/>
              <w:autoSpaceDN w:val="0"/>
              <w:spacing w:line="240" w:lineRule="auto"/>
              <w:ind w:left="67" w:leftChars="30" w:hanging="1"/>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自签订合同之日起</w:t>
            </w:r>
            <w:r>
              <w:rPr>
                <w:rFonts w:hint="eastAsia" w:ascii="宋体" w:hAnsi="宋体" w:cs="宋体"/>
                <w:color w:val="auto"/>
                <w:kern w:val="0"/>
                <w:sz w:val="24"/>
                <w:szCs w:val="24"/>
                <w:lang w:val="en-US" w:eastAsia="zh-CN"/>
              </w:rPr>
              <w:t>20日历天</w:t>
            </w:r>
          </w:p>
        </w:tc>
      </w:tr>
      <w:tr w14:paraId="2AAC5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7" w:type="dxa"/>
            <w:tcBorders>
              <w:tl2br w:val="nil"/>
              <w:tr2bl w:val="nil"/>
            </w:tcBorders>
            <w:vAlign w:val="center"/>
          </w:tcPr>
          <w:p w14:paraId="068F1021">
            <w:pPr>
              <w:autoSpaceDE w:val="0"/>
              <w:autoSpaceDN w:val="0"/>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9</w:t>
            </w:r>
          </w:p>
        </w:tc>
        <w:tc>
          <w:tcPr>
            <w:tcW w:w="2010" w:type="dxa"/>
            <w:tcBorders>
              <w:tl2br w:val="nil"/>
              <w:tr2bl w:val="nil"/>
            </w:tcBorders>
            <w:vAlign w:val="center"/>
          </w:tcPr>
          <w:p w14:paraId="132C6946">
            <w:pPr>
              <w:spacing w:line="280" w:lineRule="exact"/>
              <w:jc w:val="center"/>
              <w:rPr>
                <w:rFonts w:hAnsi="宋体" w:cs="宋体"/>
                <w:color w:val="auto"/>
                <w:kern w:val="0"/>
                <w:szCs w:val="24"/>
              </w:rPr>
            </w:pPr>
            <w:r>
              <w:rPr>
                <w:rFonts w:hint="eastAsia" w:ascii="宋体" w:hAnsi="宋体" w:eastAsia="宋体" w:cs="宋体"/>
                <w:color w:val="auto"/>
                <w:w w:val="100"/>
                <w:sz w:val="24"/>
                <w:szCs w:val="24"/>
                <w:highlight w:val="none"/>
              </w:rPr>
              <w:t>质量要求</w:t>
            </w:r>
          </w:p>
        </w:tc>
        <w:tc>
          <w:tcPr>
            <w:tcW w:w="6371" w:type="dxa"/>
            <w:tcBorders>
              <w:tl2br w:val="nil"/>
              <w:tr2bl w:val="nil"/>
            </w:tcBorders>
            <w:vAlign w:val="center"/>
          </w:tcPr>
          <w:p w14:paraId="07032B2A">
            <w:pPr>
              <w:autoSpaceDE w:val="0"/>
              <w:autoSpaceDN w:val="0"/>
              <w:ind w:left="67" w:leftChars="30" w:hanging="1"/>
              <w:jc w:val="left"/>
              <w:rPr>
                <w:rFonts w:ascii="宋体" w:hAnsi="宋体" w:cs="宋体"/>
                <w:color w:val="auto"/>
                <w:kern w:val="0"/>
                <w:sz w:val="24"/>
                <w:szCs w:val="24"/>
              </w:rPr>
            </w:pPr>
            <w:r>
              <w:rPr>
                <w:rFonts w:hint="eastAsia" w:ascii="宋体" w:hAnsi="宋体" w:cs="宋体"/>
                <w:color w:val="auto"/>
                <w:sz w:val="24"/>
                <w:highlight w:val="none"/>
              </w:rPr>
              <w:t>符合国家质量要求，达到合格标准</w:t>
            </w:r>
          </w:p>
        </w:tc>
      </w:tr>
      <w:tr w14:paraId="2293D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7" w:type="dxa"/>
            <w:tcBorders>
              <w:tl2br w:val="nil"/>
              <w:tr2bl w:val="nil"/>
            </w:tcBorders>
            <w:vAlign w:val="center"/>
          </w:tcPr>
          <w:p w14:paraId="5FC8F1CC">
            <w:pPr>
              <w:autoSpaceDE w:val="0"/>
              <w:autoSpaceDN w:val="0"/>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2010" w:type="dxa"/>
            <w:tcBorders>
              <w:tl2br w:val="nil"/>
              <w:tr2bl w:val="nil"/>
            </w:tcBorders>
            <w:vAlign w:val="center"/>
          </w:tcPr>
          <w:p w14:paraId="4C5F59A7">
            <w:pPr>
              <w:spacing w:line="280" w:lineRule="exact"/>
              <w:jc w:val="center"/>
              <w:rPr>
                <w:rFonts w:hint="eastAsia" w:ascii="宋体" w:hAnsi="宋体" w:eastAsia="宋体" w:cs="宋体"/>
                <w:color w:val="auto"/>
                <w:w w:val="100"/>
                <w:sz w:val="24"/>
                <w:szCs w:val="24"/>
                <w:highlight w:val="none"/>
              </w:rPr>
            </w:pPr>
            <w:r>
              <w:rPr>
                <w:rFonts w:hint="eastAsia" w:ascii="宋体" w:hAnsi="宋体" w:eastAsia="宋体" w:cs="宋体"/>
                <w:color w:val="auto"/>
                <w:sz w:val="24"/>
                <w:szCs w:val="24"/>
                <w:highlight w:val="none"/>
              </w:rPr>
              <w:t>质保期</w:t>
            </w:r>
          </w:p>
        </w:tc>
        <w:tc>
          <w:tcPr>
            <w:tcW w:w="6371" w:type="dxa"/>
            <w:tcBorders>
              <w:tl2br w:val="nil"/>
              <w:tr2bl w:val="nil"/>
            </w:tcBorders>
            <w:vAlign w:val="center"/>
          </w:tcPr>
          <w:p w14:paraId="43023810">
            <w:pPr>
              <w:autoSpaceDE w:val="0"/>
              <w:autoSpaceDN w:val="0"/>
              <w:ind w:left="67" w:leftChars="30" w:hanging="1"/>
              <w:jc w:val="left"/>
              <w:rPr>
                <w:rFonts w:hint="eastAsia" w:ascii="宋体" w:hAnsi="宋体" w:cs="宋体"/>
                <w:color w:val="auto"/>
                <w:sz w:val="24"/>
                <w:highlight w:val="none"/>
              </w:rPr>
            </w:pPr>
            <w:r>
              <w:rPr>
                <w:rFonts w:hint="eastAsia" w:ascii="宋体" w:hAnsi="宋体" w:eastAsia="宋体" w:cs="宋体"/>
                <w:color w:val="auto"/>
                <w:sz w:val="24"/>
                <w:szCs w:val="24"/>
                <w:highlight w:val="none"/>
              </w:rPr>
              <w:t>整机保修不少于</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r>
      <w:tr w14:paraId="575CF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 w:type="dxa"/>
            <w:tcBorders>
              <w:tl2br w:val="nil"/>
              <w:tr2bl w:val="nil"/>
            </w:tcBorders>
            <w:vAlign w:val="center"/>
          </w:tcPr>
          <w:p w14:paraId="78075358">
            <w:pPr>
              <w:autoSpaceDE w:val="0"/>
              <w:autoSpaceDN w:val="0"/>
              <w:ind w:left="487" w:leftChars="23" w:hanging="437" w:hangingChars="175"/>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2010" w:type="dxa"/>
            <w:tcBorders>
              <w:tl2br w:val="nil"/>
              <w:tr2bl w:val="nil"/>
            </w:tcBorders>
            <w:vAlign w:val="center"/>
          </w:tcPr>
          <w:p w14:paraId="21404624">
            <w:pPr>
              <w:pStyle w:val="10"/>
              <w:topLinePunct/>
              <w:autoSpaceDE w:val="0"/>
              <w:autoSpaceDN w:val="0"/>
              <w:jc w:val="center"/>
              <w:rPr>
                <w:rFonts w:hAnsi="宋体" w:cs="宋体"/>
                <w:color w:val="auto"/>
                <w:kern w:val="0"/>
                <w:szCs w:val="24"/>
              </w:rPr>
            </w:pPr>
            <w:r>
              <w:rPr>
                <w:rFonts w:hint="eastAsia" w:hAnsi="宋体" w:cs="宋体"/>
                <w:color w:val="auto"/>
                <w:kern w:val="0"/>
                <w:szCs w:val="24"/>
              </w:rPr>
              <w:t>供应商资格要求</w:t>
            </w:r>
          </w:p>
        </w:tc>
        <w:tc>
          <w:tcPr>
            <w:tcW w:w="6371" w:type="dxa"/>
            <w:tcBorders>
              <w:tl2br w:val="nil"/>
              <w:tr2bl w:val="nil"/>
            </w:tcBorders>
            <w:vAlign w:val="center"/>
          </w:tcPr>
          <w:p w14:paraId="3B9BFB53">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textAlignment w:val="auto"/>
              <w:rPr>
                <w:rFonts w:hAnsi="宋体" w:cs="宋体"/>
                <w:color w:val="auto"/>
                <w:kern w:val="0"/>
                <w:szCs w:val="24"/>
              </w:rPr>
            </w:pPr>
            <w:r>
              <w:rPr>
                <w:rFonts w:hint="eastAsia" w:hAnsi="宋体" w:cs="宋体"/>
                <w:color w:val="auto"/>
                <w:kern w:val="0"/>
                <w:szCs w:val="24"/>
              </w:rPr>
              <w:t>基本资格条件：符合《中华人民共和国政府采购法》第二十二条的规定；</w:t>
            </w:r>
          </w:p>
          <w:p w14:paraId="7B0D690F">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供应商须为合法注册的法人、其他组织或者自然人，并具有独立承担民事责任的能力；提供统一社会信用代码的营业执照（或事业法人证、自然人身份证）等证</w:t>
            </w:r>
            <w:r>
              <w:rPr>
                <w:rFonts w:hint="eastAsia" w:asciiTheme="minorEastAsia" w:hAnsiTheme="minorEastAsia" w:eastAsiaTheme="minorEastAsia" w:cstheme="minorEastAsia"/>
                <w:color w:val="auto"/>
                <w:kern w:val="0"/>
                <w:sz w:val="24"/>
                <w:szCs w:val="24"/>
                <w:lang w:eastAsia="zh-CN"/>
              </w:rPr>
              <w:t>明文件；</w:t>
            </w:r>
          </w:p>
          <w:p w14:paraId="5DDE745A">
            <w:pPr>
              <w:keepNext w:val="0"/>
              <w:keepLines w:val="0"/>
              <w:pageBreakBefore w:val="0"/>
              <w:widowControl w:val="0"/>
              <w:kinsoku w:val="0"/>
              <w:wordWrap/>
              <w:overflowPunct w:val="0"/>
              <w:topLinePunct w:val="0"/>
              <w:autoSpaceDE w:val="0"/>
              <w:autoSpaceDN w:val="0"/>
              <w:bidi w:val="0"/>
              <w:adjustRightInd w:val="0"/>
              <w:snapToGrid w:val="0"/>
              <w:spacing w:line="520" w:lineRule="exact"/>
              <w:ind w:right="0" w:rightChars="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供应商财务状况报告：提供2024年度经审计的财务报告（至少包括资产负债表和利润表，成立时间至提交响应文件截止时间不足一年的可提供成立后任意时段的资产负债表）</w:t>
            </w:r>
            <w:r>
              <w:rPr>
                <w:rFonts w:hint="eastAsia" w:asciiTheme="minorEastAsia" w:hAnsiTheme="minorEastAsia" w:eastAsiaTheme="minorEastAsia" w:cstheme="minorEastAsia"/>
                <w:color w:val="auto"/>
                <w:kern w:val="0"/>
                <w:sz w:val="24"/>
                <w:szCs w:val="24"/>
                <w:lang w:eastAsia="zh-CN"/>
              </w:rPr>
              <w:t>（报告须真实有效并符合《关于加强审计报告查验工作的通知》（财会[2023]15号）文件的要求，报告须赋二维码）</w:t>
            </w:r>
            <w:r>
              <w:rPr>
                <w:rFonts w:hint="eastAsia" w:asciiTheme="minorEastAsia" w:hAnsiTheme="minorEastAsia" w:eastAsiaTheme="minorEastAsia" w:cstheme="minorEastAsia"/>
                <w:color w:val="auto"/>
                <w:kern w:val="0"/>
                <w:sz w:val="24"/>
                <w:szCs w:val="24"/>
              </w:rPr>
              <w:t xml:space="preserve">，或其开标前三个月内基本存款账户开户银行出具的资信证明及基本存款账户开户许可证或基本存款账户信息，（以上两种形式的资料提供任何一种即可）；  </w:t>
            </w:r>
          </w:p>
          <w:p w14:paraId="55A73765">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供应商税收缴纳证明：提供磋商截止时间前六个月内，</w:t>
            </w:r>
            <w:r>
              <w:rPr>
                <w:rFonts w:hint="eastAsia" w:asciiTheme="minorEastAsia" w:hAnsiTheme="minorEastAsia" w:eastAsiaTheme="minorEastAsia" w:cstheme="minorEastAsia"/>
                <w:color w:val="auto"/>
                <w:kern w:val="0"/>
                <w:sz w:val="24"/>
                <w:szCs w:val="24"/>
                <w:lang w:eastAsia="zh-CN"/>
              </w:rPr>
              <w:t>任意一个月已</w:t>
            </w:r>
            <w:r>
              <w:rPr>
                <w:rFonts w:hint="eastAsia" w:asciiTheme="minorEastAsia" w:hAnsiTheme="minorEastAsia" w:eastAsiaTheme="minorEastAsia" w:cstheme="minorEastAsia"/>
                <w:color w:val="auto"/>
                <w:kern w:val="0"/>
                <w:sz w:val="24"/>
                <w:szCs w:val="24"/>
              </w:rPr>
              <w:t xml:space="preserve">缴纳的纳税证明或完税证明，依法免税的供应商应提供相关证明材料； </w:t>
            </w:r>
          </w:p>
          <w:p w14:paraId="73C43140">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jc w:val="left"/>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供应商社会保障资金缴纳证明：提供磋商截止时间前六个月内，</w:t>
            </w:r>
            <w:r>
              <w:rPr>
                <w:rFonts w:hint="eastAsia" w:asciiTheme="minorEastAsia" w:hAnsiTheme="minorEastAsia" w:eastAsiaTheme="minorEastAsia" w:cstheme="minorEastAsia"/>
                <w:color w:val="auto"/>
                <w:kern w:val="0"/>
                <w:sz w:val="24"/>
                <w:szCs w:val="24"/>
                <w:lang w:eastAsia="zh-CN"/>
              </w:rPr>
              <w:t>任意一个月已</w:t>
            </w:r>
            <w:r>
              <w:rPr>
                <w:rFonts w:hint="eastAsia" w:asciiTheme="minorEastAsia" w:hAnsiTheme="minorEastAsia" w:eastAsiaTheme="minorEastAsia" w:cstheme="minorEastAsia"/>
                <w:color w:val="auto"/>
                <w:kern w:val="0"/>
                <w:sz w:val="24"/>
                <w:szCs w:val="24"/>
              </w:rPr>
              <w:t>缴存的社会保障资金缴存单据或社保机构开具的社会保险参保缴费情况证明；依法不需要缴纳社会保障资金的供应商应提供相关文件证明；</w:t>
            </w:r>
          </w:p>
          <w:p w14:paraId="4A19E9F6">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jc w:val="left"/>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 xml:space="preserve">参加政府采购活动前三年内，在经营活动中没有重大违法记录的书面声明； </w:t>
            </w:r>
          </w:p>
          <w:p w14:paraId="5FA58860">
            <w:pPr>
              <w:pStyle w:val="6"/>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）具有履行合同所必须的设备和专业技术能力的说明及承诺；</w:t>
            </w:r>
          </w:p>
          <w:p w14:paraId="79CBFC6A">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textAlignment w:val="auto"/>
              <w:rPr>
                <w:rFonts w:hint="eastAsia"/>
                <w:color w:val="auto"/>
              </w:rPr>
            </w:pPr>
            <w:r>
              <w:rPr>
                <w:rFonts w:hint="eastAsia" w:ascii="宋体" w:hAnsi="宋体" w:eastAsia="宋体" w:cs="宋体"/>
                <w:color w:val="auto"/>
                <w:kern w:val="0"/>
                <w:sz w:val="24"/>
                <w:szCs w:val="24"/>
                <w:lang w:val="en-US" w:eastAsia="zh-CN" w:bidi="ar-SA"/>
              </w:rPr>
              <w:t>特定资格条件：</w:t>
            </w:r>
          </w:p>
          <w:p w14:paraId="05EB3C40">
            <w:pPr>
              <w:widowControl/>
              <w:numPr>
                <w:ilvl w:val="0"/>
                <w:numId w:val="0"/>
              </w:numPr>
              <w:spacing w:line="500" w:lineRule="exact"/>
              <w:jc w:val="left"/>
              <w:rPr>
                <w:rFonts w:hint="eastAsia"/>
                <w:color w:val="auto"/>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）法定代表人直接参加磋商的，须提供法定代表人身份证明书（附法定代表人身份证复印件并加盖公章）；委托代理人参加磋商的，须提供法人授权委托书（附法定代表人</w:t>
            </w:r>
            <w:r>
              <w:rPr>
                <w:rFonts w:hint="eastAsia" w:asciiTheme="minorEastAsia" w:hAnsiTheme="minorEastAsia" w:eastAsiaTheme="minorEastAsia" w:cstheme="minorEastAsia"/>
                <w:color w:val="auto"/>
                <w:kern w:val="0"/>
                <w:sz w:val="24"/>
                <w:szCs w:val="24"/>
              </w:rPr>
              <w:t>及委托代理人身份证复印件并加盖公章）；</w:t>
            </w:r>
          </w:p>
          <w:p w14:paraId="42695F31">
            <w:pPr>
              <w:pStyle w:val="6"/>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）供应商须在磋商时限内</w:t>
            </w:r>
            <w:r>
              <w:rPr>
                <w:rFonts w:hint="eastAsia" w:asciiTheme="minorEastAsia" w:hAnsiTheme="minorEastAsia" w:eastAsiaTheme="minorEastAsia" w:cstheme="minorEastAsia"/>
                <w:color w:val="auto"/>
                <w:kern w:val="0"/>
                <w:sz w:val="24"/>
                <w:szCs w:val="24"/>
                <w:lang w:eastAsia="zh-CN"/>
              </w:rPr>
              <w:t>在</w:t>
            </w:r>
            <w:r>
              <w:rPr>
                <w:rFonts w:hint="eastAsia" w:asciiTheme="minorEastAsia" w:hAnsiTheme="minorEastAsia" w:eastAsiaTheme="minorEastAsia" w:cstheme="minorEastAsia"/>
                <w:color w:val="auto"/>
                <w:kern w:val="0"/>
                <w:sz w:val="24"/>
                <w:szCs w:val="24"/>
              </w:rPr>
              <w:t>“信用中国”网站（www.creditchina.gov.cn）未被列入失信被执行人和</w:t>
            </w:r>
            <w:r>
              <w:rPr>
                <w:rFonts w:hint="eastAsia" w:asciiTheme="minorEastAsia" w:hAnsiTheme="minorEastAsia" w:eastAsiaTheme="minorEastAsia" w:cstheme="minorEastAsia"/>
                <w:color w:val="auto"/>
                <w:kern w:val="0"/>
                <w:sz w:val="24"/>
                <w:szCs w:val="24"/>
                <w:lang w:eastAsia="zh-CN"/>
              </w:rPr>
              <w:t>重大税收违法失信主体</w:t>
            </w:r>
            <w:r>
              <w:rPr>
                <w:rFonts w:hint="eastAsia" w:asciiTheme="minorEastAsia" w:hAnsiTheme="minorEastAsia" w:eastAsiaTheme="minorEastAsia" w:cstheme="minorEastAsia"/>
                <w:color w:val="auto"/>
                <w:kern w:val="0"/>
                <w:sz w:val="24"/>
                <w:szCs w:val="24"/>
              </w:rPr>
              <w:t>中、未在“中国政府采购网”（www.ccgp.gov.cn）政府采购严重违法失信行为记录名单中被财政部门禁止参加政府采购活动的供应商；</w:t>
            </w:r>
          </w:p>
          <w:p w14:paraId="0D94ABCF">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单位负责人为同一人或者存在控股、管理关系的不同单位，不得参加同一合同项下的政府采购活动</w:t>
            </w:r>
            <w:r>
              <w:rPr>
                <w:rFonts w:hint="eastAsia" w:asciiTheme="minorEastAsia" w:hAnsiTheme="minorEastAsia" w:eastAsiaTheme="minorEastAsia" w:cstheme="minorEastAsia"/>
                <w:color w:val="auto"/>
                <w:kern w:val="0"/>
                <w:sz w:val="24"/>
                <w:szCs w:val="24"/>
                <w:lang w:eastAsia="zh-CN"/>
              </w:rPr>
              <w:t>；（提供承诺书及国家企业信用信息公示系统网页查询截图（体现股东及出资详细信息）并加盖公章）；</w:t>
            </w:r>
          </w:p>
          <w:p w14:paraId="02C2E473">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jc w:val="left"/>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本项目专门面向中小企业采购，供应商须提供中小企业声明函（如有虚假，将依法承担相应责任）；</w:t>
            </w:r>
          </w:p>
          <w:p w14:paraId="74787BE3">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jc w:val="left"/>
              <w:textAlignment w:val="auto"/>
              <w:outlineLvl w:val="9"/>
              <w:rPr>
                <w:rFonts w:hAnsi="宋体" w:cs="宋体"/>
                <w:color w:val="auto"/>
                <w:kern w:val="0"/>
                <w:sz w:val="13"/>
                <w:szCs w:val="13"/>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lang w:eastAsia="zh-CN"/>
              </w:rPr>
              <w:t>）本项目不接受联合体投标。</w:t>
            </w:r>
          </w:p>
        </w:tc>
      </w:tr>
      <w:tr w14:paraId="1B306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07" w:type="dxa"/>
            <w:tcBorders>
              <w:tl2br w:val="nil"/>
              <w:tr2bl w:val="nil"/>
            </w:tcBorders>
            <w:vAlign w:val="center"/>
          </w:tcPr>
          <w:p w14:paraId="1407C22B">
            <w:pPr>
              <w:autoSpaceDE w:val="0"/>
              <w:autoSpaceDN w:val="0"/>
              <w:spacing w:line="240" w:lineRule="auto"/>
              <w:ind w:left="487" w:leftChars="23" w:hanging="437" w:hangingChars="175"/>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p>
        </w:tc>
        <w:tc>
          <w:tcPr>
            <w:tcW w:w="2010" w:type="dxa"/>
            <w:tcBorders>
              <w:tl2br w:val="nil"/>
              <w:tr2bl w:val="nil"/>
            </w:tcBorders>
            <w:vAlign w:val="center"/>
          </w:tcPr>
          <w:p w14:paraId="53E93A90">
            <w:pPr>
              <w:autoSpaceDE w:val="0"/>
              <w:autoSpaceDN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联合体投标</w:t>
            </w:r>
          </w:p>
        </w:tc>
        <w:tc>
          <w:tcPr>
            <w:tcW w:w="6371" w:type="dxa"/>
            <w:tcBorders>
              <w:tl2br w:val="nil"/>
              <w:tr2bl w:val="nil"/>
            </w:tcBorders>
            <w:vAlign w:val="center"/>
          </w:tcPr>
          <w:p w14:paraId="4FA8C3BA">
            <w:pPr>
              <w:pStyle w:val="10"/>
              <w:topLinePunct/>
              <w:autoSpaceDE w:val="0"/>
              <w:autoSpaceDN w:val="0"/>
              <w:spacing w:line="240" w:lineRule="auto"/>
              <w:ind w:left="503" w:leftChars="30" w:hanging="437" w:hangingChars="175"/>
              <w:jc w:val="left"/>
              <w:rPr>
                <w:rFonts w:hAnsi="宋体" w:cs="宋体"/>
                <w:color w:val="auto"/>
                <w:kern w:val="0"/>
                <w:szCs w:val="24"/>
              </w:rPr>
            </w:pPr>
            <w:r>
              <w:rPr>
                <w:rFonts w:hint="eastAsia" w:hAnsi="宋体" w:cs="宋体"/>
                <w:color w:val="auto"/>
                <w:kern w:val="0"/>
                <w:szCs w:val="24"/>
              </w:rPr>
              <w:t>不接受</w:t>
            </w:r>
          </w:p>
        </w:tc>
      </w:tr>
      <w:tr w14:paraId="301E0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07" w:type="dxa"/>
            <w:tcBorders>
              <w:tl2br w:val="nil"/>
              <w:tr2bl w:val="nil"/>
            </w:tcBorders>
            <w:vAlign w:val="center"/>
          </w:tcPr>
          <w:p w14:paraId="5811C2D1">
            <w:pPr>
              <w:autoSpaceDE w:val="0"/>
              <w:autoSpaceDN w:val="0"/>
              <w:ind w:left="487" w:leftChars="23" w:hanging="437" w:hangingChars="175"/>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p>
        </w:tc>
        <w:tc>
          <w:tcPr>
            <w:tcW w:w="2010" w:type="dxa"/>
            <w:tcBorders>
              <w:tl2br w:val="nil"/>
              <w:tr2bl w:val="nil"/>
            </w:tcBorders>
            <w:vAlign w:val="center"/>
          </w:tcPr>
          <w:p w14:paraId="5434290C">
            <w:pPr>
              <w:autoSpaceDE w:val="0"/>
              <w:autoSpaceDN w:val="0"/>
              <w:ind w:left="487" w:leftChars="23"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磋商文件</w:t>
            </w:r>
          </w:p>
          <w:p w14:paraId="06E8E5C0">
            <w:pPr>
              <w:autoSpaceDE w:val="0"/>
              <w:autoSpaceDN w:val="0"/>
              <w:ind w:left="487" w:leftChars="23" w:hanging="437" w:hangingChars="175"/>
              <w:jc w:val="center"/>
              <w:rPr>
                <w:rFonts w:ascii="宋体" w:hAnsi="宋体" w:cs="宋体"/>
                <w:color w:val="auto"/>
                <w:kern w:val="0"/>
                <w:sz w:val="24"/>
                <w:szCs w:val="24"/>
              </w:rPr>
            </w:pPr>
            <w:r>
              <w:rPr>
                <w:rFonts w:hint="eastAsia" w:ascii="宋体" w:hAnsi="宋体" w:cs="宋体"/>
                <w:color w:val="auto"/>
                <w:kern w:val="0"/>
                <w:sz w:val="24"/>
                <w:szCs w:val="24"/>
                <w:lang w:eastAsia="zh-CN"/>
              </w:rPr>
              <w:t>获取</w:t>
            </w:r>
            <w:r>
              <w:rPr>
                <w:rFonts w:hint="eastAsia" w:ascii="宋体" w:hAnsi="宋体" w:cs="宋体"/>
                <w:color w:val="auto"/>
                <w:kern w:val="0"/>
                <w:sz w:val="24"/>
                <w:szCs w:val="24"/>
              </w:rPr>
              <w:t>时间、</w:t>
            </w:r>
            <w:r>
              <w:rPr>
                <w:rFonts w:hint="eastAsia" w:ascii="宋体" w:hAnsi="宋体" w:cs="宋体"/>
                <w:color w:val="auto"/>
                <w:kern w:val="0"/>
                <w:sz w:val="24"/>
                <w:szCs w:val="24"/>
                <w:lang w:eastAsia="zh-CN"/>
              </w:rPr>
              <w:t>途径</w:t>
            </w:r>
          </w:p>
        </w:tc>
        <w:tc>
          <w:tcPr>
            <w:tcW w:w="6371" w:type="dxa"/>
            <w:tcBorders>
              <w:tl2br w:val="nil"/>
              <w:tr2bl w:val="nil"/>
            </w:tcBorders>
            <w:vAlign w:val="center"/>
          </w:tcPr>
          <w:p w14:paraId="638D1F25">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获取</w:t>
            </w:r>
            <w:r>
              <w:rPr>
                <w:rFonts w:hint="eastAsia" w:ascii="宋体" w:hAnsi="宋体" w:cs="宋体"/>
                <w:color w:val="auto"/>
                <w:kern w:val="0"/>
                <w:sz w:val="24"/>
                <w:szCs w:val="24"/>
              </w:rPr>
              <w:t>时间：</w:t>
            </w:r>
            <w:r>
              <w:rPr>
                <w:rFonts w:hint="eastAsia" w:asciiTheme="minorEastAsia" w:hAnsiTheme="minorEastAsia" w:eastAsiaTheme="minorEastAsia" w:cstheme="minorEastAsia"/>
                <w:color w:val="auto"/>
                <w:sz w:val="24"/>
                <w:szCs w:val="24"/>
                <w:lang w:val="en-US" w:eastAsia="zh-CN"/>
              </w:rPr>
              <w:t>2025年10月15日至2025年10月21日</w:t>
            </w:r>
            <w:r>
              <w:rPr>
                <w:rFonts w:hint="eastAsia" w:ascii="宋体" w:hAnsi="宋体" w:eastAsia="宋体" w:cs="宋体"/>
                <w:color w:val="auto"/>
                <w:kern w:val="0"/>
                <w:sz w:val="24"/>
                <w:szCs w:val="24"/>
                <w:lang w:val="en-US" w:eastAsia="zh-CN" w:bidi="ar-SA"/>
              </w:rPr>
              <w:t>，（每天上午</w:t>
            </w:r>
            <w:r>
              <w:rPr>
                <w:rFonts w:hint="eastAsia" w:hAnsi="宋体" w:cs="宋体"/>
                <w:color w:val="auto"/>
                <w:kern w:val="0"/>
                <w:sz w:val="24"/>
                <w:szCs w:val="24"/>
                <w:lang w:val="en-US" w:eastAsia="zh-CN" w:bidi="ar-SA"/>
              </w:rPr>
              <w:t>00</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00</w:t>
            </w:r>
            <w:r>
              <w:rPr>
                <w:rFonts w:hint="eastAsia" w:ascii="宋体" w:hAnsi="宋体" w:eastAsia="宋体" w:cs="宋体"/>
                <w:color w:val="auto"/>
                <w:kern w:val="0"/>
                <w:sz w:val="24"/>
                <w:szCs w:val="24"/>
                <w:lang w:val="en-US" w:eastAsia="zh-CN" w:bidi="ar-SA"/>
              </w:rPr>
              <w:t>:00至1</w:t>
            </w:r>
            <w:r>
              <w:rPr>
                <w:rFonts w:hint="eastAsia"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0:00 ，下午</w:t>
            </w:r>
            <w:r>
              <w:rPr>
                <w:rFonts w:hint="eastAsia" w:hAnsi="宋体"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:00:00至</w:t>
            </w:r>
            <w:r>
              <w:rPr>
                <w:rFonts w:hint="eastAsia" w:hAnsi="宋体" w:cs="宋体"/>
                <w:color w:val="auto"/>
                <w:kern w:val="0"/>
                <w:sz w:val="24"/>
                <w:szCs w:val="24"/>
                <w:lang w:val="en-US" w:eastAsia="zh-CN" w:bidi="ar-SA"/>
              </w:rPr>
              <w:t>23</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59</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59</w:t>
            </w:r>
            <w:r>
              <w:rPr>
                <w:rFonts w:hint="eastAsia" w:ascii="宋体" w:hAnsi="宋体" w:eastAsia="宋体" w:cs="宋体"/>
                <w:color w:val="auto"/>
                <w:kern w:val="0"/>
                <w:sz w:val="24"/>
                <w:szCs w:val="24"/>
                <w:lang w:val="en-US" w:eastAsia="zh-CN" w:bidi="ar-SA"/>
              </w:rPr>
              <w:t>）</w:t>
            </w:r>
          </w:p>
          <w:p w14:paraId="6FA6DC5D">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ascii="宋体" w:hAnsi="宋体" w:cs="宋体"/>
                <w:color w:val="auto"/>
                <w:kern w:val="0"/>
                <w:sz w:val="24"/>
                <w:szCs w:val="24"/>
              </w:rPr>
            </w:pPr>
            <w:r>
              <w:rPr>
                <w:rFonts w:hint="eastAsia" w:ascii="宋体" w:hAnsi="宋体" w:eastAsia="宋体" w:cs="宋体"/>
                <w:color w:val="auto"/>
                <w:kern w:val="0"/>
                <w:sz w:val="24"/>
                <w:szCs w:val="24"/>
                <w:lang w:val="en-US" w:eastAsia="zh-CN" w:bidi="ar-SA"/>
              </w:rPr>
              <w:t>获取途径：全国</w:t>
            </w:r>
            <w:r>
              <w:rPr>
                <w:rFonts w:hint="eastAsia" w:ascii="宋体" w:hAnsi="宋体" w:cs="宋体"/>
                <w:color w:val="auto"/>
                <w:kern w:val="0"/>
                <w:sz w:val="24"/>
                <w:szCs w:val="24"/>
                <w:lang w:eastAsia="zh-CN"/>
              </w:rPr>
              <w:t>公共资源交易平台（陕西省·宝鸡市）在线获取</w:t>
            </w:r>
          </w:p>
        </w:tc>
      </w:tr>
      <w:tr w14:paraId="55616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7" w:type="dxa"/>
            <w:tcBorders>
              <w:tl2br w:val="nil"/>
              <w:tr2bl w:val="nil"/>
            </w:tcBorders>
            <w:vAlign w:val="center"/>
          </w:tcPr>
          <w:p w14:paraId="4D8A5C3E">
            <w:pPr>
              <w:autoSpaceDE w:val="0"/>
              <w:autoSpaceDN w:val="0"/>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4</w:t>
            </w:r>
          </w:p>
        </w:tc>
        <w:tc>
          <w:tcPr>
            <w:tcW w:w="2010" w:type="dxa"/>
            <w:tcBorders>
              <w:tl2br w:val="nil"/>
              <w:tr2bl w:val="nil"/>
            </w:tcBorders>
            <w:vAlign w:val="center"/>
          </w:tcPr>
          <w:p w14:paraId="638698CA">
            <w:pPr>
              <w:autoSpaceDE w:val="0"/>
              <w:autoSpaceDN w:val="0"/>
              <w:ind w:left="487" w:leftChars="23"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踏勘现场</w:t>
            </w:r>
          </w:p>
        </w:tc>
        <w:tc>
          <w:tcPr>
            <w:tcW w:w="6371" w:type="dxa"/>
            <w:tcBorders>
              <w:tl2br w:val="nil"/>
              <w:tr2bl w:val="nil"/>
            </w:tcBorders>
            <w:vAlign w:val="center"/>
          </w:tcPr>
          <w:p w14:paraId="72CEB0E1">
            <w:pPr>
              <w:autoSpaceDE w:val="0"/>
              <w:autoSpaceDN w:val="0"/>
              <w:ind w:left="503" w:leftChars="30" w:hanging="437" w:hangingChars="175"/>
              <w:jc w:val="left"/>
              <w:rPr>
                <w:rFonts w:ascii="宋体" w:hAnsi="宋体" w:cs="宋体"/>
                <w:color w:val="auto"/>
                <w:kern w:val="0"/>
                <w:sz w:val="24"/>
                <w:szCs w:val="24"/>
              </w:rPr>
            </w:pPr>
            <w:r>
              <w:rPr>
                <w:rFonts w:hint="eastAsia" w:ascii="宋体" w:hAnsi="宋体" w:cs="宋体"/>
                <w:color w:val="auto"/>
                <w:kern w:val="0"/>
                <w:sz w:val="24"/>
                <w:szCs w:val="24"/>
              </w:rPr>
              <w:t>不组织，采购人认为有必要，另行书面通知。</w:t>
            </w:r>
          </w:p>
        </w:tc>
      </w:tr>
      <w:tr w14:paraId="2DB3D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07" w:type="dxa"/>
            <w:tcBorders>
              <w:tl2br w:val="nil"/>
              <w:tr2bl w:val="nil"/>
            </w:tcBorders>
            <w:vAlign w:val="center"/>
          </w:tcPr>
          <w:p w14:paraId="1FEFCB3F">
            <w:pPr>
              <w:autoSpaceDE w:val="0"/>
              <w:autoSpaceDN w:val="0"/>
              <w:ind w:left="489" w:leftChars="24" w:hanging="437" w:hangingChars="175"/>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15</w:t>
            </w:r>
          </w:p>
        </w:tc>
        <w:tc>
          <w:tcPr>
            <w:tcW w:w="2010" w:type="dxa"/>
            <w:tcBorders>
              <w:tl2br w:val="nil"/>
              <w:tr2bl w:val="nil"/>
            </w:tcBorders>
            <w:vAlign w:val="center"/>
          </w:tcPr>
          <w:p w14:paraId="10E82CBD">
            <w:pPr>
              <w:autoSpaceDE w:val="0"/>
              <w:autoSpaceDN w:val="0"/>
              <w:ind w:left="487" w:leftChars="23"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磋商有效期</w:t>
            </w:r>
          </w:p>
        </w:tc>
        <w:tc>
          <w:tcPr>
            <w:tcW w:w="6371" w:type="dxa"/>
            <w:tcBorders>
              <w:tl2br w:val="nil"/>
              <w:tr2bl w:val="nil"/>
            </w:tcBorders>
            <w:vAlign w:val="center"/>
          </w:tcPr>
          <w:p w14:paraId="7E71B83A">
            <w:pPr>
              <w:autoSpaceDE w:val="0"/>
              <w:autoSpaceDN w:val="0"/>
              <w:ind w:left="503" w:leftChars="30" w:hanging="437" w:hangingChars="175"/>
              <w:jc w:val="left"/>
              <w:rPr>
                <w:rFonts w:ascii="宋体" w:hAnsi="宋体" w:cs="宋体"/>
                <w:color w:val="auto"/>
                <w:kern w:val="0"/>
                <w:sz w:val="24"/>
                <w:szCs w:val="24"/>
              </w:rPr>
            </w:pPr>
            <w:r>
              <w:rPr>
                <w:rFonts w:hint="eastAsia" w:ascii="宋体" w:hAnsi="宋体" w:cs="宋体"/>
                <w:color w:val="auto"/>
                <w:kern w:val="0"/>
                <w:sz w:val="24"/>
                <w:szCs w:val="24"/>
              </w:rPr>
              <w:t xml:space="preserve">自磋商之日起 </w:t>
            </w:r>
            <w:r>
              <w:rPr>
                <w:rFonts w:hint="eastAsia" w:ascii="宋体" w:hAnsi="宋体" w:cs="宋体"/>
                <w:color w:val="auto"/>
                <w:kern w:val="0"/>
                <w:sz w:val="24"/>
                <w:szCs w:val="24"/>
                <w:u w:val="single"/>
              </w:rPr>
              <w:t>90</w:t>
            </w:r>
            <w:r>
              <w:rPr>
                <w:rFonts w:hint="eastAsia" w:ascii="宋体" w:hAnsi="宋体" w:cs="宋体"/>
                <w:color w:val="auto"/>
                <w:kern w:val="0"/>
                <w:sz w:val="24"/>
                <w:szCs w:val="24"/>
              </w:rPr>
              <w:t xml:space="preserve"> 日历天</w:t>
            </w:r>
          </w:p>
        </w:tc>
      </w:tr>
      <w:tr w14:paraId="75922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907" w:type="dxa"/>
            <w:tcBorders>
              <w:tl2br w:val="nil"/>
              <w:tr2bl w:val="nil"/>
            </w:tcBorders>
            <w:vAlign w:val="center"/>
          </w:tcPr>
          <w:p w14:paraId="6FB2E4DD">
            <w:pPr>
              <w:autoSpaceDE w:val="0"/>
              <w:autoSpaceDN w:val="0"/>
              <w:ind w:left="489" w:leftChars="24" w:hanging="437" w:hangingChars="175"/>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16</w:t>
            </w:r>
          </w:p>
        </w:tc>
        <w:tc>
          <w:tcPr>
            <w:tcW w:w="2010" w:type="dxa"/>
            <w:tcBorders>
              <w:tl2br w:val="nil"/>
              <w:tr2bl w:val="nil"/>
            </w:tcBorders>
            <w:vAlign w:val="center"/>
          </w:tcPr>
          <w:p w14:paraId="54EB0BD5">
            <w:pPr>
              <w:autoSpaceDE w:val="0"/>
              <w:autoSpaceDN w:val="0"/>
              <w:ind w:left="487" w:leftChars="23" w:hanging="437" w:hangingChars="175"/>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磋商保证金</w:t>
            </w:r>
          </w:p>
        </w:tc>
        <w:tc>
          <w:tcPr>
            <w:tcW w:w="6371" w:type="dxa"/>
            <w:tcBorders>
              <w:tl2br w:val="nil"/>
              <w:tr2bl w:val="nil"/>
            </w:tcBorders>
            <w:vAlign w:val="center"/>
          </w:tcPr>
          <w:p w14:paraId="7DF93A4E">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磋商保证金金额：¥</w:t>
            </w:r>
            <w:r>
              <w:rPr>
                <w:rFonts w:hint="eastAsia" w:hAnsi="宋体" w:cs="宋体"/>
                <w:b/>
                <w:bCs/>
                <w:color w:val="auto"/>
                <w:kern w:val="0"/>
                <w:sz w:val="24"/>
                <w:szCs w:val="24"/>
                <w:lang w:val="en-US" w:eastAsia="zh-CN" w:bidi="ar-SA"/>
              </w:rPr>
              <w:t>10000.00</w:t>
            </w:r>
            <w:r>
              <w:rPr>
                <w:rFonts w:hint="eastAsia" w:ascii="宋体" w:hAnsi="宋体" w:eastAsia="宋体" w:cs="宋体"/>
                <w:b/>
                <w:bCs/>
                <w:color w:val="auto"/>
                <w:kern w:val="0"/>
                <w:sz w:val="24"/>
                <w:szCs w:val="24"/>
                <w:lang w:val="en-US" w:eastAsia="zh-CN" w:bidi="ar-SA"/>
              </w:rPr>
              <w:t>元，大写：</w:t>
            </w:r>
            <w:r>
              <w:rPr>
                <w:rFonts w:hint="eastAsia" w:hAnsi="宋体" w:cs="宋体"/>
                <w:b/>
                <w:bCs/>
                <w:color w:val="auto"/>
                <w:kern w:val="0"/>
                <w:sz w:val="24"/>
                <w:szCs w:val="24"/>
                <w:lang w:val="en-US" w:eastAsia="zh-CN" w:bidi="ar-SA"/>
              </w:rPr>
              <w:t>壹万元整</w:t>
            </w:r>
            <w:r>
              <w:rPr>
                <w:rFonts w:hint="eastAsia" w:ascii="宋体" w:hAnsi="宋体" w:eastAsia="宋体" w:cs="宋体"/>
                <w:b/>
                <w:bCs/>
                <w:color w:val="auto"/>
                <w:kern w:val="0"/>
                <w:sz w:val="24"/>
                <w:szCs w:val="24"/>
                <w:lang w:val="en-US" w:eastAsia="zh-CN" w:bidi="ar-SA"/>
              </w:rPr>
              <w:t>；</w:t>
            </w:r>
          </w:p>
          <w:p w14:paraId="1EA8F02A">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 xml:space="preserve">形式：银行转账；电汇；保函；诚信企业信用承诺。 </w:t>
            </w:r>
          </w:p>
          <w:p w14:paraId="6671B52D">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eastAsia="zh-CN"/>
              </w:rPr>
              <w:t>缴纳截止时间：同投标文件递交（上传）截止时间。</w:t>
            </w:r>
          </w:p>
          <w:p w14:paraId="1F9F5CBE">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重要提示：</w:t>
            </w:r>
          </w:p>
          <w:p w14:paraId="21A088C2">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1、投标保证金不接受现金，以银行转账、电汇形式交纳投标保证金的，招标结束之后以转账形式退到供应商的账户。</w:t>
            </w:r>
          </w:p>
          <w:p w14:paraId="4570529A">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2、投标保证金必须在递交投标文件截止时间之前交纳至以下账户：</w:t>
            </w:r>
          </w:p>
          <w:p w14:paraId="6BF426D0">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 xml:space="preserve">户  名：宝鸡市公共资源交易中心保证金专户 </w:t>
            </w:r>
          </w:p>
          <w:p w14:paraId="70344F9C">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开户行：长安银行股份有限公司宝鸡分行营业部</w:t>
            </w:r>
          </w:p>
          <w:p w14:paraId="2D35FDD7">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帐  号：以交易中心平台生成的子账号为准</w:t>
            </w:r>
          </w:p>
          <w:p w14:paraId="3D51DA71">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3、供应商以担保机构保函（格式见附件</w:t>
            </w:r>
            <w:r>
              <w:rPr>
                <w:rFonts w:hint="eastAsia" w:hAnsi="宋体" w:cs="宋体"/>
                <w:b w:val="0"/>
                <w:bCs w:val="0"/>
                <w:color w:val="auto"/>
                <w:kern w:val="2"/>
                <w:sz w:val="24"/>
                <w:szCs w:val="24"/>
                <w:lang w:val="en-US" w:eastAsia="zh-CN"/>
              </w:rPr>
              <w:t>7</w:t>
            </w:r>
            <w:r>
              <w:rPr>
                <w:rFonts w:hint="eastAsia" w:ascii="宋体" w:hAnsi="宋体" w:eastAsia="宋体" w:cs="宋体"/>
                <w:b w:val="0"/>
                <w:bCs w:val="0"/>
                <w:color w:val="auto"/>
                <w:kern w:val="2"/>
                <w:sz w:val="24"/>
                <w:szCs w:val="24"/>
              </w:rPr>
              <w:t>）或银行保函形式交纳投标保证金的</w:t>
            </w:r>
            <w:r>
              <w:rPr>
                <w:rFonts w:hint="eastAsia" w:ascii="宋体" w:hAnsi="宋体" w:eastAsia="宋体" w:cs="宋体"/>
                <w:b w:val="0"/>
                <w:bCs w:val="0"/>
                <w:color w:val="auto"/>
                <w:kern w:val="2"/>
                <w:sz w:val="24"/>
                <w:szCs w:val="24"/>
                <w:lang w:val="en-US" w:eastAsia="zh-CN"/>
              </w:rPr>
              <w:t>:（1）银行保函：</w:t>
            </w:r>
            <w:r>
              <w:rPr>
                <w:rFonts w:hint="eastAsia" w:ascii="宋体" w:hAnsi="宋体" w:eastAsia="宋体" w:cs="宋体"/>
                <w:b w:val="0"/>
                <w:bCs w:val="0"/>
                <w:color w:val="auto"/>
                <w:kern w:val="2"/>
                <w:sz w:val="24"/>
                <w:szCs w:val="24"/>
              </w:rPr>
              <w:t>在投标文件递交截止时间前须持银行保函原件、介绍信、开户许可证复印件（加盖公司公章）、法定代表人和经办人身份证复印件（加盖公司公章）至宝鸡市公共资源交易中心（宝鸡市金台区行政大道8号）</w:t>
            </w:r>
            <w:r>
              <w:rPr>
                <w:rFonts w:hint="eastAsia" w:ascii="宋体" w:hAnsi="宋体" w:eastAsia="宋体" w:cs="宋体"/>
                <w:b w:val="0"/>
                <w:bCs w:val="0"/>
                <w:color w:val="auto"/>
                <w:kern w:val="2"/>
                <w:sz w:val="24"/>
                <w:szCs w:val="24"/>
                <w:lang w:val="en-US"/>
              </w:rPr>
              <w:t>6楼</w:t>
            </w:r>
            <w:r>
              <w:rPr>
                <w:rFonts w:hint="eastAsia" w:ascii="宋体" w:hAnsi="宋体" w:eastAsia="宋体" w:cs="宋体"/>
                <w:b w:val="0"/>
                <w:bCs w:val="0"/>
                <w:color w:val="auto"/>
                <w:kern w:val="2"/>
                <w:sz w:val="24"/>
                <w:szCs w:val="24"/>
              </w:rPr>
              <w:t>财务科递交和查验，并及时告知代理机构，逾期未提供视为放弃投标，有效期应当符合招标文件规定。（</w:t>
            </w:r>
            <w:r>
              <w:rPr>
                <w:rFonts w:hint="eastAsia" w:ascii="宋体" w:hAnsi="宋体" w:eastAsia="宋体" w:cs="宋体"/>
                <w:b w:val="0"/>
                <w:bCs w:val="0"/>
                <w:color w:val="auto"/>
                <w:kern w:val="2"/>
                <w:sz w:val="24"/>
                <w:szCs w:val="24"/>
                <w:lang w:val="en-US"/>
              </w:rPr>
              <w:t>2</w:t>
            </w:r>
            <w:r>
              <w:rPr>
                <w:rFonts w:hint="eastAsia" w:ascii="宋体" w:hAnsi="宋体" w:eastAsia="宋体" w:cs="宋体"/>
                <w:b w:val="0"/>
                <w:bCs w:val="0"/>
                <w:color w:val="auto"/>
                <w:kern w:val="2"/>
                <w:sz w:val="24"/>
                <w:szCs w:val="24"/>
              </w:rPr>
              <w:t>）担保机构保函：在投标文件递交截止时间前须持保函原件、介绍信、法定代表人和经办人身份证复印件（加盖公司公章）至采购代理机构递交和查验，招标结束之后将保函正本原件退回，逾期未提供视为放弃投标，有效期应当符合招标文件规定。</w:t>
            </w:r>
          </w:p>
          <w:p w14:paraId="6DE1CC3A">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注：</w:t>
            </w:r>
          </w:p>
          <w:p w14:paraId="1DA0B4B3">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rPr>
              <w:t>1</w:t>
            </w:r>
            <w:r>
              <w:rPr>
                <w:rFonts w:hint="eastAsia" w:ascii="宋体" w:hAnsi="宋体" w:eastAsia="宋体" w:cs="宋体"/>
                <w:b w:val="0"/>
                <w:bCs w:val="0"/>
                <w:color w:val="auto"/>
                <w:kern w:val="2"/>
                <w:sz w:val="24"/>
                <w:szCs w:val="24"/>
              </w:rPr>
              <w:t>）转账时请在备注/事由/摘要/用途处，注明“保证金+账号后五位数”信息，否则导致的查账延误责任自负，以到账时间为准；</w:t>
            </w:r>
          </w:p>
          <w:p w14:paraId="47BF2B19">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rPr>
              <w:t>2</w:t>
            </w:r>
            <w:r>
              <w:rPr>
                <w:rFonts w:hint="eastAsia" w:ascii="宋体" w:hAnsi="宋体" w:eastAsia="宋体" w:cs="宋体"/>
                <w:b w:val="0"/>
                <w:bCs w:val="0"/>
                <w:color w:val="auto"/>
                <w:kern w:val="2"/>
                <w:sz w:val="24"/>
                <w:szCs w:val="24"/>
              </w:rPr>
              <w:t>）须将保证金转账凭证及开户许可证（或基本存款账户信息）复印件或保函正本复印件粘贴于招标文件规定处</w:t>
            </w:r>
          </w:p>
          <w:p w14:paraId="60776534">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4、依据宝市交易发[2025]19号文件的规定，供应商为“诚信企业”的，可以以信用承诺替代投标保证金，供应商应按照招标文件格式（格式见附件</w:t>
            </w:r>
            <w:r>
              <w:rPr>
                <w:rFonts w:hint="eastAsia" w:hAnsi="宋体" w:cs="宋体"/>
                <w:b w:val="0"/>
                <w:bCs w:val="0"/>
                <w:color w:val="auto"/>
                <w:kern w:val="2"/>
                <w:sz w:val="24"/>
                <w:szCs w:val="24"/>
                <w:lang w:val="en-US" w:eastAsia="zh-CN"/>
              </w:rPr>
              <w:t>8</w:t>
            </w:r>
            <w:r>
              <w:rPr>
                <w:rFonts w:hint="eastAsia" w:ascii="宋体" w:hAnsi="宋体" w:eastAsia="宋体" w:cs="宋体"/>
                <w:b w:val="0"/>
                <w:bCs w:val="0"/>
                <w:color w:val="auto"/>
                <w:kern w:val="2"/>
                <w:sz w:val="24"/>
                <w:szCs w:val="24"/>
              </w:rPr>
              <w:t>）填写交易保证金信用承诺书，信用承诺有效期满足投标有效期时效，承诺书后附“信用评价结果及政策依据文件”，供应商未按上述要求提供信用承诺书的，也未采用其他方式交纳投标保证金的视为未交纳投标保证金，按废标处理。</w:t>
            </w:r>
          </w:p>
          <w:p w14:paraId="22C6F4C5">
            <w:pPr>
              <w:pStyle w:val="10"/>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rPr>
              <w:t>注：诚信企业(投标人、供应商)是指按照国家公共信用或行业、地方、第三方信用体系建设实践，依法依规评审认定或公开发布的“诚信企业”。</w:t>
            </w:r>
          </w:p>
        </w:tc>
      </w:tr>
      <w:tr w14:paraId="47B11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7" w:type="dxa"/>
            <w:tcBorders>
              <w:tl2br w:val="nil"/>
              <w:tr2bl w:val="nil"/>
            </w:tcBorders>
            <w:vAlign w:val="center"/>
          </w:tcPr>
          <w:p w14:paraId="6FD35C46">
            <w:pPr>
              <w:autoSpaceDE w:val="0"/>
              <w:autoSpaceDN w:val="0"/>
              <w:ind w:left="487" w:leftChars="23" w:hanging="437" w:hangingChars="175"/>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17</w:t>
            </w:r>
          </w:p>
        </w:tc>
        <w:tc>
          <w:tcPr>
            <w:tcW w:w="2010" w:type="dxa"/>
            <w:tcBorders>
              <w:tl2br w:val="nil"/>
              <w:tr2bl w:val="nil"/>
            </w:tcBorders>
            <w:vAlign w:val="center"/>
          </w:tcPr>
          <w:p w14:paraId="6660BCC7">
            <w:pPr>
              <w:autoSpaceDE w:val="0"/>
              <w:autoSpaceDN w:val="0"/>
              <w:ind w:left="487" w:leftChars="23"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是否允许递交</w:t>
            </w:r>
          </w:p>
          <w:p w14:paraId="5FBCBC09">
            <w:pPr>
              <w:autoSpaceDE w:val="0"/>
              <w:autoSpaceDN w:val="0"/>
              <w:ind w:left="487" w:leftChars="23"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备选磋商方案</w:t>
            </w:r>
          </w:p>
        </w:tc>
        <w:tc>
          <w:tcPr>
            <w:tcW w:w="6371" w:type="dxa"/>
            <w:tcBorders>
              <w:tl2br w:val="nil"/>
              <w:tr2bl w:val="nil"/>
            </w:tcBorders>
            <w:vAlign w:val="center"/>
          </w:tcPr>
          <w:p w14:paraId="34B2850C">
            <w:pPr>
              <w:autoSpaceDE w:val="0"/>
              <w:autoSpaceDN w:val="0"/>
              <w:ind w:left="503" w:leftChars="30" w:hanging="437" w:hangingChars="175"/>
              <w:jc w:val="left"/>
              <w:rPr>
                <w:rFonts w:ascii="宋体" w:hAnsi="宋体" w:cs="宋体"/>
                <w:color w:val="auto"/>
                <w:kern w:val="0"/>
                <w:sz w:val="24"/>
                <w:szCs w:val="24"/>
              </w:rPr>
            </w:pPr>
            <w:r>
              <w:rPr>
                <w:rFonts w:hint="eastAsia" w:ascii="宋体" w:hAnsi="宋体" w:cs="宋体"/>
                <w:color w:val="auto"/>
                <w:kern w:val="0"/>
                <w:sz w:val="24"/>
                <w:szCs w:val="24"/>
              </w:rPr>
              <w:t>不允许</w:t>
            </w:r>
          </w:p>
        </w:tc>
      </w:tr>
      <w:tr w14:paraId="18C3C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907" w:type="dxa"/>
            <w:tcBorders>
              <w:tl2br w:val="nil"/>
              <w:tr2bl w:val="nil"/>
            </w:tcBorders>
            <w:vAlign w:val="center"/>
          </w:tcPr>
          <w:p w14:paraId="30BB73CB">
            <w:pPr>
              <w:autoSpaceDE w:val="0"/>
              <w:autoSpaceDN w:val="0"/>
              <w:ind w:left="487" w:leftChars="23" w:hanging="437" w:hangingChars="175"/>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18</w:t>
            </w:r>
          </w:p>
        </w:tc>
        <w:tc>
          <w:tcPr>
            <w:tcW w:w="2010" w:type="dxa"/>
            <w:tcBorders>
              <w:tl2br w:val="nil"/>
              <w:tr2bl w:val="nil"/>
            </w:tcBorders>
            <w:vAlign w:val="center"/>
          </w:tcPr>
          <w:p w14:paraId="1917AFA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磋商响应文件</w:t>
            </w:r>
          </w:p>
          <w:p w14:paraId="2DBD6C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签署</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盖章</w:t>
            </w:r>
          </w:p>
          <w:p w14:paraId="62EECB47">
            <w:pPr>
              <w:jc w:val="center"/>
              <w:rPr>
                <w:rFonts w:ascii="宋体" w:hAnsi="宋体" w:cs="宋体"/>
                <w:color w:val="auto"/>
                <w:sz w:val="24"/>
                <w:szCs w:val="24"/>
              </w:rPr>
            </w:pPr>
          </w:p>
        </w:tc>
        <w:tc>
          <w:tcPr>
            <w:tcW w:w="6371" w:type="dxa"/>
            <w:tcBorders>
              <w:tl2br w:val="nil"/>
              <w:tr2bl w:val="nil"/>
            </w:tcBorders>
            <w:vAlign w:val="center"/>
          </w:tcPr>
          <w:p w14:paraId="76170C45">
            <w:pPr>
              <w:tabs>
                <w:tab w:val="left" w:pos="7013"/>
              </w:tabs>
              <w:rPr>
                <w:rFonts w:ascii="宋体" w:hAnsi="宋体" w:cs="宋体"/>
                <w:color w:val="auto"/>
                <w:sz w:val="24"/>
                <w:szCs w:val="24"/>
              </w:rPr>
            </w:pPr>
            <w:r>
              <w:rPr>
                <w:rFonts w:hint="eastAsia" w:ascii="宋体" w:hAnsi="宋体" w:eastAsia="宋体" w:cs="宋体"/>
                <w:color w:val="auto"/>
                <w:sz w:val="24"/>
                <w:szCs w:val="24"/>
                <w:highlight w:val="none"/>
              </w:rPr>
              <w:t>电子</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文件中需要法定代表人签字或盖章的地方，请使用“法人CA”进行签章；需要加盖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公章的地方，请使用“企业 CA”进行盖章。加密和解密应当使用同一CA，否则将会导致解密失败。</w:t>
            </w:r>
          </w:p>
        </w:tc>
      </w:tr>
      <w:tr w14:paraId="14FC0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07" w:type="dxa"/>
            <w:tcBorders>
              <w:tl2br w:val="nil"/>
              <w:tr2bl w:val="nil"/>
            </w:tcBorders>
            <w:vAlign w:val="center"/>
          </w:tcPr>
          <w:p w14:paraId="0FCC698D">
            <w:pPr>
              <w:autoSpaceDE w:val="0"/>
              <w:autoSpaceDN w:val="0"/>
              <w:ind w:left="487" w:leftChars="23" w:hanging="437" w:hangingChars="175"/>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19</w:t>
            </w:r>
          </w:p>
        </w:tc>
        <w:tc>
          <w:tcPr>
            <w:tcW w:w="2010" w:type="dxa"/>
            <w:tcBorders>
              <w:tl2br w:val="nil"/>
              <w:tr2bl w:val="nil"/>
            </w:tcBorders>
            <w:vAlign w:val="center"/>
          </w:tcPr>
          <w:p w14:paraId="0F0B97C9">
            <w:pPr>
              <w:autoSpaceDE w:val="0"/>
              <w:autoSpaceDN w:val="0"/>
              <w:spacing w:after="120"/>
              <w:ind w:left="489" w:leftChars="24"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磋商响应文件</w:t>
            </w:r>
          </w:p>
          <w:p w14:paraId="663C1C47">
            <w:pPr>
              <w:autoSpaceDE w:val="0"/>
              <w:autoSpaceDN w:val="0"/>
              <w:spacing w:after="120"/>
              <w:ind w:left="489" w:leftChars="24" w:hanging="437" w:hangingChars="175"/>
              <w:jc w:val="center"/>
              <w:rPr>
                <w:rFonts w:ascii="宋体" w:hAnsi="宋体" w:cs="宋体"/>
                <w:color w:val="auto"/>
                <w:kern w:val="0"/>
                <w:sz w:val="24"/>
                <w:szCs w:val="24"/>
              </w:rPr>
            </w:pPr>
            <w:r>
              <w:rPr>
                <w:rFonts w:hint="eastAsia" w:ascii="宋体" w:hAnsi="宋体" w:cs="宋体"/>
                <w:color w:val="auto"/>
                <w:kern w:val="0"/>
                <w:sz w:val="24"/>
                <w:szCs w:val="24"/>
              </w:rPr>
              <w:t>装订要求</w:t>
            </w:r>
          </w:p>
        </w:tc>
        <w:tc>
          <w:tcPr>
            <w:tcW w:w="6371" w:type="dxa"/>
            <w:tcBorders>
              <w:tl2br w:val="nil"/>
              <w:tr2bl w:val="nil"/>
            </w:tcBorders>
            <w:vAlign w:val="center"/>
          </w:tcPr>
          <w:p w14:paraId="717724B3">
            <w:pPr>
              <w:autoSpaceDE w:val="0"/>
              <w:autoSpaceDN w:val="0"/>
              <w:spacing w:line="400" w:lineRule="exact"/>
              <w:ind w:left="67" w:leftChars="30" w:hanging="1"/>
              <w:jc w:val="left"/>
              <w:rPr>
                <w:rFonts w:ascii="宋体" w:hAnsi="宋体" w:cs="宋体"/>
                <w:color w:val="auto"/>
                <w:kern w:val="0"/>
                <w:sz w:val="24"/>
                <w:szCs w:val="24"/>
              </w:rPr>
            </w:pPr>
            <w:r>
              <w:rPr>
                <w:rFonts w:hint="eastAsia" w:ascii="宋体" w:hAnsi="宋体" w:cs="宋体"/>
                <w:color w:val="auto"/>
                <w:kern w:val="0"/>
                <w:sz w:val="24"/>
                <w:szCs w:val="24"/>
              </w:rPr>
              <w:t>本项目采用电子化投标方式开标，</w:t>
            </w:r>
            <w:r>
              <w:rPr>
                <w:rFonts w:hint="eastAsia" w:ascii="宋体" w:hAnsi="宋体" w:cs="宋体"/>
                <w:color w:val="auto"/>
                <w:kern w:val="0"/>
                <w:sz w:val="24"/>
                <w:szCs w:val="24"/>
                <w:lang w:eastAsia="zh-CN"/>
              </w:rPr>
              <w:t>磋商</w:t>
            </w:r>
            <w:r>
              <w:rPr>
                <w:rFonts w:hint="eastAsia" w:ascii="宋体" w:hAnsi="宋体" w:cs="宋体"/>
                <w:color w:val="auto"/>
                <w:kern w:val="0"/>
                <w:sz w:val="24"/>
                <w:szCs w:val="24"/>
              </w:rPr>
              <w:t>结束后</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在领取</w:t>
            </w:r>
            <w:r>
              <w:rPr>
                <w:rFonts w:hint="eastAsia" w:ascii="宋体" w:hAnsi="宋体" w:cs="宋体"/>
                <w:color w:val="auto"/>
                <w:kern w:val="0"/>
                <w:sz w:val="24"/>
                <w:szCs w:val="24"/>
                <w:lang w:eastAsia="zh-CN"/>
              </w:rPr>
              <w:t>成交通知书</w:t>
            </w:r>
            <w:r>
              <w:rPr>
                <w:rFonts w:hint="eastAsia" w:ascii="宋体" w:hAnsi="宋体" w:cs="宋体"/>
                <w:color w:val="auto"/>
                <w:kern w:val="0"/>
                <w:sz w:val="24"/>
                <w:szCs w:val="24"/>
              </w:rPr>
              <w:t>前，须向采购代理机构提交与</w:t>
            </w:r>
            <w:r>
              <w:rPr>
                <w:rFonts w:hint="eastAsia" w:ascii="宋体" w:hAnsi="宋体" w:cs="宋体"/>
                <w:color w:val="auto"/>
                <w:kern w:val="0"/>
                <w:sz w:val="24"/>
                <w:szCs w:val="24"/>
                <w:lang w:eastAsia="zh-CN"/>
              </w:rPr>
              <w:t>磋商电子响应</w:t>
            </w:r>
            <w:r>
              <w:rPr>
                <w:rFonts w:hint="eastAsia" w:ascii="宋体" w:hAnsi="宋体" w:cs="宋体"/>
                <w:color w:val="auto"/>
                <w:kern w:val="0"/>
                <w:sz w:val="24"/>
                <w:szCs w:val="24"/>
              </w:rPr>
              <w:t>文件完全一致的纸质版</w:t>
            </w:r>
            <w:r>
              <w:rPr>
                <w:rFonts w:hint="eastAsia" w:ascii="宋体" w:hAnsi="宋体" w:cs="宋体"/>
                <w:color w:val="auto"/>
                <w:kern w:val="0"/>
                <w:sz w:val="24"/>
                <w:szCs w:val="24"/>
                <w:lang w:eastAsia="zh-CN"/>
              </w:rPr>
              <w:t>响应</w:t>
            </w:r>
            <w:r>
              <w:rPr>
                <w:rFonts w:hint="eastAsia" w:ascii="宋体" w:hAnsi="宋体" w:cs="宋体"/>
                <w:color w:val="auto"/>
                <w:kern w:val="0"/>
                <w:sz w:val="24"/>
                <w:szCs w:val="24"/>
              </w:rPr>
              <w:t>文件（签署并加</w:t>
            </w:r>
            <w:r>
              <w:rPr>
                <w:rFonts w:hint="eastAsia" w:ascii="宋体" w:hAnsi="宋体" w:cs="宋体"/>
                <w:color w:val="auto"/>
                <w:kern w:val="0"/>
                <w:sz w:val="24"/>
                <w:szCs w:val="24"/>
                <w:lang w:eastAsia="zh-CN"/>
              </w:rPr>
              <w:t>盖公章</w:t>
            </w:r>
            <w:r>
              <w:rPr>
                <w:rFonts w:hint="eastAsia" w:ascii="宋体" w:hAnsi="宋体" w:cs="宋体"/>
                <w:color w:val="auto"/>
                <w:kern w:val="0"/>
                <w:sz w:val="24"/>
                <w:szCs w:val="24"/>
              </w:rPr>
              <w:t>）正本壹份，副本贰份，电子</w:t>
            </w:r>
            <w:r>
              <w:rPr>
                <w:rFonts w:hint="eastAsia" w:ascii="宋体" w:hAnsi="宋体" w:cs="宋体"/>
                <w:color w:val="auto"/>
                <w:kern w:val="0"/>
                <w:sz w:val="24"/>
                <w:szCs w:val="24"/>
                <w:lang w:eastAsia="zh-CN"/>
              </w:rPr>
              <w:t>响应</w:t>
            </w:r>
            <w:r>
              <w:rPr>
                <w:rFonts w:hint="eastAsia" w:ascii="宋体" w:hAnsi="宋体" w:cs="宋体"/>
                <w:color w:val="auto"/>
                <w:kern w:val="0"/>
                <w:sz w:val="24"/>
                <w:szCs w:val="24"/>
              </w:rPr>
              <w:t>文件壹份。（</w:t>
            </w:r>
            <w:r>
              <w:rPr>
                <w:rFonts w:hint="eastAsia" w:ascii="宋体" w:hAnsi="宋体" w:cs="宋体"/>
                <w:bCs/>
                <w:color w:val="auto"/>
                <w:sz w:val="24"/>
                <w:szCs w:val="24"/>
                <w:highlight w:val="none"/>
              </w:rPr>
              <w:t>U盘</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Word格式及加盖公章的PDF格式磋商响应文件</w:t>
            </w:r>
            <w:r>
              <w:rPr>
                <w:rFonts w:hint="eastAsia" w:ascii="宋体" w:hAnsi="宋体" w:cs="宋体"/>
                <w:bCs/>
                <w:color w:val="auto"/>
                <w:sz w:val="24"/>
                <w:szCs w:val="24"/>
                <w:highlight w:val="none"/>
                <w:lang w:eastAsia="zh-CN"/>
              </w:rPr>
              <w:t>）</w:t>
            </w:r>
            <w:r>
              <w:rPr>
                <w:rFonts w:hint="eastAsia" w:ascii="宋体" w:hAnsi="宋体" w:cs="宋体"/>
                <w:color w:val="auto"/>
                <w:kern w:val="0"/>
                <w:sz w:val="24"/>
                <w:szCs w:val="24"/>
              </w:rPr>
              <w:t>，未按要求提交</w:t>
            </w:r>
            <w:r>
              <w:rPr>
                <w:rFonts w:hint="eastAsia" w:ascii="宋体" w:hAnsi="宋体" w:cs="宋体"/>
                <w:color w:val="auto"/>
                <w:kern w:val="0"/>
                <w:sz w:val="24"/>
                <w:szCs w:val="24"/>
                <w:lang w:eastAsia="zh-CN"/>
              </w:rPr>
              <w:t>响应</w:t>
            </w:r>
            <w:r>
              <w:rPr>
                <w:rFonts w:hint="eastAsia" w:ascii="宋体" w:hAnsi="宋体" w:cs="宋体"/>
                <w:color w:val="auto"/>
                <w:kern w:val="0"/>
                <w:sz w:val="24"/>
                <w:szCs w:val="24"/>
              </w:rPr>
              <w:t>文件的</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不得领取</w:t>
            </w:r>
            <w:r>
              <w:rPr>
                <w:rFonts w:hint="eastAsia" w:ascii="宋体" w:hAnsi="宋体" w:cs="宋体"/>
                <w:color w:val="auto"/>
                <w:kern w:val="0"/>
                <w:sz w:val="24"/>
                <w:szCs w:val="24"/>
                <w:lang w:eastAsia="zh-CN"/>
              </w:rPr>
              <w:t>成交通知书</w:t>
            </w:r>
            <w:r>
              <w:rPr>
                <w:rFonts w:hint="eastAsia" w:ascii="宋体" w:hAnsi="宋体" w:cs="宋体"/>
                <w:color w:val="auto"/>
                <w:kern w:val="0"/>
                <w:sz w:val="24"/>
                <w:szCs w:val="24"/>
              </w:rPr>
              <w:t>。</w:t>
            </w:r>
          </w:p>
        </w:tc>
      </w:tr>
      <w:tr w14:paraId="204AB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907" w:type="dxa"/>
            <w:tcBorders>
              <w:tl2br w:val="nil"/>
              <w:tr2bl w:val="nil"/>
            </w:tcBorders>
            <w:vAlign w:val="center"/>
          </w:tcPr>
          <w:p w14:paraId="2D6DDF3C">
            <w:pPr>
              <w:autoSpaceDE w:val="0"/>
              <w:autoSpaceDN w:val="0"/>
              <w:ind w:left="489" w:leftChars="24" w:hanging="437" w:hangingChars="175"/>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w:t>
            </w:r>
          </w:p>
        </w:tc>
        <w:tc>
          <w:tcPr>
            <w:tcW w:w="2010" w:type="dxa"/>
            <w:tcBorders>
              <w:tl2br w:val="nil"/>
              <w:tr2bl w:val="nil"/>
            </w:tcBorders>
            <w:vAlign w:val="center"/>
          </w:tcPr>
          <w:p w14:paraId="14325455">
            <w:pPr>
              <w:autoSpaceDE w:val="0"/>
              <w:autoSpaceDN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磋商时间和地点</w:t>
            </w:r>
          </w:p>
        </w:tc>
        <w:tc>
          <w:tcPr>
            <w:tcW w:w="6371" w:type="dxa"/>
            <w:tcBorders>
              <w:tl2br w:val="nil"/>
              <w:tr2bl w:val="nil"/>
            </w:tcBorders>
            <w:vAlign w:val="center"/>
          </w:tcPr>
          <w:p w14:paraId="1FA96261">
            <w:pPr>
              <w:keepNext w:val="0"/>
              <w:keepLines w:val="0"/>
              <w:pageBreakBefore w:val="0"/>
              <w:widowControl w:val="0"/>
              <w:kinsoku/>
              <w:wordWrap/>
              <w:overflowPunct/>
              <w:topLinePunct w:val="0"/>
              <w:autoSpaceDE w:val="0"/>
              <w:autoSpaceDN w:val="0"/>
              <w:bidi w:val="0"/>
              <w:adjustRightInd/>
              <w:snapToGrid/>
              <w:spacing w:line="288" w:lineRule="auto"/>
              <w:ind w:left="66" w:leftChars="30" w:right="0" w:rightChars="0" w:firstLine="0" w:firstLineChars="0"/>
              <w:jc w:val="both"/>
              <w:textAlignment w:val="auto"/>
              <w:outlineLvl w:val="9"/>
              <w:rPr>
                <w:rFonts w:ascii="宋体" w:hAnsi="宋体" w:cs="宋体"/>
                <w:color w:val="auto"/>
                <w:kern w:val="0"/>
                <w:sz w:val="24"/>
                <w:szCs w:val="24"/>
              </w:rPr>
            </w:pPr>
            <w:r>
              <w:rPr>
                <w:rFonts w:hint="eastAsia" w:ascii="宋体" w:hAnsi="宋体" w:cs="宋体"/>
                <w:color w:val="auto"/>
                <w:kern w:val="0"/>
                <w:sz w:val="24"/>
                <w:szCs w:val="24"/>
              </w:rPr>
              <w:t>磋商时间：</w:t>
            </w:r>
            <w:r>
              <w:rPr>
                <w:rFonts w:hint="eastAsia" w:ascii="宋体" w:hAnsi="宋体" w:cs="宋体"/>
                <w:color w:val="auto"/>
                <w:kern w:val="0"/>
                <w:sz w:val="24"/>
                <w:szCs w:val="24"/>
                <w:u w:val="single"/>
                <w:lang w:eastAsia="zh-CN"/>
              </w:rPr>
              <w:t>202</w:t>
            </w:r>
            <w:r>
              <w:rPr>
                <w:rFonts w:hint="eastAsia" w:ascii="宋体" w:hAnsi="宋体" w:cs="宋体"/>
                <w:color w:val="auto"/>
                <w:kern w:val="0"/>
                <w:sz w:val="24"/>
                <w:szCs w:val="24"/>
                <w:u w:val="single"/>
                <w:lang w:val="en-US" w:eastAsia="zh-CN"/>
              </w:rPr>
              <w:t>5</w:t>
            </w:r>
            <w:r>
              <w:rPr>
                <w:rFonts w:hint="eastAsia" w:ascii="宋体" w:hAnsi="宋体" w:cs="宋体"/>
                <w:color w:val="auto"/>
                <w:kern w:val="0"/>
                <w:sz w:val="24"/>
                <w:szCs w:val="24"/>
                <w:u w:val="single"/>
                <w:lang w:eastAsia="zh-CN"/>
              </w:rPr>
              <w:t>年</w:t>
            </w:r>
            <w:r>
              <w:rPr>
                <w:rFonts w:hint="eastAsia" w:ascii="宋体" w:hAnsi="宋体" w:cs="宋体"/>
                <w:color w:val="auto"/>
                <w:kern w:val="0"/>
                <w:sz w:val="24"/>
                <w:szCs w:val="24"/>
                <w:u w:val="single"/>
                <w:lang w:val="en-US" w:eastAsia="zh-CN"/>
              </w:rPr>
              <w:t>10</w:t>
            </w:r>
            <w:r>
              <w:rPr>
                <w:rFonts w:hint="eastAsia" w:ascii="宋体" w:hAnsi="宋体" w:cs="宋体"/>
                <w:color w:val="auto"/>
                <w:kern w:val="0"/>
                <w:sz w:val="24"/>
                <w:szCs w:val="24"/>
                <w:u w:val="single"/>
                <w:lang w:eastAsia="zh-CN"/>
              </w:rPr>
              <w:t>月</w:t>
            </w:r>
            <w:r>
              <w:rPr>
                <w:rFonts w:hint="eastAsia" w:ascii="宋体" w:hAnsi="宋体" w:cs="宋体"/>
                <w:color w:val="auto"/>
                <w:kern w:val="0"/>
                <w:sz w:val="24"/>
                <w:szCs w:val="24"/>
                <w:u w:val="single"/>
                <w:lang w:val="en-US" w:eastAsia="zh-CN"/>
              </w:rPr>
              <w:t>27</w:t>
            </w:r>
            <w:r>
              <w:rPr>
                <w:rFonts w:hint="eastAsia" w:ascii="宋体" w:hAnsi="宋体" w:cs="宋体"/>
                <w:color w:val="auto"/>
                <w:kern w:val="0"/>
                <w:sz w:val="24"/>
                <w:szCs w:val="24"/>
                <w:u w:val="single"/>
                <w:lang w:eastAsia="zh-CN"/>
              </w:rPr>
              <w:t>日</w:t>
            </w:r>
            <w:r>
              <w:rPr>
                <w:rFonts w:hint="eastAsia" w:ascii="宋体" w:hAnsi="宋体" w:cs="宋体"/>
                <w:color w:val="auto"/>
                <w:kern w:val="0"/>
                <w:sz w:val="24"/>
                <w:szCs w:val="24"/>
                <w:u w:val="single"/>
                <w:lang w:val="en-US" w:eastAsia="zh-CN"/>
              </w:rPr>
              <w:t>14时00分</w:t>
            </w:r>
          </w:p>
          <w:p w14:paraId="2830947C">
            <w:pPr>
              <w:keepNext w:val="0"/>
              <w:keepLines w:val="0"/>
              <w:pageBreakBefore w:val="0"/>
              <w:widowControl w:val="0"/>
              <w:kinsoku/>
              <w:wordWrap/>
              <w:overflowPunct/>
              <w:topLinePunct w:val="0"/>
              <w:autoSpaceDE w:val="0"/>
              <w:autoSpaceDN w:val="0"/>
              <w:bidi w:val="0"/>
              <w:adjustRightInd/>
              <w:snapToGrid/>
              <w:spacing w:line="288" w:lineRule="auto"/>
              <w:ind w:left="66" w:leftChars="30" w:right="0" w:rightChars="0" w:firstLine="0" w:firstLineChars="0"/>
              <w:jc w:val="both"/>
              <w:textAlignment w:val="auto"/>
              <w:outlineLvl w:val="9"/>
              <w:rPr>
                <w:rFonts w:ascii="宋体" w:hAnsi="宋体" w:cs="宋体"/>
                <w:color w:val="auto"/>
                <w:kern w:val="0"/>
                <w:sz w:val="24"/>
                <w:szCs w:val="24"/>
              </w:rPr>
            </w:pPr>
            <w:r>
              <w:rPr>
                <w:rFonts w:hint="eastAsia" w:ascii="宋体" w:hAnsi="宋体" w:cs="宋体"/>
                <w:color w:val="auto"/>
                <w:kern w:val="0"/>
                <w:sz w:val="24"/>
                <w:szCs w:val="24"/>
              </w:rPr>
              <w:t>磋商地点：</w:t>
            </w:r>
            <w:r>
              <w:rPr>
                <w:rFonts w:hint="eastAsia" w:ascii="宋体" w:hAnsi="宋体" w:cs="宋体"/>
                <w:color w:val="000000" w:themeColor="text1"/>
                <w:sz w:val="24"/>
                <w:szCs w:val="24"/>
                <w:u w:val="single"/>
                <w:lang w:eastAsia="zh-CN"/>
                <w14:textFill>
                  <w14:solidFill>
                    <w14:schemeClr w14:val="tx1"/>
                  </w14:solidFill>
                </w14:textFill>
              </w:rPr>
              <w:t>全国公共资源交易平台（陕西省·宝鸡市）</w:t>
            </w:r>
            <w:r>
              <w:rPr>
                <w:rFonts w:hint="eastAsia" w:ascii="宋体" w:hAnsi="宋体" w:cs="宋体"/>
                <w:color w:val="000000" w:themeColor="text1"/>
                <w:sz w:val="24"/>
                <w:szCs w:val="24"/>
                <w:u w:val="single"/>
                <w:lang w:val="en-US" w:eastAsia="zh-CN"/>
                <w14:textFill>
                  <w14:solidFill>
                    <w14:schemeClr w14:val="tx1"/>
                  </w14:solidFill>
                </w14:textFill>
              </w:rPr>
              <w:t>不见面开标大厅</w:t>
            </w:r>
            <w:r>
              <w:rPr>
                <w:rFonts w:hint="eastAsia" w:ascii="宋体" w:hAnsi="宋体" w:cs="宋体"/>
                <w:color w:val="auto"/>
                <w:kern w:val="0"/>
                <w:sz w:val="24"/>
                <w:szCs w:val="24"/>
              </w:rPr>
              <w:t xml:space="preserve">   </w:t>
            </w:r>
          </w:p>
        </w:tc>
      </w:tr>
      <w:tr w14:paraId="49A68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07" w:type="dxa"/>
            <w:tcBorders>
              <w:tl2br w:val="nil"/>
              <w:tr2bl w:val="nil"/>
            </w:tcBorders>
            <w:vAlign w:val="center"/>
          </w:tcPr>
          <w:p w14:paraId="600AF334">
            <w:pPr>
              <w:autoSpaceDE w:val="0"/>
              <w:autoSpaceDN w:val="0"/>
              <w:ind w:left="489" w:leftChars="24" w:hanging="437" w:hangingChars="175"/>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21</w:t>
            </w:r>
          </w:p>
        </w:tc>
        <w:tc>
          <w:tcPr>
            <w:tcW w:w="2010" w:type="dxa"/>
            <w:tcBorders>
              <w:tl2br w:val="nil"/>
              <w:tr2bl w:val="nil"/>
            </w:tcBorders>
            <w:vAlign w:val="center"/>
          </w:tcPr>
          <w:p w14:paraId="2BB12DA3">
            <w:pPr>
              <w:spacing w:line="360" w:lineRule="exact"/>
              <w:jc w:val="center"/>
              <w:rPr>
                <w:rFonts w:hint="eastAsia" w:ascii="宋体" w:hAnsi="宋体" w:cs="宋体"/>
                <w:color w:val="auto"/>
                <w:kern w:val="0"/>
                <w:sz w:val="24"/>
                <w:szCs w:val="24"/>
              </w:rPr>
            </w:pPr>
            <w:r>
              <w:rPr>
                <w:rFonts w:hint="eastAsia" w:ascii="宋体" w:hAnsi="宋体" w:cs="宋体"/>
                <w:color w:val="auto"/>
                <w:sz w:val="24"/>
                <w:highlight w:val="none"/>
                <w:lang w:eastAsia="zh-CN"/>
              </w:rPr>
              <w:t>成交</w:t>
            </w:r>
            <w:r>
              <w:rPr>
                <w:rFonts w:hint="eastAsia" w:ascii="宋体" w:hAnsi="宋体" w:cs="宋体"/>
                <w:color w:val="auto"/>
                <w:sz w:val="24"/>
                <w:highlight w:val="none"/>
              </w:rPr>
              <w:t>结果公示</w:t>
            </w:r>
          </w:p>
        </w:tc>
        <w:tc>
          <w:tcPr>
            <w:tcW w:w="6371" w:type="dxa"/>
            <w:tcBorders>
              <w:tl2br w:val="nil"/>
              <w:tr2bl w:val="nil"/>
            </w:tcBorders>
            <w:vAlign w:val="center"/>
          </w:tcPr>
          <w:p w14:paraId="7EB5F741">
            <w:pPr>
              <w:spacing w:line="360" w:lineRule="exact"/>
              <w:ind w:left="44" w:leftChars="20"/>
              <w:rPr>
                <w:rFonts w:hint="eastAsia" w:ascii="宋体" w:hAnsi="宋体" w:cs="宋体"/>
                <w:color w:val="auto"/>
                <w:kern w:val="0"/>
                <w:sz w:val="24"/>
                <w:szCs w:val="24"/>
              </w:rPr>
            </w:pPr>
            <w:r>
              <w:rPr>
                <w:rFonts w:hint="eastAsia" w:ascii="宋体" w:hAnsi="宋体" w:eastAsia="宋体" w:cs="宋体"/>
                <w:color w:val="auto"/>
                <w:sz w:val="24"/>
                <w:highlight w:val="none"/>
                <w:lang w:eastAsia="zh-CN"/>
              </w:rPr>
              <w:t>陕西省政府采购网、全国公共资源交易平台（陕西省·宝鸡市）</w:t>
            </w:r>
          </w:p>
        </w:tc>
      </w:tr>
      <w:tr w14:paraId="5DE7D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07" w:type="dxa"/>
            <w:tcBorders>
              <w:tl2br w:val="nil"/>
              <w:tr2bl w:val="nil"/>
            </w:tcBorders>
            <w:vAlign w:val="center"/>
          </w:tcPr>
          <w:p w14:paraId="156F4231">
            <w:pPr>
              <w:autoSpaceDE w:val="0"/>
              <w:autoSpaceDN w:val="0"/>
              <w:spacing w:line="240" w:lineRule="auto"/>
              <w:ind w:left="489" w:leftChars="24" w:hanging="437" w:hangingChars="175"/>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22</w:t>
            </w:r>
          </w:p>
        </w:tc>
        <w:tc>
          <w:tcPr>
            <w:tcW w:w="2010" w:type="dxa"/>
            <w:tcBorders>
              <w:tl2br w:val="nil"/>
              <w:tr2bl w:val="nil"/>
            </w:tcBorders>
            <w:vAlign w:val="center"/>
          </w:tcPr>
          <w:p w14:paraId="206D46EF">
            <w:pPr>
              <w:spacing w:line="240" w:lineRule="auto"/>
              <w:jc w:val="center"/>
              <w:rPr>
                <w:rFonts w:hint="eastAsia" w:ascii="宋体" w:hAnsi="宋体" w:cs="宋体"/>
                <w:b w:val="0"/>
                <w:bCs w:val="0"/>
                <w:color w:val="auto"/>
                <w:kern w:val="0"/>
                <w:sz w:val="24"/>
                <w:szCs w:val="24"/>
                <w:lang w:eastAsia="zh-CN"/>
              </w:rPr>
            </w:pPr>
            <w:r>
              <w:rPr>
                <w:rFonts w:hint="eastAsia" w:ascii="宋体" w:hAnsi="宋体" w:eastAsia="宋体" w:cs="宋体"/>
                <w:b w:val="0"/>
                <w:bCs w:val="0"/>
                <w:color w:val="auto"/>
                <w:sz w:val="24"/>
                <w:highlight w:val="none"/>
                <w:lang w:eastAsia="zh-CN"/>
              </w:rPr>
              <w:t>是否为专门面向</w:t>
            </w:r>
            <w:r>
              <w:rPr>
                <w:rFonts w:hint="eastAsia" w:ascii="宋体" w:hAnsi="宋体" w:cs="宋体"/>
                <w:b w:val="0"/>
                <w:bCs w:val="0"/>
                <w:color w:val="auto"/>
                <w:sz w:val="24"/>
                <w:highlight w:val="none"/>
                <w:lang w:eastAsia="zh-CN"/>
              </w:rPr>
              <w:t>中小</w:t>
            </w:r>
            <w:r>
              <w:rPr>
                <w:rFonts w:hint="eastAsia" w:ascii="宋体" w:hAnsi="宋体" w:eastAsia="宋体" w:cs="宋体"/>
                <w:b w:val="0"/>
                <w:bCs w:val="0"/>
                <w:color w:val="auto"/>
                <w:sz w:val="24"/>
                <w:highlight w:val="none"/>
                <w:lang w:eastAsia="zh-CN"/>
              </w:rPr>
              <w:t>企业采购</w:t>
            </w:r>
          </w:p>
        </w:tc>
        <w:tc>
          <w:tcPr>
            <w:tcW w:w="6371" w:type="dxa"/>
            <w:tcBorders>
              <w:tl2br w:val="nil"/>
              <w:tr2bl w:val="nil"/>
            </w:tcBorders>
            <w:vAlign w:val="center"/>
          </w:tcPr>
          <w:p w14:paraId="1CEA64AE">
            <w:pPr>
              <w:pStyle w:val="6"/>
              <w:spacing w:line="240" w:lineRule="auto"/>
              <w:ind w:left="0" w:leftChars="0" w:firstLine="0" w:firstLineChars="0"/>
              <w:rPr>
                <w:rFonts w:hint="eastAsia"/>
                <w:lang w:val="en-US" w:eastAsia="zh-CN"/>
              </w:rPr>
            </w:pPr>
            <w:r>
              <w:rPr>
                <w:rFonts w:hint="eastAsia" w:ascii="宋体" w:hAnsi="宋体" w:cs="宋体"/>
                <w:b/>
                <w:bCs/>
                <w:color w:val="auto"/>
                <w:kern w:val="0"/>
                <w:sz w:val="24"/>
                <w:szCs w:val="24"/>
                <w:lang w:val="en-US" w:eastAsia="zh-CN"/>
              </w:rPr>
              <w:t>是，面向规模为中小企业。</w:t>
            </w:r>
          </w:p>
        </w:tc>
      </w:tr>
      <w:tr w14:paraId="32CE6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7" w:type="dxa"/>
            <w:tcBorders>
              <w:tl2br w:val="nil"/>
              <w:tr2bl w:val="nil"/>
            </w:tcBorders>
            <w:vAlign w:val="center"/>
          </w:tcPr>
          <w:p w14:paraId="2BF3FB66">
            <w:pPr>
              <w:autoSpaceDE w:val="0"/>
              <w:autoSpaceDN w:val="0"/>
              <w:spacing w:line="240" w:lineRule="auto"/>
              <w:ind w:left="489" w:leftChars="24" w:hanging="437" w:hangingChars="175"/>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23</w:t>
            </w:r>
          </w:p>
        </w:tc>
        <w:tc>
          <w:tcPr>
            <w:tcW w:w="2010" w:type="dxa"/>
            <w:tcBorders>
              <w:tl2br w:val="nil"/>
              <w:tr2bl w:val="nil"/>
            </w:tcBorders>
            <w:vAlign w:val="center"/>
          </w:tcPr>
          <w:p w14:paraId="5CBA0AC3">
            <w:pPr>
              <w:spacing w:line="240" w:lineRule="auto"/>
              <w:jc w:val="center"/>
              <w:rPr>
                <w:rFonts w:hint="eastAsia" w:ascii="宋体" w:hAnsi="宋体" w:eastAsia="宋体" w:cs="宋体"/>
                <w:b w:val="0"/>
                <w:bCs w:val="0"/>
                <w:color w:val="auto"/>
                <w:sz w:val="24"/>
                <w:highlight w:val="none"/>
                <w:lang w:eastAsia="zh-CN"/>
              </w:rPr>
            </w:pPr>
            <w:r>
              <w:rPr>
                <w:rFonts w:hint="eastAsia"/>
                <w:b/>
                <w:bCs/>
                <w:color w:val="auto"/>
                <w:sz w:val="24"/>
                <w:szCs w:val="28"/>
                <w:lang w:val="en-US" w:eastAsia="zh-CN"/>
              </w:rPr>
              <w:t>采购标的</w:t>
            </w:r>
          </w:p>
        </w:tc>
        <w:tc>
          <w:tcPr>
            <w:tcW w:w="6371" w:type="dxa"/>
            <w:tcBorders>
              <w:tl2br w:val="nil"/>
              <w:tr2bl w:val="nil"/>
            </w:tcBorders>
            <w:vAlign w:val="center"/>
          </w:tcPr>
          <w:p w14:paraId="767D1A31">
            <w:pPr>
              <w:pStyle w:val="7"/>
              <w:ind w:left="0" w:leftChars="0" w:firstLine="0" w:firstLineChars="0"/>
              <w:rPr>
                <w:rFonts w:hint="eastAsia"/>
                <w:b/>
                <w:bCs/>
                <w:color w:val="auto"/>
                <w:sz w:val="24"/>
                <w:szCs w:val="28"/>
                <w:lang w:val="en-US" w:eastAsia="zh-CN"/>
              </w:rPr>
            </w:pPr>
            <w:r>
              <w:rPr>
                <w:rFonts w:hint="eastAsia"/>
                <w:b/>
                <w:bCs/>
                <w:color w:val="auto"/>
                <w:sz w:val="24"/>
                <w:szCs w:val="28"/>
                <w:lang w:val="en-US" w:eastAsia="zh-CN"/>
              </w:rPr>
              <w:t>绞盘式喷灌机</w:t>
            </w:r>
          </w:p>
        </w:tc>
      </w:tr>
      <w:tr w14:paraId="1A8F9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7" w:type="dxa"/>
            <w:tcBorders>
              <w:tl2br w:val="nil"/>
              <w:tr2bl w:val="nil"/>
            </w:tcBorders>
            <w:vAlign w:val="center"/>
          </w:tcPr>
          <w:p w14:paraId="6DC34106">
            <w:pPr>
              <w:autoSpaceDE w:val="0"/>
              <w:autoSpaceDN w:val="0"/>
              <w:ind w:left="489" w:leftChars="24" w:hanging="437" w:hangingChars="175"/>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24</w:t>
            </w:r>
          </w:p>
        </w:tc>
        <w:tc>
          <w:tcPr>
            <w:tcW w:w="2010" w:type="dxa"/>
            <w:tcBorders>
              <w:tl2br w:val="nil"/>
              <w:tr2bl w:val="nil"/>
            </w:tcBorders>
            <w:vAlign w:val="center"/>
          </w:tcPr>
          <w:p w14:paraId="6328472A">
            <w:pPr>
              <w:jc w:val="center"/>
              <w:rPr>
                <w:rFonts w:hint="eastAsia" w:ascii="宋体" w:hAnsi="宋体" w:eastAsia="宋体" w:cs="宋体"/>
                <w:color w:val="auto"/>
                <w:kern w:val="2"/>
                <w:sz w:val="24"/>
                <w:szCs w:val="22"/>
                <w:lang w:val="en-US" w:eastAsia="zh-CN" w:bidi="ar-SA"/>
              </w:rPr>
            </w:pPr>
            <w:r>
              <w:rPr>
                <w:rFonts w:hint="eastAsia" w:ascii="宋体" w:hAnsi="宋体" w:eastAsia="宋体" w:cs="宋体"/>
                <w:b w:val="0"/>
                <w:bCs w:val="0"/>
                <w:color w:val="auto"/>
                <w:sz w:val="24"/>
                <w:highlight w:val="none"/>
                <w:lang w:eastAsia="zh-CN"/>
              </w:rPr>
              <w:t>本项目所属行业</w:t>
            </w:r>
          </w:p>
        </w:tc>
        <w:tc>
          <w:tcPr>
            <w:tcW w:w="6371" w:type="dxa"/>
            <w:tcBorders>
              <w:tl2br w:val="nil"/>
              <w:tr2bl w:val="nil"/>
            </w:tcBorders>
            <w:vAlign w:val="center"/>
          </w:tcPr>
          <w:p w14:paraId="28ED1202">
            <w:pPr>
              <w:pStyle w:val="6"/>
              <w:ind w:firstLine="0" w:firstLineChars="0"/>
              <w:rPr>
                <w:rFonts w:hint="eastAsia" w:ascii="宋体" w:hAnsi="宋体" w:eastAsia="宋体" w:cs="宋体"/>
                <w:color w:val="auto"/>
                <w:kern w:val="2"/>
                <w:sz w:val="24"/>
                <w:szCs w:val="24"/>
                <w:lang w:val="en-US" w:eastAsia="zh-CN" w:bidi="ar-SA"/>
              </w:rPr>
            </w:pPr>
            <w:r>
              <w:rPr>
                <w:rFonts w:hint="eastAsia" w:ascii="宋体" w:hAnsi="宋体" w:cs="宋体"/>
                <w:b/>
                <w:bCs/>
                <w:color w:val="auto"/>
                <w:kern w:val="2"/>
                <w:sz w:val="24"/>
                <w:szCs w:val="24"/>
                <w:lang w:val="en-US" w:eastAsia="zh-CN" w:bidi="ar-SA"/>
              </w:rPr>
              <w:t>工业</w:t>
            </w:r>
          </w:p>
        </w:tc>
      </w:tr>
      <w:tr w14:paraId="0D59B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7" w:type="dxa"/>
            <w:tcBorders>
              <w:tl2br w:val="nil"/>
              <w:tr2bl w:val="nil"/>
            </w:tcBorders>
            <w:vAlign w:val="center"/>
          </w:tcPr>
          <w:p w14:paraId="0E906147">
            <w:pPr>
              <w:autoSpaceDE w:val="0"/>
              <w:autoSpaceDN w:val="0"/>
              <w:ind w:left="489" w:leftChars="24" w:hanging="437" w:hangingChars="175"/>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25</w:t>
            </w:r>
          </w:p>
        </w:tc>
        <w:tc>
          <w:tcPr>
            <w:tcW w:w="2010" w:type="dxa"/>
            <w:tcBorders>
              <w:tl2br w:val="nil"/>
              <w:tr2bl w:val="nil"/>
            </w:tcBorders>
            <w:vAlign w:val="center"/>
          </w:tcPr>
          <w:p w14:paraId="498DB251">
            <w:pPr>
              <w:jc w:val="center"/>
              <w:rPr>
                <w:rFonts w:hint="eastAsia" w:ascii="宋体" w:hAnsi="宋体" w:eastAsia="宋体" w:cs="宋体"/>
                <w:b w:val="0"/>
                <w:bCs w:val="0"/>
                <w:color w:val="auto"/>
                <w:sz w:val="24"/>
                <w:highlight w:val="none"/>
                <w:lang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核心产品</w:t>
            </w:r>
          </w:p>
        </w:tc>
        <w:tc>
          <w:tcPr>
            <w:tcW w:w="6371" w:type="dxa"/>
            <w:tcBorders>
              <w:tl2br w:val="nil"/>
              <w:tr2bl w:val="nil"/>
            </w:tcBorders>
            <w:vAlign w:val="center"/>
          </w:tcPr>
          <w:p w14:paraId="79D7A9B0">
            <w:pPr>
              <w:pStyle w:val="6"/>
              <w:ind w:firstLine="0" w:firstLineChars="0"/>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75-400绞盘式喷灌机</w:t>
            </w:r>
          </w:p>
        </w:tc>
      </w:tr>
      <w:tr w14:paraId="695B1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07" w:type="dxa"/>
            <w:tcBorders>
              <w:tl2br w:val="nil"/>
              <w:tr2bl w:val="nil"/>
            </w:tcBorders>
            <w:vAlign w:val="center"/>
          </w:tcPr>
          <w:p w14:paraId="7B73B83D">
            <w:pPr>
              <w:autoSpaceDE w:val="0"/>
              <w:autoSpaceDN w:val="0"/>
              <w:ind w:left="489" w:leftChars="24" w:hanging="437" w:hangingChars="175"/>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备注</w:t>
            </w:r>
          </w:p>
        </w:tc>
        <w:tc>
          <w:tcPr>
            <w:tcW w:w="8381" w:type="dxa"/>
            <w:gridSpan w:val="2"/>
            <w:tcBorders>
              <w:tl2br w:val="nil"/>
              <w:tr2bl w:val="nil"/>
            </w:tcBorders>
            <w:vAlign w:val="center"/>
          </w:tcPr>
          <w:p w14:paraId="64EEAC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1"/>
                <w:szCs w:val="21"/>
                <w:shd w:val="clear" w:color="auto" w:fill="FFFFFF"/>
                <w:lang w:eastAsia="zh-CN"/>
              </w:rPr>
              <w:t>本项目采用电子化不见面形式开标，各供应商自行检查网络环境，须使用数字认证证书对电子化响应文件进行签章、加密、递交及开标时解密等相关招投标事宜。如因供应商自身原因造成无法解密响应文件，按无效投标对待。</w:t>
            </w:r>
          </w:p>
        </w:tc>
      </w:tr>
    </w:tbl>
    <w:p w14:paraId="0C061C83">
      <w:pPr>
        <w:keepNext w:val="0"/>
        <w:keepLines w:val="0"/>
        <w:pageBreakBefore w:val="0"/>
        <w:kinsoku/>
        <w:wordWrap/>
        <w:overflowPunct/>
        <w:topLinePunct w:val="0"/>
        <w:autoSpaceDE w:val="0"/>
        <w:autoSpaceDN w:val="0"/>
        <w:bidi w:val="0"/>
        <w:adjustRightInd w:val="0"/>
        <w:snapToGrid w:val="0"/>
        <w:spacing w:line="580" w:lineRule="exact"/>
        <w:ind w:firstLine="500" w:firstLineChars="200"/>
        <w:rPr>
          <w:rFonts w:ascii="宋体" w:hAnsi="宋体" w:cs="宋体"/>
          <w:b/>
          <w:color w:val="auto"/>
          <w:sz w:val="24"/>
          <w:szCs w:val="24"/>
        </w:rPr>
      </w:pPr>
      <w:r>
        <w:rPr>
          <w:rFonts w:hint="eastAsia" w:ascii="宋体" w:hAnsi="宋体" w:cs="宋体"/>
          <w:b/>
          <w:color w:val="auto"/>
          <w:sz w:val="24"/>
          <w:szCs w:val="24"/>
        </w:rPr>
        <w:t>一、名词解释</w:t>
      </w:r>
    </w:p>
    <w:p w14:paraId="4F9C95B5">
      <w:pPr>
        <w:keepNext w:val="0"/>
        <w:keepLines w:val="0"/>
        <w:pageBreakBefore w:val="0"/>
        <w:widowControl/>
        <w:kinsoku/>
        <w:wordWrap/>
        <w:overflowPunct/>
        <w:topLinePunct w:val="0"/>
        <w:bidi w:val="0"/>
        <w:adjustRightInd w:val="0"/>
        <w:snapToGrid w:val="0"/>
        <w:spacing w:line="580" w:lineRule="exact"/>
        <w:ind w:firstLine="500" w:firstLineChars="200"/>
        <w:rPr>
          <w:rFonts w:hint="eastAsia" w:ascii="宋体" w:hAnsi="宋体" w:eastAsia="宋体" w:cs="宋体"/>
          <w:color w:val="auto"/>
          <w:kern w:val="0"/>
          <w:sz w:val="24"/>
          <w:szCs w:val="24"/>
          <w:lang w:eastAsia="zh-CN"/>
        </w:rPr>
      </w:pPr>
      <w:r>
        <w:rPr>
          <w:rFonts w:hint="eastAsia" w:ascii="宋体" w:hAnsi="宋体" w:cs="宋体"/>
          <w:bCs/>
          <w:color w:val="auto"/>
          <w:sz w:val="24"/>
          <w:szCs w:val="24"/>
        </w:rPr>
        <w:t>1、采购人：</w:t>
      </w:r>
      <w:r>
        <w:rPr>
          <w:rFonts w:hint="eastAsia" w:asciiTheme="minorEastAsia" w:hAnsiTheme="minorEastAsia" w:eastAsiaTheme="minorEastAsia" w:cstheme="minorEastAsia"/>
          <w:color w:val="auto"/>
          <w:sz w:val="24"/>
          <w:szCs w:val="24"/>
          <w:lang w:eastAsia="zh-CN"/>
        </w:rPr>
        <w:t>宝鸡市凤翔区城关镇人民政府</w:t>
      </w:r>
    </w:p>
    <w:p w14:paraId="095EC4CC">
      <w:pPr>
        <w:keepNext w:val="0"/>
        <w:keepLines w:val="0"/>
        <w:pageBreakBefore w:val="0"/>
        <w:kinsoku/>
        <w:wordWrap/>
        <w:overflowPunct/>
        <w:topLinePunct w:val="0"/>
        <w:autoSpaceDE w:val="0"/>
        <w:autoSpaceDN w:val="0"/>
        <w:bidi w:val="0"/>
        <w:adjustRightInd w:val="0"/>
        <w:snapToGrid w:val="0"/>
        <w:spacing w:line="580" w:lineRule="exact"/>
        <w:ind w:firstLine="50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rPr>
        <w:t>2、采购代理机构：</w:t>
      </w:r>
      <w:r>
        <w:rPr>
          <w:rFonts w:hint="eastAsia" w:ascii="宋体" w:hAnsi="宋体" w:cs="宋体"/>
          <w:bCs/>
          <w:color w:val="auto"/>
          <w:sz w:val="24"/>
          <w:szCs w:val="24"/>
          <w:lang w:eastAsia="zh-CN"/>
        </w:rPr>
        <w:t>陕西华信项目管理有限公司</w:t>
      </w:r>
    </w:p>
    <w:p w14:paraId="786ACAED">
      <w:pPr>
        <w:keepNext w:val="0"/>
        <w:keepLines w:val="0"/>
        <w:pageBreakBefore w:val="0"/>
        <w:kinsoku/>
        <w:wordWrap/>
        <w:overflowPunct/>
        <w:topLinePunct w:val="0"/>
        <w:autoSpaceDE w:val="0"/>
        <w:autoSpaceDN w:val="0"/>
        <w:bidi w:val="0"/>
        <w:adjustRightInd w:val="0"/>
        <w:snapToGrid w:val="0"/>
        <w:spacing w:line="580" w:lineRule="exact"/>
        <w:ind w:firstLine="50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rPr>
        <w:t>3、监督机构：</w:t>
      </w:r>
      <w:r>
        <w:rPr>
          <w:rFonts w:hint="eastAsia" w:asciiTheme="minorEastAsia" w:hAnsiTheme="minorEastAsia" w:eastAsiaTheme="minorEastAsia" w:cstheme="minorEastAsia"/>
          <w:color w:val="auto"/>
          <w:sz w:val="24"/>
          <w:szCs w:val="24"/>
          <w:lang w:eastAsia="zh-CN"/>
        </w:rPr>
        <w:t>中国共产党宝鸡市凤翔区城关镇纪律检查委员会</w:t>
      </w:r>
    </w:p>
    <w:p w14:paraId="37EA1763">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4、供应商：满足竞争性磋商公告中供应商资格条件的规定和在公共资源交易平台下载磋商文件、参加磋商的法人、其他组织或者自然人。</w:t>
      </w:r>
    </w:p>
    <w:p w14:paraId="3866CBB4">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
          <w:color w:val="auto"/>
          <w:sz w:val="24"/>
          <w:szCs w:val="24"/>
        </w:rPr>
        <w:t>二、竞争性磋商文件</w:t>
      </w:r>
    </w:p>
    <w:p w14:paraId="1F3F71ED">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1、竞争性磋商文件由竞争性磋商文件目录包含的五部分组成。</w:t>
      </w:r>
    </w:p>
    <w:p w14:paraId="2E179C63">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color w:val="auto"/>
          <w:sz w:val="24"/>
          <w:szCs w:val="24"/>
        </w:rPr>
      </w:pPr>
      <w:r>
        <w:rPr>
          <w:rFonts w:hint="eastAsia" w:ascii="宋体" w:hAnsi="宋体" w:cs="宋体"/>
          <w:bCs/>
          <w:color w:val="auto"/>
          <w:sz w:val="24"/>
          <w:szCs w:val="24"/>
        </w:rPr>
        <w:t>2、供应商应详细阅读竞争性磋商文件所有的事项、格式、条款和规范要求等，在竞争性磋商响应文件中对竞争性磋商文件的各方面都做出实质性的响应，按照竞争性磋商文件的要求提交全部资料。若供应商的磋商响应文件未按竞争性磋商文件要求提交全部资料，或没有对竞争性磋商文件做出实质性响应，应作废标处理。</w:t>
      </w:r>
    </w:p>
    <w:p w14:paraId="286832AD">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3、竞争性磋商文件的澄清或修改：</w:t>
      </w:r>
    </w:p>
    <w:p w14:paraId="160D0690">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3.1提交磋商响应文件截止时间前，采购人、采购代理机构可以以书面形式对竞争性磋商文件进行必要的澄清或修改，其内容均为竞争性磋商文件的组成部分，并在</w:t>
      </w:r>
      <w:r>
        <w:rPr>
          <w:rFonts w:hint="eastAsia" w:ascii="宋体" w:hAnsi="宋体" w:cs="宋体"/>
          <w:bCs/>
          <w:color w:val="auto"/>
          <w:sz w:val="24"/>
          <w:szCs w:val="24"/>
          <w:lang w:eastAsia="zh-CN"/>
        </w:rPr>
        <w:t>财政部门指定媒体上</w:t>
      </w:r>
      <w:r>
        <w:rPr>
          <w:rFonts w:hint="eastAsia" w:ascii="宋体" w:hAnsi="宋体" w:cs="宋体"/>
          <w:bCs/>
          <w:color w:val="auto"/>
          <w:sz w:val="24"/>
          <w:szCs w:val="24"/>
        </w:rPr>
        <w:t>发布变更公告。对采购人及供应商起约束作用。澄清或修改的内容可能影响磋商响应文件编制的，都将于提交磋商响应文件截止时间5日前以书面形式通知所有获取竞争性磋商文件的供应商；不足5日的，采购人、采购代理机构应当顺延提交首次磋商响应文件的截止时间。</w:t>
      </w:r>
    </w:p>
    <w:p w14:paraId="77050C8E">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3.2供应商对竞争性磋商文件如有疑问要求澄清，或认为有必要与采购人进行技术交流，应于提交磋商响应文件截止时间2日前以书面形式通知采购代理机构，采购代理机构以书面形式予以答复。</w:t>
      </w:r>
    </w:p>
    <w:p w14:paraId="001A7518">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3.3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0FA9CCBE">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3.4根据采购工作进展实际情况，采购人可酌情延长递交竞争性磋商响应文件的截止时间，若延长将另行以书面形式通知各供应商并在财政部门指定媒体上发布变更公告。采购代理机构和供应商的权利和义务将受到新的截止期的约束。</w:t>
      </w:r>
    </w:p>
    <w:p w14:paraId="3F38C74E">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4、供应商必须从采购代理机构上传于公共资源交易平台上的竞争性磋商文件电子版进行下载，响应文件必须使用电子标书专用工具软件编制，并通过“陕西省公共资源交易平台（http://www.sxggzyjy.cn/）”完成响应过程，响应文件的编制和递交，应按照竞争性磋商文件的规定进行。如未按照竞争性磋商文件文件要求编制、递交电子响应文件，其后果由供应商自负。</w:t>
      </w:r>
    </w:p>
    <w:p w14:paraId="49995D8B">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5、竞争性磋商文件的解释权归采购代理机构。</w:t>
      </w:r>
    </w:p>
    <w:p w14:paraId="4908A637">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6、享受政府采购政策</w:t>
      </w:r>
    </w:p>
    <w:p w14:paraId="0BE64C92">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6.1本项目所需主要材料与设备符合政府采购强制采购政策的，实行强制采购。符合政府采购优先采购政策的，本项目所需主要材料与设备属于“节能产品政府采购清单”中品目的产品，需提供最新一期“节能产品政府采购清单”中产品(主要材料与设备)所在清单页并加盖供应商公章。该清单可在中国政府采购网（http://www.ccgp.gov.cn/）、中国环境资源信息网(http：//www.cern.gov.cn/)、中国节能节水认证网（http：//www.cecp.org.cn/）上查找；属于“环境标志产品政府采购清单”中品目的产品，需提供最新一期“环境标志产品政府采购清单”中产品(主要材料与设备)所在清单页并加盖供应商公章。该清单可在中国政府采购网（http://www.ccgp.gov.cn/）、国家环境保护总局网（http：//www.sepa.gov.vn/）中国绿色采购网（htp:/www.cgpn.cn/）上查找。</w:t>
      </w:r>
    </w:p>
    <w:p w14:paraId="6907F29F">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6.2供应商符合小型、微型企业或监狱企业、残疾人福利性单位条件的，其磋商报价价格评审时将按相应比例进行扣减。</w:t>
      </w:r>
    </w:p>
    <w:p w14:paraId="4E84866A">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6.2.1.依照《政府采购促进中小企业发展暂行办法》（财库〔2020〕46号）的规定，小型、微型企业应当同时符合以下条件：</w:t>
      </w:r>
    </w:p>
    <w:p w14:paraId="46E35A47">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 xml:space="preserve">①在货物采购项目中，货物由中小企业制造，即货物由中小企业生产且使用该中小企业商号或者注册商标；供应商提供的货物既有中小企业制造货物，也有大型企业制造货物的，不享受中小企业扶持政策。 </w:t>
      </w:r>
    </w:p>
    <w:p w14:paraId="344FD698">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②在工程采购项目中，工程由中小企业承建，即工程施工单位为中小企业；</w:t>
      </w:r>
    </w:p>
    <w:p w14:paraId="21354459">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 xml:space="preserve">③在服务采购项目中，服务由中小企业承接，即提供服务的人员为中小企业依照《中华人民共和国劳动民法典》订立劳动合同的从业人员； </w:t>
      </w:r>
    </w:p>
    <w:p w14:paraId="7EA577C2">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hint="eastAsia"/>
        </w:rPr>
      </w:pPr>
      <w:r>
        <w:rPr>
          <w:rFonts w:hint="eastAsia" w:ascii="宋体" w:hAnsi="宋体" w:cs="宋体"/>
          <w:bCs/>
          <w:color w:val="auto"/>
          <w:sz w:val="24"/>
          <w:szCs w:val="24"/>
        </w:rPr>
        <w:t>④提供中小企业的声明函，不提供或提供有瑕疵的，在评审时不享受政府采购优惠政策。</w:t>
      </w:r>
    </w:p>
    <w:p w14:paraId="28D47072">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6.2.2符合中小企业划分标准（中小企业划分标准是指国务院有关部门根据企业从业人员、营业收入、资产总额等指标制定的中小企业划分标准（工信部联企业【2011】300号））。</w:t>
      </w:r>
    </w:p>
    <w:p w14:paraId="142528F8">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6.2.3提供本企业制造的货物、承担的工程或者服务，或者提供其他中小企业制造的货物，不包括提供或使用大型企业注册商标的货物。</w:t>
      </w:r>
    </w:p>
    <w:p w14:paraId="538ACE4B">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6.2.4小型、微型企业提供中型企业制造的货物的，视同为中型企业；小型、微型、中型企业提供大型企业制造的货物的，视同为大型企业。</w:t>
      </w:r>
    </w:p>
    <w:p w14:paraId="5402BA6A">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6.3供应商享受支持中小型企业发展政策优惠的，可以同时享受节能产品、环境标志产品优先采购政策。依照《财政部、司法部关于政府采购支持监狱企业发展有关问题的通知》(财库[2014]68号文件)之规定，监狱企业参加政府采购活动时，视同中小企业。同一项目中部分产品属于优先采购政策的，评审时只对该部分产品实行优先采购。</w:t>
      </w:r>
    </w:p>
    <w:p w14:paraId="7D58C0B9">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6.3.1参加政府采购活动的中小企业应当提供《中小企业声明函》，不提供或提供有瑕疵的，在评审时不享受政府采购优惠政策。</w:t>
      </w:r>
    </w:p>
    <w:p w14:paraId="4358792C">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6.3.2参加政府采购活动的监狱企业应当提供由省级以上监狱管理局、戒毒管理局(含新疆生产建设兵团)出具的属于监狱企业的证明文件，参加政府采购活动时，视同小型、微型企业。不提供的不视为中小企业。</w:t>
      </w:r>
    </w:p>
    <w:p w14:paraId="3D257D87">
      <w:pPr>
        <w:keepNext w:val="0"/>
        <w:keepLines w:val="0"/>
        <w:pageBreakBefore w:val="0"/>
        <w:kinsoku/>
        <w:wordWrap/>
        <w:overflowPunct/>
        <w:topLinePunct w:val="0"/>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6.3.3参加政府采购活动的残疾人福利性单位应当提供《残疾人福利性单位声明函》，并对声明的真实性负责。残疾人福利性单位参加政府采购活动时，视同小型、微型企业：残疾人福利性单位属于小型、微型企业的，不重复享受政策。不提供或提供有瑕疵的，不视为小微企业，在评审时不享受政府采购优惠政策。</w:t>
      </w:r>
    </w:p>
    <w:p w14:paraId="63CD3F0E">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6.3.4为了落实国家保护环境、促进中小企业发展的政策优惠，如强制采购或优先采购纳入国家节能产品、环境标志产品政府采购清单的产品，对小型和微型企业产品的价格给予</w:t>
      </w:r>
      <w:r>
        <w:rPr>
          <w:rFonts w:hint="eastAsia" w:ascii="宋体" w:hAnsi="宋体" w:cs="宋体"/>
          <w:bCs/>
          <w:color w:val="auto"/>
          <w:sz w:val="24"/>
          <w:szCs w:val="24"/>
          <w:lang w:val="en-US" w:eastAsia="zh-CN"/>
        </w:rPr>
        <w:t>10</w:t>
      </w:r>
      <w:r>
        <w:rPr>
          <w:rFonts w:hint="eastAsia" w:ascii="宋体" w:hAnsi="宋体" w:cs="宋体"/>
          <w:bCs/>
          <w:color w:val="auto"/>
          <w:sz w:val="24"/>
          <w:szCs w:val="24"/>
        </w:rPr>
        <w:t>%的扣除。</w:t>
      </w:r>
    </w:p>
    <w:p w14:paraId="1970923D">
      <w:pPr>
        <w:keepNext w:val="0"/>
        <w:keepLines w:val="0"/>
        <w:pageBreakBefore w:val="0"/>
        <w:numPr>
          <w:ilvl w:val="0"/>
          <w:numId w:val="3"/>
        </w:numPr>
        <w:kinsoku/>
        <w:wordWrap/>
        <w:overflowPunct/>
        <w:topLinePunct w:val="0"/>
        <w:bidi w:val="0"/>
        <w:adjustRightInd w:val="0"/>
        <w:snapToGrid w:val="0"/>
        <w:spacing w:line="580" w:lineRule="exact"/>
        <w:ind w:firstLine="500" w:firstLineChars="200"/>
        <w:rPr>
          <w:rFonts w:ascii="宋体" w:hAnsi="宋体" w:cs="宋体"/>
          <w:b/>
          <w:color w:val="auto"/>
          <w:sz w:val="24"/>
          <w:szCs w:val="24"/>
        </w:rPr>
      </w:pPr>
      <w:r>
        <w:rPr>
          <w:rFonts w:hint="eastAsia" w:ascii="宋体" w:hAnsi="宋体" w:cs="宋体"/>
          <w:b/>
          <w:color w:val="auto"/>
          <w:sz w:val="24"/>
          <w:szCs w:val="24"/>
        </w:rPr>
        <w:t>竞争性磋商响应文件</w:t>
      </w:r>
    </w:p>
    <w:p w14:paraId="7CEFABE2">
      <w:pPr>
        <w:pStyle w:val="27"/>
        <w:keepNext w:val="0"/>
        <w:keepLines w:val="0"/>
        <w:pageBreakBefore w:val="0"/>
        <w:widowControl/>
        <w:kinsoku/>
        <w:wordWrap/>
        <w:overflowPunct/>
        <w:topLinePunct w:val="0"/>
        <w:bidi w:val="0"/>
        <w:adjustRightInd w:val="0"/>
        <w:snapToGrid w:val="0"/>
        <w:spacing w:before="0" w:beforeAutospacing="0" w:after="0" w:afterAutospacing="0" w:line="580" w:lineRule="exact"/>
        <w:ind w:firstLine="500" w:firstLineChars="200"/>
        <w:jc w:val="both"/>
        <w:rPr>
          <w:rFonts w:ascii="宋体" w:hAnsi="宋体" w:cs="宋体"/>
          <w:b/>
          <w:bCs/>
          <w:color w:val="auto"/>
          <w:szCs w:val="24"/>
        </w:rPr>
      </w:pPr>
      <w:r>
        <w:rPr>
          <w:rFonts w:hint="eastAsia" w:ascii="宋体" w:hAnsi="宋体" w:cs="宋体"/>
          <w:b/>
          <w:bCs/>
          <w:color w:val="auto"/>
          <w:szCs w:val="24"/>
        </w:rPr>
        <w:t>1、供应商资格要求：</w:t>
      </w:r>
    </w:p>
    <w:p w14:paraId="633F1455">
      <w:pPr>
        <w:pStyle w:val="27"/>
        <w:keepNext w:val="0"/>
        <w:keepLines w:val="0"/>
        <w:pageBreakBefore w:val="0"/>
        <w:widowControl/>
        <w:kinsoku/>
        <w:wordWrap/>
        <w:overflowPunct/>
        <w:topLinePunct w:val="0"/>
        <w:bidi w:val="0"/>
        <w:adjustRightInd w:val="0"/>
        <w:snapToGrid w:val="0"/>
        <w:spacing w:before="0" w:beforeAutospacing="0" w:after="0" w:afterAutospacing="0" w:line="580" w:lineRule="exact"/>
        <w:ind w:firstLine="500" w:firstLineChars="200"/>
        <w:jc w:val="both"/>
        <w:rPr>
          <w:rFonts w:ascii="宋体" w:hAnsi="宋体" w:cs="宋体"/>
          <w:color w:val="auto"/>
          <w:szCs w:val="24"/>
        </w:rPr>
      </w:pPr>
      <w:r>
        <w:rPr>
          <w:rFonts w:hint="eastAsia" w:ascii="宋体" w:hAnsi="宋体" w:cs="宋体"/>
          <w:color w:val="auto"/>
          <w:szCs w:val="24"/>
        </w:rPr>
        <w:t>1.1一般资格要求：具备《政府采购法》第二十二条规定资格条件；</w:t>
      </w:r>
    </w:p>
    <w:p w14:paraId="1E35ABB2">
      <w:pPr>
        <w:pStyle w:val="6"/>
        <w:keepNext w:val="0"/>
        <w:keepLines w:val="0"/>
        <w:pageBreakBefore w:val="0"/>
        <w:kinsoku/>
        <w:wordWrap/>
        <w:overflowPunct/>
        <w:topLinePunct w:val="0"/>
        <w:bidi w:val="0"/>
        <w:adjustRightInd w:val="0"/>
        <w:snapToGrid w:val="0"/>
        <w:spacing w:line="580" w:lineRule="exact"/>
        <w:rPr>
          <w:rFonts w:hint="eastAsia" w:ascii="宋体" w:hAnsi="宋体" w:cs="宋体"/>
          <w:bCs/>
          <w:color w:val="auto"/>
          <w:sz w:val="24"/>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1.1</w:t>
      </w:r>
      <w:r>
        <w:rPr>
          <w:rFonts w:hint="eastAsia" w:ascii="宋体" w:hAnsi="宋体" w:cs="宋体"/>
          <w:bCs/>
          <w:color w:val="auto"/>
          <w:sz w:val="24"/>
          <w:szCs w:val="24"/>
          <w:lang w:val="en-US" w:eastAsia="zh-CN"/>
        </w:rPr>
        <w:t>供应商须为合法注册的法人、其他组织或者自然人，并具有独立承担民事责任的能力；提供统一社会信用代码的营业执照（或事业法人证、自然人身份证）等证明文件；</w:t>
      </w:r>
    </w:p>
    <w:p w14:paraId="07453EA3">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1.2</w:t>
      </w:r>
      <w:r>
        <w:rPr>
          <w:rFonts w:hint="eastAsia" w:ascii="宋体" w:hAnsi="宋体" w:cs="宋体"/>
          <w:bCs/>
          <w:color w:val="auto"/>
          <w:sz w:val="24"/>
          <w:szCs w:val="24"/>
          <w:lang w:val="en-US" w:eastAsia="zh-CN"/>
        </w:rPr>
        <w:t xml:space="preserve">供应商财务状况报告：提供2024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以上两种形式的资料提供任何一种即可）；  </w:t>
      </w:r>
    </w:p>
    <w:p w14:paraId="346F213E">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1.3</w:t>
      </w:r>
      <w:r>
        <w:rPr>
          <w:rFonts w:hint="eastAsia" w:ascii="宋体" w:hAnsi="宋体" w:cs="宋体"/>
          <w:bCs/>
          <w:color w:val="auto"/>
          <w:sz w:val="24"/>
          <w:szCs w:val="24"/>
          <w:lang w:val="en-US" w:eastAsia="zh-CN"/>
        </w:rPr>
        <w:t xml:space="preserve">供应商税收缴纳证明：提供磋商截止时间前六个月内，任意一个月已缴纳的纳税证明或完税证明，依法免税的供应商应提供相关证明材料； </w:t>
      </w:r>
    </w:p>
    <w:p w14:paraId="5F1C9F81">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1.4</w:t>
      </w:r>
      <w:r>
        <w:rPr>
          <w:rFonts w:hint="eastAsia" w:ascii="宋体" w:hAnsi="宋体" w:cs="宋体"/>
          <w:bCs/>
          <w:color w:val="auto"/>
          <w:sz w:val="24"/>
          <w:szCs w:val="24"/>
          <w:lang w:val="en-US" w:eastAsia="zh-CN"/>
        </w:rPr>
        <w:t>供应商社会保障资金缴纳证明：提供磋商截止时间前六个月内，任意一个月已缴存的社会保障资金缴存单据或社保机构开具的社会保险参保缴费情况证明；依法不需要缴纳社会保障资金的供应商应提供相关文件证明；</w:t>
      </w:r>
    </w:p>
    <w:p w14:paraId="7D4F0C02">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1.5</w:t>
      </w:r>
      <w:r>
        <w:rPr>
          <w:rFonts w:hint="eastAsia" w:ascii="宋体" w:hAnsi="宋体" w:cs="宋体"/>
          <w:bCs/>
          <w:color w:val="auto"/>
          <w:sz w:val="24"/>
          <w:szCs w:val="24"/>
          <w:lang w:val="en-US" w:eastAsia="zh-CN"/>
        </w:rPr>
        <w:t xml:space="preserve">参加政府采购活动前三年内，在经营活动中没有重大违法记录的书面声明； </w:t>
      </w:r>
    </w:p>
    <w:p w14:paraId="0D4F6077">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1.6</w:t>
      </w:r>
      <w:r>
        <w:rPr>
          <w:rFonts w:hint="eastAsia" w:ascii="宋体" w:hAnsi="宋体" w:cs="宋体"/>
          <w:bCs/>
          <w:color w:val="auto"/>
          <w:sz w:val="24"/>
          <w:szCs w:val="24"/>
          <w:lang w:val="en-US" w:eastAsia="zh-CN"/>
        </w:rPr>
        <w:t>具有履行合同所必须的设备和专业技术能力的说明及承诺；</w:t>
      </w:r>
    </w:p>
    <w:p w14:paraId="6DD85710">
      <w:pPr>
        <w:pStyle w:val="27"/>
        <w:keepNext w:val="0"/>
        <w:keepLines w:val="0"/>
        <w:pageBreakBefore w:val="0"/>
        <w:widowControl/>
        <w:kinsoku/>
        <w:wordWrap/>
        <w:overflowPunct/>
        <w:topLinePunct w:val="0"/>
        <w:bidi w:val="0"/>
        <w:adjustRightInd w:val="0"/>
        <w:snapToGrid w:val="0"/>
        <w:spacing w:before="0" w:beforeAutospacing="0" w:after="0" w:afterAutospacing="0" w:line="580" w:lineRule="exact"/>
        <w:ind w:firstLine="500" w:firstLineChars="200"/>
        <w:jc w:val="both"/>
        <w:rPr>
          <w:rFonts w:hint="eastAsia" w:ascii="宋体" w:hAnsi="宋体" w:cs="宋体"/>
          <w:bCs/>
          <w:color w:val="auto"/>
          <w:sz w:val="24"/>
          <w:szCs w:val="24"/>
          <w:lang w:val="en-US" w:eastAsia="zh-CN"/>
        </w:rPr>
      </w:pPr>
      <w:r>
        <w:rPr>
          <w:rFonts w:hint="eastAsia" w:ascii="宋体" w:hAnsi="宋体" w:cs="宋体"/>
          <w:color w:val="auto"/>
          <w:szCs w:val="24"/>
        </w:rPr>
        <w:t>1.2</w:t>
      </w:r>
      <w:r>
        <w:rPr>
          <w:rFonts w:hint="eastAsia" w:ascii="宋体" w:hAnsi="宋体" w:cs="宋体"/>
          <w:color w:val="auto"/>
          <w:szCs w:val="24"/>
          <w:lang w:eastAsia="zh-CN"/>
        </w:rPr>
        <w:t>特定</w:t>
      </w:r>
      <w:r>
        <w:rPr>
          <w:rFonts w:hint="eastAsia" w:ascii="宋体" w:hAnsi="宋体" w:cs="宋体"/>
          <w:color w:val="auto"/>
          <w:szCs w:val="24"/>
        </w:rPr>
        <w:t>资格要求：</w:t>
      </w:r>
    </w:p>
    <w:p w14:paraId="2C8C122E">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1.2.1法定代表人直接参加磋商的，须提供法定代表人身份证明书（附法定代表人身份证复印件并加盖公章）；委托代理人参加磋商的，须提供法人授权委托书（附法定代表人及委托代理人身份证复印件并加盖公章）；</w:t>
      </w:r>
    </w:p>
    <w:p w14:paraId="4A0B56E2">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1.2.2供应商须在磋商时限内在“信用中国”网站（www.creditchina.gov.cn）未被列入失信被执行人和重大税收违法失信主体中、未在“中国政府采购网”（www.ccgp.gov.cn）政府采购严重违法失信行为记录名单中被财政部门禁止参加政府采购活动的供应商；</w:t>
      </w:r>
    </w:p>
    <w:p w14:paraId="551B3F78">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1.2</w:t>
      </w:r>
      <w:r>
        <w:rPr>
          <w:rFonts w:hint="eastAsia" w:ascii="宋体" w:hAnsi="宋体" w:cs="宋体"/>
          <w:color w:val="auto"/>
          <w:szCs w:val="24"/>
          <w:lang w:val="en-US" w:eastAsia="zh-CN"/>
        </w:rPr>
        <w:t>.3</w:t>
      </w:r>
      <w:r>
        <w:rPr>
          <w:rFonts w:hint="eastAsia" w:ascii="宋体" w:hAnsi="宋体" w:cs="宋体"/>
          <w:bCs/>
          <w:color w:val="auto"/>
          <w:sz w:val="24"/>
          <w:szCs w:val="24"/>
          <w:lang w:val="en-US" w:eastAsia="zh-CN"/>
        </w:rPr>
        <w:t>单位负责人为同一人或者存在控股、管理关系的不同单位，不得参加同一合同项下的政府采购活动；（提供承诺书及国家企业信用信息公示系统网页查询截图（体现股东及出资详细信息）并加盖公章）；</w:t>
      </w:r>
    </w:p>
    <w:p w14:paraId="004ACFBD">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1.2</w:t>
      </w:r>
      <w:r>
        <w:rPr>
          <w:rFonts w:hint="eastAsia" w:ascii="宋体" w:hAnsi="宋体" w:cs="宋体"/>
          <w:color w:val="auto"/>
          <w:szCs w:val="24"/>
          <w:lang w:val="en-US" w:eastAsia="zh-CN"/>
        </w:rPr>
        <w:t>.4</w:t>
      </w:r>
      <w:r>
        <w:rPr>
          <w:rFonts w:hint="eastAsia" w:ascii="宋体" w:hAnsi="宋体" w:cs="宋体"/>
          <w:bCs/>
          <w:color w:val="auto"/>
          <w:sz w:val="24"/>
          <w:szCs w:val="24"/>
          <w:lang w:val="en-US" w:eastAsia="zh-CN"/>
        </w:rPr>
        <w:t>本项目专门面向中小企业采购，供应商须提供中小企业声明函（如有虚假，将依法承担相应责任）；</w:t>
      </w:r>
    </w:p>
    <w:p w14:paraId="778F20B2">
      <w:pPr>
        <w:pStyle w:val="6"/>
        <w:keepNext w:val="0"/>
        <w:keepLines w:val="0"/>
        <w:pageBreakBefore w:val="0"/>
        <w:kinsoku/>
        <w:wordWrap/>
        <w:overflowPunct/>
        <w:topLinePunct w:val="0"/>
        <w:bidi w:val="0"/>
        <w:adjustRightInd w:val="0"/>
        <w:snapToGrid w:val="0"/>
        <w:spacing w:line="580" w:lineRule="exact"/>
        <w:ind w:firstLine="502"/>
        <w:rPr>
          <w:rFonts w:hint="eastAsia" w:ascii="宋体" w:hAnsi="宋体" w:cs="宋体"/>
          <w:bCs/>
          <w:color w:val="auto"/>
          <w:sz w:val="24"/>
          <w:szCs w:val="24"/>
          <w:lang w:val="en-US" w:eastAsia="zh-CN"/>
        </w:rPr>
      </w:pPr>
      <w:r>
        <w:rPr>
          <w:rFonts w:hint="eastAsia" w:ascii="宋体" w:hAnsi="宋体" w:cs="宋体"/>
          <w:color w:val="auto"/>
          <w:szCs w:val="24"/>
        </w:rPr>
        <w:t>1.2</w:t>
      </w:r>
      <w:r>
        <w:rPr>
          <w:rFonts w:hint="eastAsia" w:ascii="宋体" w:hAnsi="宋体" w:cs="宋体"/>
          <w:color w:val="auto"/>
          <w:szCs w:val="24"/>
          <w:lang w:val="en-US" w:eastAsia="zh-CN"/>
        </w:rPr>
        <w:t>.5</w:t>
      </w:r>
      <w:r>
        <w:rPr>
          <w:rFonts w:hint="eastAsia" w:ascii="宋体" w:hAnsi="宋体" w:cs="宋体"/>
          <w:bCs/>
          <w:color w:val="auto"/>
          <w:sz w:val="24"/>
          <w:szCs w:val="24"/>
          <w:lang w:val="en-US" w:eastAsia="zh-CN"/>
        </w:rPr>
        <w:t>本项目不接受联合体投标。</w:t>
      </w:r>
    </w:p>
    <w:p w14:paraId="15F3CB6B">
      <w:pPr>
        <w:pStyle w:val="6"/>
        <w:keepNext w:val="0"/>
        <w:keepLines w:val="0"/>
        <w:pageBreakBefore w:val="0"/>
        <w:kinsoku/>
        <w:wordWrap/>
        <w:overflowPunct/>
        <w:topLinePunct w:val="0"/>
        <w:bidi w:val="0"/>
        <w:adjustRightInd w:val="0"/>
        <w:snapToGrid w:val="0"/>
        <w:spacing w:line="580" w:lineRule="exact"/>
        <w:ind w:firstLine="502"/>
        <w:rPr>
          <w:rFonts w:asciiTheme="minorEastAsia" w:hAnsiTheme="minorEastAsia" w:eastAsiaTheme="minorEastAsia" w:cstheme="minorEastAsia"/>
          <w:color w:val="auto"/>
          <w:sz w:val="24"/>
          <w:szCs w:val="24"/>
        </w:rPr>
      </w:pPr>
      <w:r>
        <w:rPr>
          <w:rFonts w:hint="eastAsia" w:ascii="宋体" w:hAnsi="宋体" w:cs="宋体"/>
          <w:color w:val="auto"/>
          <w:sz w:val="24"/>
          <w:szCs w:val="24"/>
        </w:rPr>
        <w:t>注：</w:t>
      </w:r>
      <w:r>
        <w:rPr>
          <w:rFonts w:hint="eastAsia" w:asciiTheme="minorEastAsia" w:hAnsiTheme="minorEastAsia" w:eastAsiaTheme="minorEastAsia" w:cstheme="minorEastAsia"/>
          <w:color w:val="auto"/>
          <w:sz w:val="24"/>
          <w:szCs w:val="24"/>
        </w:rPr>
        <w:t>（1）单位负责人为同一人或者存在直接控股、管理关系的不同供应商，不得参加同一合同项下的政府采购活动；</w:t>
      </w:r>
    </w:p>
    <w:p w14:paraId="3A44E9E8">
      <w:pPr>
        <w:pStyle w:val="6"/>
        <w:keepNext w:val="0"/>
        <w:keepLines w:val="0"/>
        <w:pageBreakBefore w:val="0"/>
        <w:kinsoku/>
        <w:wordWrap/>
        <w:overflowPunct/>
        <w:topLinePunct w:val="0"/>
        <w:bidi w:val="0"/>
        <w:adjustRightInd w:val="0"/>
        <w:snapToGrid w:val="0"/>
        <w:spacing w:line="580" w:lineRule="exact"/>
        <w:ind w:firstLine="502"/>
        <w:rPr>
          <w:rFonts w:ascii="宋体" w:hAnsi="宋体" w:cs="宋体"/>
          <w:color w:val="auto"/>
          <w:sz w:val="24"/>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）本次项目不接受联合体投标（需</w:t>
      </w:r>
      <w:r>
        <w:rPr>
          <w:rFonts w:hint="eastAsia" w:asciiTheme="minorEastAsia" w:hAnsiTheme="minorEastAsia" w:eastAsiaTheme="minorEastAsia" w:cstheme="minorEastAsia"/>
          <w:color w:val="auto"/>
          <w:sz w:val="24"/>
          <w:szCs w:val="24"/>
          <w:lang w:val="zh-CN" w:eastAsia="zh-CN"/>
        </w:rPr>
        <w:t>提供书面声明（格式自拟）</w:t>
      </w:r>
      <w:r>
        <w:rPr>
          <w:rFonts w:hint="eastAsia" w:asciiTheme="minorEastAsia" w:hAnsiTheme="minorEastAsia" w:eastAsiaTheme="minorEastAsia" w:cstheme="minorEastAsia"/>
          <w:color w:val="auto"/>
          <w:sz w:val="24"/>
          <w:szCs w:val="24"/>
          <w:lang w:val="zh-CN"/>
        </w:rPr>
        <w:t>）。供应商须保证资质文件的真实、合法、有效，因资质产生</w:t>
      </w:r>
      <w:r>
        <w:rPr>
          <w:rFonts w:hint="eastAsia" w:ascii="宋体" w:hAnsi="宋体"/>
          <w:color w:val="auto"/>
          <w:sz w:val="24"/>
          <w:lang w:val="zh-CN"/>
        </w:rPr>
        <w:t>的一切纠纷由供应商承担法律责任</w:t>
      </w:r>
      <w:r>
        <w:rPr>
          <w:rFonts w:hint="eastAsia" w:ascii="宋体" w:hAnsi="宋体"/>
          <w:color w:val="auto"/>
          <w:sz w:val="24"/>
        </w:rPr>
        <w:t>。</w:t>
      </w:r>
    </w:p>
    <w:p w14:paraId="162978BA">
      <w:pPr>
        <w:keepNext w:val="0"/>
        <w:keepLines w:val="0"/>
        <w:pageBreakBefore w:val="0"/>
        <w:widowControl/>
        <w:shd w:val="clear" w:color="auto" w:fill="FFFFFF"/>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
          <w:color w:val="auto"/>
          <w:sz w:val="24"/>
          <w:szCs w:val="24"/>
        </w:rPr>
        <w:t>2、竞争性磋商响应文件的组成：</w:t>
      </w:r>
    </w:p>
    <w:p w14:paraId="691CC9C0">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2.1各供应商应根据竞争性磋商文件要求编制竞争性磋商响应文件。</w:t>
      </w:r>
    </w:p>
    <w:p w14:paraId="76CE05F2">
      <w:pPr>
        <w:keepNext w:val="0"/>
        <w:keepLines w:val="0"/>
        <w:pageBreakBefore w:val="0"/>
        <w:kinsoku/>
        <w:wordWrap/>
        <w:overflowPunct/>
        <w:topLinePunct w:val="0"/>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2.2竞争性磋商响应文件部分应包括：</w:t>
      </w:r>
    </w:p>
    <w:p w14:paraId="15E53BC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rPr>
        <w:t>一、 磋商响应函</w:t>
      </w:r>
    </w:p>
    <w:p w14:paraId="31230F4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rPr>
        <w:t>二、 报价一览表</w:t>
      </w:r>
    </w:p>
    <w:p w14:paraId="1AEBF67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eastAsia="宋体" w:cs="宋体"/>
          <w:color w:val="auto"/>
          <w:spacing w:val="0"/>
          <w:kern w:val="0"/>
          <w:sz w:val="24"/>
          <w:szCs w:val="24"/>
          <w:lang w:val="en-US" w:eastAsia="zh-CN"/>
        </w:rPr>
      </w:pPr>
      <w:r>
        <w:rPr>
          <w:rFonts w:hint="eastAsia" w:ascii="宋体" w:hAnsi="宋体" w:cs="宋体"/>
          <w:color w:val="auto"/>
          <w:spacing w:val="0"/>
          <w:kern w:val="0"/>
          <w:sz w:val="24"/>
          <w:szCs w:val="24"/>
        </w:rPr>
        <w:t>三、 法定代表人身份证明</w:t>
      </w:r>
      <w:r>
        <w:rPr>
          <w:rFonts w:hint="eastAsia" w:ascii="宋体" w:hAnsi="宋体" w:cs="宋体"/>
          <w:color w:val="auto"/>
          <w:spacing w:val="0"/>
          <w:kern w:val="0"/>
          <w:sz w:val="24"/>
          <w:szCs w:val="24"/>
          <w:lang w:val="en-US" w:eastAsia="zh-CN"/>
        </w:rPr>
        <w:t>/</w:t>
      </w:r>
      <w:r>
        <w:rPr>
          <w:rFonts w:hint="eastAsia" w:ascii="宋体" w:hAnsi="宋体" w:cs="宋体"/>
          <w:color w:val="auto"/>
          <w:spacing w:val="0"/>
          <w:kern w:val="0"/>
          <w:sz w:val="24"/>
          <w:szCs w:val="24"/>
        </w:rPr>
        <w:t xml:space="preserve"> 法人授权委托书</w:t>
      </w:r>
    </w:p>
    <w:p w14:paraId="114E6DC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rPr>
        <w:t xml:space="preserve">四、 </w:t>
      </w:r>
      <w:r>
        <w:rPr>
          <w:rFonts w:hint="eastAsia" w:ascii="宋体" w:hAnsi="宋体" w:cs="宋体"/>
          <w:color w:val="auto"/>
          <w:spacing w:val="0"/>
          <w:kern w:val="0"/>
          <w:sz w:val="24"/>
          <w:szCs w:val="24"/>
          <w:lang w:eastAsia="zh-CN"/>
        </w:rPr>
        <w:t>技术</w:t>
      </w:r>
      <w:r>
        <w:rPr>
          <w:rFonts w:hint="eastAsia" w:ascii="宋体" w:hAnsi="宋体" w:cs="宋体"/>
          <w:color w:val="auto"/>
          <w:spacing w:val="0"/>
          <w:kern w:val="0"/>
          <w:sz w:val="24"/>
          <w:szCs w:val="24"/>
        </w:rPr>
        <w:t>响应偏离表</w:t>
      </w:r>
    </w:p>
    <w:p w14:paraId="6D06A5A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lang w:val="en-US" w:eastAsia="zh-CN"/>
        </w:rPr>
        <w:t>五</w:t>
      </w:r>
      <w:r>
        <w:rPr>
          <w:rFonts w:hint="eastAsia" w:ascii="宋体" w:hAnsi="宋体" w:cs="宋体"/>
          <w:color w:val="auto"/>
          <w:spacing w:val="0"/>
          <w:kern w:val="0"/>
          <w:sz w:val="24"/>
          <w:szCs w:val="24"/>
        </w:rPr>
        <w:t>、 商务响应偏离表</w:t>
      </w:r>
    </w:p>
    <w:p w14:paraId="20E3979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eastAsia="宋体" w:cs="宋体"/>
          <w:color w:val="auto"/>
          <w:spacing w:val="0"/>
          <w:kern w:val="0"/>
          <w:sz w:val="24"/>
          <w:szCs w:val="24"/>
          <w:lang w:eastAsia="zh-CN"/>
        </w:rPr>
      </w:pPr>
      <w:r>
        <w:rPr>
          <w:rFonts w:hint="eastAsia" w:ascii="宋体" w:hAnsi="宋体" w:cs="宋体"/>
          <w:color w:val="auto"/>
          <w:spacing w:val="0"/>
          <w:kern w:val="0"/>
          <w:sz w:val="24"/>
          <w:szCs w:val="24"/>
          <w:lang w:val="en-US" w:eastAsia="zh-CN"/>
        </w:rPr>
        <w:t>六</w:t>
      </w:r>
      <w:r>
        <w:rPr>
          <w:rFonts w:hint="eastAsia" w:ascii="宋体" w:hAnsi="宋体" w:cs="宋体"/>
          <w:color w:val="auto"/>
          <w:spacing w:val="0"/>
          <w:kern w:val="0"/>
          <w:sz w:val="24"/>
          <w:szCs w:val="24"/>
        </w:rPr>
        <w:t xml:space="preserve">、 </w:t>
      </w:r>
      <w:r>
        <w:rPr>
          <w:rFonts w:hint="eastAsia" w:ascii="宋体" w:hAnsi="宋体" w:cs="宋体"/>
          <w:color w:val="auto"/>
          <w:spacing w:val="0"/>
          <w:kern w:val="0"/>
          <w:sz w:val="24"/>
          <w:szCs w:val="24"/>
          <w:lang w:eastAsia="zh-CN"/>
        </w:rPr>
        <w:t>相关资格证明文件</w:t>
      </w:r>
    </w:p>
    <w:p w14:paraId="76F3243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eastAsia="宋体" w:cs="宋体"/>
          <w:color w:val="auto"/>
          <w:spacing w:val="0"/>
          <w:kern w:val="0"/>
          <w:sz w:val="24"/>
          <w:szCs w:val="24"/>
          <w:highlight w:val="yellow"/>
          <w:lang w:eastAsia="zh-CN"/>
        </w:rPr>
      </w:pPr>
      <w:r>
        <w:rPr>
          <w:rFonts w:hint="eastAsia" w:ascii="宋体" w:hAnsi="宋体" w:cs="宋体"/>
          <w:color w:val="auto"/>
          <w:spacing w:val="0"/>
          <w:kern w:val="0"/>
          <w:sz w:val="24"/>
          <w:szCs w:val="24"/>
          <w:highlight w:val="none"/>
          <w:lang w:val="en-US" w:eastAsia="zh-CN"/>
        </w:rPr>
        <w:t>七</w:t>
      </w:r>
      <w:r>
        <w:rPr>
          <w:rFonts w:hint="eastAsia" w:ascii="宋体" w:hAnsi="宋体" w:cs="宋体"/>
          <w:color w:val="auto"/>
          <w:spacing w:val="0"/>
          <w:kern w:val="0"/>
          <w:sz w:val="24"/>
          <w:szCs w:val="24"/>
          <w:highlight w:val="none"/>
          <w:lang w:eastAsia="zh-CN"/>
        </w:rPr>
        <w:t>、</w:t>
      </w:r>
      <w:r>
        <w:rPr>
          <w:rFonts w:hint="eastAsia" w:ascii="宋体" w:hAnsi="宋体" w:cs="宋体"/>
          <w:color w:val="auto"/>
          <w:spacing w:val="0"/>
          <w:kern w:val="0"/>
          <w:sz w:val="24"/>
          <w:szCs w:val="24"/>
          <w:highlight w:val="none"/>
          <w:lang w:val="en-US" w:eastAsia="zh-CN"/>
        </w:rPr>
        <w:t xml:space="preserve"> </w:t>
      </w:r>
      <w:r>
        <w:rPr>
          <w:rFonts w:hint="eastAsia" w:ascii="宋体" w:hAnsi="宋体" w:cs="宋体"/>
          <w:color w:val="auto"/>
          <w:spacing w:val="0"/>
          <w:kern w:val="0"/>
          <w:sz w:val="24"/>
          <w:szCs w:val="24"/>
          <w:highlight w:val="none"/>
          <w:lang w:eastAsia="zh-CN"/>
        </w:rPr>
        <w:t>磋商保证金</w:t>
      </w:r>
    </w:p>
    <w:p w14:paraId="4D1599F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lang w:val="en-US" w:eastAsia="zh-CN"/>
        </w:rPr>
        <w:t>八</w:t>
      </w:r>
      <w:r>
        <w:rPr>
          <w:rFonts w:hint="eastAsia" w:ascii="宋体" w:hAnsi="宋体" w:cs="宋体"/>
          <w:color w:val="auto"/>
          <w:spacing w:val="0"/>
          <w:kern w:val="0"/>
          <w:sz w:val="24"/>
          <w:szCs w:val="24"/>
          <w:highlight w:val="none"/>
        </w:rPr>
        <w:t>、 供应商近3年类似业绩证明</w:t>
      </w:r>
    </w:p>
    <w:p w14:paraId="4196424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lang w:val="en-US" w:eastAsia="zh-CN"/>
        </w:rPr>
        <w:t>九</w:t>
      </w:r>
      <w:r>
        <w:rPr>
          <w:rFonts w:hint="eastAsia" w:ascii="宋体" w:hAnsi="宋体" w:cs="宋体"/>
          <w:color w:val="auto"/>
          <w:spacing w:val="0"/>
          <w:kern w:val="0"/>
          <w:sz w:val="24"/>
          <w:szCs w:val="24"/>
        </w:rPr>
        <w:t>、 宝鸡市政府采购供应商诚信承诺书</w:t>
      </w:r>
    </w:p>
    <w:p w14:paraId="7DE9673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rPr>
        <w:t>十、拒绝政府采购领域商业贿赂承诺书</w:t>
      </w:r>
    </w:p>
    <w:p w14:paraId="6561B3C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rPr>
        <w:t>十</w:t>
      </w:r>
      <w:r>
        <w:rPr>
          <w:rFonts w:hint="eastAsia" w:ascii="宋体" w:hAnsi="宋体" w:cs="宋体"/>
          <w:color w:val="auto"/>
          <w:spacing w:val="0"/>
          <w:kern w:val="0"/>
          <w:sz w:val="24"/>
          <w:szCs w:val="24"/>
          <w:lang w:val="en-US" w:eastAsia="zh-CN"/>
        </w:rPr>
        <w:t>一</w:t>
      </w:r>
      <w:r>
        <w:rPr>
          <w:rFonts w:hint="eastAsia" w:ascii="宋体" w:hAnsi="宋体" w:cs="宋体"/>
          <w:color w:val="auto"/>
          <w:spacing w:val="0"/>
          <w:kern w:val="0"/>
          <w:sz w:val="24"/>
          <w:szCs w:val="24"/>
        </w:rPr>
        <w:t>、</w:t>
      </w:r>
      <w:r>
        <w:rPr>
          <w:rFonts w:hint="eastAsia" w:ascii="宋体" w:hAnsi="宋体" w:cs="宋体"/>
          <w:color w:val="auto"/>
          <w:spacing w:val="0"/>
          <w:kern w:val="0"/>
          <w:sz w:val="24"/>
          <w:szCs w:val="24"/>
          <w:lang w:val="en-US" w:eastAsia="zh-CN"/>
        </w:rPr>
        <w:t>实施</w:t>
      </w:r>
      <w:r>
        <w:rPr>
          <w:rFonts w:hint="eastAsia" w:ascii="宋体" w:hAnsi="宋体" w:cs="宋体"/>
          <w:color w:val="auto"/>
          <w:spacing w:val="0"/>
          <w:kern w:val="0"/>
          <w:sz w:val="24"/>
          <w:szCs w:val="24"/>
        </w:rPr>
        <w:t>方案说明</w:t>
      </w:r>
    </w:p>
    <w:p w14:paraId="7137D64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lang w:eastAsia="zh-CN"/>
        </w:rPr>
        <w:t>十</w:t>
      </w:r>
      <w:r>
        <w:rPr>
          <w:rFonts w:hint="eastAsia" w:ascii="宋体" w:hAnsi="宋体" w:cs="宋体"/>
          <w:color w:val="auto"/>
          <w:spacing w:val="0"/>
          <w:kern w:val="0"/>
          <w:sz w:val="24"/>
          <w:szCs w:val="24"/>
          <w:lang w:val="en-US" w:eastAsia="zh-CN"/>
        </w:rPr>
        <w:t>二</w:t>
      </w:r>
      <w:r>
        <w:rPr>
          <w:rFonts w:hint="eastAsia" w:ascii="宋体" w:hAnsi="宋体" w:cs="宋体"/>
          <w:color w:val="auto"/>
          <w:spacing w:val="0"/>
          <w:kern w:val="0"/>
          <w:sz w:val="24"/>
          <w:szCs w:val="24"/>
          <w:lang w:eastAsia="zh-CN"/>
        </w:rPr>
        <w:t>、</w:t>
      </w:r>
      <w:r>
        <w:rPr>
          <w:rFonts w:hint="eastAsia" w:ascii="宋体" w:hAnsi="宋体" w:cs="宋体"/>
          <w:color w:val="auto"/>
          <w:spacing w:val="0"/>
          <w:kern w:val="0"/>
          <w:sz w:val="24"/>
          <w:szCs w:val="24"/>
        </w:rPr>
        <w:t>售后服务方案</w:t>
      </w:r>
    </w:p>
    <w:p w14:paraId="084445E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000" w:firstLineChars="400"/>
        <w:jc w:val="both"/>
        <w:textAlignment w:val="auto"/>
        <w:outlineLvl w:val="9"/>
        <w:rPr>
          <w:rFonts w:hint="eastAsia" w:ascii="宋体" w:hAnsi="宋体" w:cs="宋体"/>
          <w:color w:val="auto"/>
          <w:spacing w:val="0"/>
          <w:kern w:val="0"/>
          <w:sz w:val="24"/>
          <w:szCs w:val="24"/>
        </w:rPr>
      </w:pPr>
      <w:r>
        <w:rPr>
          <w:rFonts w:hint="eastAsia" w:ascii="宋体" w:hAnsi="宋体" w:cs="宋体"/>
          <w:color w:val="auto"/>
          <w:spacing w:val="0"/>
          <w:kern w:val="0"/>
          <w:sz w:val="24"/>
          <w:szCs w:val="24"/>
        </w:rPr>
        <w:t>十</w:t>
      </w:r>
      <w:r>
        <w:rPr>
          <w:rFonts w:hint="eastAsia" w:ascii="宋体" w:hAnsi="宋体" w:cs="宋体"/>
          <w:color w:val="auto"/>
          <w:spacing w:val="0"/>
          <w:kern w:val="0"/>
          <w:sz w:val="24"/>
          <w:szCs w:val="24"/>
          <w:lang w:val="en-US" w:eastAsia="zh-CN"/>
        </w:rPr>
        <w:t>三</w:t>
      </w:r>
      <w:r>
        <w:rPr>
          <w:rFonts w:hint="eastAsia" w:ascii="宋体" w:hAnsi="宋体" w:cs="宋体"/>
          <w:color w:val="auto"/>
          <w:spacing w:val="0"/>
          <w:kern w:val="0"/>
          <w:sz w:val="24"/>
          <w:szCs w:val="24"/>
        </w:rPr>
        <w:t>、其他资料</w:t>
      </w:r>
    </w:p>
    <w:p w14:paraId="40576F8D">
      <w:pPr>
        <w:keepNext w:val="0"/>
        <w:keepLines w:val="0"/>
        <w:pageBreakBefore w:val="0"/>
        <w:widowControl w:val="0"/>
        <w:kinsoku/>
        <w:wordWrap/>
        <w:overflowPunct/>
        <w:topLinePunct w:val="0"/>
        <w:autoSpaceDE/>
        <w:autoSpaceDN/>
        <w:bidi w:val="0"/>
        <w:adjustRightInd w:val="0"/>
        <w:snapToGrid w:val="0"/>
        <w:spacing w:line="580" w:lineRule="exact"/>
        <w:ind w:firstLine="476" w:firstLineChars="200"/>
        <w:rPr>
          <w:rFonts w:ascii="宋体" w:hAnsi="宋体" w:cs="宋体"/>
          <w:color w:val="auto"/>
          <w:spacing w:val="-6"/>
          <w:kern w:val="0"/>
          <w:sz w:val="24"/>
          <w:szCs w:val="24"/>
        </w:rPr>
      </w:pPr>
      <w:r>
        <w:rPr>
          <w:rFonts w:hint="eastAsia" w:ascii="宋体" w:hAnsi="宋体" w:cs="宋体"/>
          <w:color w:val="auto"/>
          <w:spacing w:val="-6"/>
          <w:kern w:val="0"/>
          <w:sz w:val="24"/>
          <w:szCs w:val="24"/>
        </w:rPr>
        <w:t>2.3磋商响应文件应完全响应磋商文件的要求，若有一项未响应，将视为废标。</w:t>
      </w:r>
    </w:p>
    <w:p w14:paraId="4ED63E06">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
          <w:color w:val="auto"/>
          <w:sz w:val="24"/>
          <w:szCs w:val="24"/>
        </w:rPr>
        <w:t>3、供应商信用信息：</w:t>
      </w:r>
    </w:p>
    <w:p w14:paraId="19F9FCA7">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3.1查询渠道：通过“信用中国”网站（www.creditchina.gov.cn）、中国政府采购网（www.ccgp.gov.cn）等渠道查询相关主体信用记录；</w:t>
      </w:r>
    </w:p>
    <w:p w14:paraId="4F6BFF5A">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3.2查询截止时点：</w:t>
      </w:r>
      <w:r>
        <w:rPr>
          <w:rFonts w:hint="eastAsia" w:ascii="宋体" w:hAnsi="宋体" w:cs="宋体"/>
          <w:bCs/>
          <w:color w:val="auto"/>
          <w:sz w:val="24"/>
          <w:szCs w:val="24"/>
          <w:lang w:eastAsia="zh-CN"/>
        </w:rPr>
        <w:t>202</w:t>
      </w:r>
      <w:r>
        <w:rPr>
          <w:rFonts w:hint="eastAsia" w:ascii="宋体" w:hAnsi="宋体" w:cs="宋体"/>
          <w:bCs/>
          <w:color w:val="auto"/>
          <w:sz w:val="24"/>
          <w:szCs w:val="24"/>
          <w:lang w:val="en-US" w:eastAsia="zh-CN"/>
        </w:rPr>
        <w:t>5</w:t>
      </w:r>
      <w:r>
        <w:rPr>
          <w:rFonts w:hint="eastAsia" w:ascii="宋体" w:hAnsi="宋体" w:cs="宋体"/>
          <w:bCs/>
          <w:color w:val="auto"/>
          <w:sz w:val="24"/>
          <w:szCs w:val="24"/>
          <w:lang w:eastAsia="zh-CN"/>
        </w:rPr>
        <w:t>年</w:t>
      </w:r>
      <w:r>
        <w:rPr>
          <w:rFonts w:hint="eastAsia" w:ascii="宋体" w:hAnsi="宋体" w:cs="宋体"/>
          <w:bCs/>
          <w:color w:val="auto"/>
          <w:sz w:val="24"/>
          <w:szCs w:val="24"/>
          <w:lang w:val="en-US" w:eastAsia="zh-CN"/>
        </w:rPr>
        <w:t>10</w:t>
      </w:r>
      <w:r>
        <w:rPr>
          <w:rFonts w:hint="eastAsia" w:ascii="宋体" w:hAnsi="宋体" w:cs="宋体"/>
          <w:bCs/>
          <w:color w:val="auto"/>
          <w:sz w:val="24"/>
          <w:szCs w:val="24"/>
          <w:lang w:eastAsia="zh-CN"/>
        </w:rPr>
        <w:t>月</w:t>
      </w:r>
      <w:r>
        <w:rPr>
          <w:rFonts w:hint="eastAsia" w:ascii="宋体" w:hAnsi="宋体" w:cs="宋体"/>
          <w:bCs/>
          <w:color w:val="auto"/>
          <w:sz w:val="24"/>
          <w:szCs w:val="24"/>
          <w:lang w:val="en-US" w:eastAsia="zh-CN"/>
        </w:rPr>
        <w:t>27</w:t>
      </w:r>
      <w:r>
        <w:rPr>
          <w:rFonts w:hint="eastAsia" w:ascii="宋体" w:hAnsi="宋体" w:cs="宋体"/>
          <w:bCs/>
          <w:color w:val="auto"/>
          <w:sz w:val="24"/>
          <w:szCs w:val="24"/>
          <w:lang w:eastAsia="zh-CN"/>
        </w:rPr>
        <w:t>日</w:t>
      </w:r>
      <w:r>
        <w:rPr>
          <w:rFonts w:hint="eastAsia" w:ascii="宋体" w:hAnsi="宋体" w:cs="宋体"/>
          <w:bCs/>
          <w:color w:val="auto"/>
          <w:sz w:val="24"/>
          <w:szCs w:val="24"/>
          <w:lang w:val="en-US" w:eastAsia="zh-CN"/>
        </w:rPr>
        <w:t>14时00分</w:t>
      </w:r>
      <w:r>
        <w:rPr>
          <w:rFonts w:hint="eastAsia" w:ascii="宋体" w:hAnsi="宋体" w:cs="宋体"/>
          <w:bCs/>
          <w:color w:val="auto"/>
          <w:sz w:val="24"/>
          <w:szCs w:val="24"/>
        </w:rPr>
        <w:t>；</w:t>
      </w:r>
    </w:p>
    <w:p w14:paraId="6F701CBB">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3.3查询记录和证据留存方式：对信用信息查询情况予以记录，所有信用信息查询记录及相关证据与其他资质证件复印件附在磋商响应文件中一并提交；</w:t>
      </w:r>
    </w:p>
    <w:p w14:paraId="0BCA2773">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3.4使用规则：对列入失信被执行人、</w:t>
      </w:r>
      <w:r>
        <w:rPr>
          <w:rFonts w:hint="eastAsia" w:ascii="宋体" w:hAnsi="宋体" w:cs="宋体"/>
          <w:bCs/>
          <w:color w:val="auto"/>
          <w:sz w:val="24"/>
          <w:szCs w:val="24"/>
          <w:lang w:eastAsia="zh-CN"/>
        </w:rPr>
        <w:t>重大税收违法失信主体</w:t>
      </w:r>
      <w:r>
        <w:rPr>
          <w:rFonts w:hint="eastAsia" w:ascii="宋体" w:hAnsi="宋体" w:cs="宋体"/>
          <w:bCs/>
          <w:color w:val="auto"/>
          <w:sz w:val="24"/>
          <w:szCs w:val="24"/>
        </w:rPr>
        <w:t>、政府采购严重违法失信行为记录名单的供应商，其响应无效；</w:t>
      </w:r>
    </w:p>
    <w:p w14:paraId="21E595D4">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3.5特别说明：</w:t>
      </w:r>
    </w:p>
    <w:p w14:paraId="144A9B6F">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rPr>
      </w:pPr>
      <w:r>
        <w:rPr>
          <w:rFonts w:hint="eastAsia" w:ascii="宋体" w:hAnsi="宋体" w:cs="宋体"/>
          <w:bCs/>
          <w:color w:val="auto"/>
          <w:sz w:val="24"/>
          <w:szCs w:val="24"/>
        </w:rPr>
        <w:t>（1）在成交通知书发出前供应商如出现违法失信行为，采购人仍有权利提请磋商小组取消其成交资格；</w:t>
      </w:r>
    </w:p>
    <w:p w14:paraId="3000AF47">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
          <w:color w:val="auto"/>
          <w:sz w:val="24"/>
          <w:szCs w:val="24"/>
        </w:rPr>
      </w:pPr>
      <w:r>
        <w:rPr>
          <w:rFonts w:hint="eastAsia" w:ascii="宋体" w:hAnsi="宋体" w:cs="宋体"/>
          <w:bCs/>
          <w:color w:val="auto"/>
          <w:sz w:val="24"/>
          <w:szCs w:val="24"/>
        </w:rPr>
        <w:t>（2）供应商在磋商响应文件中已出具的信用查询结果并不能取代采购人或采购代理机构在磋商前进行复查。</w:t>
      </w:r>
    </w:p>
    <w:p w14:paraId="0688247C">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
          <w:color w:val="auto"/>
          <w:sz w:val="24"/>
          <w:szCs w:val="24"/>
        </w:rPr>
        <w:t>4、各供应商必须对以下内容做出承诺：</w:t>
      </w:r>
    </w:p>
    <w:p w14:paraId="6F77E807">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4.1必须根据竞争性磋商文件要求进行</w:t>
      </w:r>
      <w:r>
        <w:rPr>
          <w:rFonts w:hint="eastAsia" w:ascii="宋体" w:hAnsi="宋体" w:cs="宋体"/>
          <w:bCs/>
          <w:color w:val="auto"/>
          <w:sz w:val="24"/>
          <w:szCs w:val="24"/>
          <w:lang w:eastAsia="zh-CN"/>
        </w:rPr>
        <w:t>项目实施</w:t>
      </w:r>
      <w:r>
        <w:rPr>
          <w:rFonts w:hint="eastAsia" w:ascii="宋体" w:hAnsi="宋体" w:cs="宋体"/>
          <w:bCs/>
          <w:color w:val="auto"/>
          <w:sz w:val="24"/>
          <w:szCs w:val="24"/>
        </w:rPr>
        <w:t>；</w:t>
      </w:r>
    </w:p>
    <w:p w14:paraId="3E68B00F">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4.2非经采购人同意，不得将本项目内容进行分包，一经发现，立即取消其成交资格，并承担由此引起的一切经济损失；经采购人同意，成交供应商可以依法采取分包方式履行合同。分包部分为项目的部分非主体、非关键性工作。</w:t>
      </w:r>
    </w:p>
    <w:p w14:paraId="0057B508">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4.3接受采购人委托的相关单位对</w:t>
      </w:r>
      <w:r>
        <w:rPr>
          <w:rFonts w:hint="eastAsia" w:ascii="宋体" w:hAnsi="宋体" w:cs="宋体"/>
          <w:bCs/>
          <w:color w:val="auto"/>
          <w:sz w:val="24"/>
          <w:szCs w:val="24"/>
          <w:lang w:eastAsia="zh-CN"/>
        </w:rPr>
        <w:t>设备参数</w:t>
      </w:r>
      <w:r>
        <w:rPr>
          <w:rFonts w:hint="eastAsia" w:ascii="宋体" w:hAnsi="宋体" w:cs="宋体"/>
          <w:bCs/>
          <w:color w:val="auto"/>
          <w:sz w:val="24"/>
          <w:szCs w:val="24"/>
        </w:rPr>
        <w:t>、质量、进度、价款支付与结算审核等的监督和管理。</w:t>
      </w:r>
    </w:p>
    <w:p w14:paraId="5C692049">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
          <w:color w:val="auto"/>
          <w:sz w:val="24"/>
          <w:szCs w:val="24"/>
        </w:rPr>
        <w:t>5、竞争性磋商响应文件响应无效的情形：</w:t>
      </w:r>
    </w:p>
    <w:p w14:paraId="772902B6">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5.1供应商有下列情形之一的，属于恶意串通，对其依照《中华人民共和国政府采购法》第七十七条第一款的规定追究法律责任，响应无效：</w:t>
      </w:r>
    </w:p>
    <w:p w14:paraId="400CD9F9">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（1）供应商直接或者间接从采购人或采购代理机构处获得其他供应商的相关情况并修改其磋商响应文件；</w:t>
      </w:r>
    </w:p>
    <w:p w14:paraId="1E0BDBF5">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（2）供应商按照采购人或采购代理机构的授意撤换、修改磋商响应文件；</w:t>
      </w:r>
    </w:p>
    <w:p w14:paraId="59668D71">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（3）供应商之间协商报价、技术方案等磋商响应文件的实质性内容；</w:t>
      </w:r>
    </w:p>
    <w:p w14:paraId="7055D539">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（4）属于同一集团、协会、商会等组织成员的供应商按照该组织要求协同参加政府采购活动；</w:t>
      </w:r>
    </w:p>
    <w:p w14:paraId="35A27479">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（5）供应商之间事先约定由某一特定供应商成交；</w:t>
      </w:r>
    </w:p>
    <w:p w14:paraId="19D1D9A4">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（6）供应商之间商定部分供应商放弃参加政府采购活动或放弃成交；</w:t>
      </w:r>
    </w:p>
    <w:p w14:paraId="3230D53D">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（7）供应商相互之间，为谋求特定供应商成交或排斥其他供应商的其他串通行为。</w:t>
      </w:r>
    </w:p>
    <w:p w14:paraId="0A8AD647">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5.2有下列情形之一的，视为供应商串通磋商，其响应无效：</w:t>
      </w:r>
    </w:p>
    <w:p w14:paraId="1EF1386F">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（1）不同供应商的磋商响应文件由同一单位或者个人编制；</w:t>
      </w:r>
    </w:p>
    <w:p w14:paraId="6B2DF93F">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（2）不同供应商委托同一单位或者个人办理磋商事宜；</w:t>
      </w:r>
    </w:p>
    <w:p w14:paraId="602549E8">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（3）不同供应商的磋商响应文件载明的项目管理成员或者联系人为同一人；</w:t>
      </w:r>
    </w:p>
    <w:p w14:paraId="48321A95">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（4）不同供应商的磋商响应文件异常一致或者磋商报价呈现规律性差异；</w:t>
      </w:r>
    </w:p>
    <w:p w14:paraId="6B3D4472">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（5）不同供应商的磋商保证金从同一单位或者个人的账户转出。</w:t>
      </w:r>
    </w:p>
    <w:p w14:paraId="54FCA091">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bookmarkStart w:id="5" w:name="_Toc458617738"/>
      <w:bookmarkStart w:id="6" w:name="_Toc458617461"/>
      <w:r>
        <w:rPr>
          <w:rFonts w:hint="eastAsia" w:ascii="宋体" w:hAnsi="宋体" w:cs="宋体"/>
          <w:bCs/>
          <w:color w:val="auto"/>
          <w:sz w:val="24"/>
          <w:szCs w:val="24"/>
        </w:rPr>
        <w:t>5.3其他响应无效的情形：</w:t>
      </w:r>
    </w:p>
    <w:p w14:paraId="5A8CAC2A">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（1）未按照磋商文件的规定提交磋商保证金</w:t>
      </w:r>
      <w:r>
        <w:rPr>
          <w:rFonts w:hint="eastAsia" w:ascii="宋体" w:hAnsi="宋体" w:cs="宋体"/>
          <w:bCs/>
          <w:color w:val="auto"/>
          <w:sz w:val="24"/>
          <w:szCs w:val="24"/>
          <w:lang w:eastAsia="zh-CN"/>
        </w:rPr>
        <w:t>、保函或者信用承诺书</w:t>
      </w:r>
      <w:r>
        <w:rPr>
          <w:rFonts w:hint="eastAsia" w:ascii="宋体" w:hAnsi="宋体" w:cs="宋体"/>
          <w:bCs/>
          <w:color w:val="auto"/>
          <w:sz w:val="24"/>
          <w:szCs w:val="24"/>
        </w:rPr>
        <w:t>的；</w:t>
      </w:r>
    </w:p>
    <w:p w14:paraId="27BD2E55">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（2）磋商响应文件未按磋商文件要求签署、盖章的；</w:t>
      </w:r>
    </w:p>
    <w:p w14:paraId="21952D58">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（3）不具备磋商文件中规定的资格要求的；</w:t>
      </w:r>
    </w:p>
    <w:p w14:paraId="5C24398D">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（4）报价超过磋商文件中规定的最高限价金额的；</w:t>
      </w:r>
    </w:p>
    <w:p w14:paraId="2C27BFF2">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（5）磋商响应文件含有采购人不能接受的附加条件的；</w:t>
      </w:r>
    </w:p>
    <w:p w14:paraId="540FFDAB">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（6）提供虚假材料谋取成交的；</w:t>
      </w:r>
    </w:p>
    <w:p w14:paraId="5A6116F3">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（7）采取不正当手段诋毁、排挤其他供应商的；</w:t>
      </w:r>
      <w:bookmarkEnd w:id="5"/>
      <w:bookmarkEnd w:id="6"/>
    </w:p>
    <w:p w14:paraId="07D42A9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outlineLvl w:val="9"/>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5.4关于竞争性磋商响应文件的雷同性分析：</w:t>
      </w:r>
    </w:p>
    <w:p w14:paraId="0A09359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outlineLvl w:val="9"/>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根据陕西省公共资源交易中心2021年7月22日印发的《关于在政府采购交易系统中开通标书雷同性分析功能的通知》，在符合性审查环节，将由磋商小组在评标系统中对供应商的电子竞争性磋商响应文件进行雷同性分析。</w:t>
      </w:r>
    </w:p>
    <w:p w14:paraId="760ABF7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outlineLvl w:val="9"/>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雷同性分析由两项指标组成，分别是“文件制作机器码”和“文件创建标识码”。其中，前者通过验证电子竞争性磋商响应文件制作设备的特征信息（如MAC地址、硬盘序列号、CPU编号、主板号等），判断电子竞争性磋商响应文件是否出自同一台设备。</w:t>
      </w:r>
    </w:p>
    <w:p w14:paraId="3722200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outlineLvl w:val="9"/>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若“文件制作机器码”一致，则表明不同供应商的电子竞争性磋商响应文件出自同一台制作设备，根据《陕西省财政厅关于政府采购有关政策的复函》（陕财办采函〔2019〕18号），该情形可以视为供应商串通投标，其投标无效。</w:t>
      </w:r>
    </w:p>
    <w:p w14:paraId="78C8146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outlineLvl w:val="9"/>
        <w:rPr>
          <w:color w:val="auto"/>
          <w:highlight w:val="none"/>
        </w:rPr>
      </w:pPr>
      <w:r>
        <w:rPr>
          <w:rFonts w:hint="eastAsia" w:ascii="宋体" w:hAnsi="宋体" w:cs="宋体"/>
          <w:bCs/>
          <w:color w:val="auto"/>
          <w:sz w:val="24"/>
          <w:szCs w:val="24"/>
          <w:highlight w:val="none"/>
          <w:lang w:val="en-US" w:eastAsia="zh-CN"/>
        </w:rPr>
        <w:t>若“文件创建标识码”一致，则表示不同供应商使用竞争性磋商响应文件制</w:t>
      </w:r>
      <w:r>
        <w:rPr>
          <w:rFonts w:hint="eastAsia" w:ascii="宋体" w:hAnsi="宋体" w:cs="宋体"/>
          <w:bCs/>
          <w:color w:val="auto"/>
          <w:spacing w:val="0"/>
          <w:sz w:val="24"/>
          <w:szCs w:val="24"/>
          <w:highlight w:val="none"/>
          <w:lang w:val="en-US" w:eastAsia="zh-CN"/>
        </w:rPr>
        <w:t>作软件时，使用同一源工程文件，该情形建议由磋商小组结合项目情况综合判定。</w:t>
      </w:r>
    </w:p>
    <w:p w14:paraId="5995A36F">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
          <w:color w:val="auto"/>
          <w:sz w:val="24"/>
          <w:szCs w:val="24"/>
        </w:rPr>
      </w:pPr>
      <w:r>
        <w:rPr>
          <w:rFonts w:hint="eastAsia" w:ascii="宋体" w:hAnsi="宋体" w:cs="宋体"/>
          <w:b/>
          <w:color w:val="auto"/>
          <w:sz w:val="24"/>
          <w:szCs w:val="24"/>
        </w:rPr>
        <w:t>6、磋商内容填写说明：</w:t>
      </w:r>
    </w:p>
    <w:p w14:paraId="6ECF8998">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textAlignment w:val="auto"/>
        <w:rPr>
          <w:rFonts w:ascii="宋体" w:hAnsi="宋体" w:cs="宋体"/>
          <w:bCs/>
          <w:color w:val="auto"/>
          <w:sz w:val="24"/>
          <w:szCs w:val="24"/>
          <w:highlight w:val="yellow"/>
        </w:rPr>
      </w:pPr>
      <w:r>
        <w:rPr>
          <w:rFonts w:hint="eastAsia" w:ascii="宋体" w:hAnsi="宋体" w:cs="宋体"/>
          <w:bCs/>
          <w:color w:val="auto"/>
          <w:sz w:val="24"/>
          <w:szCs w:val="24"/>
        </w:rPr>
        <w:t>6.1竞争性磋商响应文件格式：供应商提交的竞争性磋商响应文件应当按照竞争性磋商文件规定的全部格式（表格可以按同样</w:t>
      </w:r>
      <w:r>
        <w:rPr>
          <w:rFonts w:hint="eastAsia" w:ascii="宋体" w:hAnsi="宋体" w:cs="宋体"/>
          <w:bCs/>
          <w:color w:val="auto"/>
          <w:sz w:val="24"/>
          <w:szCs w:val="24"/>
          <w:highlight w:val="none"/>
        </w:rPr>
        <w:t>格式扩展）填写。</w:t>
      </w:r>
    </w:p>
    <w:p w14:paraId="41ABA0B8">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本次磋商项目原则上采用二次报价，第二次商务报价为本磋商活动最终报价，磋商小组在线与供应商完成磋商后，供应商按要求在交易平台系统中自行填报，若供应商填报有误，责任自负；在整体项目开标结束前供应商请保持在线，评审期间磋商小组可能会要求供应商做相应的澄清，因供应商擅自离席造成的不利后果，由供应商自行承担。</w:t>
      </w:r>
    </w:p>
    <w:p w14:paraId="48948104">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6.3在磋商过程中，磋商小组可以根据竞争性磋商文件和磋商情况，实质性变动采购需求中的技术、</w:t>
      </w:r>
      <w:r>
        <w:rPr>
          <w:rFonts w:hint="eastAsia" w:ascii="宋体" w:hAnsi="宋体" w:cs="宋体"/>
          <w:bCs/>
          <w:color w:val="auto"/>
          <w:sz w:val="24"/>
          <w:szCs w:val="24"/>
          <w:highlight w:val="none"/>
          <w:lang w:eastAsia="zh-CN"/>
        </w:rPr>
        <w:t>商务</w:t>
      </w:r>
      <w:r>
        <w:rPr>
          <w:rFonts w:hint="eastAsia" w:ascii="宋体" w:hAnsi="宋体" w:cs="宋体"/>
          <w:bCs/>
          <w:color w:val="auto"/>
          <w:sz w:val="24"/>
          <w:szCs w:val="24"/>
          <w:highlight w:val="none"/>
        </w:rPr>
        <w:t>要求以及合同草案条款，但不得变动磋商文件中的其他内容。实质性变动的内容，须经采购人代表确认。</w:t>
      </w:r>
    </w:p>
    <w:p w14:paraId="61DEE23E">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对磋商文件作出的实质性变动是磋商文件的有效组成部分，磋商小组应当及时以书面形式同时通知所有参加磋商的供应商。</w:t>
      </w:r>
    </w:p>
    <w:p w14:paraId="52CCDFC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4" w:firstLineChars="200"/>
        <w:textAlignment w:val="auto"/>
        <w:outlineLvl w:val="9"/>
        <w:rPr>
          <w:color w:val="auto"/>
          <w:highlight w:val="none"/>
        </w:rPr>
      </w:pPr>
      <w:r>
        <w:rPr>
          <w:rFonts w:hint="eastAsia" w:ascii="宋体" w:hAnsi="宋体" w:cs="宋体"/>
          <w:bCs/>
          <w:color w:val="auto"/>
          <w:spacing w:val="-4"/>
          <w:sz w:val="24"/>
          <w:szCs w:val="24"/>
          <w:highlight w:val="none"/>
          <w:lang w:val="en-US" w:eastAsia="zh-CN"/>
        </w:rPr>
        <w:t>供应商应当按照磋商文件的变动情况和磋商小组的要求重新提交磋商响应文件，并由其法定代表人或授权代表签字或者加盖公章。</w:t>
      </w:r>
    </w:p>
    <w:p w14:paraId="7FA873A2">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
          <w:color w:val="auto"/>
          <w:sz w:val="24"/>
          <w:szCs w:val="24"/>
        </w:rPr>
        <w:t>7、竞争性磋商响应文件的计量单位：</w:t>
      </w:r>
    </w:p>
    <w:p w14:paraId="01363652">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竞争性磋商响应文件中所使用的计量单位，除有特殊要求外，均采用国家法定计量单位。</w:t>
      </w:r>
    </w:p>
    <w:p w14:paraId="672ED8BD">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
          <w:color w:val="auto"/>
          <w:sz w:val="24"/>
          <w:szCs w:val="24"/>
        </w:rPr>
      </w:pPr>
      <w:r>
        <w:rPr>
          <w:rFonts w:hint="eastAsia" w:ascii="宋体" w:hAnsi="宋体" w:cs="宋体"/>
          <w:b/>
          <w:color w:val="auto"/>
          <w:sz w:val="24"/>
          <w:szCs w:val="24"/>
        </w:rPr>
        <w:t>8、磋商报价：</w:t>
      </w:r>
    </w:p>
    <w:p w14:paraId="5D3B8A8A">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8.1供应商应按磋商文件中规定填写报价有关表格。供应商应按格式填写，统一规范不得自行增减内容。当</w:t>
      </w:r>
      <w:r>
        <w:rPr>
          <w:rFonts w:hint="eastAsia" w:ascii="宋体" w:hAnsi="宋体" w:cs="宋体"/>
          <w:bCs/>
          <w:color w:val="auto"/>
          <w:sz w:val="24"/>
          <w:szCs w:val="24"/>
          <w:lang w:eastAsia="zh-CN"/>
        </w:rPr>
        <w:t>响应文件相应内容</w:t>
      </w:r>
      <w:r>
        <w:rPr>
          <w:rFonts w:hint="eastAsia" w:ascii="宋体" w:hAnsi="宋体" w:cs="宋体"/>
          <w:bCs/>
          <w:color w:val="auto"/>
          <w:sz w:val="24"/>
          <w:szCs w:val="24"/>
        </w:rPr>
        <w:t>与</w:t>
      </w:r>
      <w:r>
        <w:rPr>
          <w:rFonts w:hint="eastAsia" w:ascii="宋体" w:hAnsi="宋体" w:cs="宋体"/>
          <w:bCs/>
          <w:color w:val="auto"/>
          <w:sz w:val="24"/>
          <w:szCs w:val="24"/>
          <w:lang w:eastAsia="zh-CN"/>
        </w:rPr>
        <w:t>报价一览表</w:t>
      </w:r>
      <w:r>
        <w:rPr>
          <w:rFonts w:hint="eastAsia" w:ascii="宋体" w:hAnsi="宋体" w:cs="宋体"/>
          <w:bCs/>
          <w:color w:val="auto"/>
          <w:sz w:val="24"/>
          <w:szCs w:val="24"/>
        </w:rPr>
        <w:t>不相一致时，以</w:t>
      </w:r>
      <w:r>
        <w:rPr>
          <w:rFonts w:hint="eastAsia" w:ascii="宋体" w:hAnsi="宋体" w:cs="宋体"/>
          <w:bCs/>
          <w:color w:val="auto"/>
          <w:sz w:val="24"/>
          <w:szCs w:val="24"/>
          <w:lang w:eastAsia="zh-CN"/>
        </w:rPr>
        <w:t>报价一览表</w:t>
      </w:r>
      <w:r>
        <w:rPr>
          <w:rFonts w:hint="eastAsia" w:ascii="宋体" w:hAnsi="宋体" w:cs="宋体"/>
          <w:bCs/>
          <w:color w:val="auto"/>
          <w:sz w:val="24"/>
          <w:szCs w:val="24"/>
        </w:rPr>
        <w:t>为准；大写与小写不一致时，以大写为准。如无特别说明，投标货币为人民币元。</w:t>
      </w:r>
    </w:p>
    <w:p w14:paraId="3DB0F16B">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8.2 供应商必须全面考虑各影响报价因素，供应商必须以人民币报价，报价应对采购的全部内容进行报价，包括完成项目所需设备费、运杂、装卸、包装、安装及调试、人工、相关辅材、保险、检测、检验、税费以及国家规定的其他各项费用等全部费用，采购人不再额外支付任何费用。</w:t>
      </w:r>
    </w:p>
    <w:p w14:paraId="1D8403A3">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ascii="宋体" w:hAnsi="宋体" w:cs="宋体"/>
          <w:bCs/>
          <w:color w:val="auto"/>
          <w:sz w:val="24"/>
          <w:szCs w:val="24"/>
        </w:rPr>
      </w:pPr>
      <w:r>
        <w:rPr>
          <w:rFonts w:hint="eastAsia" w:ascii="宋体" w:hAnsi="宋体" w:cs="宋体"/>
          <w:bCs/>
          <w:color w:val="auto"/>
          <w:sz w:val="24"/>
          <w:szCs w:val="24"/>
        </w:rPr>
        <w:t>8.3供应商报价时可能涉及的因素：</w:t>
      </w:r>
    </w:p>
    <w:p w14:paraId="054F02F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z w:val="24"/>
          <w:szCs w:val="24"/>
        </w:rPr>
      </w:pPr>
      <w:r>
        <w:rPr>
          <w:rFonts w:hint="eastAsia" w:ascii="宋体" w:hAnsi="宋体" w:cs="宋体"/>
          <w:bCs/>
          <w:color w:val="auto"/>
          <w:sz w:val="24"/>
          <w:szCs w:val="24"/>
        </w:rPr>
        <w:t>（1）供应商应事先考虑好人工、场地等费用可能的波动变化。</w:t>
      </w:r>
    </w:p>
    <w:p w14:paraId="235E6F3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pacing w:val="-6"/>
          <w:sz w:val="24"/>
          <w:szCs w:val="24"/>
        </w:rPr>
      </w:pPr>
      <w:r>
        <w:rPr>
          <w:rFonts w:hint="eastAsia" w:ascii="宋体" w:hAnsi="宋体" w:cs="宋体"/>
          <w:bCs/>
          <w:color w:val="auto"/>
          <w:sz w:val="24"/>
          <w:szCs w:val="24"/>
        </w:rPr>
        <w:t>（2）</w:t>
      </w:r>
      <w:r>
        <w:rPr>
          <w:rFonts w:hint="eastAsia" w:ascii="宋体" w:hAnsi="宋体" w:cs="宋体"/>
          <w:bCs/>
          <w:color w:val="auto"/>
          <w:spacing w:val="-6"/>
          <w:sz w:val="24"/>
          <w:szCs w:val="24"/>
        </w:rPr>
        <w:t>供应商须自行踏勘现场以充分了解项目实施的内容及可能产生的费用。</w:t>
      </w:r>
    </w:p>
    <w:p w14:paraId="5C1BBEA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rPr>
        <w:t>）如未成交，无任何补偿费用。</w:t>
      </w:r>
    </w:p>
    <w:p w14:paraId="2636A56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rPr>
        <w:t>）供应商应负责办理为执行本磋商文件规定义务而投入的工伤事故的保险、机具设备和运输工具的财产保险、人身意外伤害险等，保险费由供应商自行支付，</w:t>
      </w:r>
      <w:r>
        <w:rPr>
          <w:rFonts w:hint="eastAsia" w:ascii="宋体" w:hAnsi="宋体" w:cs="宋体"/>
          <w:bCs/>
          <w:color w:val="auto"/>
          <w:sz w:val="24"/>
          <w:szCs w:val="24"/>
          <w:highlight w:val="none"/>
        </w:rPr>
        <w:t>并已包含在磋商报价中，采购人将不再另行支付。</w:t>
      </w:r>
    </w:p>
    <w:p w14:paraId="39F6E38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
          <w:color w:val="auto"/>
          <w:sz w:val="24"/>
          <w:szCs w:val="24"/>
          <w:highlight w:val="none"/>
          <w:lang w:val="zh-CN"/>
        </w:rPr>
      </w:pPr>
      <w:r>
        <w:rPr>
          <w:rFonts w:hint="eastAsia" w:ascii="宋体" w:hAnsi="宋体" w:cs="宋体"/>
          <w:b/>
          <w:color w:val="auto"/>
          <w:sz w:val="24"/>
          <w:szCs w:val="24"/>
          <w:highlight w:val="none"/>
        </w:rPr>
        <w:t>注：</w:t>
      </w:r>
      <w:r>
        <w:rPr>
          <w:rFonts w:hint="eastAsia" w:ascii="宋体" w:hAnsi="宋体" w:cs="宋体"/>
          <w:b/>
          <w:color w:val="auto"/>
          <w:sz w:val="24"/>
          <w:szCs w:val="24"/>
          <w:highlight w:val="none"/>
          <w:lang w:val="zh-CN"/>
        </w:rPr>
        <w:t>（1）磋商谈判第二轮报价为最终报价；</w:t>
      </w:r>
    </w:p>
    <w:p w14:paraId="5B9D978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zh-CN"/>
        </w:rPr>
        <w:t>（2）</w:t>
      </w:r>
      <w:r>
        <w:rPr>
          <w:rFonts w:hint="eastAsia" w:ascii="宋体" w:hAnsi="宋体" w:cs="宋体"/>
          <w:b/>
          <w:color w:val="auto"/>
          <w:sz w:val="24"/>
          <w:szCs w:val="24"/>
          <w:highlight w:val="none"/>
        </w:rPr>
        <w:t>磋商报价超过最高限价的按废标处理；</w:t>
      </w:r>
    </w:p>
    <w:p w14:paraId="0BE8C9A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）最终报价不得高于首次报价，否则按废标处理。</w:t>
      </w:r>
    </w:p>
    <w:p w14:paraId="26F92ED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z w:val="24"/>
          <w:szCs w:val="24"/>
        </w:rPr>
      </w:pPr>
      <w:r>
        <w:rPr>
          <w:rFonts w:hint="eastAsia" w:ascii="宋体" w:hAnsi="宋体" w:cs="宋体"/>
          <w:bCs/>
          <w:color w:val="auto"/>
          <w:sz w:val="24"/>
          <w:szCs w:val="24"/>
        </w:rPr>
        <w:t>8.4、供应商须对《</w:t>
      </w:r>
      <w:r>
        <w:rPr>
          <w:rFonts w:hint="eastAsia" w:ascii="宋体" w:hAnsi="宋体" w:cs="宋体"/>
          <w:bCs/>
          <w:color w:val="auto"/>
          <w:sz w:val="24"/>
          <w:szCs w:val="24"/>
          <w:lang w:eastAsia="zh-CN"/>
        </w:rPr>
        <w:t>采购内容及要求</w:t>
      </w:r>
      <w:r>
        <w:rPr>
          <w:rFonts w:hint="eastAsia" w:ascii="宋体" w:hAnsi="宋体" w:cs="宋体"/>
          <w:bCs/>
          <w:color w:val="auto"/>
          <w:sz w:val="24"/>
          <w:szCs w:val="24"/>
        </w:rPr>
        <w:t>》中的全部费用明细按要求进行完整报价，采购代理机构拒绝只对部分费用明细进行报价的磋商。供应商应在竞争性磋商响应文件中的分项报价表上标明对本次采购拟提供项目的单价和总价。任何有选择的报价将不予接受，每种货物或服务只允许有一个报价。</w:t>
      </w:r>
    </w:p>
    <w:p w14:paraId="07DF502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z w:val="24"/>
          <w:szCs w:val="24"/>
        </w:rPr>
      </w:pPr>
      <w:r>
        <w:rPr>
          <w:rFonts w:hint="eastAsia" w:ascii="宋体" w:hAnsi="宋体" w:cs="宋体"/>
          <w:bCs/>
          <w:color w:val="auto"/>
          <w:sz w:val="24"/>
          <w:szCs w:val="24"/>
          <w:highlight w:val="none"/>
        </w:rPr>
        <w:t>8.5、供应商不得以低于成本的报价参加磋商。当磋商小组认为某个供应商的磋商</w:t>
      </w:r>
      <w:r>
        <w:rPr>
          <w:rFonts w:hint="eastAsia" w:ascii="宋体" w:hAnsi="宋体" w:cs="宋体"/>
          <w:b w:val="0"/>
          <w:bCs/>
          <w:color w:val="auto"/>
          <w:sz w:val="24"/>
          <w:szCs w:val="24"/>
          <w:highlight w:val="none"/>
          <w:lang w:eastAsia="zh-CN"/>
        </w:rPr>
        <w:t>总</w:t>
      </w:r>
      <w:r>
        <w:rPr>
          <w:rFonts w:hint="eastAsia" w:ascii="宋体" w:hAnsi="宋体" w:cs="宋体"/>
          <w:b w:val="0"/>
          <w:bCs/>
          <w:color w:val="auto"/>
          <w:sz w:val="24"/>
          <w:szCs w:val="24"/>
          <w:highlight w:val="none"/>
        </w:rPr>
        <w:t>价或者某</w:t>
      </w:r>
      <w:r>
        <w:rPr>
          <w:rFonts w:hint="eastAsia" w:ascii="宋体" w:hAnsi="宋体" w:cs="宋体"/>
          <w:bCs/>
          <w:color w:val="auto"/>
          <w:sz w:val="24"/>
          <w:szCs w:val="24"/>
          <w:highlight w:val="none"/>
        </w:rPr>
        <w:t>些分项报价明显不合理或者低于成本，有可能影响服务质量</w:t>
      </w:r>
      <w:r>
        <w:rPr>
          <w:rFonts w:hint="eastAsia" w:ascii="宋体" w:hAnsi="宋体" w:cs="宋体"/>
          <w:bCs/>
          <w:color w:val="auto"/>
          <w:sz w:val="24"/>
          <w:szCs w:val="24"/>
        </w:rPr>
        <w:t>和不能诚信履约的，可要求该供应商在规定的期限内提供书面文件予以解释说明，并提交相关证明材料；否则，磋商小组一致认定该供应商以明显低于市场成本报价竞标，其磋商将作废标处理。</w:t>
      </w:r>
    </w:p>
    <w:p w14:paraId="3258B7B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z w:val="24"/>
          <w:szCs w:val="24"/>
        </w:rPr>
      </w:pPr>
      <w:r>
        <w:rPr>
          <w:rFonts w:hint="eastAsia" w:ascii="宋体" w:hAnsi="宋体" w:cs="宋体"/>
          <w:b/>
          <w:color w:val="auto"/>
          <w:sz w:val="24"/>
          <w:szCs w:val="24"/>
        </w:rPr>
        <w:t>9、竞争性磋商响应文件的制作：</w:t>
      </w:r>
    </w:p>
    <w:p w14:paraId="63932BD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textAlignment w:val="auto"/>
        <w:outlineLvl w:val="9"/>
        <w:rPr>
          <w:rFonts w:ascii="宋体" w:hAnsi="宋体" w:cs="宋体"/>
          <w:bCs/>
          <w:color w:val="auto"/>
          <w:sz w:val="24"/>
          <w:szCs w:val="24"/>
        </w:rPr>
      </w:pPr>
      <w:r>
        <w:rPr>
          <w:rFonts w:hint="eastAsia" w:ascii="宋体" w:hAnsi="宋体" w:cs="宋体"/>
          <w:bCs/>
          <w:color w:val="auto"/>
          <w:sz w:val="24"/>
          <w:szCs w:val="24"/>
        </w:rPr>
        <w:t>9.1竞争性磋商响应文件的签署及规定：</w:t>
      </w:r>
    </w:p>
    <w:p w14:paraId="30CB0C5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电子竞争性磋商响应文件制作过程中，需要法定代表人签字或盖章的地方，请使用“法人CA锁”进行签章；需要加盖供应商公章的地方，请使用“企业CA锁”进行签章。若导出的PDF文件里看不到签章，请尝试使用专用制作软件中的“查看投标文件工具”打开未加密的电子竞争性磋商响应文件重新导出。加密和解密应当使用同一CA，否则将会导致解密失败。在制作过程中，如有其他技术性问题，请先翻阅操作手册，或致电软件开发商。</w:t>
      </w:r>
    </w:p>
    <w:p w14:paraId="4E0235B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（2）纸质版磋商响应文件应是供应商最终上传版，</w:t>
      </w:r>
      <w:r>
        <w:rPr>
          <w:rFonts w:hint="eastAsia" w:ascii="宋体" w:hAnsi="宋体" w:cs="宋体"/>
          <w:bCs/>
          <w:color w:val="auto"/>
          <w:sz w:val="24"/>
          <w:szCs w:val="24"/>
          <w:highlight w:val="none"/>
          <w:lang w:eastAsia="zh-CN"/>
        </w:rPr>
        <w:t>成交</w:t>
      </w:r>
      <w:r>
        <w:rPr>
          <w:rFonts w:hint="eastAsia" w:ascii="宋体" w:hAnsi="宋体" w:cs="宋体"/>
          <w:bCs/>
          <w:color w:val="auto"/>
          <w:sz w:val="24"/>
          <w:szCs w:val="24"/>
          <w:highlight w:val="none"/>
        </w:rPr>
        <w:t>供应商应按照供应商须知的要求, 按“供应商须知前附表”中规定数量的正、副本，副本可以是正本的复印件。每套正本和所有的副本均需打印或用不褪色的蓝（黑）墨水填写，注明“正本”“副本”字样。统一装订，须牢固不易拆散和换页，不得采用活页方式装订；统一连续编码。</w:t>
      </w:r>
    </w:p>
    <w:p w14:paraId="46123A2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9.2磋商响应文件的密封、递交</w:t>
      </w:r>
    </w:p>
    <w:p w14:paraId="7256E48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（1）本项目采用电子化投标，无需提供纸质版磋商响应文件，以网上最终上传版为准。</w:t>
      </w:r>
    </w:p>
    <w:p w14:paraId="76FFAC3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成交供应商在领取成交通知书前，须向采购代理机构提交与网上最终上传电子磋商响应文件完全一致的纸质版磋商响应文件（签署并加盖鲜章）正本壹份，副本贰份，电子版响应文件壹份（U盘），未按要求提交磋商响应文件的成交供应商不得领取成交通知书。</w:t>
      </w:r>
    </w:p>
    <w:p w14:paraId="01F79FA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9.3竞争性磋商响应文件的补充、修改与撤回：</w:t>
      </w:r>
    </w:p>
    <w:p w14:paraId="6B2EED7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highlight w:val="none"/>
        </w:rPr>
        <w:t>a、供应商在</w:t>
      </w:r>
      <w:r>
        <w:rPr>
          <w:rFonts w:hint="eastAsia" w:ascii="宋体" w:hAnsi="宋体" w:cs="宋体"/>
          <w:bCs/>
          <w:color w:val="auto"/>
          <w:sz w:val="24"/>
          <w:szCs w:val="24"/>
          <w:highlight w:val="none"/>
          <w:lang w:eastAsia="zh-CN"/>
        </w:rPr>
        <w:t>提</w:t>
      </w:r>
      <w:r>
        <w:rPr>
          <w:rFonts w:hint="eastAsia" w:ascii="宋体" w:hAnsi="宋体" w:cs="宋体"/>
          <w:bCs/>
          <w:color w:val="auto"/>
          <w:sz w:val="24"/>
          <w:szCs w:val="24"/>
          <w:highlight w:val="none"/>
        </w:rPr>
        <w:t>交竞争性磋商响应文件以后，在规定的磋商截止时间之前,可以修改或撤回已</w:t>
      </w:r>
      <w:r>
        <w:rPr>
          <w:rFonts w:hint="eastAsia" w:ascii="宋体" w:hAnsi="宋体" w:cs="宋体"/>
          <w:bCs/>
          <w:color w:val="auto"/>
          <w:sz w:val="24"/>
          <w:szCs w:val="24"/>
          <w:highlight w:val="none"/>
          <w:lang w:eastAsia="zh-CN"/>
        </w:rPr>
        <w:t>提</w:t>
      </w:r>
      <w:r>
        <w:rPr>
          <w:rFonts w:hint="eastAsia" w:ascii="宋体" w:hAnsi="宋体" w:cs="宋体"/>
          <w:bCs/>
          <w:color w:val="auto"/>
          <w:sz w:val="24"/>
          <w:szCs w:val="24"/>
          <w:highlight w:val="none"/>
        </w:rPr>
        <w:t>交的竞争性磋商响</w:t>
      </w:r>
      <w:r>
        <w:rPr>
          <w:rFonts w:hint="eastAsia" w:ascii="宋体" w:hAnsi="宋体" w:cs="宋体"/>
          <w:bCs/>
          <w:color w:val="auto"/>
          <w:sz w:val="24"/>
          <w:szCs w:val="24"/>
        </w:rPr>
        <w:t>应文件，补充、修改的内容应当按竞争性磋商文件要求签署、盖章，并作为竞争性磋商响应文件的组成部分。补充、修改的内容与相应文件不一致的，以补充、修改的内容为准；</w:t>
      </w:r>
    </w:p>
    <w:p w14:paraId="55AB63E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b、磋商截止时间之后，供应商不得补充、修改竞争性磋商响应文件；</w:t>
      </w:r>
    </w:p>
    <w:p w14:paraId="0A4F8AE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lang w:val="en-US" w:eastAsia="zh-CN"/>
        </w:rPr>
        <w:t>c</w:t>
      </w:r>
      <w:r>
        <w:rPr>
          <w:rFonts w:hint="eastAsia" w:ascii="宋体" w:hAnsi="宋体" w:cs="宋体"/>
          <w:bCs/>
          <w:color w:val="auto"/>
          <w:sz w:val="24"/>
          <w:szCs w:val="24"/>
        </w:rPr>
        <w:t>、在磋商截止时间至磋商有效期满之前，供应商不得撤回其竞争性磋商响应文件，否则其磋商保证金将不予退还。</w:t>
      </w:r>
    </w:p>
    <w:p w14:paraId="65D9713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9.4竞争性磋商响应文件的审查标准：</w:t>
      </w:r>
    </w:p>
    <w:p w14:paraId="3AE7E22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a、竞争性磋商响应文件图表与文字不符时，以文字为准；</w:t>
      </w:r>
    </w:p>
    <w:p w14:paraId="2815C31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b、竞争性磋商响应文件大写与小写不符时，以大写为准；</w:t>
      </w:r>
    </w:p>
    <w:p w14:paraId="5C5B097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c、单价乘以数量不等于总价，以单价乘以数量为准。</w:t>
      </w:r>
    </w:p>
    <w:p w14:paraId="0B16B54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9.5竞争性磋商响应文件的有效性：</w:t>
      </w:r>
    </w:p>
    <w:p w14:paraId="74059E8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竞争性磋商响应文件出现下列情形之一的，应当作为无效响应文件，不得进入评审：</w:t>
      </w:r>
    </w:p>
    <w:p w14:paraId="6EC40C8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highlight w:val="none"/>
        </w:rPr>
        <w:t>a）供应商未按规定时间完成解密或因供应商原因造成电子响应文件无法解密、导入失败的，视为其撤销电子响应文件</w:t>
      </w:r>
      <w:r>
        <w:rPr>
          <w:rFonts w:hint="eastAsia" w:ascii="宋体" w:hAnsi="宋体" w:cs="宋体"/>
          <w:bCs/>
          <w:color w:val="auto"/>
          <w:sz w:val="24"/>
          <w:szCs w:val="24"/>
        </w:rPr>
        <w:t>；</w:t>
      </w:r>
    </w:p>
    <w:p w14:paraId="2566BA8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b）竞争性磋商响应文件、响应函未加盖供应商公章、未经法定代表人或其授权代表签字或盖章的；</w:t>
      </w:r>
    </w:p>
    <w:p w14:paraId="1752C92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c）未按竞争性磋商文件的要求提供磋商担保</w:t>
      </w:r>
      <w:r>
        <w:rPr>
          <w:rFonts w:hint="eastAsia" w:ascii="宋体" w:hAnsi="宋体" w:cs="宋体"/>
          <w:bCs/>
          <w:color w:val="auto"/>
          <w:sz w:val="24"/>
          <w:szCs w:val="24"/>
          <w:lang w:eastAsia="zh-CN"/>
        </w:rPr>
        <w:t>、信用承诺书</w:t>
      </w:r>
      <w:r>
        <w:rPr>
          <w:rFonts w:hint="eastAsia" w:ascii="宋体" w:hAnsi="宋体" w:cs="宋体"/>
          <w:bCs/>
          <w:color w:val="auto"/>
          <w:sz w:val="24"/>
          <w:szCs w:val="24"/>
        </w:rPr>
        <w:t>（磋商保证金）的；</w:t>
      </w:r>
    </w:p>
    <w:p w14:paraId="3D5BEAC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d）磋商响应文件的关键内容字迹模糊、无法辨认的；</w:t>
      </w:r>
    </w:p>
    <w:p w14:paraId="26366EB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e）供应商名称或组织机构与资格文件不一致的；</w:t>
      </w:r>
    </w:p>
    <w:p w14:paraId="58B4124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 xml:space="preserve">f）明显不符项目技术标准和服务要求的； </w:t>
      </w:r>
    </w:p>
    <w:p w14:paraId="690A3E4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 xml:space="preserve">g）磋商响应文件载明的服务方式、检验标准和方法等不符合竞争性磋商文件要求的； </w:t>
      </w:r>
    </w:p>
    <w:p w14:paraId="074ED10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h）磋商响应文件附有采购人不能接受的条件的；</w:t>
      </w:r>
    </w:p>
    <w:p w14:paraId="65F87C0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textAlignment w:val="auto"/>
        <w:rPr>
          <w:rFonts w:hint="eastAsia" w:ascii="宋体" w:hAnsi="宋体" w:cs="宋体"/>
          <w:bCs/>
          <w:color w:val="auto"/>
          <w:sz w:val="24"/>
          <w:szCs w:val="24"/>
        </w:rPr>
      </w:pPr>
      <w:bookmarkStart w:id="7" w:name="_Toc11379"/>
      <w:bookmarkStart w:id="8" w:name="_Toc31529"/>
      <w:bookmarkStart w:id="9" w:name="_Toc21465"/>
      <w:r>
        <w:rPr>
          <w:rFonts w:hint="eastAsia" w:ascii="宋体" w:hAnsi="宋体" w:cs="宋体"/>
          <w:bCs/>
          <w:color w:val="auto"/>
          <w:sz w:val="24"/>
          <w:szCs w:val="24"/>
        </w:rPr>
        <w:t>i）不符合竞争性磋商文件规定的其他实质性要求的。</w:t>
      </w:r>
      <w:bookmarkEnd w:id="7"/>
      <w:bookmarkEnd w:id="8"/>
      <w:bookmarkEnd w:id="9"/>
    </w:p>
    <w:p w14:paraId="1A2A0356">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9.6磋商响应文件有效期：自磋商之日起算90个日历天；磋商响应文件中磋商有效期短于规定的磋商有效期，按无效响应文件处理。成交供应商的磋商响应文件有效期延长至合同执行完毕。</w:t>
      </w:r>
    </w:p>
    <w:p w14:paraId="1446319F">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四、磋商保证金</w:t>
      </w:r>
    </w:p>
    <w:p w14:paraId="3DCCDACC">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1、保证金缴纳金额和方式见前附表。</w:t>
      </w:r>
    </w:p>
    <w:p w14:paraId="25FB02A9">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2、未能按要求提交磋商保证金的供应商响应文件视为无效响应。</w:t>
      </w:r>
    </w:p>
    <w:p w14:paraId="3E449955">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3、磋商保证金是为了确保本次磋商顺利进行而对供应商的约束。</w:t>
      </w:r>
    </w:p>
    <w:p w14:paraId="4D7904AB">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 xml:space="preserve">4、有下列情形之一的，磋商保证金不予退还： </w:t>
      </w:r>
    </w:p>
    <w:p w14:paraId="25F4917C">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4.1供应商提供虚假资质谋取成交的；</w:t>
      </w:r>
    </w:p>
    <w:p w14:paraId="12B5822A">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4.2供应商有围标、串标现象，经查证属实的；</w:t>
      </w:r>
    </w:p>
    <w:p w14:paraId="77421AAF">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4.3磋商截止时间后供应商撤销磋商响应文件的；</w:t>
      </w:r>
    </w:p>
    <w:p w14:paraId="26C048CB">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hint="eastAsia" w:ascii="宋体" w:hAnsi="宋体" w:cs="宋体"/>
          <w:bCs/>
          <w:color w:val="auto"/>
          <w:sz w:val="24"/>
          <w:szCs w:val="24"/>
        </w:rPr>
      </w:pPr>
      <w:r>
        <w:rPr>
          <w:rFonts w:hint="eastAsia" w:ascii="宋体" w:hAnsi="宋体" w:cs="宋体"/>
          <w:bCs/>
          <w:color w:val="auto"/>
          <w:sz w:val="24"/>
          <w:szCs w:val="24"/>
        </w:rPr>
        <w:t>4.4供应商自行放弃成交资格的；</w:t>
      </w:r>
    </w:p>
    <w:p w14:paraId="51FEA6F7">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outlineLvl w:val="9"/>
        <w:rPr>
          <w:rFonts w:ascii="宋体" w:hAnsi="宋体" w:cs="宋体"/>
          <w:bCs/>
          <w:color w:val="auto"/>
          <w:sz w:val="24"/>
          <w:szCs w:val="24"/>
          <w:highlight w:val="none"/>
        </w:rPr>
      </w:pPr>
      <w:r>
        <w:rPr>
          <w:rFonts w:hint="eastAsia" w:ascii="宋体" w:hAnsi="宋体" w:cs="宋体"/>
          <w:bCs/>
          <w:color w:val="auto"/>
          <w:sz w:val="24"/>
          <w:szCs w:val="24"/>
        </w:rPr>
        <w:t>4.5成交供应商因自身原因未能在规定期限内与采购人签订合同的</w:t>
      </w:r>
      <w:r>
        <w:rPr>
          <w:rFonts w:hint="eastAsia" w:ascii="宋体" w:hAnsi="宋体" w:cs="宋体"/>
          <w:bCs/>
          <w:color w:val="auto"/>
          <w:sz w:val="24"/>
          <w:szCs w:val="24"/>
          <w:highlight w:val="none"/>
        </w:rPr>
        <w:t>；</w:t>
      </w:r>
    </w:p>
    <w:p w14:paraId="54EC9AA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rPr>
          <w:rFonts w:ascii="宋体" w:hAnsi="宋体" w:cs="宋体"/>
          <w:b/>
          <w:color w:val="auto"/>
          <w:sz w:val="24"/>
          <w:szCs w:val="24"/>
        </w:rPr>
      </w:pPr>
      <w:r>
        <w:rPr>
          <w:rFonts w:hint="eastAsia" w:ascii="宋体" w:hAnsi="宋体" w:cs="宋体"/>
          <w:b/>
          <w:color w:val="auto"/>
          <w:sz w:val="24"/>
          <w:szCs w:val="24"/>
        </w:rPr>
        <w:t>五、磋商、评审及定标</w:t>
      </w:r>
    </w:p>
    <w:p w14:paraId="40CB379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
          <w:color w:val="auto"/>
          <w:sz w:val="24"/>
          <w:szCs w:val="24"/>
        </w:rPr>
      </w:pPr>
      <w:r>
        <w:rPr>
          <w:rFonts w:hint="eastAsia" w:ascii="宋体" w:hAnsi="宋体" w:cs="宋体"/>
          <w:b/>
          <w:color w:val="auto"/>
          <w:sz w:val="24"/>
          <w:szCs w:val="24"/>
        </w:rPr>
        <w:t>1、磋商</w:t>
      </w:r>
    </w:p>
    <w:p w14:paraId="3D2BF3F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开标工作由采购代理机构组织实施，整个过程受同级政府采购监管机构的监督、管理。“不见面开标”是依托政府采购云平台实现的供应商在线参与开标的一种组织形式。供应商无需抵达开标现场，即可在线实现开标、签到、解密、澄清、磋商、二次报价等操作。</w:t>
      </w:r>
    </w:p>
    <w:p w14:paraId="4D9A9C7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磋商会议程序如下：</w:t>
      </w:r>
    </w:p>
    <w:p w14:paraId="5B21814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1．供应商登录：开标前，请各供应商商至少提前半小时登录宝鸡市公共资源交易平台〖首页·〉不见面开标〗系统。</w:t>
      </w:r>
    </w:p>
    <w:p w14:paraId="684C27E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2．主持人宣布开标：提交竞争性磋商响应文件截止时间过后，系统将不再接收任何竞争性磋商响应文件上传。</w:t>
      </w:r>
    </w:p>
    <w:p w14:paraId="25BB589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3．解密竞争性磋商响应文件：供应商在收到主持人“开始解密”指令后，应使用“加密该竞争性磋商响应文件的CA锁（必须是同一把锁）”在线完成竞争性磋商响应文件解密。除因【宝鸡市公共资源交易中心】断电、断网、系统故障及其他不可抗力等因素，导致“不见面开标”系统无法正常运行外，供应商应在规定的解密时间内完成解密。</w:t>
      </w:r>
    </w:p>
    <w:p w14:paraId="433E322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4．唱标：对于竞争性磋商项目，“不见面开标”系统将不展示磋商一次报价。</w:t>
      </w:r>
    </w:p>
    <w:p w14:paraId="12B37BF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5．开标结束：由采购代理机构工作人员导入电子投标文件，进入评审环节，宣布开标会议结束。</w:t>
      </w:r>
    </w:p>
    <w:p w14:paraId="0165DCC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6.进入评标程序，磋商小组将按照磋商文件要求对各供应商的资格证明文件、磋商响应文件的符合性进行审查，未通过资格性审查、符合性审查的响应文件按无效投标处理，合格供应商不足三家的，本项目不再进行评审。资格审查和符合性审查通过后，对有效供应商在线分别进行磋商；</w:t>
      </w:r>
    </w:p>
    <w:p w14:paraId="70AE37A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7.对有效供应商要求在线提交第二次商务报价，在磋商小组未对磋商文件进行实质性修改的情况下，第二次报价不得超过一次报价；</w:t>
      </w:r>
    </w:p>
    <w:p w14:paraId="50B44B3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8.磋商小组评审、推荐成交候选人。</w:t>
      </w:r>
    </w:p>
    <w:p w14:paraId="1D960F1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rPr>
      </w:pPr>
      <w:r>
        <w:rPr>
          <w:rFonts w:hint="eastAsia" w:ascii="宋体" w:hAnsi="宋体" w:cs="宋体"/>
          <w:bCs/>
          <w:color w:val="auto"/>
          <w:sz w:val="24"/>
          <w:szCs w:val="24"/>
        </w:rPr>
        <w:t>9.各供应商在项目开标、评标期间应保持在线状态，对未在规定时间和要求范围内完成签到、解密、磋商、确认、澄清、答复等指令的，视为其放弃，由供应商自行承担相应后果。</w:t>
      </w:r>
    </w:p>
    <w:p w14:paraId="06622DC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
          <w:color w:val="auto"/>
          <w:sz w:val="24"/>
          <w:szCs w:val="24"/>
        </w:rPr>
      </w:pPr>
      <w:r>
        <w:rPr>
          <w:rFonts w:hint="eastAsia" w:ascii="宋体" w:hAnsi="宋体" w:cs="宋体"/>
          <w:b/>
          <w:color w:val="auto"/>
          <w:sz w:val="24"/>
          <w:szCs w:val="24"/>
        </w:rPr>
        <w:t>2、磋商小组</w:t>
      </w:r>
    </w:p>
    <w:p w14:paraId="47B5A64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2.1采购代理机构根据《中华人民共和国政府采购法》、《中华人民共和国政府采购法实施条例》和“财政部第18号部长令”的规定，依法组建磋商小组，磋商小组专家成员在陕西政府采购综合管理平台中随机抽取。磋商小组由采购人代表和评审专家共3人以上单数组成，评审专家人数应占磋商小组总人数的2/3以上。磋商小组负责对具备实质性响应的磋商响应文件进行评估和比较。</w:t>
      </w:r>
    </w:p>
    <w:p w14:paraId="159D883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2.2磋商小组成员应当遵守并履行下列职责义务：</w:t>
      </w:r>
    </w:p>
    <w:p w14:paraId="6D0803C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（1）遵纪守法，客观、公正、认真负责地履行职责，根据磋商文件规定的评审程序、评审方法和评审标准审查磋商响应文件是否符合竞争性磋商文件的要求，并做出评价；</w:t>
      </w:r>
    </w:p>
    <w:p w14:paraId="2962F43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（2）认定供应商必备资质；</w:t>
      </w:r>
    </w:p>
    <w:p w14:paraId="03C953A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（3）磋商小组可要求供应商就竞争性磋商响应文件中含义不明确的内容进行书面说明并提供相关材料；</w:t>
      </w:r>
    </w:p>
    <w:p w14:paraId="3FBCAEB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（4）依据竞争性磋商文件的要求和磋商标准进行磋商，推荐成交候选人名单，对磋商意见承担个人责任；</w:t>
      </w:r>
    </w:p>
    <w:p w14:paraId="48E77BB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（5）对磋商过程及各供应商的商业机密予以保密；</w:t>
      </w:r>
    </w:p>
    <w:p w14:paraId="4E28DFD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（6）拟定磋商结果；</w:t>
      </w:r>
    </w:p>
    <w:p w14:paraId="299E935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76" w:firstLineChars="200"/>
        <w:jc w:val="both"/>
        <w:outlineLvl w:val="9"/>
        <w:rPr>
          <w:rFonts w:ascii="宋体" w:hAnsi="宋体" w:cs="宋体"/>
          <w:bCs/>
          <w:color w:val="auto"/>
          <w:spacing w:val="-6"/>
          <w:sz w:val="24"/>
          <w:szCs w:val="24"/>
        </w:rPr>
      </w:pPr>
      <w:r>
        <w:rPr>
          <w:rFonts w:hint="eastAsia" w:ascii="宋体" w:hAnsi="宋体" w:cs="宋体"/>
          <w:bCs/>
          <w:color w:val="auto"/>
          <w:spacing w:val="-6"/>
          <w:sz w:val="24"/>
          <w:szCs w:val="24"/>
        </w:rPr>
        <w:t>（7）告知采购人、采购代理机构在评审过程中发现的供应商的违法违规行为；</w:t>
      </w:r>
    </w:p>
    <w:p w14:paraId="31406C6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（8）配合采购人、采购代理机构答复各供应商提出的质疑；</w:t>
      </w:r>
    </w:p>
    <w:p w14:paraId="66B3A84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（9）配合各部门的投诉处理和监督检查工作。</w:t>
      </w:r>
    </w:p>
    <w:p w14:paraId="4759691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
          <w:color w:val="auto"/>
          <w:sz w:val="24"/>
          <w:szCs w:val="24"/>
        </w:rPr>
      </w:pPr>
      <w:r>
        <w:rPr>
          <w:rFonts w:hint="eastAsia" w:ascii="宋体" w:hAnsi="宋体" w:cs="宋体"/>
          <w:b/>
          <w:color w:val="auto"/>
          <w:sz w:val="24"/>
          <w:szCs w:val="24"/>
        </w:rPr>
        <w:t>3、评审</w:t>
      </w:r>
    </w:p>
    <w:p w14:paraId="1A904ED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
          <w:color w:val="auto"/>
          <w:sz w:val="24"/>
          <w:szCs w:val="24"/>
        </w:rPr>
        <w:t>3.1磋商原则</w:t>
      </w:r>
    </w:p>
    <w:p w14:paraId="141C9CC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Cs/>
          <w:color w:val="auto"/>
          <w:sz w:val="24"/>
          <w:szCs w:val="24"/>
        </w:rPr>
        <w:t>坚持公平、公正、科学、择优，合理低价，禁止不正当竞争。采用综合评分法，即磋商响应文件满足竞争性磋商文件全部实质性要求且按评审因素的量化指标评审得分最高的供应商为成交供应商。</w:t>
      </w:r>
    </w:p>
    <w:p w14:paraId="286213C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Cs/>
          <w:color w:val="auto"/>
          <w:sz w:val="24"/>
          <w:szCs w:val="24"/>
        </w:rPr>
      </w:pPr>
      <w:r>
        <w:rPr>
          <w:rFonts w:hint="eastAsia" w:ascii="宋体" w:hAnsi="宋体" w:cs="宋体"/>
          <w:b/>
          <w:color w:val="auto"/>
          <w:sz w:val="24"/>
          <w:szCs w:val="24"/>
        </w:rPr>
        <w:t>3.2磋商评审工作程序</w:t>
      </w:r>
    </w:p>
    <w:p w14:paraId="507D3B6D">
      <w:pPr>
        <w:keepNext w:val="0"/>
        <w:keepLines w:val="0"/>
        <w:pageBreakBefore w:val="0"/>
        <w:widowControl w:val="0"/>
        <w:tabs>
          <w:tab w:val="left" w:pos="709"/>
        </w:tabs>
        <w:kinsoku/>
        <w:wordWrap/>
        <w:overflowPunct/>
        <w:topLinePunct w:val="0"/>
        <w:autoSpaceDE/>
        <w:autoSpaceDN/>
        <w:bidi w:val="0"/>
        <w:adjustRightInd w:val="0"/>
        <w:snapToGrid w:val="0"/>
        <w:spacing w:line="580" w:lineRule="exact"/>
        <w:ind w:left="0" w:leftChars="0" w:right="0" w:rightChars="0" w:firstLine="500" w:firstLineChars="200"/>
        <w:jc w:val="both"/>
        <w:textAlignment w:val="baseline"/>
        <w:outlineLvl w:val="9"/>
        <w:rPr>
          <w:rFonts w:ascii="宋体" w:hAnsi="宋体" w:cs="宋体"/>
          <w:b/>
          <w:color w:val="auto"/>
          <w:sz w:val="24"/>
        </w:rPr>
      </w:pPr>
      <w:r>
        <w:rPr>
          <w:rFonts w:hint="eastAsia" w:ascii="宋体" w:hAnsi="宋体" w:cs="宋体"/>
          <w:b/>
          <w:color w:val="auto"/>
          <w:sz w:val="24"/>
        </w:rPr>
        <w:t>3.2.1资格审查</w:t>
      </w:r>
    </w:p>
    <w:p w14:paraId="6561919F">
      <w:pPr>
        <w:keepNext w:val="0"/>
        <w:keepLines w:val="0"/>
        <w:pageBreakBefore w:val="0"/>
        <w:widowControl w:val="0"/>
        <w:tabs>
          <w:tab w:val="left" w:pos="709"/>
        </w:tabs>
        <w:kinsoku/>
        <w:wordWrap/>
        <w:overflowPunct/>
        <w:topLinePunct w:val="0"/>
        <w:autoSpaceDE/>
        <w:autoSpaceDN/>
        <w:bidi w:val="0"/>
        <w:adjustRightInd w:val="0"/>
        <w:snapToGrid w:val="0"/>
        <w:spacing w:line="580" w:lineRule="exact"/>
        <w:ind w:left="0" w:leftChars="0" w:right="0" w:rightChars="0" w:firstLine="500" w:firstLineChars="200"/>
        <w:jc w:val="both"/>
        <w:textAlignment w:val="baseline"/>
        <w:outlineLvl w:val="9"/>
        <w:rPr>
          <w:rFonts w:hint="eastAsia" w:ascii="宋体" w:hAnsi="宋体" w:cs="宋体"/>
          <w:color w:val="auto"/>
          <w:sz w:val="24"/>
        </w:rPr>
      </w:pPr>
      <w:r>
        <w:rPr>
          <w:rFonts w:hint="eastAsia" w:ascii="宋体" w:hAnsi="宋体" w:cs="宋体"/>
          <w:color w:val="auto"/>
          <w:sz w:val="24"/>
          <w:lang w:eastAsia="zh-CN"/>
        </w:rPr>
        <w:t>磋商小组</w:t>
      </w:r>
      <w:r>
        <w:rPr>
          <w:rFonts w:hint="eastAsia" w:ascii="宋体" w:hAnsi="宋体" w:cs="宋体"/>
          <w:color w:val="auto"/>
          <w:sz w:val="24"/>
        </w:rPr>
        <w:t>将依据磋商文件中的资格要求，对供应商进行资格审查，以确定其是否具备相应资格。如果供应商不具备资格、不满足磋商文件所规定的资格标准或提供资格证明文件不全，将被视为未实质性响应磋商文件。</w:t>
      </w:r>
    </w:p>
    <w:p w14:paraId="6D559CFE">
      <w:pPr>
        <w:keepNext w:val="0"/>
        <w:keepLines w:val="0"/>
        <w:pageBreakBefore w:val="0"/>
        <w:widowControl w:val="0"/>
        <w:tabs>
          <w:tab w:val="left" w:pos="1575"/>
        </w:tabs>
        <w:kinsoku/>
        <w:wordWrap/>
        <w:overflowPunct/>
        <w:topLinePunct w:val="0"/>
        <w:autoSpaceDE/>
        <w:autoSpaceDN/>
        <w:bidi w:val="0"/>
        <w:adjustRightInd w:val="0"/>
        <w:snapToGrid w:val="0"/>
        <w:spacing w:line="560" w:lineRule="exact"/>
        <w:jc w:val="center"/>
        <w:textAlignment w:val="auto"/>
        <w:rPr>
          <w:rFonts w:ascii="宋体" w:hAnsi="宋体" w:cs="宋体"/>
          <w:b/>
          <w:color w:val="auto"/>
          <w:sz w:val="28"/>
          <w:szCs w:val="28"/>
        </w:rPr>
      </w:pPr>
      <w:r>
        <w:rPr>
          <w:rFonts w:hint="eastAsia" w:ascii="宋体" w:hAnsi="宋体" w:cs="宋体"/>
          <w:b/>
          <w:color w:val="auto"/>
          <w:sz w:val="24"/>
          <w:szCs w:val="24"/>
        </w:rPr>
        <w:t>资格审查表</w:t>
      </w:r>
    </w:p>
    <w:tbl>
      <w:tblPr>
        <w:tblStyle w:val="31"/>
        <w:tblW w:w="88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000"/>
        <w:gridCol w:w="4867"/>
      </w:tblGrid>
      <w:tr w14:paraId="0B680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 w:type="dxa"/>
            <w:tcBorders>
              <w:tl2br w:val="nil"/>
              <w:tr2bl w:val="nil"/>
            </w:tcBorders>
            <w:vAlign w:val="center"/>
          </w:tcPr>
          <w:p w14:paraId="2B85669F">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b/>
                <w:color w:val="auto"/>
                <w:sz w:val="21"/>
                <w:szCs w:val="21"/>
              </w:rPr>
            </w:pPr>
            <w:r>
              <w:rPr>
                <w:rFonts w:hint="eastAsia" w:ascii="宋体" w:hAnsi="宋体" w:cs="宋体"/>
                <w:b/>
                <w:color w:val="auto"/>
                <w:sz w:val="21"/>
                <w:szCs w:val="21"/>
              </w:rPr>
              <w:t>审查  项目</w:t>
            </w:r>
          </w:p>
        </w:tc>
        <w:tc>
          <w:tcPr>
            <w:tcW w:w="3000" w:type="dxa"/>
            <w:tcBorders>
              <w:tl2br w:val="nil"/>
              <w:tr2bl w:val="nil"/>
            </w:tcBorders>
            <w:vAlign w:val="center"/>
          </w:tcPr>
          <w:p w14:paraId="39A52BE8">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b/>
                <w:color w:val="auto"/>
                <w:sz w:val="21"/>
                <w:szCs w:val="21"/>
              </w:rPr>
            </w:pPr>
            <w:r>
              <w:rPr>
                <w:rFonts w:hint="eastAsia" w:ascii="宋体" w:hAnsi="宋体" w:cs="宋体"/>
                <w:b/>
                <w:color w:val="auto"/>
                <w:sz w:val="21"/>
                <w:szCs w:val="21"/>
              </w:rPr>
              <w:t>审查内容</w:t>
            </w:r>
          </w:p>
        </w:tc>
        <w:tc>
          <w:tcPr>
            <w:tcW w:w="4867" w:type="dxa"/>
            <w:tcBorders>
              <w:tl2br w:val="nil"/>
              <w:tr2bl w:val="nil"/>
            </w:tcBorders>
            <w:vAlign w:val="center"/>
          </w:tcPr>
          <w:p w14:paraId="6FAD398A">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b/>
                <w:color w:val="auto"/>
                <w:sz w:val="21"/>
                <w:szCs w:val="21"/>
              </w:rPr>
            </w:pPr>
            <w:r>
              <w:rPr>
                <w:rFonts w:hint="eastAsia" w:ascii="宋体" w:hAnsi="宋体" w:cs="宋体"/>
                <w:b/>
                <w:color w:val="auto"/>
                <w:sz w:val="21"/>
                <w:szCs w:val="21"/>
              </w:rPr>
              <w:t>审查要求</w:t>
            </w:r>
          </w:p>
        </w:tc>
      </w:tr>
      <w:tr w14:paraId="4D8FE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3" w:hRule="atLeast"/>
          <w:jc w:val="center"/>
        </w:trPr>
        <w:tc>
          <w:tcPr>
            <w:tcW w:w="967" w:type="dxa"/>
            <w:vMerge w:val="restart"/>
            <w:tcBorders>
              <w:tl2br w:val="nil"/>
              <w:tr2bl w:val="nil"/>
            </w:tcBorders>
            <w:vAlign w:val="center"/>
          </w:tcPr>
          <w:p w14:paraId="01196AB3">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b/>
                <w:bCs/>
                <w:color w:val="auto"/>
                <w:sz w:val="21"/>
                <w:szCs w:val="21"/>
                <w:lang w:eastAsia="zh-CN"/>
              </w:rPr>
            </w:pPr>
          </w:p>
          <w:p w14:paraId="6F6654FF">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b/>
                <w:bCs/>
                <w:color w:val="auto"/>
                <w:sz w:val="21"/>
                <w:szCs w:val="21"/>
                <w:lang w:eastAsia="zh-CN"/>
              </w:rPr>
            </w:pPr>
          </w:p>
          <w:p w14:paraId="177D2A19">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b/>
                <w:bCs/>
                <w:color w:val="auto"/>
                <w:sz w:val="21"/>
                <w:szCs w:val="21"/>
                <w:lang w:eastAsia="zh-CN"/>
              </w:rPr>
            </w:pPr>
          </w:p>
          <w:p w14:paraId="00C3920E">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b/>
                <w:bCs/>
                <w:color w:val="auto"/>
                <w:sz w:val="21"/>
                <w:szCs w:val="21"/>
                <w:lang w:eastAsia="zh-CN"/>
              </w:rPr>
            </w:pPr>
          </w:p>
          <w:p w14:paraId="5FB65399">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b/>
                <w:bCs/>
                <w:color w:val="auto"/>
                <w:sz w:val="21"/>
                <w:szCs w:val="21"/>
                <w:lang w:eastAsia="zh-CN"/>
              </w:rPr>
            </w:pPr>
          </w:p>
          <w:p w14:paraId="758F2B18">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资</w:t>
            </w:r>
          </w:p>
          <w:p w14:paraId="16B27CF9">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b/>
                <w:bCs/>
                <w:color w:val="auto"/>
                <w:sz w:val="21"/>
                <w:szCs w:val="21"/>
              </w:rPr>
            </w:pPr>
            <w:r>
              <w:rPr>
                <w:rFonts w:hint="eastAsia" w:ascii="宋体" w:hAnsi="宋体" w:cs="宋体"/>
                <w:b/>
                <w:bCs/>
                <w:color w:val="auto"/>
                <w:sz w:val="21"/>
                <w:szCs w:val="21"/>
                <w:lang w:eastAsia="zh-CN"/>
              </w:rPr>
              <w:t>格</w:t>
            </w:r>
          </w:p>
          <w:p w14:paraId="73A476A4">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b/>
                <w:bCs/>
                <w:color w:val="auto"/>
                <w:sz w:val="21"/>
                <w:szCs w:val="21"/>
              </w:rPr>
            </w:pPr>
            <w:r>
              <w:rPr>
                <w:rFonts w:hint="eastAsia" w:ascii="宋体" w:hAnsi="宋体" w:cs="宋体"/>
                <w:b/>
                <w:bCs/>
                <w:color w:val="auto"/>
                <w:sz w:val="21"/>
                <w:szCs w:val="21"/>
              </w:rPr>
              <w:t>审</w:t>
            </w:r>
          </w:p>
          <w:p w14:paraId="05A831EB">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sz w:val="21"/>
                <w:szCs w:val="21"/>
              </w:rPr>
            </w:pPr>
            <w:r>
              <w:rPr>
                <w:rFonts w:hint="eastAsia" w:ascii="宋体" w:hAnsi="宋体" w:cs="宋体"/>
                <w:b/>
                <w:bCs/>
                <w:color w:val="auto"/>
                <w:sz w:val="21"/>
                <w:szCs w:val="21"/>
              </w:rPr>
              <w:t>查</w:t>
            </w:r>
          </w:p>
        </w:tc>
        <w:tc>
          <w:tcPr>
            <w:tcW w:w="3000" w:type="dxa"/>
            <w:tcBorders>
              <w:tl2br w:val="nil"/>
              <w:tr2bl w:val="nil"/>
            </w:tcBorders>
            <w:vAlign w:val="center"/>
          </w:tcPr>
          <w:p w14:paraId="02C8CAB0">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color w:val="auto"/>
                <w:sz w:val="21"/>
                <w:szCs w:val="21"/>
              </w:rPr>
            </w:pPr>
          </w:p>
          <w:p w14:paraId="0583431A">
            <w:pPr>
              <w:pStyle w:val="49"/>
              <w:keepNext w:val="0"/>
              <w:keepLines w:val="0"/>
              <w:pageBreakBefore w:val="0"/>
              <w:widowControl w:val="0"/>
              <w:kinsoku/>
              <w:wordWrap/>
              <w:overflowPunct/>
              <w:topLinePunct w:val="0"/>
              <w:autoSpaceDE/>
              <w:autoSpaceDN/>
              <w:bidi w:val="0"/>
              <w:adjustRightInd/>
              <w:snapToGrid/>
              <w:spacing w:line="320" w:lineRule="exact"/>
              <w:ind w:right="0" w:rightChars="0" w:firstLine="442"/>
              <w:textAlignment w:val="auto"/>
              <w:rPr>
                <w:color w:val="auto"/>
                <w:sz w:val="21"/>
                <w:szCs w:val="21"/>
              </w:rPr>
            </w:pPr>
          </w:p>
          <w:p w14:paraId="7B3665BE">
            <w:pPr>
              <w:pStyle w:val="49"/>
              <w:keepNext w:val="0"/>
              <w:keepLines w:val="0"/>
              <w:pageBreakBefore w:val="0"/>
              <w:widowControl w:val="0"/>
              <w:kinsoku/>
              <w:wordWrap/>
              <w:overflowPunct/>
              <w:topLinePunct w:val="0"/>
              <w:autoSpaceDE/>
              <w:autoSpaceDN/>
              <w:bidi w:val="0"/>
              <w:adjustRightInd/>
              <w:snapToGrid/>
              <w:spacing w:line="320" w:lineRule="exact"/>
              <w:ind w:right="0" w:rightChars="0" w:firstLine="442"/>
              <w:textAlignment w:val="auto"/>
              <w:rPr>
                <w:color w:val="auto"/>
                <w:sz w:val="21"/>
                <w:szCs w:val="21"/>
              </w:rPr>
            </w:pPr>
          </w:p>
          <w:p w14:paraId="2E118B93">
            <w:pPr>
              <w:pStyle w:val="49"/>
              <w:keepNext w:val="0"/>
              <w:keepLines w:val="0"/>
              <w:pageBreakBefore w:val="0"/>
              <w:widowControl w:val="0"/>
              <w:kinsoku/>
              <w:wordWrap/>
              <w:overflowPunct/>
              <w:topLinePunct w:val="0"/>
              <w:autoSpaceDE/>
              <w:autoSpaceDN/>
              <w:bidi w:val="0"/>
              <w:adjustRightInd/>
              <w:snapToGrid/>
              <w:spacing w:line="320" w:lineRule="exact"/>
              <w:ind w:right="0" w:rightChars="0" w:firstLine="442"/>
              <w:textAlignment w:val="auto"/>
              <w:rPr>
                <w:color w:val="auto"/>
                <w:sz w:val="21"/>
                <w:szCs w:val="21"/>
              </w:rPr>
            </w:pPr>
          </w:p>
          <w:p w14:paraId="09EB758E">
            <w:pPr>
              <w:pStyle w:val="49"/>
              <w:keepNext w:val="0"/>
              <w:keepLines w:val="0"/>
              <w:pageBreakBefore w:val="0"/>
              <w:widowControl w:val="0"/>
              <w:kinsoku/>
              <w:wordWrap/>
              <w:overflowPunct/>
              <w:topLinePunct w:val="0"/>
              <w:autoSpaceDE/>
              <w:autoSpaceDN/>
              <w:bidi w:val="0"/>
              <w:adjustRightInd/>
              <w:snapToGrid/>
              <w:spacing w:line="320" w:lineRule="exact"/>
              <w:ind w:right="0" w:rightChars="0" w:firstLine="442"/>
              <w:textAlignment w:val="auto"/>
              <w:rPr>
                <w:color w:val="auto"/>
                <w:sz w:val="21"/>
                <w:szCs w:val="21"/>
              </w:rPr>
            </w:pPr>
          </w:p>
          <w:p w14:paraId="6AA2919D">
            <w:pPr>
              <w:pStyle w:val="49"/>
              <w:keepNext w:val="0"/>
              <w:keepLines w:val="0"/>
              <w:pageBreakBefore w:val="0"/>
              <w:widowControl w:val="0"/>
              <w:kinsoku/>
              <w:wordWrap/>
              <w:overflowPunct/>
              <w:topLinePunct w:val="0"/>
              <w:autoSpaceDE/>
              <w:autoSpaceDN/>
              <w:bidi w:val="0"/>
              <w:adjustRightInd/>
              <w:snapToGrid/>
              <w:spacing w:line="320" w:lineRule="exact"/>
              <w:ind w:right="0" w:rightChars="0" w:firstLine="442"/>
              <w:textAlignment w:val="auto"/>
              <w:rPr>
                <w:color w:val="auto"/>
                <w:sz w:val="21"/>
                <w:szCs w:val="21"/>
              </w:rPr>
            </w:pPr>
          </w:p>
          <w:p w14:paraId="4FBF3468">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kern w:val="0"/>
                <w:sz w:val="21"/>
                <w:szCs w:val="21"/>
              </w:rPr>
            </w:pPr>
            <w:r>
              <w:rPr>
                <w:rFonts w:hint="eastAsia"/>
                <w:color w:val="auto"/>
                <w:sz w:val="21"/>
                <w:szCs w:val="21"/>
              </w:rPr>
              <w:t>供应商应满足《中华人民共和国政府采购法》第二十二条</w:t>
            </w:r>
          </w:p>
        </w:tc>
        <w:tc>
          <w:tcPr>
            <w:tcW w:w="4867" w:type="dxa"/>
            <w:tcBorders>
              <w:tl2br w:val="nil"/>
              <w:tr2bl w:val="nil"/>
            </w:tcBorders>
            <w:vAlign w:val="center"/>
          </w:tcPr>
          <w:p w14:paraId="3CD6A2E5">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1.供应商须为合法注册的法人、其他组织或者自然人，并具有独立承担民事责任的能力；提供统一社会信用代码的营业执照（或事业法人证、自然人身份证）等证明文件；</w:t>
            </w:r>
          </w:p>
          <w:p w14:paraId="559DDCFD">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供应商财务状况报告：提供2024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以上两种形式的资料提供任何一种即可）；  </w:t>
            </w:r>
          </w:p>
          <w:p w14:paraId="59EFAB01">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3.供应商税收缴纳证明：提供磋商截止时间前六个月内，任意一个月已缴纳的纳税证明或完税证明，依法免税的供应商应提供相关证明材料； </w:t>
            </w:r>
          </w:p>
          <w:p w14:paraId="39F517C0">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供应商社会保障资金缴纳证明：提供磋商截止时间前六个月内，任意一个月已缴存的社会保障资金缴存单据或社保机构开具的社会保险参保缴费情况证明；依法不需要缴纳社会保障资金的供应商应提供相关文件证明；</w:t>
            </w:r>
          </w:p>
          <w:p w14:paraId="3B3C07EB">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5.参加政府采购活动前三年内，在经营活动中没有重大违法记录的书面声明； </w:t>
            </w:r>
          </w:p>
          <w:p w14:paraId="66D63F80">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6.具有履行合同所必须的设备和专业技术能力的说明及承诺；</w:t>
            </w:r>
          </w:p>
        </w:tc>
      </w:tr>
      <w:tr w14:paraId="08E89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967" w:type="dxa"/>
            <w:vMerge w:val="continue"/>
            <w:tcBorders>
              <w:tl2br w:val="nil"/>
              <w:tr2bl w:val="nil"/>
            </w:tcBorders>
            <w:vAlign w:val="center"/>
          </w:tcPr>
          <w:p w14:paraId="1006A14A">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sz w:val="21"/>
                <w:szCs w:val="21"/>
              </w:rPr>
            </w:pPr>
          </w:p>
        </w:tc>
        <w:tc>
          <w:tcPr>
            <w:tcW w:w="3000" w:type="dxa"/>
            <w:tcBorders>
              <w:tl2br w:val="nil"/>
              <w:tr2bl w:val="nil"/>
            </w:tcBorders>
            <w:vAlign w:val="center"/>
          </w:tcPr>
          <w:p w14:paraId="489A8E47">
            <w:pPr>
              <w:keepNext w:val="0"/>
              <w:keepLines w:val="0"/>
              <w:pageBreakBefore w:val="0"/>
              <w:widowControl w:val="0"/>
              <w:tabs>
                <w:tab w:val="left" w:pos="1575"/>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highlight w:val="none"/>
                <w:lang w:eastAsia="zh-CN"/>
              </w:rPr>
              <w:t>专门面向中小企业采购</w:t>
            </w:r>
          </w:p>
        </w:tc>
        <w:tc>
          <w:tcPr>
            <w:tcW w:w="4867" w:type="dxa"/>
            <w:tcBorders>
              <w:tl2br w:val="nil"/>
              <w:tr2bl w:val="nil"/>
            </w:tcBorders>
            <w:vAlign w:val="center"/>
          </w:tcPr>
          <w:p w14:paraId="7E2BB2CE">
            <w:pPr>
              <w:keepNext w:val="0"/>
              <w:keepLines w:val="0"/>
              <w:pageBreakBefore w:val="0"/>
              <w:widowControl w:val="0"/>
              <w:tabs>
                <w:tab w:val="left" w:pos="1575"/>
              </w:tabs>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cs="宋体"/>
                <w:color w:val="auto"/>
                <w:kern w:val="0"/>
                <w:sz w:val="21"/>
                <w:szCs w:val="21"/>
              </w:rPr>
            </w:pPr>
            <w:r>
              <w:rPr>
                <w:rFonts w:hint="eastAsia" w:ascii="宋体" w:hAnsi="宋体" w:eastAsia="宋体" w:cs="宋体"/>
                <w:color w:val="auto"/>
                <w:sz w:val="21"/>
                <w:szCs w:val="21"/>
                <w:lang w:val="en-US" w:eastAsia="zh-CN"/>
              </w:rPr>
              <w:t>提供中小企业声明函（如有虚假，将依法承担相应责任）</w:t>
            </w:r>
          </w:p>
        </w:tc>
      </w:tr>
      <w:tr w14:paraId="23041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967" w:type="dxa"/>
            <w:vMerge w:val="continue"/>
            <w:tcBorders>
              <w:tl2br w:val="nil"/>
              <w:tr2bl w:val="nil"/>
            </w:tcBorders>
            <w:vAlign w:val="center"/>
          </w:tcPr>
          <w:p w14:paraId="166AA9AF">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sz w:val="21"/>
                <w:szCs w:val="21"/>
              </w:rPr>
            </w:pPr>
          </w:p>
        </w:tc>
        <w:tc>
          <w:tcPr>
            <w:tcW w:w="3000" w:type="dxa"/>
            <w:tcBorders>
              <w:tl2br w:val="nil"/>
              <w:tr2bl w:val="nil"/>
            </w:tcBorders>
            <w:vAlign w:val="center"/>
          </w:tcPr>
          <w:p w14:paraId="4E634FFE">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rPr>
              <w:t>法定代表人授权书</w:t>
            </w:r>
          </w:p>
        </w:tc>
        <w:tc>
          <w:tcPr>
            <w:tcW w:w="4867" w:type="dxa"/>
            <w:tcBorders>
              <w:tl2br w:val="nil"/>
              <w:tr2bl w:val="nil"/>
            </w:tcBorders>
            <w:vAlign w:val="center"/>
          </w:tcPr>
          <w:p w14:paraId="558ADDB0">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法定代表人直接参加磋商的，须提供法定代表人身份证明书（附法定代表人身份证复印件并加盖公章）；委托代理人参加磋商的，须提供法人授权委托书（附法定代表人及委托代理人身份证复印件并加盖公章）</w:t>
            </w:r>
          </w:p>
        </w:tc>
      </w:tr>
      <w:tr w14:paraId="7142D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967" w:type="dxa"/>
            <w:vMerge w:val="continue"/>
            <w:tcBorders>
              <w:tl2br w:val="nil"/>
              <w:tr2bl w:val="nil"/>
            </w:tcBorders>
            <w:vAlign w:val="center"/>
          </w:tcPr>
          <w:p w14:paraId="61F54F28">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sz w:val="21"/>
                <w:szCs w:val="21"/>
              </w:rPr>
            </w:pPr>
          </w:p>
        </w:tc>
        <w:tc>
          <w:tcPr>
            <w:tcW w:w="3000" w:type="dxa"/>
            <w:tcBorders>
              <w:tl2br w:val="nil"/>
              <w:tr2bl w:val="nil"/>
            </w:tcBorders>
            <w:vAlign w:val="center"/>
          </w:tcPr>
          <w:p w14:paraId="5E3C5072">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信用查询</w:t>
            </w:r>
          </w:p>
        </w:tc>
        <w:tc>
          <w:tcPr>
            <w:tcW w:w="4867" w:type="dxa"/>
            <w:tcBorders>
              <w:tl2br w:val="nil"/>
              <w:tr2bl w:val="nil"/>
            </w:tcBorders>
            <w:vAlign w:val="center"/>
          </w:tcPr>
          <w:p w14:paraId="6B63A0E1">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outlineLvl w:val="9"/>
              <w:rPr>
                <w:rFonts w:hint="eastAsia" w:ascii="宋体" w:hAnsi="宋体" w:eastAsia="宋体" w:cs="宋体"/>
                <w:color w:val="auto"/>
                <w:sz w:val="21"/>
                <w:szCs w:val="21"/>
                <w:lang w:eastAsia="zh-CN"/>
              </w:rPr>
            </w:pPr>
            <w:r>
              <w:rPr>
                <w:rFonts w:hint="eastAsia" w:ascii="宋体" w:hAnsi="宋体" w:cs="宋体"/>
                <w:color w:val="auto"/>
                <w:kern w:val="0"/>
                <w:sz w:val="21"/>
                <w:szCs w:val="21"/>
              </w:rPr>
              <w:t>提供</w:t>
            </w:r>
            <w:r>
              <w:rPr>
                <w:rFonts w:hint="eastAsia" w:ascii="宋体" w:hAnsi="宋体" w:cs="宋体"/>
                <w:color w:val="auto"/>
                <w:sz w:val="21"/>
                <w:szCs w:val="21"/>
              </w:rPr>
              <w:t>在“信用中国”网站</w:t>
            </w:r>
            <w:r>
              <w:rPr>
                <w:rFonts w:hint="eastAsia" w:ascii="宋体" w:hAnsi="宋体" w:cs="宋体"/>
                <w:color w:val="auto"/>
                <w:kern w:val="0"/>
                <w:sz w:val="21"/>
                <w:szCs w:val="21"/>
              </w:rPr>
              <w:t>及</w:t>
            </w:r>
            <w:r>
              <w:rPr>
                <w:rFonts w:hint="eastAsia" w:ascii="宋体" w:hAnsi="宋体" w:cs="宋体"/>
                <w:color w:val="auto"/>
                <w:sz w:val="21"/>
                <w:szCs w:val="21"/>
              </w:rPr>
              <w:t>在“中国政府采购网”</w:t>
            </w:r>
            <w:r>
              <w:rPr>
                <w:rFonts w:hint="eastAsia" w:ascii="宋体" w:hAnsi="宋体" w:cs="宋体"/>
                <w:color w:val="auto"/>
                <w:kern w:val="0"/>
                <w:sz w:val="21"/>
                <w:szCs w:val="21"/>
              </w:rPr>
              <w:t>的网查截图加盖公章（如相关失信记录已失效，供应商须提供相关证明资料，具体以磋商当天实际查询结果为准。</w:t>
            </w:r>
            <w:r>
              <w:rPr>
                <w:rFonts w:hint="eastAsia" w:ascii="宋体" w:hAnsi="宋体" w:cs="宋体"/>
                <w:color w:val="auto"/>
                <w:kern w:val="0"/>
                <w:sz w:val="21"/>
                <w:szCs w:val="21"/>
                <w:lang w:eastAsia="zh-CN"/>
              </w:rPr>
              <w:t>）</w:t>
            </w:r>
          </w:p>
        </w:tc>
      </w:tr>
      <w:tr w14:paraId="3C8A6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967" w:type="dxa"/>
            <w:vMerge w:val="continue"/>
            <w:tcBorders>
              <w:tl2br w:val="nil"/>
              <w:tr2bl w:val="nil"/>
            </w:tcBorders>
            <w:vAlign w:val="center"/>
          </w:tcPr>
          <w:p w14:paraId="71250872">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sz w:val="21"/>
                <w:szCs w:val="21"/>
              </w:rPr>
            </w:pPr>
          </w:p>
        </w:tc>
        <w:tc>
          <w:tcPr>
            <w:tcW w:w="3000" w:type="dxa"/>
            <w:tcBorders>
              <w:tl2br w:val="nil"/>
              <w:tr2bl w:val="nil"/>
            </w:tcBorders>
            <w:vAlign w:val="center"/>
          </w:tcPr>
          <w:p w14:paraId="560D77A5">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sz w:val="21"/>
                <w:szCs w:val="21"/>
              </w:rPr>
            </w:pPr>
            <w:r>
              <w:rPr>
                <w:rFonts w:hint="eastAsia"/>
                <w:lang w:eastAsia="zh-CN"/>
              </w:rPr>
              <w:t>负责人、控股及管理关系</w:t>
            </w:r>
          </w:p>
        </w:tc>
        <w:tc>
          <w:tcPr>
            <w:tcW w:w="4867" w:type="dxa"/>
            <w:tcBorders>
              <w:tl2br w:val="nil"/>
              <w:tr2bl w:val="nil"/>
            </w:tcBorders>
            <w:vAlign w:val="center"/>
          </w:tcPr>
          <w:p w14:paraId="49B83088">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提供承诺书及国家企业信用信息公示系统网页查询截图（体现股东及出资详细信息）并加盖公章（格式见附件）</w:t>
            </w:r>
          </w:p>
        </w:tc>
      </w:tr>
      <w:tr w14:paraId="402D6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967" w:type="dxa"/>
            <w:vMerge w:val="continue"/>
            <w:tcBorders>
              <w:tl2br w:val="nil"/>
              <w:tr2bl w:val="nil"/>
            </w:tcBorders>
            <w:vAlign w:val="center"/>
          </w:tcPr>
          <w:p w14:paraId="1DE2F021">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ascii="宋体" w:hAnsi="宋体" w:cs="宋体"/>
                <w:color w:val="auto"/>
                <w:sz w:val="21"/>
                <w:szCs w:val="21"/>
              </w:rPr>
            </w:pPr>
          </w:p>
        </w:tc>
        <w:tc>
          <w:tcPr>
            <w:tcW w:w="3000" w:type="dxa"/>
            <w:tcBorders>
              <w:tl2br w:val="nil"/>
              <w:tr2bl w:val="nil"/>
            </w:tcBorders>
            <w:vAlign w:val="center"/>
          </w:tcPr>
          <w:p w14:paraId="569AF133">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color w:val="auto"/>
                <w:sz w:val="21"/>
                <w:szCs w:val="21"/>
              </w:rPr>
            </w:pPr>
            <w:r>
              <w:rPr>
                <w:rFonts w:hint="eastAsia" w:asciiTheme="minorEastAsia" w:hAnsiTheme="minorEastAsia" w:eastAsiaTheme="minorEastAsia" w:cstheme="minorEastAsia"/>
                <w:color w:val="auto"/>
                <w:kern w:val="0"/>
                <w:sz w:val="21"/>
                <w:szCs w:val="21"/>
                <w:lang w:eastAsia="zh-CN"/>
              </w:rPr>
              <w:t>本项目不接受联合体投标</w:t>
            </w:r>
          </w:p>
        </w:tc>
        <w:tc>
          <w:tcPr>
            <w:tcW w:w="4867" w:type="dxa"/>
            <w:tcBorders>
              <w:tl2br w:val="nil"/>
              <w:tr2bl w:val="nil"/>
            </w:tcBorders>
            <w:vAlign w:val="center"/>
          </w:tcPr>
          <w:p w14:paraId="0E604B5C">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提供书面声明（格式自拟）</w:t>
            </w:r>
          </w:p>
        </w:tc>
      </w:tr>
    </w:tbl>
    <w:p w14:paraId="58950F65">
      <w:pPr>
        <w:pStyle w:val="74"/>
        <w:keepNext w:val="0"/>
        <w:keepLines w:val="0"/>
        <w:pageBreakBefore w:val="0"/>
        <w:widowControl/>
        <w:kinsoku/>
        <w:wordWrap/>
        <w:overflowPunct/>
        <w:topLinePunct w:val="0"/>
        <w:autoSpaceDE/>
        <w:autoSpaceDN/>
        <w:bidi w:val="0"/>
        <w:adjustRightInd w:val="0"/>
        <w:snapToGrid w:val="0"/>
        <w:spacing w:before="140" w:line="560" w:lineRule="exact"/>
        <w:ind w:left="0" w:leftChars="0" w:right="0" w:rightChars="0" w:firstLine="440" w:firstLineChars="200"/>
        <w:jc w:val="both"/>
        <w:textAlignment w:val="auto"/>
        <w:outlineLvl w:val="9"/>
        <w:rPr>
          <w:rFonts w:hint="eastAsia" w:ascii="宋体" w:hAnsi="宋体" w:cs="宋体"/>
          <w:b/>
          <w:color w:val="auto"/>
          <w:sz w:val="21"/>
          <w:szCs w:val="21"/>
        </w:rPr>
      </w:pPr>
      <w:r>
        <w:rPr>
          <w:rFonts w:hint="eastAsia" w:ascii="宋体" w:hAnsi="宋体" w:cs="宋体"/>
          <w:b/>
          <w:color w:val="auto"/>
          <w:sz w:val="21"/>
          <w:szCs w:val="21"/>
        </w:rPr>
        <w:t>若有一项不具备视为资格审查不合格，不再进入下一评审环节。</w:t>
      </w:r>
    </w:p>
    <w:p w14:paraId="6F563BA2">
      <w:pPr>
        <w:pStyle w:val="74"/>
        <w:keepNext w:val="0"/>
        <w:keepLines w:val="0"/>
        <w:pageBreakBefore w:val="0"/>
        <w:kinsoku/>
        <w:wordWrap/>
        <w:overflowPunct/>
        <w:topLinePunct w:val="0"/>
        <w:autoSpaceDE/>
        <w:autoSpaceDN/>
        <w:bidi w:val="0"/>
        <w:adjustRightInd w:val="0"/>
        <w:snapToGrid w:val="0"/>
        <w:spacing w:line="560" w:lineRule="exact"/>
        <w:ind w:firstLine="504"/>
        <w:jc w:val="both"/>
        <w:textAlignment w:val="auto"/>
        <w:rPr>
          <w:rFonts w:ascii="宋体" w:hAnsi="宋体" w:cs="宋体"/>
          <w:b/>
          <w:color w:val="auto"/>
        </w:rPr>
      </w:pPr>
      <w:r>
        <w:rPr>
          <w:rFonts w:hint="eastAsia" w:ascii="宋体" w:hAnsi="宋体" w:cs="宋体"/>
          <w:b/>
          <w:color w:val="auto"/>
        </w:rPr>
        <w:t>3.2.2 符合性审查</w:t>
      </w:r>
    </w:p>
    <w:p w14:paraId="59BA3D0C">
      <w:pPr>
        <w:keepNext w:val="0"/>
        <w:keepLines w:val="0"/>
        <w:pageBreakBefore w:val="0"/>
        <w:widowControl w:val="0"/>
        <w:kinsoku/>
        <w:wordWrap/>
        <w:overflowPunct/>
        <w:topLinePunct w:val="0"/>
        <w:autoSpaceDE/>
        <w:autoSpaceDN/>
        <w:bidi w:val="0"/>
        <w:adjustRightInd w:val="0"/>
        <w:snapToGrid w:val="0"/>
        <w:spacing w:line="560" w:lineRule="exact"/>
        <w:ind w:firstLine="500" w:firstLineChars="200"/>
        <w:textAlignment w:val="auto"/>
        <w:outlineLvl w:val="9"/>
        <w:rPr>
          <w:rFonts w:hint="eastAsia" w:ascii="宋体" w:hAnsi="宋体" w:cs="宋体"/>
          <w:bCs/>
          <w:color w:val="auto"/>
          <w:sz w:val="24"/>
          <w:szCs w:val="24"/>
        </w:rPr>
      </w:pPr>
      <w:r>
        <w:rPr>
          <w:rFonts w:hint="eastAsia" w:ascii="宋体" w:hAnsi="宋体" w:cs="宋体"/>
          <w:bCs/>
          <w:color w:val="auto"/>
          <w:sz w:val="24"/>
          <w:szCs w:val="24"/>
        </w:rPr>
        <w:t>磋商小组对供应商提供的响应文件进行符合性审查，审查响应文件是否符合磋商文件的基本要求：内容是否完整、文件签署是否齐全、磋商报价的合格性、对磋商文件的响应程度等。</w:t>
      </w:r>
    </w:p>
    <w:p w14:paraId="560058A7">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jc w:val="center"/>
        <w:textAlignment w:val="auto"/>
        <w:outlineLvl w:val="9"/>
        <w:rPr>
          <w:rFonts w:ascii="宋体" w:hAnsi="宋体" w:cs="宋体"/>
          <w:b/>
          <w:color w:val="auto"/>
          <w:sz w:val="24"/>
          <w:szCs w:val="24"/>
        </w:rPr>
      </w:pPr>
      <w:r>
        <w:rPr>
          <w:rFonts w:hint="eastAsia" w:ascii="宋体" w:hAnsi="宋体" w:cs="宋体"/>
          <w:b/>
          <w:color w:val="auto"/>
          <w:sz w:val="24"/>
          <w:szCs w:val="24"/>
        </w:rPr>
        <w:t>符合性审查表</w:t>
      </w:r>
    </w:p>
    <w:tbl>
      <w:tblPr>
        <w:tblStyle w:val="31"/>
        <w:tblpPr w:leftFromText="180" w:rightFromText="180" w:vertAnchor="text" w:horzAnchor="page" w:tblpX="1569" w:tblpY="161"/>
        <w:tblOverlap w:val="never"/>
        <w:tblW w:w="89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279"/>
        <w:gridCol w:w="5536"/>
      </w:tblGrid>
      <w:tr w14:paraId="29090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33" w:type="dxa"/>
            <w:tcBorders>
              <w:tl2br w:val="nil"/>
              <w:tr2bl w:val="nil"/>
            </w:tcBorders>
            <w:vAlign w:val="center"/>
          </w:tcPr>
          <w:p w14:paraId="5D1E6E91">
            <w:pPr>
              <w:pageBreakBefore w:val="0"/>
              <w:tabs>
                <w:tab w:val="left" w:pos="1575"/>
              </w:tabs>
              <w:wordWrap/>
              <w:overflowPunct/>
              <w:topLinePunct w:val="0"/>
              <w:bidi w:val="0"/>
              <w:jc w:val="center"/>
              <w:outlineLvl w:val="9"/>
              <w:rPr>
                <w:rFonts w:ascii="宋体" w:hAnsi="宋体" w:cs="宋体"/>
                <w:b/>
                <w:color w:val="auto"/>
                <w:szCs w:val="21"/>
              </w:rPr>
            </w:pPr>
            <w:r>
              <w:rPr>
                <w:rFonts w:hint="eastAsia" w:ascii="宋体" w:hAnsi="宋体" w:cs="宋体"/>
                <w:b/>
                <w:color w:val="auto"/>
                <w:szCs w:val="21"/>
              </w:rPr>
              <w:t>审查项目</w:t>
            </w:r>
          </w:p>
        </w:tc>
        <w:tc>
          <w:tcPr>
            <w:tcW w:w="2279" w:type="dxa"/>
            <w:tcBorders>
              <w:tl2br w:val="nil"/>
              <w:tr2bl w:val="nil"/>
            </w:tcBorders>
            <w:vAlign w:val="center"/>
          </w:tcPr>
          <w:p w14:paraId="1B544D94">
            <w:pPr>
              <w:pageBreakBefore w:val="0"/>
              <w:tabs>
                <w:tab w:val="left" w:pos="1575"/>
              </w:tabs>
              <w:wordWrap/>
              <w:overflowPunct/>
              <w:topLinePunct w:val="0"/>
              <w:bidi w:val="0"/>
              <w:jc w:val="center"/>
              <w:outlineLvl w:val="9"/>
              <w:rPr>
                <w:rFonts w:ascii="宋体" w:hAnsi="宋体" w:cs="宋体"/>
                <w:b/>
                <w:color w:val="auto"/>
                <w:szCs w:val="21"/>
              </w:rPr>
            </w:pPr>
            <w:r>
              <w:rPr>
                <w:rFonts w:hint="eastAsia" w:ascii="宋体" w:hAnsi="宋体" w:cs="宋体"/>
                <w:b/>
                <w:color w:val="auto"/>
                <w:szCs w:val="21"/>
              </w:rPr>
              <w:t>审查内容</w:t>
            </w:r>
          </w:p>
        </w:tc>
        <w:tc>
          <w:tcPr>
            <w:tcW w:w="5536" w:type="dxa"/>
            <w:tcBorders>
              <w:tl2br w:val="nil"/>
              <w:tr2bl w:val="nil"/>
            </w:tcBorders>
            <w:vAlign w:val="center"/>
          </w:tcPr>
          <w:p w14:paraId="5BF68EA5">
            <w:pPr>
              <w:pageBreakBefore w:val="0"/>
              <w:tabs>
                <w:tab w:val="left" w:pos="1575"/>
              </w:tabs>
              <w:wordWrap/>
              <w:overflowPunct/>
              <w:topLinePunct w:val="0"/>
              <w:bidi w:val="0"/>
              <w:jc w:val="center"/>
              <w:outlineLvl w:val="9"/>
              <w:rPr>
                <w:rFonts w:ascii="宋体" w:hAnsi="宋体" w:cs="宋体"/>
                <w:b/>
                <w:color w:val="auto"/>
                <w:szCs w:val="21"/>
              </w:rPr>
            </w:pPr>
            <w:r>
              <w:rPr>
                <w:rFonts w:hint="eastAsia" w:ascii="宋体" w:hAnsi="宋体" w:cs="宋体"/>
                <w:b/>
                <w:color w:val="auto"/>
                <w:szCs w:val="21"/>
              </w:rPr>
              <w:t>审查要求</w:t>
            </w:r>
          </w:p>
        </w:tc>
      </w:tr>
      <w:tr w14:paraId="40A91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33" w:type="dxa"/>
            <w:vMerge w:val="restart"/>
            <w:tcBorders>
              <w:tl2br w:val="nil"/>
              <w:tr2bl w:val="nil"/>
            </w:tcBorders>
            <w:vAlign w:val="center"/>
          </w:tcPr>
          <w:p w14:paraId="5723343C">
            <w:pPr>
              <w:pageBreakBefore w:val="0"/>
              <w:tabs>
                <w:tab w:val="left" w:pos="1575"/>
              </w:tabs>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有效性  审查</w:t>
            </w:r>
          </w:p>
        </w:tc>
        <w:tc>
          <w:tcPr>
            <w:tcW w:w="2279" w:type="dxa"/>
            <w:tcBorders>
              <w:tl2br w:val="nil"/>
              <w:tr2bl w:val="nil"/>
            </w:tcBorders>
            <w:vAlign w:val="center"/>
          </w:tcPr>
          <w:p w14:paraId="4E7EAC8A">
            <w:pPr>
              <w:pageBreakBefore w:val="0"/>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响应文件的签署盖章</w:t>
            </w:r>
          </w:p>
        </w:tc>
        <w:tc>
          <w:tcPr>
            <w:tcW w:w="5536" w:type="dxa"/>
            <w:tcBorders>
              <w:tl2br w:val="nil"/>
              <w:tr2bl w:val="nil"/>
            </w:tcBorders>
            <w:vAlign w:val="center"/>
          </w:tcPr>
          <w:p w14:paraId="7023C037">
            <w:pPr>
              <w:pageBreakBefore w:val="0"/>
              <w:wordWrap/>
              <w:overflowPunct/>
              <w:topLinePunct w:val="0"/>
              <w:bidi w:val="0"/>
              <w:jc w:val="left"/>
              <w:outlineLvl w:val="9"/>
              <w:rPr>
                <w:rFonts w:ascii="宋体" w:hAnsi="宋体" w:cs="宋体"/>
                <w:color w:val="auto"/>
                <w:szCs w:val="21"/>
              </w:rPr>
            </w:pPr>
            <w:r>
              <w:rPr>
                <w:rFonts w:hint="eastAsia" w:ascii="宋体" w:hAnsi="宋体" w:cs="宋体"/>
                <w:color w:val="auto"/>
                <w:szCs w:val="21"/>
              </w:rPr>
              <w:t>响应文件上法定代表人或其委托代理人的签字按规定要求齐全，并加盖公章</w:t>
            </w:r>
          </w:p>
        </w:tc>
      </w:tr>
      <w:tr w14:paraId="026E8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33" w:type="dxa"/>
            <w:vMerge w:val="continue"/>
            <w:tcBorders>
              <w:tl2br w:val="nil"/>
              <w:tr2bl w:val="nil"/>
            </w:tcBorders>
            <w:vAlign w:val="center"/>
          </w:tcPr>
          <w:p w14:paraId="66CE25AE">
            <w:pPr>
              <w:pageBreakBefore w:val="0"/>
              <w:tabs>
                <w:tab w:val="left" w:pos="1575"/>
              </w:tabs>
              <w:wordWrap/>
              <w:overflowPunct/>
              <w:topLinePunct w:val="0"/>
              <w:bidi w:val="0"/>
              <w:jc w:val="center"/>
              <w:outlineLvl w:val="9"/>
              <w:rPr>
                <w:rFonts w:ascii="宋体" w:hAnsi="宋体" w:cs="宋体"/>
                <w:color w:val="auto"/>
                <w:szCs w:val="21"/>
              </w:rPr>
            </w:pPr>
          </w:p>
        </w:tc>
        <w:tc>
          <w:tcPr>
            <w:tcW w:w="2279" w:type="dxa"/>
            <w:tcBorders>
              <w:tl2br w:val="nil"/>
              <w:tr2bl w:val="nil"/>
            </w:tcBorders>
            <w:vAlign w:val="center"/>
          </w:tcPr>
          <w:p w14:paraId="0335BCC2">
            <w:pPr>
              <w:pageBreakBefore w:val="0"/>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响应文件格式</w:t>
            </w:r>
          </w:p>
        </w:tc>
        <w:tc>
          <w:tcPr>
            <w:tcW w:w="5536" w:type="dxa"/>
            <w:tcBorders>
              <w:tl2br w:val="nil"/>
              <w:tr2bl w:val="nil"/>
            </w:tcBorders>
            <w:vAlign w:val="center"/>
          </w:tcPr>
          <w:p w14:paraId="6D9E8690">
            <w:pPr>
              <w:pageBreakBefore w:val="0"/>
              <w:wordWrap/>
              <w:overflowPunct/>
              <w:topLinePunct w:val="0"/>
              <w:bidi w:val="0"/>
              <w:jc w:val="left"/>
              <w:outlineLvl w:val="9"/>
              <w:rPr>
                <w:rFonts w:ascii="宋体" w:hAnsi="宋体" w:cs="宋体"/>
                <w:color w:val="auto"/>
                <w:szCs w:val="21"/>
              </w:rPr>
            </w:pPr>
            <w:r>
              <w:rPr>
                <w:rFonts w:hint="eastAsia" w:ascii="宋体" w:hAnsi="宋体" w:cs="宋体"/>
                <w:color w:val="auto"/>
                <w:szCs w:val="21"/>
              </w:rPr>
              <w:t>应符合“竞争性磋商响应文件格式”要求</w:t>
            </w:r>
          </w:p>
        </w:tc>
      </w:tr>
      <w:tr w14:paraId="1D176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33" w:type="dxa"/>
            <w:vMerge w:val="continue"/>
            <w:tcBorders>
              <w:tl2br w:val="nil"/>
              <w:tr2bl w:val="nil"/>
            </w:tcBorders>
            <w:vAlign w:val="center"/>
          </w:tcPr>
          <w:p w14:paraId="124C1805">
            <w:pPr>
              <w:pageBreakBefore w:val="0"/>
              <w:tabs>
                <w:tab w:val="left" w:pos="1575"/>
              </w:tabs>
              <w:wordWrap/>
              <w:overflowPunct/>
              <w:topLinePunct w:val="0"/>
              <w:bidi w:val="0"/>
              <w:jc w:val="center"/>
              <w:outlineLvl w:val="9"/>
              <w:rPr>
                <w:rFonts w:ascii="宋体" w:hAnsi="宋体" w:cs="宋体"/>
                <w:color w:val="auto"/>
                <w:szCs w:val="21"/>
              </w:rPr>
            </w:pPr>
          </w:p>
        </w:tc>
        <w:tc>
          <w:tcPr>
            <w:tcW w:w="2279" w:type="dxa"/>
            <w:tcBorders>
              <w:tl2br w:val="nil"/>
              <w:tr2bl w:val="nil"/>
            </w:tcBorders>
            <w:vAlign w:val="center"/>
          </w:tcPr>
          <w:p w14:paraId="22C84DF5">
            <w:pPr>
              <w:pageBreakBefore w:val="0"/>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报价唯一</w:t>
            </w:r>
          </w:p>
        </w:tc>
        <w:tc>
          <w:tcPr>
            <w:tcW w:w="5536" w:type="dxa"/>
            <w:tcBorders>
              <w:tl2br w:val="nil"/>
              <w:tr2bl w:val="nil"/>
            </w:tcBorders>
            <w:vAlign w:val="center"/>
          </w:tcPr>
          <w:p w14:paraId="2C35C714">
            <w:pPr>
              <w:pageBreakBefore w:val="0"/>
              <w:wordWrap/>
              <w:overflowPunct/>
              <w:topLinePunct w:val="0"/>
              <w:bidi w:val="0"/>
              <w:jc w:val="left"/>
              <w:outlineLvl w:val="9"/>
              <w:rPr>
                <w:rFonts w:ascii="宋体" w:hAnsi="宋体" w:cs="宋体"/>
                <w:color w:val="auto"/>
                <w:szCs w:val="21"/>
              </w:rPr>
            </w:pPr>
            <w:r>
              <w:rPr>
                <w:rFonts w:hint="eastAsia" w:ascii="宋体" w:hAnsi="宋体" w:cs="宋体"/>
                <w:color w:val="auto"/>
                <w:szCs w:val="21"/>
              </w:rPr>
              <w:t>只能有一个有效报价，不得提交选择性报价，且报价不超过最高限价</w:t>
            </w:r>
          </w:p>
        </w:tc>
      </w:tr>
      <w:tr w14:paraId="0265C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133" w:type="dxa"/>
            <w:tcBorders>
              <w:tl2br w:val="nil"/>
              <w:tr2bl w:val="nil"/>
            </w:tcBorders>
            <w:vAlign w:val="center"/>
          </w:tcPr>
          <w:p w14:paraId="3F9DAC39">
            <w:pPr>
              <w:pageBreakBefore w:val="0"/>
              <w:tabs>
                <w:tab w:val="left" w:pos="1575"/>
              </w:tabs>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完整性</w:t>
            </w:r>
          </w:p>
          <w:p w14:paraId="7D3C3980">
            <w:pPr>
              <w:pageBreakBefore w:val="0"/>
              <w:tabs>
                <w:tab w:val="left" w:pos="1575"/>
              </w:tabs>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审查</w:t>
            </w:r>
          </w:p>
        </w:tc>
        <w:tc>
          <w:tcPr>
            <w:tcW w:w="2279" w:type="dxa"/>
            <w:tcBorders>
              <w:tl2br w:val="nil"/>
              <w:tr2bl w:val="nil"/>
            </w:tcBorders>
            <w:vAlign w:val="center"/>
          </w:tcPr>
          <w:p w14:paraId="33E35F73">
            <w:pPr>
              <w:pageBreakBefore w:val="0"/>
              <w:wordWrap/>
              <w:overflowPunct/>
              <w:topLinePunct w:val="0"/>
              <w:bidi w:val="0"/>
              <w:spacing w:line="288" w:lineRule="auto"/>
              <w:jc w:val="center"/>
              <w:outlineLvl w:val="9"/>
              <w:rPr>
                <w:rFonts w:ascii="宋体" w:hAnsi="宋体" w:cs="宋体"/>
                <w:color w:val="auto"/>
                <w:szCs w:val="21"/>
              </w:rPr>
            </w:pPr>
            <w:r>
              <w:rPr>
                <w:rFonts w:hint="eastAsia" w:ascii="宋体" w:hAnsi="宋体" w:cs="宋体"/>
                <w:color w:val="auto"/>
                <w:szCs w:val="21"/>
              </w:rPr>
              <w:t>磋商响应文件内容</w:t>
            </w:r>
          </w:p>
        </w:tc>
        <w:tc>
          <w:tcPr>
            <w:tcW w:w="5536" w:type="dxa"/>
            <w:tcBorders>
              <w:tl2br w:val="nil"/>
              <w:tr2bl w:val="nil"/>
            </w:tcBorders>
            <w:vAlign w:val="center"/>
          </w:tcPr>
          <w:p w14:paraId="7F375273">
            <w:pPr>
              <w:pageBreakBefore w:val="0"/>
              <w:wordWrap/>
              <w:overflowPunct/>
              <w:topLinePunct w:val="0"/>
              <w:bidi w:val="0"/>
              <w:spacing w:line="288" w:lineRule="auto"/>
              <w:outlineLvl w:val="9"/>
              <w:rPr>
                <w:rFonts w:ascii="宋体" w:hAnsi="宋体" w:cs="宋体"/>
                <w:color w:val="auto"/>
                <w:szCs w:val="21"/>
              </w:rPr>
            </w:pPr>
            <w:r>
              <w:rPr>
                <w:rFonts w:hint="eastAsia" w:ascii="宋体" w:hAnsi="宋体" w:cs="宋体"/>
                <w:color w:val="auto"/>
                <w:szCs w:val="21"/>
              </w:rPr>
              <w:t>竞争性磋商响应文件内容齐全、完整、无遗漏</w:t>
            </w:r>
          </w:p>
        </w:tc>
      </w:tr>
      <w:tr w14:paraId="0E142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33" w:type="dxa"/>
            <w:vMerge w:val="restart"/>
            <w:tcBorders>
              <w:tl2br w:val="nil"/>
              <w:tr2bl w:val="nil"/>
            </w:tcBorders>
            <w:vAlign w:val="center"/>
          </w:tcPr>
          <w:p w14:paraId="5B52818A">
            <w:pPr>
              <w:pageBreakBefore w:val="0"/>
              <w:tabs>
                <w:tab w:val="left" w:pos="1575"/>
              </w:tabs>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响应程度审查</w:t>
            </w:r>
          </w:p>
        </w:tc>
        <w:tc>
          <w:tcPr>
            <w:tcW w:w="2279" w:type="dxa"/>
            <w:tcBorders>
              <w:tl2br w:val="nil"/>
              <w:tr2bl w:val="nil"/>
            </w:tcBorders>
            <w:vAlign w:val="center"/>
          </w:tcPr>
          <w:p w14:paraId="50489E0E">
            <w:pPr>
              <w:pageBreakBefore w:val="0"/>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对磋商文件响应程度</w:t>
            </w:r>
          </w:p>
        </w:tc>
        <w:tc>
          <w:tcPr>
            <w:tcW w:w="5536" w:type="dxa"/>
            <w:tcBorders>
              <w:tl2br w:val="nil"/>
              <w:tr2bl w:val="nil"/>
            </w:tcBorders>
            <w:vAlign w:val="center"/>
          </w:tcPr>
          <w:p w14:paraId="45E90933">
            <w:pPr>
              <w:pageBreakBefore w:val="0"/>
              <w:wordWrap/>
              <w:overflowPunct/>
              <w:topLinePunct w:val="0"/>
              <w:bidi w:val="0"/>
              <w:outlineLvl w:val="9"/>
              <w:rPr>
                <w:rFonts w:ascii="宋体" w:hAnsi="宋体" w:cs="宋体"/>
                <w:color w:val="auto"/>
                <w:szCs w:val="21"/>
              </w:rPr>
            </w:pPr>
            <w:r>
              <w:rPr>
                <w:rFonts w:hint="eastAsia" w:ascii="宋体" w:hAnsi="宋体" w:cs="宋体"/>
                <w:color w:val="auto"/>
                <w:szCs w:val="21"/>
              </w:rPr>
              <w:t>按磋商文件要求作出完全响应，不能有任何采购人不能接受的附加条件</w:t>
            </w:r>
          </w:p>
        </w:tc>
      </w:tr>
      <w:tr w14:paraId="542BA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33" w:type="dxa"/>
            <w:vMerge w:val="continue"/>
            <w:tcBorders>
              <w:tl2br w:val="nil"/>
              <w:tr2bl w:val="nil"/>
            </w:tcBorders>
            <w:vAlign w:val="center"/>
          </w:tcPr>
          <w:p w14:paraId="145044D5">
            <w:pPr>
              <w:pageBreakBefore w:val="0"/>
              <w:tabs>
                <w:tab w:val="left" w:pos="1575"/>
              </w:tabs>
              <w:wordWrap/>
              <w:overflowPunct/>
              <w:topLinePunct w:val="0"/>
              <w:bidi w:val="0"/>
              <w:outlineLvl w:val="9"/>
              <w:rPr>
                <w:rFonts w:ascii="宋体" w:hAnsi="宋体" w:cs="宋体"/>
                <w:color w:val="auto"/>
                <w:szCs w:val="21"/>
              </w:rPr>
            </w:pPr>
          </w:p>
        </w:tc>
        <w:tc>
          <w:tcPr>
            <w:tcW w:w="2279" w:type="dxa"/>
            <w:tcBorders>
              <w:tl2br w:val="nil"/>
              <w:tr2bl w:val="nil"/>
            </w:tcBorders>
            <w:vAlign w:val="center"/>
          </w:tcPr>
          <w:p w14:paraId="6C60DFEC">
            <w:pPr>
              <w:pageBreakBefore w:val="0"/>
              <w:wordWrap/>
              <w:overflowPunct/>
              <w:topLinePunct w:val="0"/>
              <w:bidi w:val="0"/>
              <w:jc w:val="center"/>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技术</w:t>
            </w:r>
            <w:r>
              <w:rPr>
                <w:rFonts w:hint="eastAsia" w:ascii="宋体" w:hAnsi="宋体" w:cs="宋体"/>
                <w:color w:val="auto"/>
                <w:szCs w:val="21"/>
                <w:highlight w:val="none"/>
                <w:lang w:val="en-US" w:eastAsia="zh-CN"/>
              </w:rPr>
              <w:t>参数及</w:t>
            </w:r>
            <w:r>
              <w:rPr>
                <w:rFonts w:hint="eastAsia" w:ascii="宋体" w:hAnsi="宋体" w:cs="宋体"/>
                <w:color w:val="auto"/>
                <w:szCs w:val="21"/>
                <w:highlight w:val="none"/>
              </w:rPr>
              <w:t>商务</w:t>
            </w:r>
            <w:r>
              <w:rPr>
                <w:rFonts w:hint="eastAsia" w:ascii="宋体" w:hAnsi="宋体" w:cs="宋体"/>
                <w:color w:val="auto"/>
                <w:szCs w:val="21"/>
                <w:highlight w:val="none"/>
                <w:lang w:eastAsia="zh-CN"/>
              </w:rPr>
              <w:t>条款</w:t>
            </w:r>
          </w:p>
        </w:tc>
        <w:tc>
          <w:tcPr>
            <w:tcW w:w="5536" w:type="dxa"/>
            <w:tcBorders>
              <w:tl2br w:val="nil"/>
              <w:tr2bl w:val="nil"/>
            </w:tcBorders>
            <w:vAlign w:val="center"/>
          </w:tcPr>
          <w:p w14:paraId="6E0C0C7D">
            <w:pPr>
              <w:pStyle w:val="8"/>
              <w:rPr>
                <w:rFonts w:hint="eastAsia" w:ascii="宋体" w:hAnsi="宋体" w:eastAsia="宋体" w:cs="宋体"/>
                <w:color w:val="auto"/>
                <w:szCs w:val="21"/>
                <w:lang w:eastAsia="zh-CN"/>
              </w:rPr>
            </w:pPr>
            <w:r>
              <w:rPr>
                <w:rFonts w:hint="eastAsia" w:ascii="宋体" w:hAnsi="宋体" w:cs="宋体"/>
                <w:color w:val="auto"/>
                <w:szCs w:val="21"/>
              </w:rPr>
              <w:t>应满足磋商文件提出的</w:t>
            </w:r>
            <w:r>
              <w:rPr>
                <w:rFonts w:hint="eastAsia" w:ascii="宋体" w:hAnsi="宋体" w:cs="宋体"/>
                <w:color w:val="auto"/>
                <w:szCs w:val="21"/>
                <w:lang w:eastAsia="zh-CN"/>
              </w:rPr>
              <w:t>技术</w:t>
            </w:r>
            <w:r>
              <w:rPr>
                <w:rFonts w:hint="eastAsia" w:ascii="宋体" w:hAnsi="宋体" w:cs="宋体"/>
                <w:color w:val="auto"/>
                <w:szCs w:val="21"/>
                <w:lang w:val="en-US" w:eastAsia="zh-CN"/>
              </w:rPr>
              <w:t>参数及</w:t>
            </w:r>
            <w:r>
              <w:rPr>
                <w:rFonts w:hint="eastAsia" w:ascii="宋体" w:hAnsi="宋体" w:cs="宋体"/>
                <w:color w:val="auto"/>
                <w:szCs w:val="21"/>
              </w:rPr>
              <w:t>商务</w:t>
            </w:r>
            <w:r>
              <w:rPr>
                <w:rFonts w:hint="eastAsia" w:ascii="宋体" w:hAnsi="宋体" w:cs="宋体"/>
                <w:color w:val="auto"/>
                <w:szCs w:val="21"/>
                <w:lang w:eastAsia="zh-CN"/>
              </w:rPr>
              <w:t>条款要求</w:t>
            </w:r>
          </w:p>
        </w:tc>
      </w:tr>
      <w:tr w14:paraId="62F28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33" w:type="dxa"/>
            <w:vMerge w:val="continue"/>
            <w:tcBorders>
              <w:tl2br w:val="nil"/>
              <w:tr2bl w:val="nil"/>
            </w:tcBorders>
            <w:vAlign w:val="center"/>
          </w:tcPr>
          <w:p w14:paraId="4F370099">
            <w:pPr>
              <w:pageBreakBefore w:val="0"/>
              <w:tabs>
                <w:tab w:val="left" w:pos="1575"/>
              </w:tabs>
              <w:wordWrap/>
              <w:overflowPunct/>
              <w:topLinePunct w:val="0"/>
              <w:bidi w:val="0"/>
              <w:outlineLvl w:val="9"/>
              <w:rPr>
                <w:rFonts w:ascii="宋体" w:hAnsi="宋体" w:cs="宋体"/>
                <w:color w:val="auto"/>
                <w:szCs w:val="21"/>
              </w:rPr>
            </w:pPr>
          </w:p>
        </w:tc>
        <w:tc>
          <w:tcPr>
            <w:tcW w:w="2279" w:type="dxa"/>
            <w:tcBorders>
              <w:tl2br w:val="nil"/>
              <w:tr2bl w:val="nil"/>
            </w:tcBorders>
            <w:vAlign w:val="center"/>
          </w:tcPr>
          <w:p w14:paraId="3A0CFFA9">
            <w:pPr>
              <w:keepNext w:val="0"/>
              <w:keepLines w:val="0"/>
              <w:pageBreakBefore w:val="0"/>
              <w:widowControl w:val="0"/>
              <w:tabs>
                <w:tab w:val="left" w:pos="1575"/>
              </w:tabs>
              <w:kinsoku/>
              <w:wordWrap/>
              <w:overflowPunct/>
              <w:topLinePunct w:val="0"/>
              <w:autoSpaceDE/>
              <w:autoSpaceDN/>
              <w:bidi w:val="0"/>
              <w:adjustRightInd/>
              <w:snapToGrid/>
              <w:spacing w:line="32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5536" w:type="dxa"/>
            <w:tcBorders>
              <w:tl2br w:val="nil"/>
              <w:tr2bl w:val="nil"/>
            </w:tcBorders>
            <w:vAlign w:val="center"/>
          </w:tcPr>
          <w:p w14:paraId="305EB223">
            <w:pPr>
              <w:keepNext w:val="0"/>
              <w:keepLines w:val="0"/>
              <w:pageBreakBefore w:val="0"/>
              <w:widowControl w:val="0"/>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highlight w:val="none"/>
                <w:lang w:val="zh-CN" w:eastAsia="zh-CN"/>
              </w:rPr>
            </w:pPr>
            <w:r>
              <w:rPr>
                <w:rFonts w:hint="eastAsia" w:ascii="宋体" w:hAnsi="宋体" w:cs="宋体"/>
                <w:color w:val="auto"/>
                <w:kern w:val="0"/>
                <w:szCs w:val="21"/>
                <w:highlight w:val="none"/>
                <w:lang w:eastAsia="zh-CN"/>
              </w:rPr>
              <w:t>按照磋商文件要求缴纳磋商保证金，提供</w:t>
            </w:r>
            <w:r>
              <w:rPr>
                <w:rFonts w:hint="eastAsia" w:ascii="宋体" w:hAnsi="宋体" w:cs="宋体"/>
                <w:color w:val="auto"/>
                <w:kern w:val="0"/>
                <w:szCs w:val="21"/>
                <w:highlight w:val="none"/>
              </w:rPr>
              <w:t>缴纳</w:t>
            </w:r>
            <w:r>
              <w:rPr>
                <w:rFonts w:hint="eastAsia" w:ascii="宋体" w:hAnsi="宋体" w:cs="宋体"/>
                <w:color w:val="auto"/>
                <w:kern w:val="0"/>
                <w:szCs w:val="21"/>
                <w:highlight w:val="none"/>
                <w:lang w:eastAsia="zh-CN"/>
              </w:rPr>
              <w:t>凭证</w:t>
            </w:r>
            <w:r>
              <w:rPr>
                <w:rFonts w:hint="eastAsia" w:ascii="宋体" w:hAnsi="宋体" w:cs="宋体"/>
                <w:color w:val="auto"/>
                <w:kern w:val="0"/>
                <w:szCs w:val="21"/>
                <w:highlight w:val="none"/>
              </w:rPr>
              <w:t>（或保函</w:t>
            </w:r>
            <w:r>
              <w:rPr>
                <w:rFonts w:hint="eastAsia" w:ascii="宋体" w:hAnsi="宋体" w:cs="宋体"/>
                <w:color w:val="auto"/>
                <w:kern w:val="0"/>
                <w:szCs w:val="21"/>
                <w:highlight w:val="none"/>
                <w:lang w:eastAsia="zh-CN"/>
              </w:rPr>
              <w:t>或信用承诺书</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复印件</w:t>
            </w:r>
          </w:p>
        </w:tc>
      </w:tr>
      <w:tr w14:paraId="24E3C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33" w:type="dxa"/>
            <w:vMerge w:val="continue"/>
            <w:tcBorders>
              <w:tl2br w:val="nil"/>
              <w:tr2bl w:val="nil"/>
            </w:tcBorders>
            <w:vAlign w:val="center"/>
          </w:tcPr>
          <w:p w14:paraId="299F3119">
            <w:pPr>
              <w:pageBreakBefore w:val="0"/>
              <w:tabs>
                <w:tab w:val="left" w:pos="1575"/>
              </w:tabs>
              <w:wordWrap/>
              <w:overflowPunct/>
              <w:topLinePunct w:val="0"/>
              <w:bidi w:val="0"/>
              <w:outlineLvl w:val="9"/>
              <w:rPr>
                <w:rFonts w:ascii="宋体" w:hAnsi="宋体" w:cs="宋体"/>
                <w:color w:val="auto"/>
                <w:szCs w:val="21"/>
              </w:rPr>
            </w:pPr>
          </w:p>
        </w:tc>
        <w:tc>
          <w:tcPr>
            <w:tcW w:w="2279" w:type="dxa"/>
            <w:tcBorders>
              <w:tl2br w:val="nil"/>
              <w:tr2bl w:val="nil"/>
            </w:tcBorders>
            <w:vAlign w:val="center"/>
          </w:tcPr>
          <w:p w14:paraId="410B10E9">
            <w:pPr>
              <w:pageBreakBefore w:val="0"/>
              <w:wordWrap/>
              <w:overflowPunct/>
              <w:topLinePunct w:val="0"/>
              <w:bidi w:val="0"/>
              <w:jc w:val="center"/>
              <w:outlineLvl w:val="9"/>
              <w:rPr>
                <w:rFonts w:ascii="宋体" w:hAnsi="宋体" w:cs="宋体"/>
                <w:color w:val="auto"/>
                <w:szCs w:val="21"/>
              </w:rPr>
            </w:pPr>
            <w:r>
              <w:rPr>
                <w:rFonts w:hint="eastAsia" w:ascii="宋体" w:hAnsi="宋体" w:cs="宋体"/>
                <w:color w:val="auto"/>
                <w:szCs w:val="21"/>
              </w:rPr>
              <w:t>磋商有效期</w:t>
            </w:r>
          </w:p>
        </w:tc>
        <w:tc>
          <w:tcPr>
            <w:tcW w:w="5536" w:type="dxa"/>
            <w:tcBorders>
              <w:tl2br w:val="nil"/>
              <w:tr2bl w:val="nil"/>
            </w:tcBorders>
            <w:vAlign w:val="center"/>
          </w:tcPr>
          <w:p w14:paraId="31765753">
            <w:pPr>
              <w:pageBreakBefore w:val="0"/>
              <w:wordWrap/>
              <w:overflowPunct/>
              <w:topLinePunct w:val="0"/>
              <w:bidi w:val="0"/>
              <w:outlineLvl w:val="9"/>
              <w:rPr>
                <w:rFonts w:ascii="宋体" w:hAnsi="宋体" w:cs="宋体"/>
                <w:color w:val="auto"/>
                <w:szCs w:val="21"/>
              </w:rPr>
            </w:pPr>
            <w:r>
              <w:rPr>
                <w:rFonts w:hint="eastAsia" w:ascii="宋体" w:hAnsi="宋体" w:cs="宋体"/>
                <w:color w:val="auto"/>
                <w:szCs w:val="21"/>
              </w:rPr>
              <w:t>满足磋商文件中的规定</w:t>
            </w:r>
          </w:p>
        </w:tc>
      </w:tr>
      <w:tr w14:paraId="60831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33" w:type="dxa"/>
            <w:vMerge w:val="continue"/>
            <w:tcBorders>
              <w:tl2br w:val="nil"/>
              <w:tr2bl w:val="nil"/>
            </w:tcBorders>
            <w:vAlign w:val="center"/>
          </w:tcPr>
          <w:p w14:paraId="3B425257">
            <w:pPr>
              <w:pageBreakBefore w:val="0"/>
              <w:tabs>
                <w:tab w:val="left" w:pos="1575"/>
              </w:tabs>
              <w:wordWrap/>
              <w:overflowPunct/>
              <w:topLinePunct w:val="0"/>
              <w:bidi w:val="0"/>
              <w:outlineLvl w:val="9"/>
              <w:rPr>
                <w:rFonts w:ascii="宋体" w:hAnsi="宋体" w:cs="宋体"/>
                <w:color w:val="auto"/>
                <w:szCs w:val="21"/>
              </w:rPr>
            </w:pPr>
          </w:p>
        </w:tc>
        <w:tc>
          <w:tcPr>
            <w:tcW w:w="2279" w:type="dxa"/>
            <w:tcBorders>
              <w:tl2br w:val="nil"/>
              <w:tr2bl w:val="nil"/>
            </w:tcBorders>
            <w:vAlign w:val="center"/>
          </w:tcPr>
          <w:p w14:paraId="3762FEEF">
            <w:pPr>
              <w:jc w:val="center"/>
              <w:rPr>
                <w:rFonts w:hint="eastAsia" w:ascii="宋体" w:hAnsi="宋体" w:cs="宋体"/>
                <w:color w:val="auto"/>
                <w:szCs w:val="21"/>
              </w:rPr>
            </w:pPr>
            <w:r>
              <w:rPr>
                <w:rFonts w:hint="eastAsia" w:ascii="宋体" w:hAnsi="宋体" w:eastAsia="宋体" w:cs="宋体"/>
                <w:color w:val="auto"/>
                <w:szCs w:val="21"/>
                <w:lang w:val="en-US" w:eastAsia="zh-CN"/>
              </w:rPr>
              <w:t>其他</w:t>
            </w:r>
          </w:p>
        </w:tc>
        <w:tc>
          <w:tcPr>
            <w:tcW w:w="5536" w:type="dxa"/>
            <w:tcBorders>
              <w:tl2br w:val="nil"/>
              <w:tr2bl w:val="nil"/>
            </w:tcBorders>
            <w:vAlign w:val="center"/>
          </w:tcPr>
          <w:p w14:paraId="25AB31DB">
            <w:pPr>
              <w:rPr>
                <w:rFonts w:hint="eastAsia" w:ascii="宋体" w:hAnsi="宋体" w:cs="宋体"/>
                <w:color w:val="auto"/>
                <w:szCs w:val="21"/>
              </w:rPr>
            </w:pPr>
            <w:r>
              <w:rPr>
                <w:rFonts w:hint="eastAsia" w:ascii="宋体" w:hAnsi="宋体" w:eastAsia="宋体" w:cs="宋体"/>
                <w:color w:val="auto"/>
                <w:szCs w:val="21"/>
                <w:lang w:eastAsia="zh-CN"/>
              </w:rPr>
              <w:t>不存在法律法规或采购文件规定的其他无效响应情形</w:t>
            </w:r>
          </w:p>
        </w:tc>
      </w:tr>
    </w:tbl>
    <w:p w14:paraId="66954BE6">
      <w:pPr>
        <w:keepNext w:val="0"/>
        <w:keepLines w:val="0"/>
        <w:pageBreakBefore w:val="0"/>
        <w:widowControl w:val="0"/>
        <w:tabs>
          <w:tab w:val="left" w:pos="1575"/>
        </w:tabs>
        <w:kinsoku/>
        <w:wordWrap/>
        <w:overflowPunct/>
        <w:topLinePunct w:val="0"/>
        <w:autoSpaceDE/>
        <w:autoSpaceDN/>
        <w:bidi w:val="0"/>
        <w:adjustRightInd w:val="0"/>
        <w:snapToGrid w:val="0"/>
        <w:spacing w:line="540" w:lineRule="exact"/>
        <w:ind w:firstLine="440" w:firstLineChars="200"/>
        <w:textAlignment w:val="auto"/>
        <w:rPr>
          <w:rFonts w:ascii="宋体" w:hAnsi="宋体" w:cs="宋体"/>
          <w:b/>
          <w:color w:val="auto"/>
          <w:szCs w:val="21"/>
        </w:rPr>
      </w:pPr>
      <w:r>
        <w:rPr>
          <w:rFonts w:hint="eastAsia" w:ascii="宋体" w:hAnsi="宋体" w:cs="宋体"/>
          <w:b/>
          <w:color w:val="auto"/>
          <w:szCs w:val="21"/>
        </w:rPr>
        <w:t>以上各项若有一项不符合视为符合性审查不合格，不再进入下一评审环节。</w:t>
      </w:r>
    </w:p>
    <w:p w14:paraId="444413A8">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3.2.3在磋商响应文件的磋商和比较、成交供应商的确定过程中，供应商向磋商小组施加压力的任何行为，都将会导致其磋商被拒绝。</w:t>
      </w:r>
    </w:p>
    <w:p w14:paraId="38136D52">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3.2.4磋商小组可以根据磋商文件和磋商实际情况，修改采购需求中的技术、服务要求及合同草案条款，但不得变动其他内容。实质性变动的内容，须经采购人代表确认。</w:t>
      </w:r>
    </w:p>
    <w:p w14:paraId="46CF85BC">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3.2.5磋商小组对竞争性磋商响应文件的有效性、完整性和响应程度或其他内容有疑问的，磋商小组可要求供应商对竞争性磋商响应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竞争性磋商响应文件的范围或改变竞争性磋商响应文件的实质性内容。磋商小组不得寻求或建议对磋商价格和竞争性磋商响应文件的实质进行变更。</w:t>
      </w:r>
    </w:p>
    <w:p w14:paraId="36F7A032">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质询工作应当由全体磋商小组成员参加。对于实质性不响应竞争性磋商文件的，磋商小组有权予以拒绝。质询工作应做书面记录，采购人代表、磋商小组成员及供应商应在记录上签字确认。</w:t>
      </w:r>
    </w:p>
    <w:p w14:paraId="2A3CF4EE">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
          <w:color w:val="auto"/>
          <w:sz w:val="24"/>
          <w:szCs w:val="24"/>
        </w:rPr>
      </w:pPr>
      <w:r>
        <w:rPr>
          <w:rFonts w:hint="eastAsia" w:ascii="宋体" w:hAnsi="宋体" w:cs="宋体"/>
          <w:b/>
          <w:color w:val="auto"/>
          <w:sz w:val="24"/>
          <w:szCs w:val="24"/>
        </w:rPr>
        <w:t>4、定标</w:t>
      </w:r>
    </w:p>
    <w:p w14:paraId="4C8AD49A">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4.1磋商小组依据磋商文件的要求，对供应商进行认真评审。经过评审、磋商、澄清、最后报价等程序后，从响应文件满足磋商文件全部实质性要求的供应商中，按照评审得分由高到低的顺序推荐3名成交候选人，并编写评审报告。评审得分相同的，按照最后报价由低到高的顺序推荐。评审得分且最后报价相同的，按照技术指标优劣顺序推荐。</w:t>
      </w:r>
    </w:p>
    <w:p w14:paraId="5A188744">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4.2采购代理机构应当自评审结束之日起2个工作日内将评审报告送交采购人，并向采购人出具《成交结果确认函》。采购人在收到评审报告及《成交结果确认函》后5个工作日内依据评审报告推荐的成交候选人顺序确定成交供应商，并向采购代理机构出具《成交结果确认复函》；逾期未确定成交供应商且不提出异议的，视为确定评审报告推荐的第一成交候选人为成交供应商。</w:t>
      </w:r>
    </w:p>
    <w:p w14:paraId="47CBBE51">
      <w:pPr>
        <w:keepNext w:val="0"/>
        <w:keepLines w:val="0"/>
        <w:pageBreakBefore w:val="0"/>
        <w:widowControl w:val="0"/>
        <w:kinsoku/>
        <w:wordWrap/>
        <w:overflowPunct/>
        <w:topLinePunct w:val="0"/>
        <w:autoSpaceDE/>
        <w:autoSpaceDN/>
        <w:bidi w:val="0"/>
        <w:adjustRightInd w:val="0"/>
        <w:snapToGrid w:val="0"/>
        <w:spacing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4.3采购代理机构接到采购人发出的《成交结果确认复函》后，在2个工作日内，将成交结果在</w:t>
      </w:r>
      <w:r>
        <w:rPr>
          <w:rFonts w:hint="eastAsia" w:ascii="宋体" w:hAnsi="宋体" w:cs="宋体"/>
          <w:bCs/>
          <w:color w:val="auto"/>
          <w:sz w:val="24"/>
          <w:szCs w:val="24"/>
          <w:lang w:eastAsia="zh-CN"/>
        </w:rPr>
        <w:t>原公告媒体</w:t>
      </w:r>
      <w:r>
        <w:rPr>
          <w:rFonts w:hint="eastAsia" w:ascii="宋体" w:hAnsi="宋体" w:cs="宋体"/>
          <w:bCs/>
          <w:color w:val="auto"/>
          <w:sz w:val="24"/>
          <w:szCs w:val="24"/>
        </w:rPr>
        <w:t>上进行公告。公告发布1个工作日，其他供应商若有异议，按《政府采购法》第52条执行。</w:t>
      </w:r>
    </w:p>
    <w:p w14:paraId="02ABCBD2">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jc w:val="both"/>
        <w:textAlignment w:val="auto"/>
        <w:outlineLvl w:val="9"/>
        <w:rPr>
          <w:color w:val="auto"/>
        </w:rPr>
      </w:pPr>
      <w:r>
        <w:rPr>
          <w:rFonts w:hint="eastAsia" w:ascii="宋体" w:hAnsi="宋体" w:cs="宋体"/>
          <w:bCs/>
          <w:color w:val="auto"/>
          <w:sz w:val="24"/>
          <w:szCs w:val="24"/>
        </w:rPr>
        <w:t>4.4成交供应商确定后，采购人和采购代理机构对未成交原因不作任何解释，竞争性磋商响应文件不予退还。</w:t>
      </w:r>
    </w:p>
    <w:p w14:paraId="419E241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jc w:val="both"/>
        <w:textAlignment w:val="auto"/>
        <w:outlineLvl w:val="9"/>
        <w:rPr>
          <w:rFonts w:ascii="宋体" w:hAnsi="宋体" w:cs="宋体"/>
          <w:bCs/>
          <w:color w:val="auto"/>
          <w:sz w:val="24"/>
          <w:szCs w:val="24"/>
        </w:rPr>
      </w:pPr>
      <w:r>
        <w:rPr>
          <w:rFonts w:hint="eastAsia" w:ascii="宋体" w:hAnsi="宋体" w:cs="宋体"/>
          <w:b/>
          <w:color w:val="auto"/>
          <w:sz w:val="24"/>
          <w:szCs w:val="24"/>
        </w:rPr>
        <w:t>5、评审方法：综合评分法（总计100分）</w:t>
      </w:r>
    </w:p>
    <w:p w14:paraId="346AAB6E">
      <w:pPr>
        <w:keepNext w:val="0"/>
        <w:keepLines w:val="0"/>
        <w:pageBreakBefore w:val="0"/>
        <w:widowControl w:val="0"/>
        <w:kinsoku/>
        <w:wordWrap/>
        <w:overflowPunct/>
        <w:topLinePunct w:val="0"/>
        <w:autoSpaceDE/>
        <w:autoSpaceDN/>
        <w:bidi w:val="0"/>
        <w:adjustRightInd w:val="0"/>
        <w:snapToGrid w:val="0"/>
        <w:spacing w:afterLines="50" w:line="54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评标因素及权值如下：</w:t>
      </w:r>
    </w:p>
    <w:tbl>
      <w:tblPr>
        <w:tblStyle w:val="31"/>
        <w:tblW w:w="88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61"/>
        <w:gridCol w:w="1159"/>
        <w:gridCol w:w="5300"/>
      </w:tblGrid>
      <w:tr w14:paraId="60FD1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4" w:type="dxa"/>
            <w:tcBorders>
              <w:tl2br w:val="nil"/>
              <w:tr2bl w:val="nil"/>
            </w:tcBorders>
            <w:vAlign w:val="center"/>
          </w:tcPr>
          <w:p w14:paraId="6D377778">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61" w:type="dxa"/>
            <w:tcBorders>
              <w:tl2br w:val="nil"/>
              <w:tr2bl w:val="nil"/>
            </w:tcBorders>
            <w:vAlign w:val="center"/>
          </w:tcPr>
          <w:p w14:paraId="3138035D">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1159" w:type="dxa"/>
            <w:tcBorders>
              <w:tl2br w:val="nil"/>
              <w:tr2bl w:val="nil"/>
            </w:tcBorders>
            <w:vAlign w:val="center"/>
          </w:tcPr>
          <w:p w14:paraId="6552AAAE">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总分值</w:t>
            </w:r>
          </w:p>
          <w:p w14:paraId="1A50EFF6">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c>
          <w:tcPr>
            <w:tcW w:w="5300" w:type="dxa"/>
            <w:tcBorders>
              <w:tl2br w:val="nil"/>
              <w:tr2bl w:val="nil"/>
            </w:tcBorders>
            <w:vAlign w:val="center"/>
          </w:tcPr>
          <w:p w14:paraId="612F4528">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r>
      <w:tr w14:paraId="363D6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14" w:type="dxa"/>
            <w:tcBorders>
              <w:tl2br w:val="nil"/>
              <w:tr2bl w:val="nil"/>
            </w:tcBorders>
            <w:vAlign w:val="center"/>
          </w:tcPr>
          <w:p w14:paraId="6369648C">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61" w:type="dxa"/>
            <w:tcBorders>
              <w:tl2br w:val="nil"/>
              <w:tr2bl w:val="nil"/>
            </w:tcBorders>
            <w:vAlign w:val="center"/>
          </w:tcPr>
          <w:p w14:paraId="3D7A26C0">
            <w:pPr>
              <w:jc w:val="center"/>
              <w:rPr>
                <w:rFonts w:hint="eastAsia" w:ascii="宋体" w:hAnsi="宋体" w:eastAsia="宋体" w:cs="宋体"/>
                <w:color w:val="auto"/>
                <w:sz w:val="21"/>
                <w:szCs w:val="21"/>
                <w:lang w:eastAsia="zh-CN"/>
              </w:rPr>
            </w:pPr>
            <w:r>
              <w:rPr>
                <w:rFonts w:hint="eastAsia" w:ascii="宋体" w:hAnsi="宋体" w:cs="宋体"/>
                <w:color w:val="auto"/>
                <w:szCs w:val="21"/>
              </w:rPr>
              <w:t>磋商报价</w:t>
            </w:r>
          </w:p>
        </w:tc>
        <w:tc>
          <w:tcPr>
            <w:tcW w:w="1159" w:type="dxa"/>
            <w:tcBorders>
              <w:tl2br w:val="nil"/>
              <w:tr2bl w:val="nil"/>
            </w:tcBorders>
            <w:vAlign w:val="center"/>
          </w:tcPr>
          <w:p w14:paraId="3D0BCCE7">
            <w:pPr>
              <w:jc w:val="center"/>
              <w:rPr>
                <w:rFonts w:hint="eastAsia" w:ascii="宋体" w:hAnsi="宋体" w:eastAsia="宋体" w:cs="宋体"/>
                <w:color w:val="auto"/>
                <w:sz w:val="21"/>
                <w:szCs w:val="21"/>
              </w:rPr>
            </w:pPr>
            <w:r>
              <w:rPr>
                <w:rFonts w:hint="eastAsia" w:ascii="宋体" w:hAnsi="宋体" w:cs="宋体"/>
                <w:color w:val="auto"/>
                <w:szCs w:val="21"/>
                <w:lang w:val="en-US" w:eastAsia="zh-CN"/>
              </w:rPr>
              <w:t>30</w:t>
            </w:r>
            <w:r>
              <w:rPr>
                <w:rFonts w:hint="eastAsia" w:ascii="宋体" w:hAnsi="宋体" w:cs="宋体"/>
                <w:color w:val="auto"/>
                <w:szCs w:val="21"/>
              </w:rPr>
              <w:t>分</w:t>
            </w:r>
          </w:p>
        </w:tc>
        <w:tc>
          <w:tcPr>
            <w:tcW w:w="5300" w:type="dxa"/>
            <w:tcBorders>
              <w:tl2br w:val="nil"/>
              <w:tr2bl w:val="nil"/>
            </w:tcBorders>
            <w:vAlign w:val="center"/>
          </w:tcPr>
          <w:p w14:paraId="61886779">
            <w:pPr>
              <w:jc w:val="left"/>
              <w:rPr>
                <w:rFonts w:ascii="宋体" w:hAnsi="宋体" w:cs="宋体"/>
                <w:color w:val="auto"/>
                <w:szCs w:val="21"/>
              </w:rPr>
            </w:pPr>
            <w:r>
              <w:rPr>
                <w:rFonts w:hint="eastAsia" w:ascii="宋体" w:hAnsi="宋体" w:cs="宋体"/>
                <w:color w:val="auto"/>
                <w:szCs w:val="21"/>
              </w:rPr>
              <w:t>采用低价优先法计算，即满足磋商文件要求且最终磋商报价最低的供应商的磋商报价为评标基准价，其价格得分为满分</w:t>
            </w:r>
            <w:r>
              <w:rPr>
                <w:rFonts w:hint="eastAsia" w:ascii="宋体" w:hAnsi="宋体" w:cs="宋体"/>
                <w:color w:val="auto"/>
                <w:szCs w:val="21"/>
                <w:lang w:val="en-US" w:eastAsia="zh-CN"/>
              </w:rPr>
              <w:t>30</w:t>
            </w:r>
            <w:r>
              <w:rPr>
                <w:rFonts w:hint="eastAsia" w:ascii="宋体" w:hAnsi="宋体" w:cs="宋体"/>
                <w:color w:val="auto"/>
                <w:szCs w:val="21"/>
              </w:rPr>
              <w:t>分。</w:t>
            </w:r>
          </w:p>
          <w:p w14:paraId="21AF1346">
            <w:pPr>
              <w:jc w:val="left"/>
              <w:rPr>
                <w:rFonts w:hint="eastAsia" w:ascii="宋体" w:hAnsi="宋体" w:eastAsia="宋体" w:cs="宋体"/>
                <w:color w:val="auto"/>
                <w:sz w:val="21"/>
                <w:szCs w:val="21"/>
                <w:lang w:eastAsia="zh-CN"/>
              </w:rPr>
            </w:pPr>
            <w:r>
              <w:rPr>
                <w:rFonts w:hint="eastAsia" w:ascii="宋体" w:hAnsi="宋体" w:cs="宋体"/>
                <w:color w:val="auto"/>
                <w:szCs w:val="21"/>
              </w:rPr>
              <w:t>其他供应商的磋商报价得分统一按照下列公式计算：磋商报价得分=（评标基准价/磋商报价）×价格权值（0.</w:t>
            </w:r>
            <w:r>
              <w:rPr>
                <w:rFonts w:hint="eastAsia" w:ascii="宋体" w:hAnsi="宋体" w:cs="宋体"/>
                <w:color w:val="auto"/>
                <w:szCs w:val="21"/>
                <w:lang w:val="en-US" w:eastAsia="zh-CN"/>
              </w:rPr>
              <w:t>3</w:t>
            </w:r>
            <w:r>
              <w:rPr>
                <w:rFonts w:hint="eastAsia" w:ascii="宋体" w:hAnsi="宋体" w:cs="宋体"/>
                <w:color w:val="auto"/>
                <w:szCs w:val="21"/>
              </w:rPr>
              <w:t>）×100</w:t>
            </w:r>
          </w:p>
        </w:tc>
      </w:tr>
      <w:tr w14:paraId="6A907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14" w:type="dxa"/>
            <w:vMerge w:val="restart"/>
            <w:tcBorders>
              <w:tl2br w:val="nil"/>
              <w:tr2bl w:val="nil"/>
            </w:tcBorders>
            <w:vAlign w:val="center"/>
          </w:tcPr>
          <w:p w14:paraId="18CFF0C0">
            <w:pPr>
              <w:keepNext w:val="0"/>
              <w:keepLines w:val="0"/>
              <w:pageBreakBefore w:val="0"/>
              <w:kinsoku/>
              <w:wordWrap/>
              <w:overflowPunct/>
              <w:topLinePunct w:val="0"/>
              <w:bidi w:val="0"/>
              <w:ind w:left="0" w:leftChars="0" w:right="0" w:rightChars="0"/>
              <w:jc w:val="center"/>
              <w:outlineLvl w:val="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1561" w:type="dxa"/>
            <w:vMerge w:val="restart"/>
            <w:tcBorders>
              <w:tl2br w:val="nil"/>
              <w:tr2bl w:val="nil"/>
            </w:tcBorders>
            <w:vAlign w:val="center"/>
          </w:tcPr>
          <w:p w14:paraId="1DFFE87D">
            <w:pPr>
              <w:widowControl/>
              <w:spacing w:before="100" w:beforeAutospacing="1" w:after="100" w:afterAutospacing="1"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tc>
        <w:tc>
          <w:tcPr>
            <w:tcW w:w="1159" w:type="dxa"/>
            <w:tcBorders>
              <w:tl2br w:val="nil"/>
              <w:tr2bl w:val="nil"/>
            </w:tcBorders>
            <w:vAlign w:val="center"/>
          </w:tcPr>
          <w:p w14:paraId="56D4C3F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分</w:t>
            </w:r>
          </w:p>
        </w:tc>
        <w:tc>
          <w:tcPr>
            <w:tcW w:w="5300" w:type="dxa"/>
            <w:tcBorders>
              <w:tl2br w:val="nil"/>
              <w:tr2bl w:val="nil"/>
            </w:tcBorders>
            <w:vAlign w:val="center"/>
          </w:tcPr>
          <w:p w14:paraId="6D7D15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提供2022年10月1日至今（以合同签署日期为准）同类项目业绩，每</w:t>
            </w:r>
            <w:r>
              <w:rPr>
                <w:rFonts w:hint="eastAsia" w:ascii="宋体" w:hAnsi="宋体" w:cs="宋体"/>
                <w:color w:val="auto"/>
                <w:sz w:val="21"/>
                <w:szCs w:val="21"/>
                <w:highlight w:val="none"/>
                <w:lang w:val="en-US" w:eastAsia="zh-CN"/>
              </w:rPr>
              <w:t>提供一份</w:t>
            </w:r>
            <w:r>
              <w:rPr>
                <w:rFonts w:hint="eastAsia" w:ascii="宋体" w:hAnsi="宋体" w:eastAsia="宋体" w:cs="宋体"/>
                <w:color w:val="auto"/>
                <w:sz w:val="21"/>
                <w:szCs w:val="21"/>
                <w:highlight w:val="none"/>
                <w:lang w:val="en-US" w:eastAsia="zh-CN"/>
              </w:rPr>
              <w:t>得1分，最高得5分。</w:t>
            </w:r>
          </w:p>
          <w:p w14:paraId="547A7B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color w:val="auto"/>
                <w:sz w:val="21"/>
                <w:szCs w:val="21"/>
                <w:highlight w:val="none"/>
                <w:lang w:val="en-US" w:eastAsia="zh-CN"/>
              </w:rPr>
              <w:t>（业绩资料提供合同复印件加盖公章）</w:t>
            </w:r>
          </w:p>
        </w:tc>
      </w:tr>
      <w:tr w14:paraId="120F9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4" w:type="dxa"/>
            <w:vMerge w:val="continue"/>
            <w:tcBorders>
              <w:tl2br w:val="nil"/>
              <w:tr2bl w:val="nil"/>
            </w:tcBorders>
            <w:vAlign w:val="center"/>
          </w:tcPr>
          <w:p w14:paraId="3797205B">
            <w:pPr>
              <w:keepNext w:val="0"/>
              <w:keepLines w:val="0"/>
              <w:pageBreakBefore w:val="0"/>
              <w:kinsoku/>
              <w:wordWrap/>
              <w:overflowPunct/>
              <w:topLinePunct w:val="0"/>
              <w:bidi w:val="0"/>
              <w:ind w:left="0" w:leftChars="0" w:right="0" w:rightChars="0"/>
              <w:jc w:val="center"/>
              <w:outlineLvl w:val="9"/>
              <w:rPr>
                <w:rFonts w:hint="eastAsia" w:ascii="宋体" w:hAnsi="宋体" w:cs="宋体"/>
                <w:color w:val="auto"/>
                <w:sz w:val="21"/>
                <w:szCs w:val="21"/>
                <w:lang w:val="en-US" w:eastAsia="zh-CN"/>
              </w:rPr>
            </w:pPr>
          </w:p>
        </w:tc>
        <w:tc>
          <w:tcPr>
            <w:tcW w:w="1561" w:type="dxa"/>
            <w:vMerge w:val="continue"/>
            <w:tcBorders>
              <w:tl2br w:val="nil"/>
              <w:tr2bl w:val="nil"/>
            </w:tcBorders>
            <w:vAlign w:val="center"/>
          </w:tcPr>
          <w:p w14:paraId="127998DD">
            <w:pPr>
              <w:widowControl/>
              <w:spacing w:before="100" w:beforeAutospacing="1" w:after="100" w:afterAutospacing="1" w:line="360" w:lineRule="auto"/>
              <w:jc w:val="center"/>
              <w:rPr>
                <w:rFonts w:hint="eastAsia" w:ascii="宋体" w:hAnsi="宋体" w:eastAsia="宋体" w:cs="宋体"/>
                <w:color w:val="auto"/>
                <w:sz w:val="21"/>
                <w:szCs w:val="21"/>
                <w:highlight w:val="none"/>
                <w:lang w:val="en-US" w:eastAsia="zh-CN"/>
              </w:rPr>
            </w:pPr>
          </w:p>
        </w:tc>
        <w:tc>
          <w:tcPr>
            <w:tcW w:w="1159" w:type="dxa"/>
            <w:tcBorders>
              <w:tl2br w:val="nil"/>
              <w:tr2bl w:val="nil"/>
            </w:tcBorders>
            <w:vAlign w:val="center"/>
          </w:tcPr>
          <w:p w14:paraId="78F8396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300" w:type="dxa"/>
            <w:tcBorders>
              <w:tl2br w:val="nil"/>
              <w:tr2bl w:val="nil"/>
            </w:tcBorders>
            <w:vAlign w:val="center"/>
          </w:tcPr>
          <w:p w14:paraId="54D687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交货期每提前5日历天加0.5分，最多得1.5分；质保期每增加一个月加0.5分，最多得1.5分，本项合计最高得3分</w:t>
            </w:r>
          </w:p>
        </w:tc>
      </w:tr>
      <w:tr w14:paraId="7D9B4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4" w:type="dxa"/>
            <w:tcBorders>
              <w:tl2br w:val="nil"/>
              <w:tr2bl w:val="nil"/>
            </w:tcBorders>
            <w:vAlign w:val="center"/>
          </w:tcPr>
          <w:p w14:paraId="49AFB44E">
            <w:pPr>
              <w:keepNext w:val="0"/>
              <w:keepLines w:val="0"/>
              <w:pageBreakBefore w:val="0"/>
              <w:kinsoku/>
              <w:wordWrap/>
              <w:overflowPunct/>
              <w:topLinePunct w:val="0"/>
              <w:bidi w:val="0"/>
              <w:ind w:left="0" w:leftChars="0" w:right="0" w:rightChars="0"/>
              <w:jc w:val="center"/>
              <w:outlineLvl w:val="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1561" w:type="dxa"/>
            <w:tcBorders>
              <w:tl2br w:val="nil"/>
              <w:tr2bl w:val="nil"/>
            </w:tcBorders>
            <w:vAlign w:val="center"/>
          </w:tcPr>
          <w:p w14:paraId="223A8BE1">
            <w:pPr>
              <w:widowControl/>
              <w:spacing w:before="100" w:beforeAutospacing="1" w:after="100" w:afterAutospacing="1"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w:t>
            </w:r>
          </w:p>
        </w:tc>
        <w:tc>
          <w:tcPr>
            <w:tcW w:w="1159" w:type="dxa"/>
            <w:tcBorders>
              <w:tl2br w:val="nil"/>
              <w:tr2bl w:val="nil"/>
            </w:tcBorders>
            <w:vAlign w:val="center"/>
          </w:tcPr>
          <w:p w14:paraId="5467C08F">
            <w:pPr>
              <w:widowControl/>
              <w:spacing w:before="100" w:beforeAutospacing="1" w:after="100" w:afterAutospacing="1"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5300" w:type="dxa"/>
            <w:tcBorders>
              <w:tl2br w:val="nil"/>
              <w:tr2bl w:val="nil"/>
            </w:tcBorders>
            <w:vAlign w:val="center"/>
          </w:tcPr>
          <w:p w14:paraId="231329F9">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Cs w:val="21"/>
                <w:highlight w:val="none"/>
                <w:lang w:val="en-US" w:eastAsia="zh-CN"/>
              </w:rPr>
              <w:t>所有</w:t>
            </w:r>
            <w:r>
              <w:rPr>
                <w:rFonts w:hint="eastAsia" w:ascii="宋体" w:hAnsi="宋体" w:eastAsia="宋体" w:cs="宋体"/>
                <w:b w:val="0"/>
                <w:bCs w:val="0"/>
                <w:szCs w:val="21"/>
                <w:highlight w:val="none"/>
                <w:lang w:eastAsia="zh-CN"/>
              </w:rPr>
              <w:t>技术参数</w:t>
            </w:r>
            <w:r>
              <w:rPr>
                <w:rFonts w:hint="eastAsia" w:ascii="宋体" w:hAnsi="宋体" w:eastAsia="宋体" w:cs="宋体"/>
                <w:b w:val="0"/>
                <w:bCs w:val="0"/>
                <w:szCs w:val="21"/>
                <w:highlight w:val="none"/>
              </w:rPr>
              <w:t>要求完全响应或</w:t>
            </w:r>
            <w:r>
              <w:rPr>
                <w:rFonts w:hint="eastAsia" w:ascii="宋体" w:hAnsi="宋体" w:eastAsia="宋体" w:cs="宋体"/>
                <w:b w:val="0"/>
                <w:bCs w:val="0"/>
                <w:szCs w:val="21"/>
                <w:highlight w:val="none"/>
                <w:lang w:eastAsia="zh-CN"/>
              </w:rPr>
              <w:t>正偏离</w:t>
            </w:r>
            <w:r>
              <w:rPr>
                <w:rFonts w:hint="eastAsia" w:ascii="宋体" w:hAnsi="宋体" w:eastAsia="宋体" w:cs="宋体"/>
                <w:b w:val="0"/>
                <w:bCs w:val="0"/>
                <w:szCs w:val="21"/>
                <w:highlight w:val="none"/>
              </w:rPr>
              <w:t>得</w:t>
            </w:r>
            <w:r>
              <w:rPr>
                <w:rFonts w:hint="eastAsia" w:ascii="宋体" w:hAnsi="宋体" w:eastAsia="宋体" w:cs="宋体"/>
                <w:b w:val="0"/>
                <w:bCs w:val="0"/>
                <w:szCs w:val="21"/>
                <w:highlight w:val="none"/>
                <w:lang w:val="en-US" w:eastAsia="zh-CN"/>
              </w:rPr>
              <w:t>10</w:t>
            </w:r>
            <w:r>
              <w:rPr>
                <w:rFonts w:hint="eastAsia" w:ascii="宋体" w:hAnsi="宋体" w:eastAsia="宋体" w:cs="宋体"/>
                <w:b w:val="0"/>
                <w:bCs w:val="0"/>
                <w:szCs w:val="21"/>
                <w:highlight w:val="none"/>
              </w:rPr>
              <w:t>分</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标识★的为重要技术参数，不得负偏离，否则按无效响应处理；未标识★的为一般技术参数，</w:t>
            </w:r>
            <w:r>
              <w:rPr>
                <w:rFonts w:hint="eastAsia" w:ascii="宋体" w:hAnsi="宋体" w:eastAsia="宋体" w:cs="宋体"/>
                <w:szCs w:val="21"/>
                <w:highlight w:val="none"/>
              </w:rPr>
              <w:t>每负偏离一项扣</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分，直到扣完为止。</w:t>
            </w:r>
            <w:r>
              <w:rPr>
                <w:rFonts w:hint="eastAsia" w:ascii="宋体" w:hAnsi="宋体" w:eastAsia="宋体" w:cs="宋体"/>
                <w:szCs w:val="21"/>
                <w:highlight w:val="none"/>
                <w:lang w:val="en-US" w:eastAsia="zh-CN"/>
              </w:rPr>
              <w:t>所有</w:t>
            </w:r>
            <w:r>
              <w:rPr>
                <w:rFonts w:hint="eastAsia" w:ascii="宋体" w:hAnsi="宋体" w:eastAsia="宋体" w:cs="宋体"/>
                <w:szCs w:val="21"/>
                <w:highlight w:val="none"/>
                <w:lang w:eastAsia="zh-CN"/>
              </w:rPr>
              <w:t>技术参数均需提供佐证材料，包括但不限于制造商公开发布的印刷资料（技术白皮书、宣传彩页或官方网站截图等）或检测机构出具的检测报告或技术说明书，如有不一致的情况以检测（检验）报告为准，</w:t>
            </w:r>
            <w:r>
              <w:rPr>
                <w:rFonts w:hint="eastAsia" w:ascii="宋体" w:hAnsi="宋体" w:eastAsia="宋体" w:cs="宋体"/>
                <w:szCs w:val="21"/>
                <w:highlight w:val="none"/>
                <w:lang w:val="en-US" w:eastAsia="zh-CN"/>
              </w:rPr>
              <w:t>无</w:t>
            </w:r>
            <w:r>
              <w:rPr>
                <w:rFonts w:hint="eastAsia" w:ascii="宋体" w:hAnsi="宋体" w:eastAsia="宋体" w:cs="宋体"/>
                <w:szCs w:val="21"/>
                <w:highlight w:val="none"/>
                <w:lang w:eastAsia="zh-CN"/>
              </w:rPr>
              <w:t>佐证材料</w:t>
            </w:r>
            <w:r>
              <w:rPr>
                <w:rFonts w:hint="eastAsia" w:ascii="宋体" w:hAnsi="宋体" w:eastAsia="宋体" w:cs="宋体"/>
                <w:szCs w:val="21"/>
                <w:highlight w:val="none"/>
                <w:lang w:val="en-US" w:eastAsia="zh-CN"/>
              </w:rPr>
              <w:t>的技术参数按负偏离处理</w:t>
            </w:r>
            <w:r>
              <w:rPr>
                <w:rFonts w:hint="eastAsia" w:ascii="宋体" w:hAnsi="宋体" w:eastAsia="宋体" w:cs="宋体"/>
                <w:szCs w:val="21"/>
                <w:highlight w:val="none"/>
                <w:lang w:eastAsia="zh-CN"/>
              </w:rPr>
              <w:t>。</w:t>
            </w:r>
          </w:p>
        </w:tc>
      </w:tr>
      <w:tr w14:paraId="504BD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5" w:hRule="atLeast"/>
        </w:trPr>
        <w:tc>
          <w:tcPr>
            <w:tcW w:w="814" w:type="dxa"/>
            <w:tcBorders>
              <w:tl2br w:val="nil"/>
              <w:tr2bl w:val="nil"/>
            </w:tcBorders>
            <w:vAlign w:val="center"/>
          </w:tcPr>
          <w:p w14:paraId="1DD28FA9">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61" w:type="dxa"/>
            <w:tcBorders>
              <w:tl2br w:val="nil"/>
              <w:tr2bl w:val="nil"/>
            </w:tcBorders>
            <w:vAlign w:val="center"/>
          </w:tcPr>
          <w:p w14:paraId="00FBAE19">
            <w:pPr>
              <w:widowControl/>
              <w:spacing w:before="100" w:beforeAutospacing="1" w:after="100" w:afterAutospacing="1" w:line="360" w:lineRule="auto"/>
              <w:jc w:val="center"/>
              <w:rPr>
                <w:rFonts w:hint="eastAsia" w:ascii="宋体" w:hAnsi="宋体" w:cs="宋体"/>
                <w:color w:val="auto"/>
                <w:szCs w:val="21"/>
              </w:rPr>
            </w:pPr>
            <w:r>
              <w:rPr>
                <w:rFonts w:hint="eastAsia" w:ascii="Times New Roman" w:hAnsi="Times New Roman" w:cs="Times New Roman"/>
                <w:color w:val="auto"/>
                <w:sz w:val="21"/>
                <w:szCs w:val="21"/>
                <w:highlight w:val="none"/>
                <w:lang w:val="en-US" w:eastAsia="zh-CN"/>
              </w:rPr>
              <w:t>实施</w:t>
            </w:r>
            <w:r>
              <w:rPr>
                <w:rFonts w:hint="eastAsia" w:ascii="Times New Roman" w:hAnsi="Times New Roman" w:eastAsia="宋体" w:cs="Times New Roman"/>
                <w:color w:val="auto"/>
                <w:sz w:val="21"/>
                <w:szCs w:val="21"/>
                <w:highlight w:val="none"/>
                <w:lang w:val="en-US" w:eastAsia="zh-CN"/>
              </w:rPr>
              <w:t>方案</w:t>
            </w:r>
          </w:p>
        </w:tc>
        <w:tc>
          <w:tcPr>
            <w:tcW w:w="1159" w:type="dxa"/>
            <w:tcBorders>
              <w:tl2br w:val="nil"/>
              <w:tr2bl w:val="nil"/>
            </w:tcBorders>
            <w:vAlign w:val="center"/>
          </w:tcPr>
          <w:p w14:paraId="74D5DBC4">
            <w:pPr>
              <w:jc w:val="center"/>
              <w:rPr>
                <w:rFonts w:hint="eastAsia" w:ascii="宋体" w:hAnsi="宋体" w:cs="宋体"/>
                <w:color w:val="auto"/>
                <w:szCs w:val="21"/>
                <w:lang w:val="en-US" w:eastAsia="zh-CN"/>
              </w:rPr>
            </w:pPr>
            <w:r>
              <w:rPr>
                <w:rFonts w:hint="eastAsia" w:ascii="宋体" w:hAnsi="宋体" w:cs="宋体"/>
                <w:sz w:val="24"/>
                <w:szCs w:val="24"/>
                <w:vertAlign w:val="baseline"/>
                <w:lang w:val="en-US" w:eastAsia="zh-CN"/>
              </w:rPr>
              <w:t>38</w:t>
            </w:r>
            <w:r>
              <w:rPr>
                <w:rFonts w:hint="eastAsia" w:ascii="宋体" w:hAnsi="宋体" w:eastAsia="宋体" w:cs="宋体"/>
                <w:sz w:val="24"/>
                <w:szCs w:val="24"/>
                <w:vertAlign w:val="baseline"/>
                <w:lang w:val="en-US" w:eastAsia="zh-CN"/>
              </w:rPr>
              <w:t>分</w:t>
            </w:r>
          </w:p>
        </w:tc>
        <w:tc>
          <w:tcPr>
            <w:tcW w:w="5300" w:type="dxa"/>
            <w:tcBorders>
              <w:tl2br w:val="nil"/>
              <w:tr2bl w:val="nil"/>
            </w:tcBorders>
            <w:vAlign w:val="center"/>
          </w:tcPr>
          <w:p w14:paraId="1DDD0652">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供货运输方案</w:t>
            </w:r>
            <w:r>
              <w:rPr>
                <w:rFonts w:hint="eastAsia" w:ascii="宋体" w:hAnsi="宋体" w:cs="宋体"/>
                <w:kern w:val="2"/>
                <w:sz w:val="21"/>
                <w:szCs w:val="21"/>
                <w:highlight w:val="none"/>
                <w:lang w:val="en-US" w:eastAsia="zh-CN" w:bidi="ar-SA"/>
              </w:rPr>
              <w:t>及</w:t>
            </w:r>
            <w:r>
              <w:rPr>
                <w:rFonts w:hint="eastAsia" w:ascii="宋体" w:hAnsi="宋体" w:eastAsia="宋体" w:cs="宋体"/>
                <w:kern w:val="2"/>
                <w:sz w:val="21"/>
                <w:szCs w:val="21"/>
                <w:highlight w:val="none"/>
                <w:lang w:val="en-US" w:eastAsia="zh-CN" w:bidi="ar-SA"/>
              </w:rPr>
              <w:t>供货周期保证：</w:t>
            </w:r>
            <w:r>
              <w:rPr>
                <w:rFonts w:hint="eastAsia" w:ascii="宋体" w:hAnsi="宋体" w:cs="宋体"/>
                <w:kern w:val="2"/>
                <w:sz w:val="21"/>
                <w:szCs w:val="21"/>
                <w:highlight w:val="none"/>
                <w:lang w:val="en-US" w:eastAsia="zh-CN" w:bidi="ar-SA"/>
              </w:rPr>
              <w:t>提供的详细</w:t>
            </w:r>
            <w:r>
              <w:rPr>
                <w:rFonts w:hint="eastAsia" w:ascii="宋体" w:hAnsi="宋体" w:eastAsia="宋体" w:cs="宋体"/>
                <w:kern w:val="2"/>
                <w:sz w:val="21"/>
                <w:szCs w:val="21"/>
                <w:highlight w:val="none"/>
                <w:lang w:val="en-US" w:eastAsia="zh-CN" w:bidi="ar-SA"/>
              </w:rPr>
              <w:t>完整</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实施步骤清晰、合理</w:t>
            </w:r>
            <w:r>
              <w:rPr>
                <w:rFonts w:hint="eastAsia" w:ascii="宋体" w:hAnsi="宋体" w:cs="宋体"/>
                <w:kern w:val="2"/>
                <w:sz w:val="21"/>
                <w:szCs w:val="21"/>
                <w:highlight w:val="none"/>
                <w:lang w:val="en-US" w:eastAsia="zh-CN" w:bidi="ar-SA"/>
              </w:rPr>
              <w:t>，根据响应情况酌情赋分0-10分；缺项不得分；</w:t>
            </w:r>
          </w:p>
          <w:p w14:paraId="6B25DF38">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安装验收</w:t>
            </w:r>
            <w:r>
              <w:rPr>
                <w:rFonts w:hint="eastAsia" w:ascii="宋体" w:hAnsi="宋体" w:cs="宋体"/>
                <w:kern w:val="2"/>
                <w:sz w:val="21"/>
                <w:szCs w:val="21"/>
                <w:highlight w:val="none"/>
                <w:lang w:val="en-US" w:eastAsia="zh-CN" w:bidi="ar-SA"/>
              </w:rPr>
              <w:t>：提供的详细</w:t>
            </w:r>
            <w:r>
              <w:rPr>
                <w:rFonts w:hint="eastAsia" w:ascii="宋体" w:hAnsi="宋体" w:eastAsia="宋体" w:cs="宋体"/>
                <w:kern w:val="2"/>
                <w:sz w:val="21"/>
                <w:szCs w:val="21"/>
                <w:highlight w:val="none"/>
                <w:lang w:val="en-US" w:eastAsia="zh-CN" w:bidi="ar-SA"/>
              </w:rPr>
              <w:t>完整</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实施步骤清晰、合理</w:t>
            </w:r>
            <w:r>
              <w:rPr>
                <w:rFonts w:hint="eastAsia" w:ascii="宋体" w:hAnsi="宋体" w:cs="宋体"/>
                <w:kern w:val="2"/>
                <w:sz w:val="21"/>
                <w:szCs w:val="21"/>
                <w:highlight w:val="none"/>
                <w:lang w:val="en-US" w:eastAsia="zh-CN" w:bidi="ar-SA"/>
              </w:rPr>
              <w:t>，根据响应情况酌情赋分0-8分；缺项不得分；</w:t>
            </w:r>
          </w:p>
          <w:p w14:paraId="73F2E478">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人员配备：</w:t>
            </w:r>
            <w:r>
              <w:rPr>
                <w:rFonts w:hint="eastAsia" w:ascii="宋体" w:hAnsi="宋体" w:cs="宋体"/>
                <w:kern w:val="2"/>
                <w:sz w:val="21"/>
                <w:szCs w:val="21"/>
                <w:highlight w:val="none"/>
                <w:lang w:val="en-US" w:eastAsia="zh-CN" w:bidi="ar-SA"/>
              </w:rPr>
              <w:t>提供详细</w:t>
            </w:r>
            <w:r>
              <w:rPr>
                <w:rFonts w:hint="eastAsia" w:ascii="宋体" w:hAnsi="宋体" w:eastAsia="宋体" w:cs="宋体"/>
                <w:kern w:val="2"/>
                <w:sz w:val="21"/>
                <w:szCs w:val="21"/>
                <w:highlight w:val="none"/>
                <w:lang w:val="en-US" w:eastAsia="zh-CN" w:bidi="ar-SA"/>
              </w:rPr>
              <w:t>完整</w:t>
            </w:r>
            <w:r>
              <w:rPr>
                <w:rFonts w:hint="eastAsia" w:ascii="宋体" w:hAnsi="宋体" w:cs="宋体"/>
                <w:kern w:val="2"/>
                <w:sz w:val="21"/>
                <w:szCs w:val="21"/>
                <w:highlight w:val="none"/>
                <w:lang w:val="en-US" w:eastAsia="zh-CN" w:bidi="ar-SA"/>
              </w:rPr>
              <w:t>的安装、培训、售后人员名单、人员数量、人员职称、人员专业等安排合理，根据响应情况酌情赋分0-10分；缺项不得分；</w:t>
            </w:r>
          </w:p>
          <w:p w14:paraId="6283D4AA">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4、培训：</w:t>
            </w:r>
            <w:r>
              <w:rPr>
                <w:rFonts w:hint="default" w:ascii="宋体" w:hAnsi="宋体" w:cs="宋体"/>
                <w:kern w:val="2"/>
                <w:sz w:val="21"/>
                <w:szCs w:val="21"/>
                <w:highlight w:val="none"/>
                <w:lang w:val="en-US" w:eastAsia="zh-CN" w:bidi="ar-SA"/>
              </w:rPr>
              <w:t>提供详尽的培训方案及培训计划，并列出培训的具体内容及方式，确保使用人员能够独立操作，并进行简单故障排查处理（包括：培训人数、培训时间、培训内容等），</w:t>
            </w:r>
            <w:r>
              <w:rPr>
                <w:rFonts w:hint="eastAsia" w:ascii="宋体" w:hAnsi="宋体" w:cs="宋体"/>
                <w:kern w:val="2"/>
                <w:sz w:val="21"/>
                <w:szCs w:val="21"/>
                <w:highlight w:val="none"/>
                <w:lang w:val="en-US" w:eastAsia="zh-CN" w:bidi="ar-SA"/>
              </w:rPr>
              <w:t>根据响应情况酌情赋分0-8分；缺项不得分；</w:t>
            </w:r>
          </w:p>
          <w:p w14:paraId="5C740C0D">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rPr>
            </w:pPr>
            <w:r>
              <w:rPr>
                <w:rFonts w:hint="eastAsia" w:ascii="宋体" w:hAnsi="宋体" w:cs="宋体"/>
                <w:kern w:val="2"/>
                <w:sz w:val="21"/>
                <w:szCs w:val="21"/>
                <w:highlight w:val="none"/>
                <w:lang w:val="en-US" w:eastAsia="zh-CN" w:bidi="ar-SA"/>
              </w:rPr>
              <w:t xml:space="preserve">5、产品质量保证：产品渠道来源明确、货源正规，无侵权等行为，提供不限于代理协议/销售协议等证明材料，且体现产品规格型号；提供任意一项证明材料得2分；缺项不得分； </w:t>
            </w:r>
          </w:p>
        </w:tc>
      </w:tr>
      <w:tr w14:paraId="7648E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14" w:type="dxa"/>
            <w:tcBorders>
              <w:tl2br w:val="nil"/>
              <w:tr2bl w:val="nil"/>
            </w:tcBorders>
            <w:vAlign w:val="center"/>
          </w:tcPr>
          <w:p w14:paraId="69C5B5B3">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61" w:type="dxa"/>
            <w:tcBorders>
              <w:tl2br w:val="nil"/>
              <w:tr2bl w:val="nil"/>
            </w:tcBorders>
            <w:vAlign w:val="center"/>
          </w:tcPr>
          <w:p w14:paraId="45A5FD40">
            <w:pPr>
              <w:widowControl/>
              <w:spacing w:before="100" w:beforeAutospacing="1" w:after="100" w:afterAutospacing="1" w:line="36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应急方案</w:t>
            </w:r>
          </w:p>
        </w:tc>
        <w:tc>
          <w:tcPr>
            <w:tcW w:w="1159" w:type="dxa"/>
            <w:tcBorders>
              <w:tl2br w:val="nil"/>
              <w:tr2bl w:val="nil"/>
            </w:tcBorders>
            <w:vAlign w:val="center"/>
          </w:tcPr>
          <w:p w14:paraId="677129D4">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5300" w:type="dxa"/>
            <w:tcBorders>
              <w:tl2br w:val="nil"/>
              <w:tr2bl w:val="nil"/>
            </w:tcBorders>
            <w:vAlign w:val="center"/>
          </w:tcPr>
          <w:p w14:paraId="73EE1094">
            <w:pPr>
              <w:pStyle w:val="7"/>
              <w:spacing w:line="240" w:lineRule="auto"/>
              <w:ind w:left="0" w:leftChars="0" w:firstLine="0" w:firstLineChars="0"/>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根据提供的质量保证期内的产品维护措施、紧急故障处理预案、解决问题的能力综合评审。</w:t>
            </w:r>
            <w:r>
              <w:rPr>
                <w:rFonts w:hint="eastAsia" w:ascii="宋体" w:hAnsi="宋体" w:eastAsia="宋体" w:cs="宋体"/>
                <w:kern w:val="2"/>
                <w:sz w:val="21"/>
                <w:szCs w:val="21"/>
                <w:highlight w:val="none"/>
                <w:lang w:val="en-US" w:eastAsia="zh-CN" w:bidi="ar-SA"/>
              </w:rPr>
              <w:t>根据响应情况酌情赋分0-</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分；缺项不得分</w:t>
            </w:r>
            <w:r>
              <w:rPr>
                <w:rFonts w:hint="eastAsia" w:ascii="宋体" w:hAnsi="宋体" w:eastAsia="宋体" w:cs="宋体"/>
                <w:kern w:val="0"/>
                <w:szCs w:val="21"/>
                <w:highlight w:val="none"/>
                <w:lang w:bidi="ar"/>
              </w:rPr>
              <w:t xml:space="preserve">； </w:t>
            </w:r>
          </w:p>
        </w:tc>
      </w:tr>
      <w:tr w14:paraId="09C7E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tcBorders>
              <w:tl2br w:val="nil"/>
              <w:tr2bl w:val="nil"/>
            </w:tcBorders>
            <w:vAlign w:val="center"/>
          </w:tcPr>
          <w:p w14:paraId="5EDCDB9D">
            <w:pPr>
              <w:keepNext w:val="0"/>
              <w:keepLines w:val="0"/>
              <w:pageBreakBefore w:val="0"/>
              <w:kinsoku/>
              <w:wordWrap/>
              <w:overflowPunct/>
              <w:topLinePunct w:val="0"/>
              <w:bidi w:val="0"/>
              <w:ind w:left="0" w:leftChars="0" w:right="0" w:rightChars="0"/>
              <w:jc w:val="center"/>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1561" w:type="dxa"/>
            <w:tcBorders>
              <w:tl2br w:val="nil"/>
              <w:tr2bl w:val="nil"/>
            </w:tcBorders>
            <w:vAlign w:val="center"/>
          </w:tcPr>
          <w:p w14:paraId="4FF2509D">
            <w:pPr>
              <w:jc w:val="center"/>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eastAsia="zh-CN"/>
              </w:rPr>
              <w:t>履约能力</w:t>
            </w:r>
          </w:p>
        </w:tc>
        <w:tc>
          <w:tcPr>
            <w:tcW w:w="1159" w:type="dxa"/>
            <w:tcBorders>
              <w:tl2br w:val="nil"/>
              <w:tr2bl w:val="nil"/>
            </w:tcBorders>
            <w:vAlign w:val="center"/>
          </w:tcPr>
          <w:p w14:paraId="57D14063">
            <w:pPr>
              <w:jc w:val="center"/>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3分</w:t>
            </w:r>
          </w:p>
        </w:tc>
        <w:tc>
          <w:tcPr>
            <w:tcW w:w="5300" w:type="dxa"/>
            <w:tcBorders>
              <w:tl2br w:val="nil"/>
              <w:tr2bl w:val="nil"/>
            </w:tcBorders>
            <w:vAlign w:val="center"/>
          </w:tcPr>
          <w:p w14:paraId="499530EC">
            <w:pPr>
              <w:rPr>
                <w:rFonts w:hint="eastAsia" w:ascii="宋体" w:hAnsi="宋体" w:eastAsia="宋体" w:cs="宋体"/>
                <w:lang w:eastAsia="zh-CN"/>
              </w:rPr>
            </w:pPr>
            <w:r>
              <w:rPr>
                <w:rFonts w:hint="eastAsia" w:ascii="宋体" w:hAnsi="宋体" w:eastAsia="宋体" w:cs="宋体"/>
                <w:color w:val="auto"/>
                <w:sz w:val="21"/>
                <w:szCs w:val="21"/>
                <w:highlight w:val="none"/>
                <w:lang w:val="en-US" w:eastAsia="zh-CN"/>
              </w:rPr>
              <w:t>供应商提供生产商具备的生产场地、生产设备、仓储设施，并说明企业年生产力、履约能力等，按其响应程度横向对比得0-3分。（须提供相关照片、设备清单、厂房的自有证明或租赁协议、设备购置发票复印件等证明材料）</w:t>
            </w:r>
          </w:p>
        </w:tc>
      </w:tr>
      <w:tr w14:paraId="00B06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tcBorders>
              <w:tl2br w:val="nil"/>
              <w:tr2bl w:val="nil"/>
            </w:tcBorders>
            <w:vAlign w:val="center"/>
          </w:tcPr>
          <w:p w14:paraId="5E28B275">
            <w:pPr>
              <w:keepNext w:val="0"/>
              <w:keepLines w:val="0"/>
              <w:pageBreakBefore w:val="0"/>
              <w:kinsoku/>
              <w:wordWrap/>
              <w:overflowPunct/>
              <w:topLinePunct w:val="0"/>
              <w:bidi w:val="0"/>
              <w:ind w:left="0" w:leftChars="0" w:right="0" w:rightChars="0"/>
              <w:jc w:val="center"/>
              <w:outlineLvl w:val="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1561" w:type="dxa"/>
            <w:tcBorders>
              <w:tl2br w:val="nil"/>
              <w:tr2bl w:val="nil"/>
            </w:tcBorders>
            <w:vAlign w:val="center"/>
          </w:tcPr>
          <w:p w14:paraId="098B78E9">
            <w:pPr>
              <w:jc w:val="center"/>
              <w:rPr>
                <w:rFonts w:hint="eastAsia" w:ascii="宋体" w:hAnsi="宋体" w:cs="宋体"/>
                <w:color w:val="auto"/>
                <w:sz w:val="21"/>
                <w:szCs w:val="21"/>
                <w:highlight w:val="none"/>
                <w:lang w:eastAsia="zh-CN"/>
              </w:rPr>
            </w:pPr>
            <w:r>
              <w:rPr>
                <w:rFonts w:hint="eastAsia" w:ascii="宋体" w:hAnsi="宋体" w:eastAsia="宋体" w:cs="宋体"/>
                <w:sz w:val="24"/>
                <w:szCs w:val="24"/>
                <w:lang w:val="en-US" w:eastAsia="zh-CN"/>
              </w:rPr>
              <w:t>体系认证</w:t>
            </w:r>
          </w:p>
        </w:tc>
        <w:tc>
          <w:tcPr>
            <w:tcW w:w="1159" w:type="dxa"/>
            <w:tcBorders>
              <w:tl2br w:val="nil"/>
              <w:tr2bl w:val="nil"/>
            </w:tcBorders>
            <w:vAlign w:val="center"/>
          </w:tcPr>
          <w:p w14:paraId="31FE6367">
            <w:pPr>
              <w:jc w:val="center"/>
              <w:rPr>
                <w:rFonts w:hint="eastAsia" w:ascii="宋体" w:hAnsi="宋体" w:cs="宋体"/>
                <w:color w:val="auto"/>
                <w:sz w:val="21"/>
                <w:szCs w:val="21"/>
                <w:highlight w:val="none"/>
                <w:lang w:val="en-US" w:eastAsia="zh-CN"/>
              </w:rPr>
            </w:pPr>
            <w:r>
              <w:rPr>
                <w:rFonts w:hint="eastAsia" w:ascii="宋体" w:hAnsi="宋体" w:eastAsia="宋体" w:cs="宋体"/>
                <w:sz w:val="24"/>
                <w:szCs w:val="24"/>
                <w:vertAlign w:val="baseline"/>
                <w:lang w:val="en-US" w:eastAsia="zh-CN"/>
              </w:rPr>
              <w:t>3分</w:t>
            </w:r>
          </w:p>
        </w:tc>
        <w:tc>
          <w:tcPr>
            <w:tcW w:w="5300" w:type="dxa"/>
            <w:tcBorders>
              <w:tl2br w:val="nil"/>
              <w:tr2bl w:val="nil"/>
            </w:tcBorders>
            <w:vAlign w:val="center"/>
          </w:tcPr>
          <w:p w14:paraId="1DD86D96">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1、提供质量管理体系认证证书得1分；</w:t>
            </w:r>
          </w:p>
          <w:p w14:paraId="26B642F3">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2、提供环境管理体系认证证书得1分；</w:t>
            </w:r>
          </w:p>
          <w:p w14:paraId="255D486E">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lang w:val="en-US" w:eastAsia="zh-CN" w:bidi="ar-SA"/>
              </w:rPr>
              <w:t>3、提供</w:t>
            </w:r>
            <w:r>
              <w:rPr>
                <w:rFonts w:hint="eastAsia" w:ascii="宋体" w:hAnsi="宋体" w:eastAsia="宋体" w:cs="宋体"/>
                <w:color w:val="auto"/>
                <w:sz w:val="21"/>
                <w:szCs w:val="21"/>
                <w:highlight w:val="none"/>
                <w:lang w:val="en-US" w:eastAsia="zh-CN"/>
              </w:rPr>
              <w:t>职业健康安全管理体系认证证书得1分；</w:t>
            </w:r>
          </w:p>
          <w:p w14:paraId="01944B3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注：提供生产商的企业认证证书扫描件或复印件。</w:t>
            </w:r>
          </w:p>
        </w:tc>
      </w:tr>
      <w:tr w14:paraId="5DD4D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14" w:type="dxa"/>
            <w:tcBorders>
              <w:tl2br w:val="nil"/>
              <w:tr2bl w:val="nil"/>
            </w:tcBorders>
            <w:vAlign w:val="center"/>
          </w:tcPr>
          <w:p w14:paraId="3ED85B32">
            <w:pPr>
              <w:keepNext w:val="0"/>
              <w:keepLines w:val="0"/>
              <w:pageBreakBefore w:val="0"/>
              <w:kinsoku/>
              <w:wordWrap/>
              <w:overflowPunct/>
              <w:topLinePunct w:val="0"/>
              <w:bidi w:val="0"/>
              <w:ind w:left="0" w:leftChars="0" w:right="0" w:rightChars="0"/>
              <w:jc w:val="center"/>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1561" w:type="dxa"/>
            <w:tcBorders>
              <w:tl2br w:val="nil"/>
              <w:tr2bl w:val="nil"/>
            </w:tcBorders>
            <w:vAlign w:val="center"/>
          </w:tcPr>
          <w:p w14:paraId="5CAF220F">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auto"/>
                <w:sz w:val="24"/>
                <w:szCs w:val="24"/>
              </w:rPr>
            </w:pPr>
            <w:r>
              <w:rPr>
                <w:rFonts w:hint="eastAsia" w:ascii="Times New Roman" w:hAnsi="Times New Roman" w:eastAsia="宋体" w:cs="Times New Roman"/>
                <w:color w:val="auto"/>
                <w:sz w:val="21"/>
                <w:szCs w:val="21"/>
                <w:highlight w:val="none"/>
                <w:lang w:val="en-US" w:eastAsia="zh-CN"/>
              </w:rPr>
              <w:t>售后服务</w:t>
            </w:r>
            <w:r>
              <w:rPr>
                <w:rFonts w:hint="eastAsia" w:ascii="Times New Roman" w:hAnsi="Times New Roman" w:eastAsia="宋体" w:cs="Times New Roman"/>
                <w:color w:val="auto"/>
                <w:kern w:val="2"/>
                <w:sz w:val="21"/>
                <w:szCs w:val="21"/>
                <w:highlight w:val="none"/>
                <w:lang w:val="en-US" w:eastAsia="zh-CN" w:bidi="ar-SA"/>
              </w:rPr>
              <w:t>方案</w:t>
            </w:r>
          </w:p>
        </w:tc>
        <w:tc>
          <w:tcPr>
            <w:tcW w:w="1159" w:type="dxa"/>
            <w:tcBorders>
              <w:tl2br w:val="nil"/>
              <w:tr2bl w:val="nil"/>
            </w:tcBorders>
            <w:vAlign w:val="center"/>
          </w:tcPr>
          <w:p w14:paraId="40DD91D1">
            <w:pPr>
              <w:widowControl/>
              <w:spacing w:before="100" w:beforeAutospacing="1" w:after="100" w:afterAutospacing="1" w:line="360" w:lineRule="auto"/>
              <w:jc w:val="center"/>
              <w:rPr>
                <w:rFonts w:hint="eastAsia" w:ascii="宋体" w:hAnsi="宋体" w:cs="宋体"/>
                <w:color w:val="auto"/>
                <w:szCs w:val="21"/>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5300" w:type="dxa"/>
            <w:tcBorders>
              <w:tl2br w:val="nil"/>
              <w:tr2bl w:val="nil"/>
            </w:tcBorders>
            <w:vAlign w:val="center"/>
          </w:tcPr>
          <w:p w14:paraId="1E83082A">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highlight w:val="none"/>
                <w:lang w:val="en-US" w:eastAsia="zh-CN" w:bidi="ar-SA"/>
              </w:rPr>
              <w:t>针对本项目提供售后服务方案（包括但不限于售后技术支持、定期回访、响应时长），根据优劣计（0-5分</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p>
        </w:tc>
      </w:tr>
    </w:tbl>
    <w:p w14:paraId="654CC69C">
      <w:pPr>
        <w:keepNext w:val="0"/>
        <w:keepLines w:val="0"/>
        <w:pageBreakBefore w:val="0"/>
        <w:widowControl/>
        <w:kinsoku/>
        <w:wordWrap/>
        <w:overflowPunct/>
        <w:topLinePunct w:val="0"/>
        <w:autoSpaceDE w:val="0"/>
        <w:autoSpaceDN w:val="0"/>
        <w:bidi w:val="0"/>
        <w:adjustRightInd/>
        <w:snapToGrid/>
        <w:spacing w:beforeLines="50" w:line="288" w:lineRule="auto"/>
        <w:ind w:left="0" w:leftChars="0" w:right="0" w:rightChars="0" w:firstLine="440" w:firstLineChars="200"/>
        <w:jc w:val="both"/>
        <w:textAlignment w:val="bottom"/>
        <w:outlineLvl w:val="9"/>
        <w:rPr>
          <w:rFonts w:ascii="宋体" w:hAnsi="宋体" w:cs="宋体"/>
          <w:bCs/>
          <w:color w:val="auto"/>
          <w:szCs w:val="21"/>
        </w:rPr>
      </w:pPr>
      <w:r>
        <w:rPr>
          <w:rFonts w:hint="eastAsia" w:ascii="宋体" w:hAnsi="宋体" w:cs="宋体"/>
          <w:bCs/>
          <w:color w:val="auto"/>
          <w:szCs w:val="21"/>
        </w:rPr>
        <w:t>注：1）评委打分超过得分界限或未按本方法赋分时，该评委的打分按废票处理。</w:t>
      </w:r>
    </w:p>
    <w:p w14:paraId="7EA5DA10">
      <w:pPr>
        <w:keepNext w:val="0"/>
        <w:keepLines w:val="0"/>
        <w:pageBreakBefore w:val="0"/>
        <w:widowControl/>
        <w:kinsoku/>
        <w:wordWrap/>
        <w:overflowPunct/>
        <w:topLinePunct w:val="0"/>
        <w:autoSpaceDE w:val="0"/>
        <w:autoSpaceDN w:val="0"/>
        <w:bidi w:val="0"/>
        <w:adjustRightInd/>
        <w:snapToGrid/>
        <w:spacing w:line="288" w:lineRule="auto"/>
        <w:ind w:left="0" w:leftChars="0" w:right="0" w:rightChars="0" w:firstLine="880" w:firstLineChars="400"/>
        <w:jc w:val="both"/>
        <w:textAlignment w:val="bottom"/>
        <w:outlineLvl w:val="9"/>
        <w:rPr>
          <w:rFonts w:ascii="宋体" w:hAnsi="宋体" w:cs="宋体"/>
          <w:b/>
          <w:color w:val="auto"/>
          <w:sz w:val="24"/>
          <w:szCs w:val="24"/>
        </w:rPr>
      </w:pPr>
      <w:r>
        <w:rPr>
          <w:rFonts w:hint="eastAsia" w:ascii="宋体" w:hAnsi="宋体" w:cs="宋体"/>
          <w:bCs/>
          <w:color w:val="auto"/>
          <w:szCs w:val="21"/>
        </w:rPr>
        <w:t>2）各种计算数字均保留两位小数，第三位“四舍五入”。</w:t>
      </w:r>
    </w:p>
    <w:p w14:paraId="53E1FFD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00" w:firstLineChars="200"/>
        <w:textAlignment w:val="auto"/>
        <w:rPr>
          <w:rFonts w:ascii="宋体" w:hAnsi="宋体" w:cs="宋体"/>
          <w:bCs/>
          <w:color w:val="auto"/>
          <w:sz w:val="24"/>
          <w:szCs w:val="24"/>
        </w:rPr>
      </w:pPr>
      <w:r>
        <w:rPr>
          <w:rFonts w:hint="eastAsia" w:ascii="宋体" w:hAnsi="宋体" w:cs="宋体"/>
          <w:b/>
          <w:color w:val="auto"/>
          <w:sz w:val="24"/>
          <w:szCs w:val="24"/>
        </w:rPr>
        <w:t>6、小微企业的价格评分标准</w:t>
      </w:r>
    </w:p>
    <w:p w14:paraId="4D59F0FB">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rPr>
        <w:t>（一）小微企业的价格评分标准</w:t>
      </w:r>
      <w:r>
        <w:rPr>
          <w:rFonts w:hint="eastAsia" w:ascii="宋体" w:hAnsi="宋体" w:cs="宋体"/>
          <w:bCs/>
          <w:color w:val="auto"/>
          <w:sz w:val="24"/>
          <w:szCs w:val="24"/>
          <w:lang w:eastAsia="zh-CN"/>
        </w:rPr>
        <w:t>（专门面向中小企业采购项目本条不适用）</w:t>
      </w:r>
    </w:p>
    <w:p w14:paraId="2D83B77A">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根据财政部《关于印发&lt;政府采购促进中小企业发展管理办法&gt;的通知》(财库〔2020〕46号的规定，符合条件的中小企业，享受政府采购扶持政策。</w:t>
      </w:r>
    </w:p>
    <w:p w14:paraId="6B812A4D">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1、中小企业：指在中华人民共和国境内依法设立，依据国务院批准的中小企业划分标准确定的中型企业、小型企业和微型企业，但与大企业的负责人为同一人，或者与大企业存在直接控股、管理关系的除外。</w:t>
      </w:r>
    </w:p>
    <w:p w14:paraId="1590B2D5">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2、享受政府采购扶持政策的供应商，应当符合以下条件：</w:t>
      </w:r>
    </w:p>
    <w:p w14:paraId="4B845E21">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 xml:space="preserve">①在货物采购项目中，货物由中小企业制造，即货物由中小企业生产且使用该中小企业商号或者注册商标；供应商提供的货物既有中小企业制造货物，也有大型企业制造货物的，不享受中小企业扶持政策。 </w:t>
      </w:r>
    </w:p>
    <w:p w14:paraId="30917FC9">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②在工程采购项目中，工程由中小企业承建，即工程施工单位为中小企业；</w:t>
      </w:r>
    </w:p>
    <w:p w14:paraId="449E6C2D">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 xml:space="preserve">③在服务采购项目中，服务由中小企业承接，即提供服务的人员为中小企业依照《中华人民共和国劳动民法典》订立劳动合同的从业人员； </w:t>
      </w:r>
    </w:p>
    <w:p w14:paraId="0A1A0C05">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④提供中小企业的声明函，不提供或提供有瑕疵的，在评审时不享受政府采购优惠政策。</w:t>
      </w:r>
    </w:p>
    <w:p w14:paraId="3FA1930E">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3、供应商投标产品是小微企业制造的，其产品报价给予</w:t>
      </w:r>
      <w:r>
        <w:rPr>
          <w:rFonts w:hint="eastAsia" w:ascii="宋体" w:hAnsi="宋体" w:cs="宋体"/>
          <w:bCs/>
          <w:color w:val="auto"/>
          <w:sz w:val="24"/>
          <w:szCs w:val="24"/>
          <w:lang w:eastAsia="zh-CN"/>
        </w:rPr>
        <w:t>10％</w:t>
      </w:r>
      <w:r>
        <w:rPr>
          <w:rFonts w:hint="eastAsia" w:ascii="宋体" w:hAnsi="宋体" w:cs="宋体"/>
          <w:bCs/>
          <w:color w:val="auto"/>
          <w:sz w:val="24"/>
          <w:szCs w:val="24"/>
        </w:rPr>
        <w:t>的扣除，用扣除后的价格参与投标报价计算。小微企业参与政府采购服务类项目时，报价给予</w:t>
      </w:r>
      <w:r>
        <w:rPr>
          <w:rFonts w:hint="eastAsia" w:ascii="宋体" w:hAnsi="宋体" w:cs="宋体"/>
          <w:bCs/>
          <w:color w:val="auto"/>
          <w:sz w:val="24"/>
          <w:szCs w:val="24"/>
          <w:lang w:eastAsia="zh-CN"/>
        </w:rPr>
        <w:t>10％</w:t>
      </w:r>
      <w:r>
        <w:rPr>
          <w:rFonts w:hint="eastAsia" w:ascii="宋体" w:hAnsi="宋体" w:cs="宋体"/>
          <w:bCs/>
          <w:color w:val="auto"/>
          <w:sz w:val="24"/>
          <w:szCs w:val="24"/>
        </w:rPr>
        <w:t>的扣除，用扣除后的价格参与投标报价计算。小微企业参与政府采购工程类项目时，报价给予3％的扣除，用扣除后的价格参与投标报价计算，采用综合评估法但未采用低价优先法计算价格分的，评标时在采用原报价进行评分的基础上增加其价格得分的3％作为其价格分。</w:t>
      </w:r>
    </w:p>
    <w:p w14:paraId="2088701C">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（二）监狱企业的价格评分标准</w:t>
      </w:r>
    </w:p>
    <w:p w14:paraId="2DB04083">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根据财库[2014]68 号《财政部司法部关于政府采购支持监狱企业发展有关问题的通知》规定，符合条件的监狱企业，享受政府采购扶持政策。投标供应商投标产品是监狱企业制造的，其产品报价给予一定比例的扣除，其产品报价给予</w:t>
      </w:r>
      <w:r>
        <w:rPr>
          <w:rFonts w:hint="eastAsia" w:ascii="宋体" w:hAnsi="宋体" w:cs="宋体"/>
          <w:bCs/>
          <w:color w:val="auto"/>
          <w:sz w:val="24"/>
          <w:szCs w:val="24"/>
          <w:lang w:eastAsia="zh-CN"/>
        </w:rPr>
        <w:t>10％</w:t>
      </w:r>
      <w:r>
        <w:rPr>
          <w:rFonts w:hint="eastAsia" w:ascii="宋体" w:hAnsi="宋体" w:cs="宋体"/>
          <w:bCs/>
          <w:color w:val="auto"/>
          <w:sz w:val="24"/>
          <w:szCs w:val="24"/>
        </w:rPr>
        <w:t>的扣除，用扣除后的价格参与报价计算，如同时属于小型、微型企业的，其享受的价格不重复计算。</w:t>
      </w:r>
    </w:p>
    <w:p w14:paraId="42437263">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1、残疾人福利性单位的价格评分标准</w:t>
      </w:r>
    </w:p>
    <w:p w14:paraId="6930CBB1">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投标供应商投标产品是残疾人福利性单位的，其产品报价给予一定比例的扣除，其产品报价给予</w:t>
      </w:r>
      <w:r>
        <w:rPr>
          <w:rFonts w:hint="eastAsia" w:ascii="宋体" w:hAnsi="宋体" w:cs="宋体"/>
          <w:bCs/>
          <w:color w:val="auto"/>
          <w:sz w:val="24"/>
          <w:szCs w:val="24"/>
          <w:lang w:eastAsia="zh-CN"/>
        </w:rPr>
        <w:t>10％</w:t>
      </w:r>
      <w:r>
        <w:rPr>
          <w:rFonts w:hint="eastAsia" w:ascii="宋体" w:hAnsi="宋体" w:cs="宋体"/>
          <w:bCs/>
          <w:color w:val="auto"/>
          <w:sz w:val="24"/>
          <w:szCs w:val="24"/>
        </w:rPr>
        <w:t>的扣除，用扣除后的价格参与投标报价计算。残疾人福利性单位同时属于小型、微型企业的，其享受的价格优惠不重复计算。</w:t>
      </w:r>
    </w:p>
    <w:p w14:paraId="3A5BAAF5">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2、节能产品、环境标志产品政策</w:t>
      </w:r>
    </w:p>
    <w:p w14:paraId="1A8F386C">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lang w:eastAsia="en-US"/>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w:t>
      </w:r>
      <w:r>
        <w:rPr>
          <w:rFonts w:hint="eastAsia" w:ascii="宋体" w:hAnsi="宋体" w:cs="宋体"/>
          <w:bCs/>
          <w:color w:val="auto"/>
          <w:sz w:val="24"/>
          <w:szCs w:val="24"/>
        </w:rPr>
        <w:t>节能清单所列产品包括政府强制采购和优先采购的节能产品，标注“★”的品目为政府强制采购的节能产品，其他品目为政府优先采购的节能产品。</w:t>
      </w:r>
    </w:p>
    <w:p w14:paraId="05F6FBB3">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lang w:eastAsia="en-US"/>
        </w:rPr>
        <w:t>（2）环境标志产品根据《财政部、国家环保总局联合印发&lt;关于环境标志产品政府采购实施的意见&gt;》（财库【2006】90号）的规定，以中国政府采购网（http://www.ccgp.gov.cn/）公布的最新一期环境标志产品政府采购清单为准。</w:t>
      </w:r>
      <w:r>
        <w:rPr>
          <w:rFonts w:hint="eastAsia" w:ascii="宋体" w:hAnsi="宋体" w:cs="宋体"/>
          <w:bCs/>
          <w:color w:val="auto"/>
          <w:sz w:val="24"/>
          <w:szCs w:val="24"/>
        </w:rPr>
        <w:t>环保清单所列产品为政府优先采购产品。</w:t>
      </w:r>
    </w:p>
    <w:p w14:paraId="1C4D03AA">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
          <w:color w:val="auto"/>
          <w:sz w:val="24"/>
          <w:szCs w:val="24"/>
        </w:rPr>
      </w:pPr>
      <w:r>
        <w:rPr>
          <w:rFonts w:hint="eastAsia" w:ascii="宋体" w:hAnsi="宋体" w:cs="宋体"/>
          <w:b/>
          <w:color w:val="auto"/>
          <w:sz w:val="24"/>
          <w:szCs w:val="24"/>
        </w:rPr>
        <w:t>7、特殊情况处理</w:t>
      </w:r>
    </w:p>
    <w:p w14:paraId="2BA89CC7">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7.1若出现综合得分相同的，磋商报价得分高者为第一成交候选人；若综合得分和磋商报价得分相同，以施工技术方案得分高者为第一成交候选人；若上述两种情况得分均相同，则由全体磋商小组成员无记名投票，得票高者为第一成交候选人。</w:t>
      </w:r>
    </w:p>
    <w:p w14:paraId="48BCB5C0">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7.2当供应商某评分项出现未报、漏报或零报价时，该分项得零分。</w:t>
      </w:r>
    </w:p>
    <w:p w14:paraId="0DFD2DFF">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7.3评议过程中，若出现本评分方法以外的特殊情况时，将暂停评审，待磋商小组商榷后再进行复会。</w:t>
      </w:r>
    </w:p>
    <w:p w14:paraId="25D2743A">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7.4如果出现计算错误，可按以下原则进行修正：</w:t>
      </w:r>
    </w:p>
    <w:p w14:paraId="08A84788">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a、磋商响应文件中报价一览表内容与磋商响应文件中相应内容不一致的，以报价一览表为准；</w:t>
      </w:r>
    </w:p>
    <w:p w14:paraId="6E120C46">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b、大写金额与小写金额不一致的，以大写金额为准；</w:t>
      </w:r>
    </w:p>
    <w:p w14:paraId="3C04059E">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c、单价金额小数点或者百分比有明显错位的，以“报价一览表”的总价为准，并修改单价；</w:t>
      </w:r>
    </w:p>
    <w:p w14:paraId="307B8CD6">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d、总价金额与按单价汇总金额不一致的，以单价金额计算结果为准。</w:t>
      </w:r>
    </w:p>
    <w:p w14:paraId="35565E99">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rPr>
        <w:t>e、磋商响应文件图表与文字不符时，以文字为准；</w:t>
      </w:r>
    </w:p>
    <w:p w14:paraId="2C340F02">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ascii="宋体" w:hAnsi="宋体" w:cs="宋体"/>
          <w:bCs/>
          <w:color w:val="auto"/>
          <w:sz w:val="24"/>
          <w:szCs w:val="24"/>
        </w:rPr>
      </w:pPr>
      <w:r>
        <w:rPr>
          <w:rFonts w:hint="eastAsia" w:ascii="宋体" w:hAnsi="宋体" w:cs="宋体"/>
          <w:bCs/>
          <w:color w:val="auto"/>
          <w:sz w:val="24"/>
          <w:szCs w:val="24"/>
          <w:highlight w:val="none"/>
        </w:rPr>
        <w:t>f、多</w:t>
      </w:r>
      <w:r>
        <w:rPr>
          <w:rFonts w:hint="eastAsia" w:ascii="宋体" w:hAnsi="宋体" w:cs="宋体"/>
          <w:bCs/>
          <w:color w:val="auto"/>
          <w:sz w:val="24"/>
          <w:szCs w:val="24"/>
        </w:rPr>
        <w:t>处内容交叉不符时，以磋商小组评审结果为准。</w:t>
      </w:r>
    </w:p>
    <w:p w14:paraId="14175887">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同时出现两种以上不一致的，按照以上规定的顺序修正。修正后的报价经供应商确认后产生约束力，供应商不确认的，其投标无效。</w:t>
      </w:r>
    </w:p>
    <w:p w14:paraId="38DF5795">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7.5同品牌产品</w:t>
      </w:r>
    </w:p>
    <w:p w14:paraId="7414E225">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7.5.1单一产品，提供相同品牌产品且通过资格审查、符合性审查的的不同供应商参加同一合同项下磋商的，以报价最低的参加磋商；最后报价相同的，由采购人或者采购人委托磋商小组确定一个参加磋商的供应商，其他磋商无效。</w:t>
      </w:r>
    </w:p>
    <w:p w14:paraId="1DB2206C">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7.5.2非单一产品，多家供应商提供的核心产品（核心产品详见供应商须知前附表25条）品牌全部相同的，按上述规定处理。</w:t>
      </w:r>
    </w:p>
    <w:p w14:paraId="3D1F61F6">
      <w:pPr>
        <w:keepNext w:val="0"/>
        <w:keepLines w:val="0"/>
        <w:pageBreakBefore w:val="0"/>
        <w:widowControl w:val="0"/>
        <w:kinsoku/>
        <w:wordWrap/>
        <w:overflowPunct/>
        <w:topLinePunct w:val="0"/>
        <w:autoSpaceDE/>
        <w:autoSpaceDN/>
        <w:bidi w:val="0"/>
        <w:spacing w:line="520" w:lineRule="exact"/>
        <w:ind w:firstLine="500" w:firstLineChars="200"/>
        <w:textAlignment w:val="auto"/>
        <w:rPr>
          <w:rFonts w:hint="eastAsia" w:ascii="宋体" w:hAnsi="宋体" w:cs="宋体"/>
          <w:bCs/>
          <w:color w:val="auto"/>
          <w:sz w:val="24"/>
          <w:szCs w:val="24"/>
        </w:rPr>
      </w:pPr>
      <w:r>
        <w:rPr>
          <w:rFonts w:hint="eastAsia" w:ascii="宋体" w:hAnsi="宋体" w:eastAsia="宋体" w:cs="宋体"/>
          <w:bCs/>
          <w:color w:val="auto"/>
          <w:sz w:val="24"/>
          <w:szCs w:val="24"/>
          <w:lang w:val="en-US" w:eastAsia="zh-CN"/>
        </w:rPr>
        <w:t>7.5.3对所有有效响应</w:t>
      </w:r>
      <w:r>
        <w:rPr>
          <w:rFonts w:hint="eastAsia" w:ascii="宋体" w:hAnsi="宋体" w:eastAsia="宋体" w:cs="宋体"/>
          <w:bCs/>
          <w:color w:val="auto"/>
          <w:kern w:val="2"/>
          <w:sz w:val="24"/>
          <w:szCs w:val="24"/>
          <w:lang w:val="en-US" w:eastAsia="zh-CN" w:bidi="ar-SA"/>
        </w:rPr>
        <w:t>供应商的最后报价进行了评审价确认之后，由磋商小组各成员按照最终一轮磋商报价的评审价从</w:t>
      </w:r>
      <w:r>
        <w:rPr>
          <w:rFonts w:hint="eastAsia" w:ascii="宋体" w:hAnsi="宋体" w:eastAsia="宋体" w:cs="宋体"/>
          <w:bCs/>
          <w:color w:val="auto"/>
          <w:sz w:val="24"/>
          <w:szCs w:val="24"/>
        </w:rPr>
        <w:t>低至高进行依次排序。</w:t>
      </w:r>
    </w:p>
    <w:p w14:paraId="682E15B4">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outlineLvl w:val="9"/>
        <w:rPr>
          <w:rFonts w:ascii="宋体" w:hAnsi="宋体" w:cs="宋体"/>
          <w:b/>
          <w:color w:val="auto"/>
          <w:sz w:val="24"/>
          <w:szCs w:val="24"/>
        </w:rPr>
      </w:pPr>
      <w:bookmarkStart w:id="10" w:name="_Toc28020"/>
      <w:bookmarkStart w:id="11" w:name="_Toc1642"/>
      <w:bookmarkStart w:id="12" w:name="_Toc3705"/>
      <w:r>
        <w:rPr>
          <w:rFonts w:hint="eastAsia" w:ascii="宋体" w:hAnsi="宋体" w:cs="宋体"/>
          <w:b/>
          <w:color w:val="auto"/>
          <w:sz w:val="24"/>
          <w:szCs w:val="24"/>
        </w:rPr>
        <w:t>六、成交通知</w:t>
      </w:r>
      <w:bookmarkEnd w:id="10"/>
      <w:bookmarkEnd w:id="11"/>
      <w:bookmarkEnd w:id="12"/>
    </w:p>
    <w:p w14:paraId="2934D5DF">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采购人、采购代理机构应当在成交结果公示同时向成交供应商发出《成交通知书》，成交供应商应在接到采购代理机构通知之日起7日内领取成交通知书。未在规定时间内领取成交通知书的，视为放弃成交资格。</w:t>
      </w:r>
    </w:p>
    <w:p w14:paraId="5FD89CF0">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outlineLvl w:val="9"/>
        <w:rPr>
          <w:rFonts w:ascii="宋体" w:hAnsi="宋体" w:cs="宋体"/>
          <w:b/>
          <w:color w:val="auto"/>
          <w:sz w:val="24"/>
          <w:szCs w:val="24"/>
        </w:rPr>
      </w:pPr>
      <w:bookmarkStart w:id="13" w:name="_Toc15045"/>
      <w:bookmarkStart w:id="14" w:name="_Toc4966"/>
      <w:bookmarkStart w:id="15" w:name="_Toc19561"/>
      <w:r>
        <w:rPr>
          <w:rFonts w:hint="eastAsia" w:ascii="宋体" w:hAnsi="宋体" w:cs="宋体"/>
          <w:b/>
          <w:color w:val="auto"/>
          <w:sz w:val="24"/>
          <w:szCs w:val="24"/>
        </w:rPr>
        <w:t>七、合同的签订授予</w:t>
      </w:r>
      <w:bookmarkEnd w:id="13"/>
      <w:bookmarkEnd w:id="14"/>
      <w:bookmarkEnd w:id="15"/>
    </w:p>
    <w:p w14:paraId="2891A345">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1、成交供应商应当自收到成交通知书之日起</w:t>
      </w:r>
      <w:r>
        <w:rPr>
          <w:rFonts w:hint="eastAsia" w:ascii="宋体" w:hAnsi="宋体" w:cs="宋体"/>
          <w:bCs/>
          <w:color w:val="auto"/>
          <w:sz w:val="24"/>
          <w:szCs w:val="24"/>
          <w:lang w:val="en-US" w:eastAsia="zh-CN"/>
        </w:rPr>
        <w:t>25</w:t>
      </w:r>
      <w:r>
        <w:rPr>
          <w:rFonts w:hint="eastAsia" w:ascii="宋体" w:hAnsi="宋体" w:cs="宋体"/>
          <w:bCs/>
          <w:color w:val="auto"/>
          <w:sz w:val="24"/>
          <w:szCs w:val="24"/>
        </w:rPr>
        <w:t>日内，按照竞争性磋商文件的要求和成交供应商响应文件的约定与采购人签订采购合同。成交供应商因自身原因不按规定与采购人签订合同，则采购人将废除授标，磋商保证金不予退还。给采购人造成损失超过磋商保证金额的，还应当对超过部分予以赔偿，并依法承担相应法律责任；</w:t>
      </w:r>
    </w:p>
    <w:p w14:paraId="6A918158">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如成交供应商拒绝与采购人签订合同的，</w:t>
      </w:r>
      <w:r>
        <w:rPr>
          <w:rFonts w:hint="eastAsia" w:ascii="宋体" w:hAnsi="宋体" w:cs="宋体"/>
          <w:bCs/>
          <w:color w:val="auto"/>
          <w:sz w:val="24"/>
          <w:szCs w:val="24"/>
        </w:rPr>
        <w:t>采购人可以按照评审报告推荐的成交候选人名单排序，确定下一候选人为成交供应商，也可以重新开展政府采购活动。拒绝签订政府采购合同的成交供应商不得参加对该项目重新开展的政府采购活动。</w:t>
      </w:r>
    </w:p>
    <w:p w14:paraId="539B6B17">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3、成交通知书将是合同的重要组成部分。竞争性磋商文件、成交供应商的磋商响应文件及评议过程中有关的澄清文件均作为合同附件。</w:t>
      </w:r>
    </w:p>
    <w:p w14:paraId="60CD5BE2">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4、成交后，成交人应按照合同约定履行义务，完成磋商项目的工作内容。经采购人同意，成交人可以依法采取分包方式履行合同。分包部分为成交项目的部分非主体、非关键性工作。接受分包的供应商应当具备相应的资格条件，并不得再次分包。分包履行的，成交人就采购项目和分包项目向采购人负责，分包供应商就分包项目承担责任。</w:t>
      </w:r>
    </w:p>
    <w:p w14:paraId="7D5ABC4E">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5、采购人需追加与合同标的相同的货物、工程或服务的，在不改变合同其他条款的前提下，可以与供应商协商签订补充合同，但所有补充合同的采购金额不得超过原合同采购金额的百分之十。</w:t>
      </w:r>
    </w:p>
    <w:p w14:paraId="06C169DE">
      <w:pPr>
        <w:keepNext w:val="0"/>
        <w:keepLines w:val="0"/>
        <w:pageBreakBefore w:val="0"/>
        <w:widowControl w:val="0"/>
        <w:kinsoku/>
        <w:wordWrap/>
        <w:overflowPunct/>
        <w:topLinePunct w:val="0"/>
        <w:autoSpaceDE/>
        <w:autoSpaceDN/>
        <w:bidi w:val="0"/>
        <w:spacing w:line="520" w:lineRule="exact"/>
        <w:ind w:left="0" w:leftChars="0" w:right="0" w:rightChars="0" w:firstLine="500" w:firstLineChars="200"/>
        <w:jc w:val="left"/>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八、代理服务费</w:t>
      </w:r>
    </w:p>
    <w:p w14:paraId="752C406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00" w:firstLineChars="200"/>
        <w:textAlignment w:val="auto"/>
        <w:outlineLvl w:val="9"/>
        <w:rPr>
          <w:rFonts w:ascii="宋体" w:hAnsi="宋体" w:cs="宋体"/>
          <w:b/>
          <w:color w:val="auto"/>
          <w:sz w:val="24"/>
          <w:szCs w:val="24"/>
          <w:highlight w:val="none"/>
        </w:rPr>
      </w:pPr>
      <w:r>
        <w:rPr>
          <w:rFonts w:hint="eastAsia" w:ascii="宋体" w:hAnsi="宋体" w:cs="宋体"/>
          <w:bCs/>
          <w:color w:val="auto"/>
          <w:sz w:val="24"/>
          <w:szCs w:val="24"/>
          <w:highlight w:val="none"/>
        </w:rPr>
        <w:t>采购代理服务费</w:t>
      </w:r>
      <w:r>
        <w:rPr>
          <w:rFonts w:hint="eastAsia" w:ascii="宋体" w:hAnsi="宋体" w:cs="宋体"/>
          <w:bCs/>
          <w:color w:val="auto"/>
          <w:sz w:val="24"/>
          <w:szCs w:val="24"/>
          <w:highlight w:val="none"/>
          <w:lang w:eastAsia="zh-CN"/>
        </w:rPr>
        <w:t>依据国家计委关于印发《招标代理服务收费管理暂行办法》的通知（计价格〔2002〕1980号）、《国家发展和改革委员会办公厅关于招标代理服务收费有关问题的通知》（发改办价格〔2003〕857号）规定及国家发展改革委《关于进一步放开建设项目专业服务价格的通知》（发改价格〔2015〕299号）文件的规定以签订的合同协议为准。</w:t>
      </w:r>
    </w:p>
    <w:p w14:paraId="4ED2D3AF">
      <w:pPr>
        <w:keepNext w:val="0"/>
        <w:keepLines w:val="0"/>
        <w:pageBreakBefore w:val="0"/>
        <w:widowControl w:val="0"/>
        <w:numPr>
          <w:ilvl w:val="0"/>
          <w:numId w:val="4"/>
        </w:numPr>
        <w:kinsoku/>
        <w:wordWrap/>
        <w:overflowPunct/>
        <w:topLinePunct w:val="0"/>
        <w:autoSpaceDE/>
        <w:autoSpaceDN/>
        <w:bidi w:val="0"/>
        <w:spacing w:line="520" w:lineRule="exact"/>
        <w:ind w:firstLine="500" w:firstLineChars="200"/>
        <w:jc w:val="left"/>
        <w:textAlignment w:val="auto"/>
        <w:outlineLvl w:val="9"/>
        <w:rPr>
          <w:rFonts w:ascii="宋体" w:hAnsi="宋体" w:cs="宋体"/>
          <w:b/>
          <w:color w:val="auto"/>
          <w:sz w:val="24"/>
          <w:szCs w:val="24"/>
          <w:highlight w:val="none"/>
        </w:rPr>
      </w:pPr>
      <w:bookmarkStart w:id="16" w:name="_Toc16792"/>
      <w:bookmarkStart w:id="17" w:name="_Toc32199"/>
      <w:bookmarkStart w:id="18" w:name="_Toc761"/>
      <w:r>
        <w:rPr>
          <w:rFonts w:hint="eastAsia" w:ascii="宋体" w:hAnsi="宋体" w:cs="宋体"/>
          <w:b/>
          <w:color w:val="auto"/>
          <w:sz w:val="24"/>
          <w:szCs w:val="24"/>
          <w:highlight w:val="none"/>
        </w:rPr>
        <w:t>质疑与投诉</w:t>
      </w:r>
      <w:bookmarkEnd w:id="16"/>
      <w:bookmarkEnd w:id="17"/>
      <w:bookmarkEnd w:id="18"/>
    </w:p>
    <w:p w14:paraId="407AF5CA">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1.质疑</w:t>
      </w:r>
    </w:p>
    <w:p w14:paraId="77849C93">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1.1供应商对本次磋商采购活动有疑问的，按照《政府采购法》《政府采购法实施条例》和《政府采购质疑和投诉办法》(财政部94号令)的规定办理。</w:t>
      </w:r>
    </w:p>
    <w:p w14:paraId="783176A6">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1.2供应商对磋商文件、采购过程或成交结果使自身的合法权益受到损害，应当在法定期限内，按照质疑函范本格式要求以书面形式向采购代理机构或采购人提出质疑。</w:t>
      </w:r>
    </w:p>
    <w:p w14:paraId="6C9C96AE">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1.2.1质疑书应当包括以下主要内容：被质疑项目名称、项目编号、磋商文件获取日期、质疑事项、证据及来源线索、法律依据(具体条款)、政府采购活动中自己权益受到侵害的实质内容、质疑人有效联系方式等。</w:t>
      </w:r>
    </w:p>
    <w:p w14:paraId="44510F9A">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1.2.2质疑书应当由法定代表人或授权代表签字或盖章，并加盖单位公章，公章不得以合同章或其他印章代替，并附法人身份证明。</w:t>
      </w:r>
    </w:p>
    <w:p w14:paraId="118EAF03">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1.2.3质疑人可以委托代理人办理质疑事项，代理人办理质疑事项时，除提交质疑书外，还应当提交质疑人的授权委托书及代理人的有效身份证明，授权委托书应当载明委托代理的具体权限和事项。</w:t>
      </w:r>
    </w:p>
    <w:p w14:paraId="7D7D9405">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1.2.4质疑函范本格式在中国政府采购网站(http://www.ccgp.gov.cn/)自行下载。</w:t>
      </w:r>
    </w:p>
    <w:p w14:paraId="559B5735">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1.2.5接收质疑函的联系部门、联系电话和通讯地址同采购公告。</w:t>
      </w:r>
    </w:p>
    <w:p w14:paraId="682AE12B">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1.2.6有下列情形之一的，属于无效质疑，采购代理机构和采购人不予受理：</w:t>
      </w:r>
    </w:p>
    <w:p w14:paraId="55D800B1">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(1)质疑人不是参与本次政府采购项目的供应商；</w:t>
      </w:r>
    </w:p>
    <w:p w14:paraId="1397F546">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(2)质疑人与质疑事项不存在利害关系的；</w:t>
      </w:r>
    </w:p>
    <w:p w14:paraId="4C063217">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(3)未在法定期限内提出质疑的；</w:t>
      </w:r>
    </w:p>
    <w:p w14:paraId="7B304655">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(4)质疑未以书面形式提出，以传真、电子邮件、移动通信等形式即时收悉提交的质疑材料；</w:t>
      </w:r>
    </w:p>
    <w:p w14:paraId="016CEDE5">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(5)质疑未按质疑函范本格式提出的；</w:t>
      </w:r>
    </w:p>
    <w:p w14:paraId="156EAEA0">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(6)质疑书主要内容构成不完整的；</w:t>
      </w:r>
    </w:p>
    <w:p w14:paraId="02F27F69">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(7)质疑书没有合法有效的签字、盖章或授权的；</w:t>
      </w:r>
    </w:p>
    <w:p w14:paraId="3FCB2688">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(8)以非法手段取得证据、材料的；</w:t>
      </w:r>
    </w:p>
    <w:p w14:paraId="65F8403B">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(9)质疑答复后，同一质疑人就同一事项再次提出质疑的；</w:t>
      </w:r>
    </w:p>
    <w:p w14:paraId="6F756540">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(10)不符合法律、法规、规章和政府采购监管机构规定的其他条件的。</w:t>
      </w:r>
    </w:p>
    <w:p w14:paraId="03DAF454">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1.2.7采购代理机构或采购人将在收到书面质疑后7个工作日内做出答复，并以书面形式通知质疑人和其他有关投标供应商。</w:t>
      </w:r>
    </w:p>
    <w:p w14:paraId="24E2316E">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2.投诉</w:t>
      </w:r>
    </w:p>
    <w:p w14:paraId="7876D72F">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供应商和其他厉害关系人认为本次磋商采购活动违反法律、法规和规章规定的，有权向有关行政监督机构投诉。</w:t>
      </w:r>
    </w:p>
    <w:p w14:paraId="1108C074">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2.1质疑人对采购代理机构或采购人的答复不满意，以及采购代理机构或采购人未在规定时间内做出答复的，可以在答复期满后15个工作日内向政府采购监管机构提出投诉。</w:t>
      </w:r>
    </w:p>
    <w:p w14:paraId="2913B2BB">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2.2供应商投诉的事项不得超出已质疑事项的范围。</w:t>
      </w:r>
    </w:p>
    <w:p w14:paraId="22BA24EC">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Cs/>
          <w:color w:val="auto"/>
          <w:sz w:val="24"/>
          <w:szCs w:val="24"/>
        </w:rPr>
      </w:pPr>
      <w:r>
        <w:rPr>
          <w:rFonts w:hint="eastAsia" w:ascii="宋体" w:hAnsi="宋体" w:cs="宋体"/>
          <w:bCs/>
          <w:color w:val="auto"/>
          <w:sz w:val="24"/>
          <w:szCs w:val="24"/>
        </w:rPr>
        <w:t>2.3投诉书范本格式在中国政府采购网站（http://www.ccgp.gov.cn/）自行下载。</w:t>
      </w:r>
    </w:p>
    <w:p w14:paraId="6F0940C4">
      <w:pPr>
        <w:keepNext w:val="0"/>
        <w:keepLines w:val="0"/>
        <w:pageBreakBefore w:val="0"/>
        <w:widowControl w:val="0"/>
        <w:kinsoku/>
        <w:wordWrap/>
        <w:overflowPunct/>
        <w:topLinePunct w:val="0"/>
        <w:autoSpaceDE/>
        <w:autoSpaceDN/>
        <w:bidi w:val="0"/>
        <w:spacing w:line="520" w:lineRule="exact"/>
        <w:ind w:firstLine="500" w:firstLineChars="200"/>
        <w:jc w:val="left"/>
        <w:textAlignment w:val="auto"/>
        <w:outlineLvl w:val="9"/>
        <w:rPr>
          <w:rFonts w:ascii="宋体" w:hAnsi="宋体" w:cs="宋体"/>
          <w:b/>
          <w:color w:val="auto"/>
          <w:sz w:val="24"/>
          <w:szCs w:val="24"/>
        </w:rPr>
      </w:pPr>
      <w:bookmarkStart w:id="19" w:name="_Toc26857"/>
      <w:bookmarkStart w:id="20" w:name="_Toc8186"/>
      <w:bookmarkStart w:id="21" w:name="_Toc7224"/>
      <w:r>
        <w:rPr>
          <w:rFonts w:hint="eastAsia" w:ascii="宋体" w:hAnsi="宋体" w:cs="宋体"/>
          <w:b/>
          <w:color w:val="auto"/>
          <w:sz w:val="24"/>
          <w:szCs w:val="24"/>
        </w:rPr>
        <w:t>十、其他</w:t>
      </w:r>
      <w:bookmarkEnd w:id="19"/>
      <w:bookmarkEnd w:id="20"/>
      <w:bookmarkEnd w:id="21"/>
    </w:p>
    <w:p w14:paraId="6739D8D6">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1、如果发生下列情况之一的，采购人或采购代理机构将按《政府采购竞争性磋商采购方式管理暂行办法》等有关规定重新组织采购：</w:t>
      </w:r>
    </w:p>
    <w:p w14:paraId="2885CF52">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1.1因情况变化，不再符合规定的竞争性磋商采购方式适用情形的；</w:t>
      </w:r>
    </w:p>
    <w:p w14:paraId="40A96B77">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1.2出现影响采购公正的违法、违规行为的；</w:t>
      </w:r>
    </w:p>
    <w:p w14:paraId="3FCCB5E9">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1.3磋商小组三分之二以上的专家认定所有磋商报价存在价格不实的现象；</w:t>
      </w:r>
    </w:p>
    <w:p w14:paraId="7ADB11E2">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1.4提交最后报价的供应商不足三家的；</w:t>
      </w:r>
    </w:p>
    <w:p w14:paraId="633209C0">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rPr>
      </w:pPr>
      <w:r>
        <w:rPr>
          <w:rFonts w:hint="eastAsia" w:ascii="宋体" w:hAnsi="宋体" w:cs="宋体"/>
          <w:bCs/>
          <w:color w:val="auto"/>
          <w:sz w:val="24"/>
          <w:szCs w:val="24"/>
        </w:rPr>
        <w:t>1.5除《政府采购竞争性磋商采购方式管理暂行办法》第二十一条第三款规定的情形外，在采购过程中符合要求的供应商或者报价未超过最高限价的供应商不足三家的。</w:t>
      </w:r>
    </w:p>
    <w:p w14:paraId="2E598582">
      <w:pPr>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500" w:firstLineChars="200"/>
        <w:textAlignment w:val="auto"/>
        <w:rPr>
          <w:rFonts w:ascii="宋体" w:hAnsi="宋体" w:cs="宋体"/>
          <w:bCs/>
          <w:color w:val="auto"/>
          <w:sz w:val="24"/>
          <w:szCs w:val="24"/>
        </w:rPr>
      </w:pPr>
      <w:r>
        <w:rPr>
          <w:rFonts w:ascii="宋体" w:hAnsi="宋体" w:eastAsia="宋体" w:cs="宋体"/>
          <w:bCs/>
          <w:color w:val="auto"/>
          <w:kern w:val="2"/>
          <w:sz w:val="24"/>
          <w:szCs w:val="24"/>
          <w:lang w:val="en-US" w:eastAsia="zh-CN" w:bidi="ar-SA"/>
        </w:rPr>
        <w:t>2、</w:t>
      </w:r>
      <w:r>
        <w:rPr>
          <w:rFonts w:hint="eastAsia" w:ascii="宋体" w:hAnsi="宋体" w:cs="宋体"/>
          <w:bCs/>
          <w:color w:val="auto"/>
          <w:sz w:val="24"/>
          <w:szCs w:val="24"/>
        </w:rPr>
        <w:t>拒绝商业贿赂。遵照陕西省财政厅的规定，采购人、采购代理机构、供应商和评审专家在磋商活动中，都要签订相应的《拒绝政府采购领域商业贿赂承诺书》，并对违反承诺的行为承担全部责任。</w:t>
      </w:r>
    </w:p>
    <w:p w14:paraId="13BD0766">
      <w:pPr>
        <w:pStyle w:val="48"/>
        <w:ind w:firstLine="0" w:firstLineChars="0"/>
        <w:rPr>
          <w:color w:val="auto"/>
        </w:rPr>
      </w:pPr>
    </w:p>
    <w:p w14:paraId="658211EB">
      <w:pPr>
        <w:pStyle w:val="48"/>
        <w:ind w:firstLine="0" w:firstLineChars="0"/>
        <w:rPr>
          <w:color w:val="auto"/>
        </w:rPr>
      </w:pPr>
    </w:p>
    <w:p w14:paraId="38E1F959">
      <w:pPr>
        <w:rPr>
          <w:rFonts w:hint="eastAsia" w:ascii="宋体" w:hAnsi="宋体" w:cs="宋体"/>
          <w:b/>
          <w:color w:val="auto"/>
          <w:kern w:val="0"/>
          <w:sz w:val="36"/>
          <w:szCs w:val="36"/>
        </w:rPr>
      </w:pPr>
      <w:bookmarkStart w:id="22" w:name="_Toc8148_WPSOffice_Level1"/>
      <w:r>
        <w:rPr>
          <w:rFonts w:hint="eastAsia" w:ascii="宋体" w:hAnsi="宋体" w:cs="宋体"/>
          <w:b/>
          <w:color w:val="auto"/>
          <w:kern w:val="0"/>
          <w:sz w:val="36"/>
          <w:szCs w:val="36"/>
        </w:rPr>
        <w:br w:type="page"/>
      </w:r>
    </w:p>
    <w:p w14:paraId="146B2A32">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36"/>
          <w:szCs w:val="36"/>
          <w:lang w:eastAsia="zh-CN"/>
        </w:rPr>
      </w:pPr>
      <w:bookmarkStart w:id="23" w:name="_Toc3401"/>
      <w:r>
        <w:rPr>
          <w:rFonts w:hint="eastAsia" w:ascii="宋体" w:hAnsi="宋体" w:cs="宋体"/>
          <w:b/>
          <w:color w:val="auto"/>
          <w:kern w:val="0"/>
          <w:sz w:val="36"/>
          <w:szCs w:val="36"/>
        </w:rPr>
        <w:t>第三部分 采购</w:t>
      </w:r>
      <w:bookmarkEnd w:id="22"/>
      <w:bookmarkEnd w:id="23"/>
      <w:r>
        <w:rPr>
          <w:rFonts w:hint="eastAsia" w:ascii="宋体" w:hAnsi="宋体" w:cs="宋体"/>
          <w:b/>
          <w:color w:val="auto"/>
          <w:kern w:val="0"/>
          <w:sz w:val="36"/>
          <w:szCs w:val="36"/>
          <w:lang w:eastAsia="zh-CN"/>
        </w:rPr>
        <w:t>需求</w:t>
      </w:r>
    </w:p>
    <w:p w14:paraId="561D15EF">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spacing w:val="6"/>
          <w:kern w:val="0"/>
          <w:sz w:val="24"/>
          <w:szCs w:val="24"/>
          <w:highlight w:val="none"/>
        </w:rPr>
        <w:t>一、</w:t>
      </w:r>
      <w:r>
        <w:rPr>
          <w:rFonts w:hint="eastAsia" w:ascii="宋体" w:hAnsi="宋体" w:eastAsia="宋体" w:cs="宋体"/>
          <w:snapToGrid w:val="0"/>
          <w:color w:val="000000"/>
          <w:spacing w:val="-62"/>
          <w:kern w:val="0"/>
          <w:sz w:val="24"/>
          <w:szCs w:val="24"/>
          <w:highlight w:val="none"/>
        </w:rPr>
        <w:t xml:space="preserve"> </w:t>
      </w:r>
      <w:r>
        <w:rPr>
          <w:rFonts w:hint="eastAsia" w:ascii="宋体" w:hAnsi="宋体" w:eastAsia="宋体" w:cs="宋体"/>
          <w:b/>
          <w:bCs/>
          <w:snapToGrid w:val="0"/>
          <w:color w:val="000000"/>
          <w:spacing w:val="12"/>
          <w:kern w:val="0"/>
          <w:sz w:val="24"/>
          <w:szCs w:val="24"/>
          <w:highlight w:val="none"/>
        </w:rPr>
        <w:t>采购内容</w:t>
      </w:r>
    </w:p>
    <w:tbl>
      <w:tblPr>
        <w:tblStyle w:val="9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59"/>
        <w:gridCol w:w="3470"/>
        <w:gridCol w:w="1097"/>
        <w:gridCol w:w="2899"/>
      </w:tblGrid>
      <w:tr w14:paraId="0C03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2" w:type="pct"/>
            <w:tcBorders>
              <w:tl2br w:val="nil"/>
              <w:tr2bl w:val="nil"/>
            </w:tcBorders>
            <w:noWrap w:val="0"/>
            <w:vAlign w:val="center"/>
          </w:tcPr>
          <w:p w14:paraId="0BEDE3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spacing w:val="7"/>
                <w:kern w:val="0"/>
                <w:sz w:val="24"/>
                <w:szCs w:val="24"/>
                <w:highlight w:val="none"/>
              </w:rPr>
              <w:t>序号</w:t>
            </w:r>
          </w:p>
        </w:tc>
        <w:tc>
          <w:tcPr>
            <w:tcW w:w="2011" w:type="pct"/>
            <w:tcBorders>
              <w:tl2br w:val="nil"/>
              <w:tr2bl w:val="nil"/>
            </w:tcBorders>
            <w:noWrap w:val="0"/>
            <w:vAlign w:val="center"/>
          </w:tcPr>
          <w:p w14:paraId="54ED83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spacing w:val="-6"/>
                <w:kern w:val="0"/>
                <w:sz w:val="24"/>
                <w:szCs w:val="24"/>
                <w:highlight w:val="none"/>
              </w:rPr>
              <w:t>货物名称</w:t>
            </w:r>
          </w:p>
        </w:tc>
        <w:tc>
          <w:tcPr>
            <w:tcW w:w="636" w:type="pct"/>
            <w:tcBorders>
              <w:tl2br w:val="nil"/>
              <w:tr2bl w:val="nil"/>
            </w:tcBorders>
            <w:noWrap w:val="0"/>
            <w:vAlign w:val="center"/>
          </w:tcPr>
          <w:p w14:paraId="1176C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spacing w:val="-3"/>
                <w:kern w:val="0"/>
                <w:sz w:val="24"/>
                <w:szCs w:val="24"/>
                <w:highlight w:val="none"/>
                <w:lang w:val="en-US" w:eastAsia="zh-CN"/>
              </w:rPr>
              <w:t>单位</w:t>
            </w:r>
          </w:p>
        </w:tc>
        <w:tc>
          <w:tcPr>
            <w:tcW w:w="1680" w:type="pct"/>
            <w:tcBorders>
              <w:tl2br w:val="nil"/>
              <w:tr2bl w:val="nil"/>
            </w:tcBorders>
            <w:noWrap w:val="0"/>
            <w:vAlign w:val="center"/>
          </w:tcPr>
          <w:p w14:paraId="5EEDA4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bCs/>
                <w:snapToGrid w:val="0"/>
                <w:color w:val="000000"/>
                <w:kern w:val="0"/>
                <w:sz w:val="24"/>
                <w:szCs w:val="24"/>
                <w:highlight w:val="none"/>
                <w:lang w:eastAsia="zh-CN"/>
              </w:rPr>
            </w:pPr>
            <w:r>
              <w:rPr>
                <w:rFonts w:hint="eastAsia" w:ascii="宋体" w:hAnsi="宋体" w:eastAsia="宋体" w:cs="宋体"/>
                <w:b/>
                <w:bCs/>
                <w:snapToGrid w:val="0"/>
                <w:color w:val="000000"/>
                <w:spacing w:val="-3"/>
                <w:kern w:val="0"/>
                <w:sz w:val="24"/>
                <w:szCs w:val="24"/>
                <w:highlight w:val="none"/>
              </w:rPr>
              <w:t>数量</w:t>
            </w:r>
          </w:p>
        </w:tc>
      </w:tr>
      <w:tr w14:paraId="624E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2" w:type="pct"/>
            <w:tcBorders>
              <w:tl2br w:val="nil"/>
              <w:tr2bl w:val="nil"/>
            </w:tcBorders>
            <w:noWrap w:val="0"/>
            <w:vAlign w:val="center"/>
          </w:tcPr>
          <w:p w14:paraId="61DD7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w:t>
            </w:r>
          </w:p>
        </w:tc>
        <w:tc>
          <w:tcPr>
            <w:tcW w:w="2011" w:type="pct"/>
            <w:tcBorders>
              <w:tl2br w:val="nil"/>
              <w:tr2bl w:val="nil"/>
            </w:tcBorders>
            <w:noWrap w:val="0"/>
            <w:vAlign w:val="center"/>
          </w:tcPr>
          <w:p w14:paraId="7594A9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val="0"/>
                <w:bCs w:val="0"/>
                <w:snapToGrid w:val="0"/>
                <w:color w:val="000000"/>
                <w:kern w:val="0"/>
                <w:sz w:val="24"/>
                <w:szCs w:val="24"/>
                <w:highlight w:val="none"/>
              </w:rPr>
              <w:t>75-400绞盘式喷灌机</w:t>
            </w:r>
          </w:p>
        </w:tc>
        <w:tc>
          <w:tcPr>
            <w:tcW w:w="636" w:type="pct"/>
            <w:tcBorders>
              <w:tl2br w:val="nil"/>
              <w:tr2bl w:val="nil"/>
            </w:tcBorders>
            <w:noWrap w:val="0"/>
            <w:vAlign w:val="center"/>
          </w:tcPr>
          <w:p w14:paraId="33AF10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val="0"/>
                <w:bCs w:val="0"/>
                <w:snapToGrid w:val="0"/>
                <w:color w:val="000000"/>
                <w:kern w:val="0"/>
                <w:sz w:val="24"/>
                <w:szCs w:val="24"/>
                <w:highlight w:val="none"/>
                <w:lang w:val="en-US" w:eastAsia="zh-CN"/>
              </w:rPr>
            </w:pPr>
            <w:r>
              <w:rPr>
                <w:rFonts w:hint="eastAsia" w:ascii="宋体" w:hAnsi="宋体" w:eastAsia="宋体" w:cs="宋体"/>
                <w:b w:val="0"/>
                <w:bCs w:val="0"/>
                <w:snapToGrid w:val="0"/>
                <w:color w:val="000000"/>
                <w:kern w:val="0"/>
                <w:sz w:val="24"/>
                <w:szCs w:val="24"/>
                <w:highlight w:val="none"/>
                <w:lang w:val="en-US" w:eastAsia="zh-CN"/>
              </w:rPr>
              <w:t>台</w:t>
            </w:r>
          </w:p>
        </w:tc>
        <w:tc>
          <w:tcPr>
            <w:tcW w:w="1680" w:type="pct"/>
            <w:tcBorders>
              <w:tl2br w:val="nil"/>
              <w:tr2bl w:val="nil"/>
            </w:tcBorders>
            <w:noWrap w:val="0"/>
            <w:vAlign w:val="center"/>
          </w:tcPr>
          <w:p w14:paraId="072C1A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default" w:ascii="宋体" w:hAnsi="宋体" w:eastAsia="宋体" w:cs="宋体"/>
                <w:b w:val="0"/>
                <w:bCs w:val="0"/>
                <w:snapToGrid w:val="0"/>
                <w:color w:val="000000"/>
                <w:kern w:val="0"/>
                <w:sz w:val="24"/>
                <w:szCs w:val="24"/>
                <w:highlight w:val="none"/>
                <w:lang w:val="en-US"/>
              </w:rPr>
            </w:pPr>
            <w:r>
              <w:rPr>
                <w:rFonts w:hint="eastAsia" w:ascii="宋体" w:hAnsi="宋体" w:eastAsia="宋体" w:cs="宋体"/>
                <w:b w:val="0"/>
                <w:bCs w:val="0"/>
                <w:snapToGrid w:val="0"/>
                <w:color w:val="000000"/>
                <w:kern w:val="0"/>
                <w:sz w:val="24"/>
                <w:szCs w:val="24"/>
                <w:highlight w:val="none"/>
                <w:lang w:val="en-US" w:eastAsia="zh-CN"/>
              </w:rPr>
              <w:t>14</w:t>
            </w:r>
          </w:p>
        </w:tc>
      </w:tr>
      <w:tr w14:paraId="1500A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2" w:type="pct"/>
            <w:tcBorders>
              <w:tl2br w:val="nil"/>
              <w:tr2bl w:val="nil"/>
            </w:tcBorders>
            <w:noWrap w:val="0"/>
            <w:vAlign w:val="center"/>
          </w:tcPr>
          <w:p w14:paraId="0EF77C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2</w:t>
            </w:r>
          </w:p>
        </w:tc>
        <w:tc>
          <w:tcPr>
            <w:tcW w:w="2011" w:type="pct"/>
            <w:tcBorders>
              <w:tl2br w:val="nil"/>
              <w:tr2bl w:val="nil"/>
            </w:tcBorders>
            <w:noWrap w:val="0"/>
            <w:vAlign w:val="center"/>
          </w:tcPr>
          <w:p w14:paraId="6103E7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val="0"/>
                <w:bCs w:val="0"/>
                <w:snapToGrid w:val="0"/>
                <w:color w:val="000000"/>
                <w:kern w:val="0"/>
                <w:sz w:val="24"/>
                <w:szCs w:val="24"/>
                <w:highlight w:val="none"/>
              </w:rPr>
              <w:t>90-330绞盘式喷灌机</w:t>
            </w:r>
          </w:p>
        </w:tc>
        <w:tc>
          <w:tcPr>
            <w:tcW w:w="636" w:type="pct"/>
            <w:tcBorders>
              <w:tl2br w:val="nil"/>
              <w:tr2bl w:val="nil"/>
            </w:tcBorders>
            <w:noWrap w:val="0"/>
            <w:vAlign w:val="center"/>
          </w:tcPr>
          <w:p w14:paraId="6B981E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val="0"/>
                <w:bCs w:val="0"/>
                <w:snapToGrid w:val="0"/>
                <w:color w:val="000000"/>
                <w:kern w:val="0"/>
                <w:sz w:val="24"/>
                <w:szCs w:val="24"/>
                <w:highlight w:val="none"/>
                <w:lang w:val="en-US" w:eastAsia="zh-CN"/>
              </w:rPr>
              <w:t>台</w:t>
            </w:r>
          </w:p>
        </w:tc>
        <w:tc>
          <w:tcPr>
            <w:tcW w:w="1680" w:type="pct"/>
            <w:tcBorders>
              <w:tl2br w:val="nil"/>
              <w:tr2bl w:val="nil"/>
            </w:tcBorders>
            <w:noWrap w:val="0"/>
            <w:vAlign w:val="center"/>
          </w:tcPr>
          <w:p w14:paraId="6FF260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b w:val="0"/>
                <w:bCs w:val="0"/>
                <w:snapToGrid w:val="0"/>
                <w:color w:val="000000"/>
                <w:kern w:val="0"/>
                <w:sz w:val="24"/>
                <w:szCs w:val="24"/>
                <w:highlight w:val="none"/>
                <w:lang w:val="en-US" w:eastAsia="zh-CN"/>
              </w:rPr>
            </w:pPr>
            <w:r>
              <w:rPr>
                <w:rFonts w:hint="eastAsia" w:ascii="宋体" w:hAnsi="宋体" w:eastAsia="宋体" w:cs="宋体"/>
                <w:b w:val="0"/>
                <w:bCs w:val="0"/>
                <w:snapToGrid w:val="0"/>
                <w:color w:val="000000"/>
                <w:kern w:val="0"/>
                <w:sz w:val="24"/>
                <w:szCs w:val="24"/>
                <w:highlight w:val="none"/>
                <w:lang w:val="en-US" w:eastAsia="zh-CN"/>
              </w:rPr>
              <w:t>2</w:t>
            </w:r>
          </w:p>
        </w:tc>
      </w:tr>
    </w:tbl>
    <w:p w14:paraId="0E4A8778">
      <w:pPr>
        <w:keepNext w:val="0"/>
        <w:keepLines w:val="0"/>
        <w:pageBreakBefore w:val="0"/>
        <w:widowControl/>
        <w:kinsoku w:val="0"/>
        <w:wordWrap/>
        <w:overflowPunct/>
        <w:topLinePunct w:val="0"/>
        <w:autoSpaceDE w:val="0"/>
        <w:autoSpaceDN w:val="0"/>
        <w:bidi w:val="0"/>
        <w:adjustRightInd w:val="0"/>
        <w:snapToGrid w:val="0"/>
        <w:spacing w:before="196" w:beforeLines="50" w:line="360" w:lineRule="auto"/>
        <w:ind w:right="0"/>
        <w:jc w:val="left"/>
        <w:textAlignment w:val="baseline"/>
        <w:outlineLvl w:val="9"/>
        <w:rPr>
          <w:rFonts w:hint="eastAsia" w:ascii="宋体" w:hAnsi="宋体" w:cs="宋体"/>
          <w:b/>
          <w:color w:val="auto"/>
          <w:kern w:val="0"/>
          <w:sz w:val="36"/>
          <w:szCs w:val="36"/>
          <w:lang w:eastAsia="zh-CN"/>
        </w:rPr>
      </w:pPr>
      <w:r>
        <w:rPr>
          <w:rFonts w:hint="eastAsia" w:ascii="宋体" w:hAnsi="宋体" w:eastAsia="宋体" w:cs="宋体"/>
          <w:b/>
          <w:bCs/>
          <w:snapToGrid w:val="0"/>
          <w:color w:val="000000"/>
          <w:spacing w:val="12"/>
          <w:kern w:val="0"/>
          <w:sz w:val="24"/>
          <w:szCs w:val="24"/>
          <w:highlight w:val="none"/>
          <w:lang w:val="en-US" w:eastAsia="zh-CN"/>
        </w:rPr>
        <w:t>二</w:t>
      </w:r>
      <w:r>
        <w:rPr>
          <w:rFonts w:hint="eastAsia" w:ascii="宋体" w:hAnsi="宋体" w:eastAsia="宋体" w:cs="宋体"/>
          <w:b/>
          <w:bCs/>
          <w:snapToGrid w:val="0"/>
          <w:color w:val="000000"/>
          <w:spacing w:val="12"/>
          <w:kern w:val="0"/>
          <w:sz w:val="24"/>
          <w:szCs w:val="24"/>
          <w:highlight w:val="none"/>
        </w:rPr>
        <w:t>、技术</w:t>
      </w:r>
      <w:r>
        <w:rPr>
          <w:rFonts w:hint="eastAsia" w:ascii="宋体" w:hAnsi="宋体" w:eastAsia="宋体" w:cs="宋体"/>
          <w:b/>
          <w:bCs/>
          <w:snapToGrid w:val="0"/>
          <w:color w:val="000000"/>
          <w:spacing w:val="12"/>
          <w:kern w:val="0"/>
          <w:sz w:val="24"/>
          <w:szCs w:val="24"/>
          <w:highlight w:val="none"/>
          <w:lang w:val="en-US" w:eastAsia="zh-CN"/>
        </w:rPr>
        <w:t>参数</w:t>
      </w:r>
    </w:p>
    <w:tbl>
      <w:tblPr>
        <w:tblStyle w:val="9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1"/>
        <w:gridCol w:w="459"/>
        <w:gridCol w:w="1206"/>
        <w:gridCol w:w="1826"/>
        <w:gridCol w:w="4673"/>
      </w:tblGrid>
      <w:tr w14:paraId="43284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7" w:type="pct"/>
            <w:noWrap w:val="0"/>
            <w:vAlign w:val="center"/>
          </w:tcPr>
          <w:p w14:paraId="5E62AB28">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bCs/>
                <w:spacing w:val="1"/>
                <w:sz w:val="22"/>
                <w:szCs w:val="22"/>
                <w:lang w:val="en-US" w:eastAsia="zh-CN"/>
              </w:rPr>
            </w:pPr>
            <w:bookmarkStart w:id="24" w:name="OLE_LINK1"/>
            <w:r>
              <w:rPr>
                <w:rFonts w:hint="eastAsia" w:ascii="宋体" w:hAnsi="宋体" w:eastAsia="宋体" w:cs="宋体"/>
                <w:b/>
                <w:bCs/>
                <w:spacing w:val="1"/>
                <w:sz w:val="22"/>
                <w:szCs w:val="22"/>
                <w:lang w:val="en-US" w:eastAsia="zh-CN"/>
              </w:rPr>
              <w:t>序号</w:t>
            </w:r>
          </w:p>
        </w:tc>
        <w:tc>
          <w:tcPr>
            <w:tcW w:w="266" w:type="pct"/>
            <w:noWrap w:val="0"/>
            <w:vAlign w:val="center"/>
          </w:tcPr>
          <w:p w14:paraId="5A8AC60D">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bCs/>
                <w:spacing w:val="1"/>
                <w:sz w:val="22"/>
                <w:szCs w:val="22"/>
                <w:lang w:val="en-US" w:eastAsia="zh-CN"/>
              </w:rPr>
            </w:pPr>
            <w:r>
              <w:rPr>
                <w:rFonts w:hint="eastAsia" w:ascii="宋体" w:hAnsi="宋体" w:eastAsia="宋体" w:cs="宋体"/>
                <w:b/>
                <w:bCs/>
                <w:spacing w:val="1"/>
                <w:sz w:val="22"/>
                <w:szCs w:val="22"/>
                <w:lang w:val="en-US" w:eastAsia="zh-CN"/>
              </w:rPr>
              <w:t>产品</w:t>
            </w:r>
          </w:p>
          <w:p w14:paraId="6E732497">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bCs/>
                <w:spacing w:val="1"/>
                <w:sz w:val="22"/>
                <w:szCs w:val="22"/>
                <w:lang w:val="en-US" w:eastAsia="zh-CN"/>
              </w:rPr>
            </w:pPr>
            <w:r>
              <w:rPr>
                <w:rFonts w:hint="eastAsia" w:ascii="宋体" w:hAnsi="宋体" w:eastAsia="宋体" w:cs="宋体"/>
                <w:b/>
                <w:bCs/>
                <w:spacing w:val="1"/>
                <w:sz w:val="22"/>
                <w:szCs w:val="22"/>
                <w:lang w:val="en-US" w:eastAsia="zh-CN"/>
              </w:rPr>
              <w:t>名称</w:t>
            </w:r>
          </w:p>
        </w:tc>
        <w:tc>
          <w:tcPr>
            <w:tcW w:w="699" w:type="pct"/>
            <w:noWrap w:val="0"/>
            <w:vAlign w:val="center"/>
          </w:tcPr>
          <w:p w14:paraId="6A0078E6">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bCs/>
                <w:spacing w:val="1"/>
                <w:sz w:val="22"/>
                <w:szCs w:val="22"/>
              </w:rPr>
            </w:pPr>
            <w:r>
              <w:rPr>
                <w:rFonts w:hint="eastAsia" w:ascii="宋体" w:hAnsi="宋体" w:eastAsia="宋体" w:cs="宋体"/>
                <w:b/>
                <w:bCs/>
                <w:spacing w:val="1"/>
                <w:sz w:val="22"/>
                <w:szCs w:val="22"/>
              </w:rPr>
              <w:t>型号</w:t>
            </w:r>
          </w:p>
          <w:p w14:paraId="4E8BE60C">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bCs/>
                <w:spacing w:val="1"/>
                <w:sz w:val="22"/>
                <w:szCs w:val="22"/>
                <w:lang w:val="en-US" w:eastAsia="zh-CN"/>
              </w:rPr>
            </w:pPr>
            <w:r>
              <w:rPr>
                <w:rFonts w:hint="eastAsia" w:ascii="宋体" w:hAnsi="宋体" w:eastAsia="宋体" w:cs="宋体"/>
                <w:b/>
                <w:bCs/>
                <w:spacing w:val="1"/>
                <w:sz w:val="22"/>
                <w:szCs w:val="22"/>
                <w:lang w:val="en-US" w:eastAsia="zh-CN"/>
              </w:rPr>
              <w:t>规格</w:t>
            </w:r>
          </w:p>
        </w:tc>
        <w:tc>
          <w:tcPr>
            <w:tcW w:w="3766" w:type="pct"/>
            <w:gridSpan w:val="2"/>
            <w:noWrap w:val="0"/>
            <w:vAlign w:val="center"/>
          </w:tcPr>
          <w:p w14:paraId="2EDF9ACE">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bCs/>
                <w:spacing w:val="1"/>
                <w:sz w:val="22"/>
                <w:szCs w:val="22"/>
                <w:lang w:val="en-US" w:eastAsia="zh-CN"/>
              </w:rPr>
            </w:pPr>
            <w:r>
              <w:rPr>
                <w:rFonts w:hint="eastAsia" w:ascii="宋体" w:hAnsi="宋体" w:eastAsia="宋体" w:cs="宋体"/>
                <w:b/>
                <w:bCs/>
                <w:spacing w:val="1"/>
                <w:sz w:val="22"/>
                <w:szCs w:val="22"/>
                <w:lang w:val="en-US" w:eastAsia="zh-CN"/>
              </w:rPr>
              <w:t>参数</w:t>
            </w:r>
          </w:p>
        </w:tc>
      </w:tr>
      <w:tr w14:paraId="0754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67" w:type="pct"/>
            <w:vMerge w:val="restart"/>
            <w:noWrap w:val="0"/>
            <w:vAlign w:val="center"/>
          </w:tcPr>
          <w:p w14:paraId="731DCB42">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lang w:val="en-US" w:eastAsia="zh-CN"/>
              </w:rPr>
            </w:pPr>
            <w:r>
              <w:rPr>
                <w:rFonts w:hint="eastAsia" w:ascii="宋体" w:hAnsi="宋体" w:eastAsia="宋体" w:cs="宋体"/>
                <w:b/>
                <w:bCs/>
                <w:spacing w:val="1"/>
                <w:sz w:val="22"/>
                <w:szCs w:val="22"/>
                <w:lang w:val="en-US" w:eastAsia="zh-CN"/>
              </w:rPr>
              <w:t>1</w:t>
            </w:r>
          </w:p>
        </w:tc>
        <w:tc>
          <w:tcPr>
            <w:tcW w:w="266" w:type="pct"/>
            <w:vMerge w:val="restart"/>
            <w:noWrap w:val="0"/>
            <w:vAlign w:val="center"/>
          </w:tcPr>
          <w:p w14:paraId="7F65BD4A">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val="0"/>
                <w:bCs w:val="0"/>
                <w:spacing w:val="1"/>
                <w:sz w:val="22"/>
                <w:szCs w:val="22"/>
              </w:rPr>
            </w:pPr>
            <w:r>
              <w:rPr>
                <w:rFonts w:hint="eastAsia" w:ascii="宋体" w:hAnsi="宋体" w:eastAsia="宋体" w:cs="宋体"/>
                <w:b w:val="0"/>
                <w:bCs w:val="0"/>
                <w:spacing w:val="1"/>
                <w:sz w:val="22"/>
                <w:szCs w:val="22"/>
              </w:rPr>
              <w:t>绞盘式</w:t>
            </w:r>
          </w:p>
          <w:p w14:paraId="09382406">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r>
              <w:rPr>
                <w:rFonts w:hint="eastAsia" w:ascii="宋体" w:hAnsi="宋体" w:eastAsia="宋体" w:cs="宋体"/>
                <w:b w:val="0"/>
                <w:bCs w:val="0"/>
                <w:spacing w:val="1"/>
                <w:sz w:val="22"/>
                <w:szCs w:val="22"/>
              </w:rPr>
              <w:t>喷灌机</w:t>
            </w:r>
          </w:p>
        </w:tc>
        <w:tc>
          <w:tcPr>
            <w:tcW w:w="699" w:type="pct"/>
            <w:vMerge w:val="restart"/>
            <w:noWrap w:val="0"/>
            <w:vAlign w:val="center"/>
          </w:tcPr>
          <w:p w14:paraId="13F2CD28">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p w14:paraId="00AA14D1">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p w14:paraId="151DFA59">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p w14:paraId="072E7599">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p w14:paraId="674B0B17">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both"/>
              <w:textAlignment w:val="baseline"/>
              <w:rPr>
                <w:rFonts w:hint="eastAsia" w:ascii="宋体" w:hAnsi="宋体" w:eastAsia="宋体" w:cs="宋体"/>
                <w:spacing w:val="-1"/>
                <w:sz w:val="22"/>
                <w:szCs w:val="22"/>
              </w:rPr>
            </w:pPr>
          </w:p>
          <w:p w14:paraId="5D2C3301">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p w14:paraId="4510142A">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p w14:paraId="68250B6A">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b w:val="0"/>
                <w:bCs w:val="0"/>
                <w:color w:val="auto"/>
                <w:sz w:val="22"/>
                <w:szCs w:val="22"/>
                <w:highlight w:val="none"/>
                <w:lang w:val="en-US" w:eastAsia="zh-CN"/>
              </w:rPr>
            </w:pPr>
          </w:p>
          <w:p w14:paraId="4CAEECC1">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b w:val="0"/>
                <w:bCs w:val="0"/>
                <w:color w:val="auto"/>
                <w:sz w:val="22"/>
                <w:szCs w:val="22"/>
                <w:highlight w:val="none"/>
                <w:lang w:val="en-US" w:eastAsia="zh-CN"/>
              </w:rPr>
            </w:pPr>
          </w:p>
          <w:p w14:paraId="20C115A2">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r>
              <w:rPr>
                <w:rFonts w:hint="eastAsia" w:ascii="宋体" w:hAnsi="宋体" w:eastAsia="宋体" w:cs="宋体"/>
                <w:b w:val="0"/>
                <w:bCs w:val="0"/>
                <w:spacing w:val="-1"/>
                <w:sz w:val="22"/>
                <w:szCs w:val="22"/>
                <w:highlight w:val="none"/>
                <w:lang w:val="en-US" w:eastAsia="zh-CN"/>
              </w:rPr>
              <w:t>JP</w:t>
            </w:r>
            <w:r>
              <w:rPr>
                <w:rFonts w:hint="eastAsia" w:ascii="宋体" w:hAnsi="宋体" w:eastAsia="宋体" w:cs="宋体"/>
                <w:b w:val="0"/>
                <w:bCs w:val="0"/>
                <w:spacing w:val="-1"/>
                <w:sz w:val="22"/>
                <w:szCs w:val="22"/>
                <w:highlight w:val="none"/>
              </w:rPr>
              <w:t>75-400</w:t>
            </w:r>
          </w:p>
        </w:tc>
        <w:tc>
          <w:tcPr>
            <w:tcW w:w="1058" w:type="pct"/>
            <w:noWrap w:val="0"/>
            <w:vAlign w:val="top"/>
          </w:tcPr>
          <w:p w14:paraId="41D4BEF0">
            <w:pPr>
              <w:pStyle w:val="92"/>
              <w:keepNext w:val="0"/>
              <w:keepLines w:val="0"/>
              <w:pageBreakBefore w:val="0"/>
              <w:widowControl/>
              <w:kinsoku w:val="0"/>
              <w:wordWrap/>
              <w:overflowPunct/>
              <w:topLinePunct w:val="0"/>
              <w:autoSpaceDE w:val="0"/>
              <w:autoSpaceDN w:val="0"/>
              <w:bidi w:val="0"/>
              <w:adjustRightInd w:val="0"/>
              <w:snapToGrid w:val="0"/>
              <w:spacing w:before="119"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1"/>
                <w:sz w:val="22"/>
                <w:szCs w:val="22"/>
              </w:rPr>
              <w:t>PE管管径</w:t>
            </w:r>
          </w:p>
        </w:tc>
        <w:tc>
          <w:tcPr>
            <w:tcW w:w="2707" w:type="pct"/>
            <w:noWrap w:val="0"/>
            <w:vAlign w:val="center"/>
          </w:tcPr>
          <w:p w14:paraId="36A1F205">
            <w:pPr>
              <w:pStyle w:val="92"/>
              <w:keepNext w:val="0"/>
              <w:keepLines w:val="0"/>
              <w:pageBreakBefore w:val="0"/>
              <w:widowControl/>
              <w:kinsoku w:val="0"/>
              <w:wordWrap/>
              <w:overflowPunct/>
              <w:topLinePunct w:val="0"/>
              <w:autoSpaceDE w:val="0"/>
              <w:autoSpaceDN w:val="0"/>
              <w:bidi w:val="0"/>
              <w:adjustRightInd w:val="0"/>
              <w:snapToGrid w:val="0"/>
              <w:spacing w:before="140" w:line="240" w:lineRule="exact"/>
              <w:jc w:val="center"/>
              <w:textAlignment w:val="baseline"/>
              <w:rPr>
                <w:rFonts w:hint="eastAsia" w:ascii="宋体" w:hAnsi="宋体" w:eastAsia="宋体" w:cs="宋体"/>
                <w:spacing w:val="1"/>
                <w:sz w:val="22"/>
                <w:szCs w:val="22"/>
                <w:highlight w:val="none"/>
              </w:rPr>
            </w:pPr>
            <w:r>
              <w:rPr>
                <w:rFonts w:hint="eastAsia"/>
                <w:kern w:val="0"/>
                <w:highlight w:val="none"/>
              </w:rPr>
              <w:t>内径≥75mm,壁厚≥6.</w:t>
            </w:r>
            <w:r>
              <w:rPr>
                <w:rFonts w:hint="eastAsia"/>
                <w:kern w:val="0"/>
                <w:highlight w:val="none"/>
                <w:lang w:val="en-US" w:eastAsia="zh-CN"/>
              </w:rPr>
              <w:t>3</w:t>
            </w:r>
            <w:r>
              <w:rPr>
                <w:rFonts w:hint="eastAsia"/>
                <w:kern w:val="0"/>
                <w:highlight w:val="none"/>
              </w:rPr>
              <w:t>mm</w:t>
            </w:r>
            <w:r>
              <w:rPr>
                <w:rFonts w:hint="eastAsia" w:ascii="宋体" w:hAnsi="宋体" w:eastAsia="宋体" w:cs="宋体"/>
                <w:b w:val="0"/>
                <w:bCs w:val="0"/>
                <w:color w:val="auto"/>
                <w:sz w:val="22"/>
                <w:szCs w:val="22"/>
                <w:highlight w:val="none"/>
                <w:lang w:val="en-US" w:eastAsia="zh-CN"/>
              </w:rPr>
              <w:t>★</w:t>
            </w:r>
          </w:p>
        </w:tc>
      </w:tr>
      <w:tr w14:paraId="01A9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67" w:type="pct"/>
            <w:vMerge w:val="continue"/>
            <w:noWrap w:val="0"/>
            <w:vAlign w:val="center"/>
          </w:tcPr>
          <w:p w14:paraId="1A3073FD">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0B6E6C56">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5985173E">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02796D08">
            <w:pPr>
              <w:pStyle w:val="92"/>
              <w:keepNext w:val="0"/>
              <w:keepLines w:val="0"/>
              <w:pageBreakBefore w:val="0"/>
              <w:widowControl/>
              <w:kinsoku w:val="0"/>
              <w:wordWrap/>
              <w:overflowPunct/>
              <w:topLinePunct w:val="0"/>
              <w:autoSpaceDE w:val="0"/>
              <w:autoSpaceDN w:val="0"/>
              <w:bidi w:val="0"/>
              <w:adjustRightInd w:val="0"/>
              <w:snapToGrid w:val="0"/>
              <w:spacing w:before="120"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1"/>
                <w:sz w:val="22"/>
                <w:szCs w:val="22"/>
              </w:rPr>
              <w:t>PE管长度</w:t>
            </w:r>
          </w:p>
        </w:tc>
        <w:tc>
          <w:tcPr>
            <w:tcW w:w="2707" w:type="pct"/>
            <w:noWrap w:val="0"/>
            <w:vAlign w:val="center"/>
          </w:tcPr>
          <w:p w14:paraId="477CEC6A">
            <w:pPr>
              <w:pStyle w:val="92"/>
              <w:keepNext w:val="0"/>
              <w:keepLines w:val="0"/>
              <w:pageBreakBefore w:val="0"/>
              <w:widowControl/>
              <w:kinsoku w:val="0"/>
              <w:wordWrap/>
              <w:overflowPunct/>
              <w:topLinePunct w:val="0"/>
              <w:autoSpaceDE w:val="0"/>
              <w:autoSpaceDN w:val="0"/>
              <w:bidi w:val="0"/>
              <w:adjustRightInd w:val="0"/>
              <w:snapToGrid w:val="0"/>
              <w:spacing w:before="141" w:line="240" w:lineRule="exact"/>
              <w:jc w:val="center"/>
              <w:textAlignment w:val="baseline"/>
              <w:rPr>
                <w:rFonts w:hint="eastAsia" w:ascii="宋体" w:hAnsi="宋体" w:eastAsia="宋体" w:cs="宋体"/>
                <w:spacing w:val="1"/>
                <w:sz w:val="22"/>
                <w:szCs w:val="22"/>
                <w:highlight w:val="none"/>
              </w:rPr>
            </w:pPr>
            <w:r>
              <w:rPr>
                <w:rFonts w:hint="eastAsia" w:ascii="宋体" w:hAnsi="宋体" w:eastAsia="宋体" w:cs="宋体"/>
                <w:spacing w:val="-5"/>
                <w:sz w:val="22"/>
                <w:szCs w:val="22"/>
                <w:highlight w:val="none"/>
              </w:rPr>
              <w:t>≥380m</w:t>
            </w:r>
            <w:r>
              <w:rPr>
                <w:rFonts w:hint="eastAsia" w:ascii="宋体" w:hAnsi="宋体" w:eastAsia="宋体" w:cs="宋体"/>
                <w:b w:val="0"/>
                <w:bCs w:val="0"/>
                <w:color w:val="auto"/>
                <w:sz w:val="22"/>
                <w:szCs w:val="22"/>
                <w:highlight w:val="none"/>
                <w:lang w:val="en-US" w:eastAsia="zh-CN"/>
              </w:rPr>
              <w:t>★</w:t>
            </w:r>
          </w:p>
        </w:tc>
      </w:tr>
      <w:tr w14:paraId="392B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67" w:type="pct"/>
            <w:vMerge w:val="continue"/>
            <w:noWrap w:val="0"/>
            <w:vAlign w:val="center"/>
          </w:tcPr>
          <w:p w14:paraId="7AC14B57">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261E50F0">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4AF50E52">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4F394861">
            <w:pPr>
              <w:pStyle w:val="92"/>
              <w:keepNext w:val="0"/>
              <w:keepLines w:val="0"/>
              <w:pageBreakBefore w:val="0"/>
              <w:widowControl/>
              <w:kinsoku w:val="0"/>
              <w:wordWrap/>
              <w:overflowPunct/>
              <w:topLinePunct w:val="0"/>
              <w:autoSpaceDE w:val="0"/>
              <w:autoSpaceDN w:val="0"/>
              <w:bidi w:val="0"/>
              <w:adjustRightInd w:val="0"/>
              <w:snapToGrid w:val="0"/>
              <w:spacing w:before="120"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4"/>
                <w:sz w:val="22"/>
                <w:szCs w:val="22"/>
              </w:rPr>
              <w:t>入机压力</w:t>
            </w:r>
          </w:p>
        </w:tc>
        <w:tc>
          <w:tcPr>
            <w:tcW w:w="2707" w:type="pct"/>
            <w:noWrap w:val="0"/>
            <w:vAlign w:val="center"/>
          </w:tcPr>
          <w:p w14:paraId="1A25406F">
            <w:pPr>
              <w:pStyle w:val="92"/>
              <w:keepNext w:val="0"/>
              <w:keepLines w:val="0"/>
              <w:pageBreakBefore w:val="0"/>
              <w:widowControl/>
              <w:kinsoku w:val="0"/>
              <w:wordWrap/>
              <w:overflowPunct/>
              <w:topLinePunct w:val="0"/>
              <w:autoSpaceDE w:val="0"/>
              <w:autoSpaceDN w:val="0"/>
              <w:bidi w:val="0"/>
              <w:adjustRightInd w:val="0"/>
              <w:snapToGrid w:val="0"/>
              <w:spacing w:before="116" w:line="240" w:lineRule="exact"/>
              <w:jc w:val="center"/>
              <w:textAlignment w:val="baseline"/>
              <w:rPr>
                <w:rFonts w:hint="eastAsia" w:ascii="宋体" w:hAnsi="宋体" w:eastAsia="宋体" w:cs="宋体"/>
                <w:spacing w:val="1"/>
                <w:sz w:val="22"/>
                <w:szCs w:val="22"/>
                <w:highlight w:val="none"/>
              </w:rPr>
            </w:pPr>
            <w:r>
              <w:rPr>
                <w:rFonts w:hint="eastAsia" w:ascii="宋体" w:hAnsi="宋体" w:eastAsia="宋体" w:cs="宋体"/>
                <w:color w:val="auto"/>
                <w:spacing w:val="-5"/>
                <w:sz w:val="22"/>
                <w:szCs w:val="22"/>
                <w:highlight w:val="none"/>
              </w:rPr>
              <w:t>≥0.5Mpa</w:t>
            </w:r>
            <w:r>
              <w:rPr>
                <w:rFonts w:hint="eastAsia" w:ascii="宋体" w:hAnsi="宋体" w:eastAsia="宋体" w:cs="宋体"/>
                <w:b w:val="0"/>
                <w:bCs w:val="0"/>
                <w:color w:val="auto"/>
                <w:sz w:val="22"/>
                <w:szCs w:val="22"/>
                <w:highlight w:val="none"/>
                <w:lang w:val="en-US" w:eastAsia="zh-CN"/>
              </w:rPr>
              <w:t>★</w:t>
            </w:r>
          </w:p>
        </w:tc>
      </w:tr>
      <w:tr w14:paraId="2CF4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67" w:type="pct"/>
            <w:vMerge w:val="continue"/>
            <w:noWrap w:val="0"/>
            <w:vAlign w:val="center"/>
          </w:tcPr>
          <w:p w14:paraId="255DA254">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0749451B">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41704C6F">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3BCDA1BE">
            <w:pPr>
              <w:pStyle w:val="92"/>
              <w:keepNext w:val="0"/>
              <w:keepLines w:val="0"/>
              <w:pageBreakBefore w:val="0"/>
              <w:widowControl/>
              <w:kinsoku w:val="0"/>
              <w:wordWrap/>
              <w:overflowPunct/>
              <w:topLinePunct w:val="0"/>
              <w:autoSpaceDE w:val="0"/>
              <w:autoSpaceDN w:val="0"/>
              <w:bidi w:val="0"/>
              <w:adjustRightInd w:val="0"/>
              <w:snapToGrid w:val="0"/>
              <w:spacing w:before="122"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2"/>
                <w:sz w:val="22"/>
                <w:szCs w:val="22"/>
              </w:rPr>
              <w:t>出水量</w:t>
            </w:r>
          </w:p>
        </w:tc>
        <w:tc>
          <w:tcPr>
            <w:tcW w:w="2707" w:type="pct"/>
            <w:noWrap w:val="0"/>
            <w:vAlign w:val="center"/>
          </w:tcPr>
          <w:p w14:paraId="70F94224">
            <w:pPr>
              <w:pStyle w:val="92"/>
              <w:keepNext w:val="0"/>
              <w:keepLines w:val="0"/>
              <w:pageBreakBefore w:val="0"/>
              <w:widowControl/>
              <w:kinsoku w:val="0"/>
              <w:wordWrap/>
              <w:overflowPunct/>
              <w:topLinePunct w:val="0"/>
              <w:autoSpaceDE w:val="0"/>
              <w:autoSpaceDN w:val="0"/>
              <w:bidi w:val="0"/>
              <w:adjustRightInd w:val="0"/>
              <w:snapToGrid w:val="0"/>
              <w:spacing w:before="128" w:line="240" w:lineRule="exact"/>
              <w:jc w:val="center"/>
              <w:textAlignment w:val="baseline"/>
              <w:rPr>
                <w:rFonts w:hint="eastAsia" w:ascii="宋体" w:hAnsi="宋体" w:eastAsia="宋体" w:cs="宋体"/>
                <w:spacing w:val="1"/>
                <w:sz w:val="22"/>
                <w:szCs w:val="22"/>
                <w:highlight w:val="none"/>
              </w:rPr>
            </w:pPr>
            <w:r>
              <w:rPr>
                <w:rFonts w:hint="eastAsia" w:ascii="宋体" w:hAnsi="宋体" w:eastAsia="宋体" w:cs="宋体"/>
                <w:spacing w:val="-3"/>
                <w:sz w:val="22"/>
                <w:szCs w:val="22"/>
                <w:highlight w:val="none"/>
              </w:rPr>
              <w:t>≤35m³/h</w:t>
            </w:r>
            <w:r>
              <w:rPr>
                <w:rFonts w:hint="eastAsia" w:ascii="宋体" w:hAnsi="宋体" w:eastAsia="宋体" w:cs="宋体"/>
                <w:b w:val="0"/>
                <w:bCs w:val="0"/>
                <w:color w:val="auto"/>
                <w:sz w:val="22"/>
                <w:szCs w:val="22"/>
                <w:highlight w:val="none"/>
                <w:lang w:val="en-US" w:eastAsia="zh-CN"/>
              </w:rPr>
              <w:t>★</w:t>
            </w:r>
          </w:p>
        </w:tc>
      </w:tr>
      <w:tr w14:paraId="2537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67" w:type="pct"/>
            <w:vMerge w:val="continue"/>
            <w:noWrap w:val="0"/>
            <w:vAlign w:val="center"/>
          </w:tcPr>
          <w:p w14:paraId="0093BCAC">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5B903EF8">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529ED62A">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4C1368F6">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3"/>
                <w:sz w:val="22"/>
                <w:szCs w:val="22"/>
              </w:rPr>
              <w:t>驱动方式</w:t>
            </w:r>
          </w:p>
        </w:tc>
        <w:tc>
          <w:tcPr>
            <w:tcW w:w="2707" w:type="pct"/>
            <w:noWrap w:val="0"/>
            <w:vAlign w:val="center"/>
          </w:tcPr>
          <w:p w14:paraId="2A162CB1">
            <w:pPr>
              <w:pStyle w:val="92"/>
              <w:keepNext w:val="0"/>
              <w:keepLines w:val="0"/>
              <w:pageBreakBefore w:val="0"/>
              <w:widowControl/>
              <w:kinsoku w:val="0"/>
              <w:wordWrap/>
              <w:overflowPunct/>
              <w:topLinePunct w:val="0"/>
              <w:autoSpaceDE w:val="0"/>
              <w:autoSpaceDN w:val="0"/>
              <w:bidi w:val="0"/>
              <w:adjustRightInd w:val="0"/>
              <w:snapToGrid w:val="0"/>
              <w:spacing w:before="123" w:line="240" w:lineRule="exact"/>
              <w:jc w:val="both"/>
              <w:textAlignment w:val="baseline"/>
              <w:rPr>
                <w:rFonts w:hint="eastAsia" w:ascii="宋体" w:hAnsi="宋体" w:eastAsia="宋体" w:cs="宋体"/>
                <w:spacing w:val="1"/>
                <w:sz w:val="22"/>
                <w:szCs w:val="22"/>
              </w:rPr>
            </w:pPr>
            <w:r>
              <w:rPr>
                <w:rFonts w:hint="eastAsia" w:ascii="宋体" w:hAnsi="宋体" w:eastAsia="宋体" w:cs="宋体"/>
                <w:spacing w:val="-1"/>
                <w:sz w:val="22"/>
                <w:szCs w:val="22"/>
              </w:rPr>
              <w:t>扼流(直冲)式水涡轮，壳体直径≥240mm</w:t>
            </w:r>
          </w:p>
        </w:tc>
      </w:tr>
      <w:tr w14:paraId="4F64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67" w:type="pct"/>
            <w:vMerge w:val="continue"/>
            <w:noWrap w:val="0"/>
            <w:vAlign w:val="center"/>
          </w:tcPr>
          <w:p w14:paraId="185BC53A">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0D0E37EF">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3992BD39">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511C9B98">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3"/>
                <w:sz w:val="22"/>
                <w:szCs w:val="22"/>
              </w:rPr>
              <w:t>变速齿轮箱</w:t>
            </w:r>
          </w:p>
        </w:tc>
        <w:tc>
          <w:tcPr>
            <w:tcW w:w="2707" w:type="pct"/>
            <w:noWrap w:val="0"/>
            <w:vAlign w:val="center"/>
          </w:tcPr>
          <w:p w14:paraId="1A74DDD8">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left"/>
              <w:textAlignment w:val="baseline"/>
              <w:rPr>
                <w:rFonts w:hint="eastAsia" w:ascii="宋体" w:hAnsi="宋体" w:eastAsia="宋体" w:cs="宋体"/>
                <w:spacing w:val="2"/>
                <w:sz w:val="22"/>
                <w:szCs w:val="22"/>
              </w:rPr>
            </w:pPr>
            <w:r>
              <w:rPr>
                <w:rFonts w:hint="eastAsia" w:ascii="宋体" w:hAnsi="宋体" w:eastAsia="宋体" w:cs="宋体"/>
                <w:spacing w:val="-3"/>
                <w:sz w:val="22"/>
                <w:szCs w:val="22"/>
              </w:rPr>
              <w:t>4档4速；回收速度0</w:t>
            </w:r>
            <w:r>
              <w:rPr>
                <w:rFonts w:hint="eastAsia" w:ascii="宋体" w:hAnsi="宋体" w:eastAsia="宋体" w:cs="宋体"/>
                <w:spacing w:val="-3"/>
                <w:sz w:val="22"/>
                <w:szCs w:val="22"/>
                <w:highlight w:val="none"/>
              </w:rPr>
              <w:t>-80m/h,齿轮最小传动比≤1:1300</w:t>
            </w:r>
          </w:p>
        </w:tc>
      </w:tr>
      <w:tr w14:paraId="5EBD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67" w:type="pct"/>
            <w:vMerge w:val="continue"/>
            <w:noWrap w:val="0"/>
            <w:vAlign w:val="center"/>
          </w:tcPr>
          <w:p w14:paraId="01EC5A42">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7FF18283">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3F97FAB1">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65EBCC2B">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3"/>
                <w:sz w:val="22"/>
                <w:szCs w:val="22"/>
              </w:rPr>
              <w:t>入机工作压力</w:t>
            </w:r>
          </w:p>
        </w:tc>
        <w:tc>
          <w:tcPr>
            <w:tcW w:w="2707" w:type="pct"/>
            <w:noWrap w:val="0"/>
            <w:vAlign w:val="center"/>
          </w:tcPr>
          <w:p w14:paraId="4B000C09">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3"/>
                <w:sz w:val="22"/>
                <w:szCs w:val="22"/>
              </w:rPr>
              <w:t>0.3Mpa水压下正常工作</w:t>
            </w:r>
          </w:p>
        </w:tc>
      </w:tr>
      <w:tr w14:paraId="0BEBA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67" w:type="pct"/>
            <w:vMerge w:val="continue"/>
            <w:noWrap w:val="0"/>
            <w:vAlign w:val="center"/>
          </w:tcPr>
          <w:p w14:paraId="28ABCC37">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3DE7D0F5">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5713A337">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430A2A76">
            <w:pPr>
              <w:pStyle w:val="92"/>
              <w:keepNext w:val="0"/>
              <w:keepLines w:val="0"/>
              <w:pageBreakBefore w:val="0"/>
              <w:widowControl/>
              <w:kinsoku w:val="0"/>
              <w:wordWrap/>
              <w:overflowPunct/>
              <w:topLinePunct w:val="0"/>
              <w:autoSpaceDE w:val="0"/>
              <w:autoSpaceDN w:val="0"/>
              <w:bidi w:val="0"/>
              <w:adjustRightInd w:val="0"/>
              <w:snapToGrid w:val="0"/>
              <w:spacing w:before="127"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4"/>
                <w:sz w:val="22"/>
                <w:szCs w:val="22"/>
              </w:rPr>
              <w:t>喷枪</w:t>
            </w:r>
          </w:p>
        </w:tc>
        <w:tc>
          <w:tcPr>
            <w:tcW w:w="2707" w:type="pct"/>
            <w:noWrap w:val="0"/>
            <w:vAlign w:val="center"/>
          </w:tcPr>
          <w:p w14:paraId="5EBB926C">
            <w:pPr>
              <w:pStyle w:val="92"/>
              <w:keepNext w:val="0"/>
              <w:keepLines w:val="0"/>
              <w:pageBreakBefore w:val="0"/>
              <w:widowControl/>
              <w:kinsoku w:val="0"/>
              <w:wordWrap/>
              <w:overflowPunct/>
              <w:topLinePunct w:val="0"/>
              <w:autoSpaceDE w:val="0"/>
              <w:autoSpaceDN w:val="0"/>
              <w:bidi w:val="0"/>
              <w:adjustRightInd w:val="0"/>
              <w:snapToGrid w:val="0"/>
              <w:spacing w:before="127"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1"/>
                <w:sz w:val="22"/>
                <w:szCs w:val="22"/>
                <w:highlight w:val="none"/>
              </w:rPr>
              <w:t>50型叶轮式喷枪*1支</w:t>
            </w:r>
            <w:r>
              <w:rPr>
                <w:rFonts w:hint="eastAsia" w:ascii="宋体" w:hAnsi="宋体" w:eastAsia="宋体" w:cs="宋体"/>
                <w:b w:val="0"/>
                <w:bCs w:val="0"/>
                <w:color w:val="auto"/>
                <w:sz w:val="22"/>
                <w:szCs w:val="22"/>
                <w:highlight w:val="none"/>
                <w:lang w:val="en-US" w:eastAsia="zh-CN"/>
              </w:rPr>
              <w:t>★</w:t>
            </w:r>
          </w:p>
        </w:tc>
      </w:tr>
      <w:tr w14:paraId="425AF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267" w:type="pct"/>
            <w:vMerge w:val="continue"/>
            <w:noWrap w:val="0"/>
            <w:vAlign w:val="center"/>
          </w:tcPr>
          <w:p w14:paraId="4DB500CC">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70868720">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4AC8FA28">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21361620">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3"/>
                <w:sz w:val="22"/>
                <w:szCs w:val="22"/>
              </w:rPr>
              <w:t>PE管</w:t>
            </w:r>
          </w:p>
        </w:tc>
        <w:tc>
          <w:tcPr>
            <w:tcW w:w="2707" w:type="pct"/>
            <w:noWrap w:val="0"/>
            <w:vAlign w:val="center"/>
          </w:tcPr>
          <w:p w14:paraId="313D73AD">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both"/>
              <w:textAlignment w:val="baseline"/>
              <w:rPr>
                <w:rFonts w:hint="eastAsia" w:ascii="宋体" w:hAnsi="宋体" w:eastAsia="宋体" w:cs="宋体"/>
                <w:spacing w:val="2"/>
                <w:sz w:val="22"/>
                <w:szCs w:val="22"/>
                <w:lang w:eastAsia="zh-CN"/>
              </w:rPr>
            </w:pPr>
            <w:r>
              <w:rPr>
                <w:rFonts w:hint="eastAsia" w:ascii="宋体" w:hAnsi="宋体" w:eastAsia="宋体" w:cs="宋体"/>
                <w:spacing w:val="-3"/>
                <w:sz w:val="22"/>
                <w:szCs w:val="22"/>
              </w:rPr>
              <w:t>承压1.6Mpa,在使用过程中出现拉断、爆裂、磨损严重，厂家负责三包，三包15年</w:t>
            </w:r>
            <w:r>
              <w:rPr>
                <w:rFonts w:hint="eastAsia" w:ascii="宋体" w:hAnsi="宋体" w:eastAsia="宋体" w:cs="宋体"/>
                <w:spacing w:val="-3"/>
                <w:sz w:val="22"/>
                <w:szCs w:val="22"/>
                <w:lang w:eastAsia="zh-CN"/>
              </w:rPr>
              <w:t>；</w:t>
            </w:r>
          </w:p>
        </w:tc>
      </w:tr>
      <w:tr w14:paraId="3708F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267" w:type="pct"/>
            <w:vMerge w:val="continue"/>
            <w:noWrap w:val="0"/>
            <w:vAlign w:val="center"/>
          </w:tcPr>
          <w:p w14:paraId="125F8D1F">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11889401">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04DB6D1B">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578ED60A">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center"/>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3"/>
                <w:sz w:val="22"/>
                <w:szCs w:val="22"/>
                <w:highlight w:val="none"/>
              </w:rPr>
              <w:t>远程手机报警</w:t>
            </w:r>
          </w:p>
        </w:tc>
        <w:tc>
          <w:tcPr>
            <w:tcW w:w="2707" w:type="pct"/>
            <w:noWrap w:val="0"/>
            <w:vAlign w:val="center"/>
          </w:tcPr>
          <w:p w14:paraId="0A9884BA">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both"/>
              <w:textAlignment w:val="baseline"/>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3"/>
                <w:sz w:val="22"/>
                <w:szCs w:val="22"/>
                <w:highlight w:val="none"/>
              </w:rPr>
              <w:t>喷头车接近主机，向操作者手机拨打电话和发送微信进行报警提醒；操作者可通过手机实时监测喷灌机的回收速度</w:t>
            </w:r>
            <w:r>
              <w:rPr>
                <w:rFonts w:hint="eastAsia" w:ascii="宋体" w:hAnsi="宋体" w:eastAsia="宋体" w:cs="宋体"/>
                <w:color w:val="auto"/>
                <w:spacing w:val="-3"/>
                <w:sz w:val="22"/>
                <w:szCs w:val="22"/>
                <w:highlight w:val="none"/>
                <w:lang w:eastAsia="zh-CN"/>
              </w:rPr>
              <w:t>；</w:t>
            </w:r>
          </w:p>
        </w:tc>
      </w:tr>
      <w:tr w14:paraId="2451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7" w:type="pct"/>
            <w:vMerge w:val="continue"/>
            <w:noWrap w:val="0"/>
            <w:vAlign w:val="center"/>
          </w:tcPr>
          <w:p w14:paraId="007C041F">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266" w:type="pct"/>
            <w:vMerge w:val="continue"/>
            <w:noWrap w:val="0"/>
            <w:vAlign w:val="center"/>
          </w:tcPr>
          <w:p w14:paraId="6D91E28B">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tc>
        <w:tc>
          <w:tcPr>
            <w:tcW w:w="699" w:type="pct"/>
            <w:vMerge w:val="continue"/>
            <w:noWrap w:val="0"/>
            <w:vAlign w:val="center"/>
          </w:tcPr>
          <w:p w14:paraId="1918310F">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1"/>
                <w:sz w:val="22"/>
                <w:szCs w:val="22"/>
              </w:rPr>
            </w:pPr>
          </w:p>
        </w:tc>
        <w:tc>
          <w:tcPr>
            <w:tcW w:w="1058" w:type="pct"/>
            <w:noWrap w:val="0"/>
            <w:vAlign w:val="top"/>
          </w:tcPr>
          <w:p w14:paraId="77EEB96A">
            <w:pPr>
              <w:pStyle w:val="92"/>
              <w:keepNext w:val="0"/>
              <w:keepLines w:val="0"/>
              <w:pageBreakBefore w:val="0"/>
              <w:widowControl/>
              <w:kinsoku w:val="0"/>
              <w:wordWrap/>
              <w:overflowPunct/>
              <w:topLinePunct w:val="0"/>
              <w:autoSpaceDE w:val="0"/>
              <w:autoSpaceDN w:val="0"/>
              <w:bidi w:val="0"/>
              <w:adjustRightInd w:val="0"/>
              <w:snapToGrid w:val="0"/>
              <w:spacing w:before="113" w:line="240" w:lineRule="exact"/>
              <w:jc w:val="center"/>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4"/>
                <w:sz w:val="22"/>
                <w:szCs w:val="22"/>
                <w:highlight w:val="none"/>
              </w:rPr>
              <w:t>喷头车升降系统</w:t>
            </w:r>
          </w:p>
        </w:tc>
        <w:tc>
          <w:tcPr>
            <w:tcW w:w="2707" w:type="pct"/>
            <w:noWrap w:val="0"/>
            <w:vAlign w:val="center"/>
          </w:tcPr>
          <w:p w14:paraId="68F39346">
            <w:pPr>
              <w:pStyle w:val="92"/>
              <w:keepNext w:val="0"/>
              <w:keepLines w:val="0"/>
              <w:pageBreakBefore w:val="0"/>
              <w:widowControl/>
              <w:kinsoku w:val="0"/>
              <w:wordWrap/>
              <w:overflowPunct/>
              <w:topLinePunct w:val="0"/>
              <w:autoSpaceDE w:val="0"/>
              <w:autoSpaceDN w:val="0"/>
              <w:bidi w:val="0"/>
              <w:adjustRightInd w:val="0"/>
              <w:snapToGrid w:val="0"/>
              <w:spacing w:before="113" w:line="240" w:lineRule="exact"/>
              <w:jc w:val="both"/>
              <w:textAlignment w:val="baseline"/>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4"/>
                <w:sz w:val="22"/>
                <w:szCs w:val="22"/>
                <w:highlight w:val="none"/>
              </w:rPr>
              <w:t>采用手动液压泵系统控制喷头车升降及侧支腿伸缩；操作中省时省力，方便快捷</w:t>
            </w:r>
            <w:r>
              <w:rPr>
                <w:rFonts w:hint="eastAsia" w:ascii="宋体" w:hAnsi="宋体" w:eastAsia="宋体" w:cs="宋体"/>
                <w:color w:val="auto"/>
                <w:spacing w:val="4"/>
                <w:sz w:val="22"/>
                <w:szCs w:val="22"/>
                <w:highlight w:val="none"/>
                <w:lang w:eastAsia="zh-CN"/>
              </w:rPr>
              <w:t>；</w:t>
            </w:r>
          </w:p>
        </w:tc>
      </w:tr>
      <w:tr w14:paraId="48D4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267" w:type="pct"/>
            <w:vMerge w:val="continue"/>
            <w:noWrap w:val="0"/>
            <w:vAlign w:val="center"/>
          </w:tcPr>
          <w:p w14:paraId="435A9161">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6785DDD1">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07067F36">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1058" w:type="pct"/>
            <w:noWrap w:val="0"/>
            <w:vAlign w:val="top"/>
          </w:tcPr>
          <w:p w14:paraId="7218AC22">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3"/>
                <w:sz w:val="22"/>
                <w:szCs w:val="22"/>
              </w:rPr>
              <w:t>传动方式</w:t>
            </w:r>
          </w:p>
        </w:tc>
        <w:tc>
          <w:tcPr>
            <w:tcW w:w="2707" w:type="pct"/>
            <w:noWrap w:val="0"/>
            <w:vAlign w:val="center"/>
          </w:tcPr>
          <w:p w14:paraId="54FCBA0B">
            <w:pPr>
              <w:pStyle w:val="92"/>
              <w:keepNext w:val="0"/>
              <w:keepLines w:val="0"/>
              <w:pageBreakBefore w:val="0"/>
              <w:widowControl/>
              <w:kinsoku w:val="0"/>
              <w:wordWrap/>
              <w:overflowPunct/>
              <w:topLinePunct w:val="0"/>
              <w:autoSpaceDE w:val="0"/>
              <w:autoSpaceDN w:val="0"/>
              <w:bidi w:val="0"/>
              <w:adjustRightInd w:val="0"/>
              <w:snapToGrid w:val="0"/>
              <w:spacing w:before="124" w:line="240" w:lineRule="exact"/>
              <w:jc w:val="both"/>
              <w:textAlignment w:val="baseline"/>
              <w:rPr>
                <w:rFonts w:hint="eastAsia" w:ascii="宋体" w:hAnsi="宋体" w:eastAsia="宋体" w:cs="宋体"/>
                <w:spacing w:val="2"/>
                <w:sz w:val="22"/>
                <w:szCs w:val="22"/>
              </w:rPr>
            </w:pPr>
            <w:r>
              <w:rPr>
                <w:rFonts w:hint="eastAsia" w:ascii="宋体" w:hAnsi="宋体" w:eastAsia="宋体" w:cs="宋体"/>
                <w:spacing w:val="-3"/>
                <w:sz w:val="22"/>
                <w:szCs w:val="22"/>
              </w:rPr>
              <w:t>变速齿轮箱向绞盘传送动力方式为齿轮与齿圈方式转动，相比链条传动方式，齿轮传动性能稳定可靠</w:t>
            </w:r>
            <w:r>
              <w:rPr>
                <w:rFonts w:hint="eastAsia" w:ascii="宋体" w:hAnsi="宋体" w:eastAsia="宋体" w:cs="宋体"/>
                <w:spacing w:val="-3"/>
                <w:sz w:val="22"/>
                <w:szCs w:val="22"/>
                <w:lang w:eastAsia="zh-CN"/>
              </w:rPr>
              <w:t>。</w:t>
            </w:r>
          </w:p>
        </w:tc>
      </w:tr>
      <w:tr w14:paraId="7B12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67" w:type="pct"/>
            <w:vMerge w:val="restart"/>
            <w:noWrap w:val="0"/>
            <w:vAlign w:val="center"/>
          </w:tcPr>
          <w:p w14:paraId="5CC31CAE">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lang w:val="en-US" w:eastAsia="zh-CN"/>
              </w:rPr>
            </w:pPr>
          </w:p>
          <w:p w14:paraId="247E2DFB">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lang w:val="en-US" w:eastAsia="zh-CN"/>
              </w:rPr>
            </w:pPr>
          </w:p>
          <w:p w14:paraId="562210D2">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lang w:val="en-US" w:eastAsia="zh-CN"/>
              </w:rPr>
            </w:pPr>
          </w:p>
          <w:p w14:paraId="1987DBF6">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lang w:val="en-US" w:eastAsia="zh-CN"/>
              </w:rPr>
            </w:pPr>
          </w:p>
          <w:p w14:paraId="33C0CEAB">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lang w:val="en-US" w:eastAsia="zh-CN"/>
              </w:rPr>
            </w:pPr>
          </w:p>
          <w:p w14:paraId="53A464AD">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ind w:firstLine="226" w:firstLineChars="100"/>
              <w:jc w:val="both"/>
              <w:textAlignment w:val="baseline"/>
              <w:rPr>
                <w:rFonts w:hint="eastAsia" w:ascii="宋体" w:hAnsi="宋体" w:eastAsia="宋体" w:cs="宋体"/>
                <w:spacing w:val="-2"/>
                <w:sz w:val="22"/>
                <w:szCs w:val="22"/>
                <w:lang w:val="en-US" w:eastAsia="zh-CN"/>
              </w:rPr>
            </w:pPr>
          </w:p>
          <w:p w14:paraId="25690CFD">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ind w:firstLine="226" w:firstLineChars="100"/>
              <w:jc w:val="both"/>
              <w:textAlignment w:val="baseline"/>
              <w:rPr>
                <w:rFonts w:hint="eastAsia" w:ascii="宋体" w:hAnsi="宋体" w:eastAsia="宋体" w:cs="宋体"/>
                <w:spacing w:val="-2"/>
                <w:sz w:val="22"/>
                <w:szCs w:val="22"/>
                <w:lang w:val="en-US" w:eastAsia="zh-CN"/>
              </w:rPr>
            </w:pPr>
          </w:p>
          <w:p w14:paraId="174826D5">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ind w:firstLine="226" w:firstLineChars="100"/>
              <w:jc w:val="both"/>
              <w:textAlignment w:val="baseline"/>
              <w:rPr>
                <w:rFonts w:hint="eastAsia" w:ascii="宋体" w:hAnsi="宋体" w:eastAsia="宋体" w:cs="宋体"/>
                <w:spacing w:val="-2"/>
                <w:sz w:val="22"/>
                <w:szCs w:val="22"/>
                <w:lang w:val="en-US" w:eastAsia="zh-CN"/>
              </w:rPr>
            </w:pPr>
          </w:p>
          <w:p w14:paraId="67CFA696">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lang w:val="en-US" w:eastAsia="zh-CN"/>
              </w:rPr>
            </w:pPr>
            <w:r>
              <w:rPr>
                <w:rFonts w:hint="eastAsia" w:ascii="宋体" w:hAnsi="宋体" w:eastAsia="宋体" w:cs="宋体"/>
                <w:b/>
                <w:bCs/>
                <w:spacing w:val="-2"/>
                <w:sz w:val="22"/>
                <w:szCs w:val="22"/>
                <w:lang w:val="en-US" w:eastAsia="zh-CN"/>
              </w:rPr>
              <w:t>2</w:t>
            </w:r>
          </w:p>
        </w:tc>
        <w:tc>
          <w:tcPr>
            <w:tcW w:w="266" w:type="pct"/>
            <w:vMerge w:val="restart"/>
            <w:noWrap w:val="0"/>
            <w:vAlign w:val="center"/>
          </w:tcPr>
          <w:p w14:paraId="326BE6F1">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p w14:paraId="7D306E2F">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p w14:paraId="2BD0EFA7">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p w14:paraId="3224E4A3">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1"/>
                <w:sz w:val="22"/>
                <w:szCs w:val="22"/>
              </w:rPr>
            </w:pPr>
          </w:p>
          <w:p w14:paraId="24A69288">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ind w:firstLine="232" w:firstLineChars="100"/>
              <w:jc w:val="both"/>
              <w:textAlignment w:val="baseline"/>
              <w:rPr>
                <w:rFonts w:hint="eastAsia" w:ascii="宋体" w:hAnsi="宋体" w:eastAsia="宋体" w:cs="宋体"/>
                <w:spacing w:val="1"/>
                <w:sz w:val="22"/>
                <w:szCs w:val="22"/>
              </w:rPr>
            </w:pPr>
          </w:p>
          <w:p w14:paraId="76DF65A9">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ind w:firstLine="232" w:firstLineChars="100"/>
              <w:jc w:val="both"/>
              <w:textAlignment w:val="baseline"/>
              <w:rPr>
                <w:rFonts w:hint="eastAsia" w:ascii="宋体" w:hAnsi="宋体" w:eastAsia="宋体" w:cs="宋体"/>
                <w:spacing w:val="1"/>
                <w:sz w:val="22"/>
                <w:szCs w:val="22"/>
              </w:rPr>
            </w:pPr>
          </w:p>
          <w:p w14:paraId="5BF6D2C4">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ind w:firstLine="232" w:firstLineChars="100"/>
              <w:jc w:val="both"/>
              <w:textAlignment w:val="baseline"/>
              <w:rPr>
                <w:rFonts w:hint="eastAsia" w:ascii="宋体" w:hAnsi="宋体" w:eastAsia="宋体" w:cs="宋体"/>
                <w:spacing w:val="1"/>
                <w:sz w:val="22"/>
                <w:szCs w:val="22"/>
              </w:rPr>
            </w:pPr>
          </w:p>
          <w:p w14:paraId="2220DD46">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b w:val="0"/>
                <w:bCs w:val="0"/>
                <w:spacing w:val="1"/>
                <w:sz w:val="22"/>
                <w:szCs w:val="22"/>
              </w:rPr>
            </w:pPr>
            <w:r>
              <w:rPr>
                <w:rFonts w:hint="eastAsia" w:ascii="宋体" w:hAnsi="宋体" w:eastAsia="宋体" w:cs="宋体"/>
                <w:b w:val="0"/>
                <w:bCs w:val="0"/>
                <w:spacing w:val="1"/>
                <w:sz w:val="22"/>
                <w:szCs w:val="22"/>
              </w:rPr>
              <w:t>绞盘式</w:t>
            </w:r>
          </w:p>
          <w:p w14:paraId="3559E5BC">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r>
              <w:rPr>
                <w:rFonts w:hint="eastAsia" w:ascii="宋体" w:hAnsi="宋体" w:eastAsia="宋体" w:cs="宋体"/>
                <w:b w:val="0"/>
                <w:bCs w:val="0"/>
                <w:spacing w:val="1"/>
                <w:sz w:val="22"/>
                <w:szCs w:val="22"/>
              </w:rPr>
              <w:t>喷灌机</w:t>
            </w:r>
          </w:p>
        </w:tc>
        <w:tc>
          <w:tcPr>
            <w:tcW w:w="699" w:type="pct"/>
            <w:vMerge w:val="restart"/>
            <w:noWrap w:val="0"/>
            <w:vAlign w:val="center"/>
          </w:tcPr>
          <w:p w14:paraId="3BC1F209">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r>
              <w:rPr>
                <w:rFonts w:hint="eastAsia" w:ascii="宋体" w:hAnsi="宋体" w:eastAsia="宋体" w:cs="宋体"/>
                <w:b w:val="0"/>
                <w:bCs w:val="0"/>
                <w:spacing w:val="1"/>
                <w:sz w:val="22"/>
                <w:szCs w:val="22"/>
                <w:highlight w:val="none"/>
                <w:lang w:val="en-US" w:eastAsia="zh-CN"/>
              </w:rPr>
              <w:t>JP</w:t>
            </w:r>
            <w:r>
              <w:rPr>
                <w:rFonts w:hint="eastAsia" w:ascii="宋体" w:hAnsi="宋体" w:eastAsia="宋体" w:cs="宋体"/>
                <w:b w:val="0"/>
                <w:bCs w:val="0"/>
                <w:spacing w:val="1"/>
                <w:sz w:val="22"/>
                <w:szCs w:val="22"/>
                <w:highlight w:val="none"/>
              </w:rPr>
              <w:t>90-330</w:t>
            </w:r>
          </w:p>
        </w:tc>
        <w:tc>
          <w:tcPr>
            <w:tcW w:w="1058" w:type="pct"/>
            <w:noWrap w:val="0"/>
            <w:vAlign w:val="center"/>
          </w:tcPr>
          <w:p w14:paraId="32F24E41">
            <w:pPr>
              <w:pStyle w:val="92"/>
              <w:keepNext w:val="0"/>
              <w:keepLines w:val="0"/>
              <w:pageBreakBefore w:val="0"/>
              <w:widowControl/>
              <w:kinsoku w:val="0"/>
              <w:wordWrap/>
              <w:overflowPunct/>
              <w:topLinePunct w:val="0"/>
              <w:autoSpaceDE w:val="0"/>
              <w:autoSpaceDN w:val="0"/>
              <w:bidi w:val="0"/>
              <w:adjustRightInd w:val="0"/>
              <w:snapToGrid w:val="0"/>
              <w:spacing w:before="109"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1"/>
                <w:sz w:val="22"/>
                <w:szCs w:val="22"/>
              </w:rPr>
              <w:t>PE管管径</w:t>
            </w:r>
          </w:p>
        </w:tc>
        <w:tc>
          <w:tcPr>
            <w:tcW w:w="2707" w:type="pct"/>
            <w:noWrap w:val="0"/>
            <w:vAlign w:val="center"/>
          </w:tcPr>
          <w:p w14:paraId="3A3028B0">
            <w:pPr>
              <w:pStyle w:val="92"/>
              <w:keepNext w:val="0"/>
              <w:keepLines w:val="0"/>
              <w:pageBreakBefore w:val="0"/>
              <w:widowControl/>
              <w:kinsoku w:val="0"/>
              <w:wordWrap/>
              <w:overflowPunct/>
              <w:topLinePunct w:val="0"/>
              <w:autoSpaceDE w:val="0"/>
              <w:autoSpaceDN w:val="0"/>
              <w:bidi w:val="0"/>
              <w:adjustRightInd w:val="0"/>
              <w:snapToGrid w:val="0"/>
              <w:spacing w:before="132" w:line="240" w:lineRule="exact"/>
              <w:jc w:val="center"/>
              <w:textAlignment w:val="baseline"/>
              <w:rPr>
                <w:rFonts w:hint="eastAsia" w:ascii="宋体" w:hAnsi="宋体" w:eastAsia="宋体" w:cs="宋体"/>
                <w:spacing w:val="2"/>
                <w:sz w:val="22"/>
                <w:szCs w:val="22"/>
                <w:highlight w:val="none"/>
              </w:rPr>
            </w:pPr>
            <w:r>
              <w:rPr>
                <w:rFonts w:hint="eastAsia"/>
                <w:kern w:val="0"/>
              </w:rPr>
              <w:t>内径≥</w:t>
            </w:r>
            <w:r>
              <w:rPr>
                <w:rFonts w:hint="eastAsia"/>
                <w:kern w:val="0"/>
                <w:lang w:eastAsia="zh-CN"/>
              </w:rPr>
              <w:t>90</w:t>
            </w:r>
            <w:r>
              <w:rPr>
                <w:rFonts w:hint="eastAsia"/>
                <w:kern w:val="0"/>
              </w:rPr>
              <w:t>mm,壁厚</w:t>
            </w:r>
            <w:r>
              <w:rPr>
                <w:rFonts w:hint="eastAsia"/>
                <w:kern w:val="0"/>
                <w:highlight w:val="none"/>
              </w:rPr>
              <w:t>≥</w:t>
            </w:r>
            <w:r>
              <w:rPr>
                <w:rFonts w:hint="eastAsia"/>
                <w:kern w:val="0"/>
                <w:lang w:val="en-US" w:eastAsia="zh-CN"/>
              </w:rPr>
              <w:t>8.0</w:t>
            </w:r>
            <w:r>
              <w:rPr>
                <w:rFonts w:hint="eastAsia"/>
                <w:kern w:val="0"/>
              </w:rPr>
              <w:t>mm</w:t>
            </w:r>
            <w:r>
              <w:rPr>
                <w:rFonts w:hint="eastAsia" w:ascii="宋体" w:hAnsi="宋体" w:eastAsia="宋体" w:cs="宋体"/>
                <w:b w:val="0"/>
                <w:bCs w:val="0"/>
                <w:color w:val="auto"/>
                <w:sz w:val="22"/>
                <w:szCs w:val="22"/>
                <w:highlight w:val="none"/>
                <w:lang w:val="en-US" w:eastAsia="zh-CN"/>
              </w:rPr>
              <w:t>★</w:t>
            </w:r>
          </w:p>
        </w:tc>
      </w:tr>
      <w:tr w14:paraId="5A39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67" w:type="pct"/>
            <w:vMerge w:val="continue"/>
            <w:noWrap w:val="0"/>
            <w:vAlign w:val="center"/>
          </w:tcPr>
          <w:p w14:paraId="69B883EA">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14AF3BC2">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1E752001">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4BFE74B5">
            <w:pPr>
              <w:pStyle w:val="92"/>
              <w:keepNext w:val="0"/>
              <w:keepLines w:val="0"/>
              <w:pageBreakBefore w:val="0"/>
              <w:widowControl/>
              <w:kinsoku w:val="0"/>
              <w:wordWrap/>
              <w:overflowPunct/>
              <w:topLinePunct w:val="0"/>
              <w:autoSpaceDE w:val="0"/>
              <w:autoSpaceDN w:val="0"/>
              <w:bidi w:val="0"/>
              <w:adjustRightInd w:val="0"/>
              <w:snapToGrid w:val="0"/>
              <w:spacing w:before="120"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1"/>
                <w:sz w:val="22"/>
                <w:szCs w:val="22"/>
              </w:rPr>
              <w:t>PE管长度</w:t>
            </w:r>
          </w:p>
        </w:tc>
        <w:tc>
          <w:tcPr>
            <w:tcW w:w="2707" w:type="pct"/>
            <w:noWrap w:val="0"/>
            <w:vAlign w:val="center"/>
          </w:tcPr>
          <w:p w14:paraId="675D9715">
            <w:pPr>
              <w:pStyle w:val="92"/>
              <w:keepNext w:val="0"/>
              <w:keepLines w:val="0"/>
              <w:pageBreakBefore w:val="0"/>
              <w:widowControl/>
              <w:kinsoku w:val="0"/>
              <w:wordWrap/>
              <w:overflowPunct/>
              <w:topLinePunct w:val="0"/>
              <w:autoSpaceDE w:val="0"/>
              <w:autoSpaceDN w:val="0"/>
              <w:bidi w:val="0"/>
              <w:adjustRightInd w:val="0"/>
              <w:snapToGrid w:val="0"/>
              <w:spacing w:before="143" w:line="240" w:lineRule="exact"/>
              <w:jc w:val="center"/>
              <w:textAlignment w:val="baseline"/>
              <w:rPr>
                <w:rFonts w:hint="eastAsia" w:ascii="宋体" w:hAnsi="宋体" w:eastAsia="宋体" w:cs="宋体"/>
                <w:spacing w:val="2"/>
                <w:sz w:val="22"/>
                <w:szCs w:val="22"/>
                <w:highlight w:val="none"/>
              </w:rPr>
            </w:pPr>
            <w:r>
              <w:rPr>
                <w:rFonts w:hint="eastAsia" w:ascii="宋体" w:hAnsi="宋体" w:eastAsia="宋体" w:cs="宋体"/>
                <w:spacing w:val="-6"/>
                <w:sz w:val="22"/>
                <w:szCs w:val="22"/>
                <w:highlight w:val="none"/>
              </w:rPr>
              <w:t>≥300m</w:t>
            </w:r>
            <w:r>
              <w:rPr>
                <w:rFonts w:hint="eastAsia" w:ascii="宋体" w:hAnsi="宋体" w:eastAsia="宋体" w:cs="宋体"/>
                <w:b w:val="0"/>
                <w:bCs w:val="0"/>
                <w:color w:val="auto"/>
                <w:sz w:val="22"/>
                <w:szCs w:val="22"/>
                <w:highlight w:val="none"/>
                <w:lang w:val="en-US" w:eastAsia="zh-CN"/>
              </w:rPr>
              <w:t>★</w:t>
            </w:r>
          </w:p>
        </w:tc>
      </w:tr>
      <w:tr w14:paraId="12A1E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67" w:type="pct"/>
            <w:vMerge w:val="continue"/>
            <w:noWrap w:val="0"/>
            <w:vAlign w:val="center"/>
          </w:tcPr>
          <w:p w14:paraId="14DC6F32">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704F21AE">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4AFDDB01">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72ACD3EF">
            <w:pPr>
              <w:pStyle w:val="92"/>
              <w:keepNext w:val="0"/>
              <w:keepLines w:val="0"/>
              <w:pageBreakBefore w:val="0"/>
              <w:widowControl/>
              <w:kinsoku w:val="0"/>
              <w:wordWrap/>
              <w:overflowPunct/>
              <w:topLinePunct w:val="0"/>
              <w:autoSpaceDE w:val="0"/>
              <w:autoSpaceDN w:val="0"/>
              <w:bidi w:val="0"/>
              <w:adjustRightInd w:val="0"/>
              <w:snapToGrid w:val="0"/>
              <w:spacing w:before="109"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4"/>
                <w:sz w:val="22"/>
                <w:szCs w:val="22"/>
              </w:rPr>
              <w:t>入机压力</w:t>
            </w:r>
          </w:p>
        </w:tc>
        <w:tc>
          <w:tcPr>
            <w:tcW w:w="2707" w:type="pct"/>
            <w:noWrap w:val="0"/>
            <w:vAlign w:val="center"/>
          </w:tcPr>
          <w:p w14:paraId="77FE1915">
            <w:pPr>
              <w:pStyle w:val="92"/>
              <w:keepNext w:val="0"/>
              <w:keepLines w:val="0"/>
              <w:pageBreakBefore w:val="0"/>
              <w:widowControl/>
              <w:kinsoku w:val="0"/>
              <w:wordWrap/>
              <w:overflowPunct/>
              <w:topLinePunct w:val="0"/>
              <w:autoSpaceDE w:val="0"/>
              <w:autoSpaceDN w:val="0"/>
              <w:bidi w:val="0"/>
              <w:adjustRightInd w:val="0"/>
              <w:snapToGrid w:val="0"/>
              <w:spacing w:before="104" w:line="240" w:lineRule="exact"/>
              <w:jc w:val="center"/>
              <w:textAlignment w:val="baseline"/>
              <w:rPr>
                <w:rFonts w:hint="eastAsia" w:ascii="宋体" w:hAnsi="宋体" w:eastAsia="宋体" w:cs="宋体"/>
                <w:spacing w:val="2"/>
                <w:sz w:val="22"/>
                <w:szCs w:val="22"/>
                <w:highlight w:val="none"/>
              </w:rPr>
            </w:pPr>
            <w:r>
              <w:rPr>
                <w:rFonts w:hint="eastAsia" w:ascii="宋体" w:hAnsi="宋体" w:eastAsia="宋体" w:cs="宋体"/>
                <w:spacing w:val="-5"/>
                <w:sz w:val="22"/>
                <w:szCs w:val="22"/>
                <w:highlight w:val="none"/>
              </w:rPr>
              <w:t>≥0.5Mpa</w:t>
            </w:r>
            <w:r>
              <w:rPr>
                <w:rFonts w:hint="eastAsia" w:ascii="宋体" w:hAnsi="宋体" w:eastAsia="宋体" w:cs="宋体"/>
                <w:b w:val="0"/>
                <w:bCs w:val="0"/>
                <w:color w:val="auto"/>
                <w:sz w:val="22"/>
                <w:szCs w:val="22"/>
                <w:highlight w:val="none"/>
                <w:lang w:val="en-US" w:eastAsia="zh-CN"/>
              </w:rPr>
              <w:t>★</w:t>
            </w:r>
          </w:p>
        </w:tc>
      </w:tr>
      <w:tr w14:paraId="0C1B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67" w:type="pct"/>
            <w:vMerge w:val="continue"/>
            <w:noWrap w:val="0"/>
            <w:vAlign w:val="center"/>
          </w:tcPr>
          <w:p w14:paraId="341CBAE1">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66D3063C">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710B4F16">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1A845F38">
            <w:pPr>
              <w:pStyle w:val="92"/>
              <w:keepNext w:val="0"/>
              <w:keepLines w:val="0"/>
              <w:pageBreakBefore w:val="0"/>
              <w:widowControl/>
              <w:kinsoku w:val="0"/>
              <w:wordWrap/>
              <w:overflowPunct/>
              <w:topLinePunct w:val="0"/>
              <w:autoSpaceDE w:val="0"/>
              <w:autoSpaceDN w:val="0"/>
              <w:bidi w:val="0"/>
              <w:adjustRightInd w:val="0"/>
              <w:snapToGrid w:val="0"/>
              <w:spacing w:before="110"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2"/>
                <w:sz w:val="22"/>
                <w:szCs w:val="22"/>
              </w:rPr>
              <w:t>出水量</w:t>
            </w:r>
          </w:p>
        </w:tc>
        <w:tc>
          <w:tcPr>
            <w:tcW w:w="2707" w:type="pct"/>
            <w:noWrap w:val="0"/>
            <w:vAlign w:val="center"/>
          </w:tcPr>
          <w:p w14:paraId="1DFDEF59">
            <w:pPr>
              <w:pStyle w:val="92"/>
              <w:keepNext w:val="0"/>
              <w:keepLines w:val="0"/>
              <w:pageBreakBefore w:val="0"/>
              <w:widowControl/>
              <w:kinsoku w:val="0"/>
              <w:wordWrap/>
              <w:overflowPunct/>
              <w:topLinePunct w:val="0"/>
              <w:autoSpaceDE w:val="0"/>
              <w:autoSpaceDN w:val="0"/>
              <w:bidi w:val="0"/>
              <w:adjustRightInd w:val="0"/>
              <w:snapToGrid w:val="0"/>
              <w:spacing w:before="117" w:line="240" w:lineRule="exact"/>
              <w:jc w:val="center"/>
              <w:textAlignment w:val="baseline"/>
              <w:rPr>
                <w:rFonts w:hint="eastAsia" w:ascii="宋体" w:hAnsi="宋体" w:eastAsia="宋体" w:cs="宋体"/>
                <w:spacing w:val="2"/>
                <w:sz w:val="22"/>
                <w:szCs w:val="22"/>
                <w:highlight w:val="none"/>
              </w:rPr>
            </w:pPr>
            <w:r>
              <w:rPr>
                <w:rFonts w:hint="eastAsia" w:ascii="宋体" w:hAnsi="宋体" w:eastAsia="宋体" w:cs="宋体"/>
                <w:spacing w:val="-4"/>
                <w:sz w:val="22"/>
                <w:szCs w:val="22"/>
                <w:highlight w:val="none"/>
              </w:rPr>
              <w:t>≤45m³/h</w:t>
            </w:r>
            <w:r>
              <w:rPr>
                <w:rFonts w:hint="eastAsia" w:ascii="宋体" w:hAnsi="宋体" w:eastAsia="宋体" w:cs="宋体"/>
                <w:b w:val="0"/>
                <w:bCs w:val="0"/>
                <w:color w:val="auto"/>
                <w:sz w:val="22"/>
                <w:szCs w:val="22"/>
                <w:highlight w:val="none"/>
                <w:lang w:val="en-US" w:eastAsia="zh-CN"/>
              </w:rPr>
              <w:t>★</w:t>
            </w:r>
          </w:p>
        </w:tc>
      </w:tr>
      <w:tr w14:paraId="3092D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67" w:type="pct"/>
            <w:vMerge w:val="continue"/>
            <w:noWrap w:val="0"/>
            <w:vAlign w:val="center"/>
          </w:tcPr>
          <w:p w14:paraId="497CD1C6">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2B0648BD">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4B46BAE2">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43C01A91">
            <w:pPr>
              <w:pStyle w:val="92"/>
              <w:keepNext w:val="0"/>
              <w:keepLines w:val="0"/>
              <w:pageBreakBefore w:val="0"/>
              <w:widowControl/>
              <w:kinsoku w:val="0"/>
              <w:wordWrap/>
              <w:overflowPunct/>
              <w:topLinePunct w:val="0"/>
              <w:autoSpaceDE w:val="0"/>
              <w:autoSpaceDN w:val="0"/>
              <w:bidi w:val="0"/>
              <w:adjustRightInd w:val="0"/>
              <w:snapToGrid w:val="0"/>
              <w:spacing w:before="111"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2"/>
                <w:sz w:val="22"/>
                <w:szCs w:val="22"/>
              </w:rPr>
              <w:t>驱动方式</w:t>
            </w:r>
          </w:p>
        </w:tc>
        <w:tc>
          <w:tcPr>
            <w:tcW w:w="2707" w:type="pct"/>
            <w:noWrap w:val="0"/>
            <w:vAlign w:val="center"/>
          </w:tcPr>
          <w:p w14:paraId="5805D811">
            <w:pPr>
              <w:pStyle w:val="92"/>
              <w:keepNext w:val="0"/>
              <w:keepLines w:val="0"/>
              <w:pageBreakBefore w:val="0"/>
              <w:widowControl/>
              <w:kinsoku w:val="0"/>
              <w:wordWrap/>
              <w:overflowPunct/>
              <w:topLinePunct w:val="0"/>
              <w:autoSpaceDE w:val="0"/>
              <w:autoSpaceDN w:val="0"/>
              <w:bidi w:val="0"/>
              <w:adjustRightInd w:val="0"/>
              <w:snapToGrid w:val="0"/>
              <w:spacing w:before="110" w:line="240" w:lineRule="exact"/>
              <w:jc w:val="both"/>
              <w:textAlignment w:val="baseline"/>
              <w:rPr>
                <w:rFonts w:hint="eastAsia" w:ascii="宋体" w:hAnsi="宋体" w:eastAsia="宋体" w:cs="宋体"/>
                <w:spacing w:val="1"/>
                <w:sz w:val="22"/>
                <w:szCs w:val="22"/>
              </w:rPr>
            </w:pPr>
            <w:r>
              <w:rPr>
                <w:rFonts w:hint="eastAsia" w:ascii="宋体" w:hAnsi="宋体" w:eastAsia="宋体" w:cs="宋体"/>
                <w:spacing w:val="-1"/>
                <w:sz w:val="22"/>
                <w:szCs w:val="22"/>
              </w:rPr>
              <w:t>扼流(直冲)式水涡轮，壳体直径≥240mm</w:t>
            </w:r>
          </w:p>
        </w:tc>
      </w:tr>
      <w:tr w14:paraId="2CF8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67" w:type="pct"/>
            <w:vMerge w:val="continue"/>
            <w:noWrap w:val="0"/>
            <w:vAlign w:val="center"/>
          </w:tcPr>
          <w:p w14:paraId="30AFF0E8">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73939989">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6EC0F55A">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6B25A8A9">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3"/>
                <w:sz w:val="22"/>
                <w:szCs w:val="22"/>
                <w:highlight w:val="none"/>
              </w:rPr>
            </w:pPr>
            <w:r>
              <w:rPr>
                <w:rFonts w:hint="eastAsia" w:ascii="宋体" w:hAnsi="宋体" w:eastAsia="宋体" w:cs="宋体"/>
                <w:spacing w:val="2"/>
                <w:sz w:val="22"/>
                <w:szCs w:val="22"/>
                <w:highlight w:val="none"/>
              </w:rPr>
              <w:t>变速齿轮箱</w:t>
            </w:r>
          </w:p>
        </w:tc>
        <w:tc>
          <w:tcPr>
            <w:tcW w:w="2707" w:type="pct"/>
            <w:noWrap w:val="0"/>
            <w:vAlign w:val="center"/>
          </w:tcPr>
          <w:p w14:paraId="30769984">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left"/>
              <w:textAlignment w:val="baseline"/>
              <w:rPr>
                <w:rFonts w:hint="eastAsia" w:ascii="宋体" w:hAnsi="宋体" w:eastAsia="宋体" w:cs="宋体"/>
                <w:spacing w:val="-3"/>
                <w:sz w:val="22"/>
                <w:szCs w:val="22"/>
                <w:highlight w:val="none"/>
              </w:rPr>
            </w:pPr>
            <w:r>
              <w:rPr>
                <w:rFonts w:hint="eastAsia" w:cs="宋体"/>
                <w:spacing w:val="2"/>
                <w:sz w:val="22"/>
                <w:szCs w:val="22"/>
                <w:highlight w:val="none"/>
                <w:lang w:val="en-US" w:eastAsia="zh-CN"/>
              </w:rPr>
              <w:t>4</w:t>
            </w:r>
            <w:r>
              <w:rPr>
                <w:rFonts w:hint="eastAsia" w:ascii="宋体" w:hAnsi="宋体" w:eastAsia="宋体" w:cs="宋体"/>
                <w:spacing w:val="2"/>
                <w:sz w:val="22"/>
                <w:szCs w:val="22"/>
                <w:highlight w:val="none"/>
              </w:rPr>
              <w:t>档</w:t>
            </w:r>
            <w:r>
              <w:rPr>
                <w:rFonts w:hint="eastAsia" w:cs="宋体"/>
                <w:spacing w:val="2"/>
                <w:sz w:val="22"/>
                <w:szCs w:val="22"/>
                <w:highlight w:val="none"/>
                <w:lang w:val="en-US" w:eastAsia="zh-CN"/>
              </w:rPr>
              <w:t>4</w:t>
            </w:r>
            <w:r>
              <w:rPr>
                <w:rFonts w:hint="eastAsia" w:ascii="宋体" w:hAnsi="宋体" w:eastAsia="宋体" w:cs="宋体"/>
                <w:spacing w:val="2"/>
                <w:sz w:val="22"/>
                <w:szCs w:val="22"/>
                <w:highlight w:val="none"/>
              </w:rPr>
              <w:t>速；回收速度</w:t>
            </w:r>
            <w:r>
              <w:rPr>
                <w:rFonts w:hint="eastAsia" w:cs="宋体"/>
                <w:spacing w:val="2"/>
                <w:sz w:val="22"/>
                <w:szCs w:val="22"/>
                <w:highlight w:val="none"/>
                <w:lang w:val="en-US" w:eastAsia="zh-CN"/>
              </w:rPr>
              <w:t>0</w:t>
            </w:r>
            <w:r>
              <w:rPr>
                <w:rFonts w:hint="eastAsia" w:ascii="宋体" w:hAnsi="宋体" w:eastAsia="宋体" w:cs="宋体"/>
                <w:spacing w:val="2"/>
                <w:sz w:val="22"/>
                <w:szCs w:val="22"/>
                <w:highlight w:val="none"/>
              </w:rPr>
              <w:t>-</w:t>
            </w:r>
            <w:r>
              <w:rPr>
                <w:rFonts w:hint="eastAsia" w:cs="宋体"/>
                <w:spacing w:val="2"/>
                <w:sz w:val="22"/>
                <w:szCs w:val="22"/>
                <w:highlight w:val="none"/>
                <w:lang w:val="en-US" w:eastAsia="zh-CN"/>
              </w:rPr>
              <w:t>80</w:t>
            </w:r>
            <w:r>
              <w:rPr>
                <w:rFonts w:hint="eastAsia" w:ascii="宋体" w:hAnsi="宋体" w:eastAsia="宋体" w:cs="宋体"/>
                <w:spacing w:val="2"/>
                <w:sz w:val="22"/>
                <w:szCs w:val="22"/>
                <w:highlight w:val="none"/>
              </w:rPr>
              <w:t>m/h,齿轮最小传动比≤1:1600</w:t>
            </w:r>
          </w:p>
        </w:tc>
      </w:tr>
      <w:tr w14:paraId="7D5D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67" w:type="pct"/>
            <w:vMerge w:val="continue"/>
            <w:noWrap w:val="0"/>
            <w:vAlign w:val="center"/>
          </w:tcPr>
          <w:p w14:paraId="3C87F2BC">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015A402B">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709B7E21">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07EC73B3">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3"/>
                <w:sz w:val="22"/>
                <w:szCs w:val="22"/>
              </w:rPr>
            </w:pPr>
            <w:r>
              <w:rPr>
                <w:rFonts w:hint="eastAsia" w:ascii="宋体" w:hAnsi="宋体" w:eastAsia="宋体" w:cs="宋体"/>
                <w:spacing w:val="2"/>
                <w:sz w:val="22"/>
                <w:szCs w:val="22"/>
              </w:rPr>
              <w:t>入机工作压力</w:t>
            </w:r>
          </w:p>
        </w:tc>
        <w:tc>
          <w:tcPr>
            <w:tcW w:w="2707" w:type="pct"/>
            <w:noWrap w:val="0"/>
            <w:vAlign w:val="center"/>
          </w:tcPr>
          <w:p w14:paraId="06934431">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3"/>
                <w:sz w:val="22"/>
                <w:szCs w:val="22"/>
              </w:rPr>
            </w:pPr>
            <w:r>
              <w:rPr>
                <w:rFonts w:hint="eastAsia" w:ascii="宋体" w:hAnsi="宋体" w:eastAsia="宋体" w:cs="宋体"/>
                <w:spacing w:val="2"/>
                <w:sz w:val="22"/>
                <w:szCs w:val="22"/>
              </w:rPr>
              <w:t>0.3Mpa水压下正常工作</w:t>
            </w:r>
          </w:p>
        </w:tc>
      </w:tr>
      <w:tr w14:paraId="3A9F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67" w:type="pct"/>
            <w:vMerge w:val="continue"/>
            <w:noWrap w:val="0"/>
            <w:vAlign w:val="center"/>
          </w:tcPr>
          <w:p w14:paraId="06B7AF50">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06BE7CD6">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0B25B419">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2D1E05BB">
            <w:pPr>
              <w:pStyle w:val="92"/>
              <w:keepNext w:val="0"/>
              <w:keepLines w:val="0"/>
              <w:pageBreakBefore w:val="0"/>
              <w:widowControl/>
              <w:kinsoku w:val="0"/>
              <w:wordWrap/>
              <w:overflowPunct/>
              <w:topLinePunct w:val="0"/>
              <w:autoSpaceDE w:val="0"/>
              <w:autoSpaceDN w:val="0"/>
              <w:bidi w:val="0"/>
              <w:adjustRightInd w:val="0"/>
              <w:snapToGrid w:val="0"/>
              <w:spacing w:before="113" w:line="240" w:lineRule="exact"/>
              <w:jc w:val="center"/>
              <w:textAlignment w:val="baseline"/>
              <w:rPr>
                <w:rFonts w:hint="eastAsia" w:ascii="宋体" w:hAnsi="宋体" w:eastAsia="宋体" w:cs="宋体"/>
                <w:spacing w:val="1"/>
                <w:sz w:val="22"/>
                <w:szCs w:val="22"/>
              </w:rPr>
            </w:pPr>
            <w:r>
              <w:rPr>
                <w:rFonts w:hint="eastAsia" w:ascii="宋体" w:hAnsi="宋体" w:eastAsia="宋体" w:cs="宋体"/>
                <w:spacing w:val="4"/>
                <w:sz w:val="22"/>
                <w:szCs w:val="22"/>
              </w:rPr>
              <w:t>喷枪</w:t>
            </w:r>
          </w:p>
        </w:tc>
        <w:tc>
          <w:tcPr>
            <w:tcW w:w="2707" w:type="pct"/>
            <w:noWrap w:val="0"/>
            <w:vAlign w:val="center"/>
          </w:tcPr>
          <w:p w14:paraId="73C37603">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1"/>
                <w:sz w:val="22"/>
                <w:szCs w:val="22"/>
              </w:rPr>
            </w:pPr>
            <w:r>
              <w:rPr>
                <w:rFonts w:hint="eastAsia" w:ascii="宋体" w:hAnsi="宋体" w:eastAsia="宋体" w:cs="宋体"/>
                <w:b w:val="0"/>
                <w:bCs w:val="0"/>
                <w:spacing w:val="-1"/>
                <w:sz w:val="22"/>
                <w:szCs w:val="22"/>
                <w:highlight w:val="none"/>
                <w:lang w:val="en-US" w:eastAsia="zh-CN"/>
              </w:rPr>
              <w:t>5</w:t>
            </w:r>
            <w:r>
              <w:rPr>
                <w:rFonts w:hint="eastAsia" w:ascii="宋体" w:hAnsi="宋体" w:eastAsia="宋体" w:cs="宋体"/>
                <w:b w:val="0"/>
                <w:bCs w:val="0"/>
                <w:spacing w:val="-1"/>
                <w:sz w:val="22"/>
                <w:szCs w:val="22"/>
                <w:highlight w:val="none"/>
              </w:rPr>
              <w:t>0</w:t>
            </w:r>
            <w:r>
              <w:rPr>
                <w:rFonts w:hint="eastAsia" w:ascii="宋体" w:hAnsi="宋体" w:eastAsia="宋体" w:cs="宋体"/>
                <w:spacing w:val="-1"/>
                <w:sz w:val="22"/>
                <w:szCs w:val="22"/>
                <w:highlight w:val="none"/>
              </w:rPr>
              <w:t>型摇臂式喷枪</w:t>
            </w: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rPr>
              <w:t>1支</w:t>
            </w:r>
            <w:r>
              <w:rPr>
                <w:rFonts w:hint="eastAsia" w:ascii="宋体" w:hAnsi="宋体" w:eastAsia="宋体" w:cs="宋体"/>
                <w:b w:val="0"/>
                <w:bCs w:val="0"/>
                <w:color w:val="auto"/>
                <w:sz w:val="22"/>
                <w:szCs w:val="22"/>
                <w:highlight w:val="none"/>
                <w:lang w:val="en-US" w:eastAsia="zh-CN"/>
              </w:rPr>
              <w:t>★</w:t>
            </w:r>
          </w:p>
        </w:tc>
      </w:tr>
      <w:tr w14:paraId="0541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7" w:type="pct"/>
            <w:vMerge w:val="continue"/>
            <w:noWrap w:val="0"/>
            <w:vAlign w:val="center"/>
          </w:tcPr>
          <w:p w14:paraId="08CB8B64">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5A09C9D8">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1B12AAEB">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293E6035">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3"/>
                <w:sz w:val="22"/>
                <w:szCs w:val="22"/>
              </w:rPr>
            </w:pPr>
            <w:r>
              <w:rPr>
                <w:rFonts w:hint="eastAsia" w:ascii="宋体" w:hAnsi="宋体" w:eastAsia="宋体" w:cs="宋体"/>
                <w:spacing w:val="2"/>
                <w:sz w:val="22"/>
                <w:szCs w:val="22"/>
              </w:rPr>
              <w:t>PE管</w:t>
            </w:r>
          </w:p>
        </w:tc>
        <w:tc>
          <w:tcPr>
            <w:tcW w:w="2707" w:type="pct"/>
            <w:noWrap w:val="0"/>
            <w:vAlign w:val="center"/>
          </w:tcPr>
          <w:p w14:paraId="1A3E848C">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both"/>
              <w:textAlignment w:val="baseline"/>
              <w:rPr>
                <w:rFonts w:hint="eastAsia" w:ascii="宋体" w:hAnsi="宋体" w:eastAsia="宋体" w:cs="宋体"/>
                <w:color w:val="auto"/>
                <w:spacing w:val="-3"/>
                <w:sz w:val="22"/>
                <w:szCs w:val="22"/>
                <w:lang w:eastAsia="zh-CN"/>
              </w:rPr>
            </w:pPr>
            <w:r>
              <w:rPr>
                <w:rFonts w:hint="eastAsia" w:ascii="宋体" w:hAnsi="宋体" w:eastAsia="宋体" w:cs="宋体"/>
                <w:color w:val="auto"/>
                <w:spacing w:val="2"/>
                <w:sz w:val="22"/>
                <w:szCs w:val="22"/>
              </w:rPr>
              <w:t>承压1.6Mpa,在使用过程中出现拉断、爆裂、磨损严重，厂家负责三包，三包15年</w:t>
            </w:r>
            <w:r>
              <w:rPr>
                <w:rFonts w:hint="eastAsia" w:ascii="宋体" w:hAnsi="宋体" w:eastAsia="宋体" w:cs="宋体"/>
                <w:color w:val="auto"/>
                <w:spacing w:val="2"/>
                <w:sz w:val="22"/>
                <w:szCs w:val="22"/>
                <w:lang w:eastAsia="zh-CN"/>
              </w:rPr>
              <w:t>；</w:t>
            </w:r>
          </w:p>
        </w:tc>
      </w:tr>
      <w:tr w14:paraId="5DD2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7" w:type="pct"/>
            <w:vMerge w:val="continue"/>
            <w:noWrap w:val="0"/>
            <w:vAlign w:val="center"/>
          </w:tcPr>
          <w:p w14:paraId="11683D63">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786F7BC2">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1A189B80">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5C15224D">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2"/>
                <w:sz w:val="22"/>
                <w:szCs w:val="22"/>
              </w:rPr>
            </w:pPr>
            <w:r>
              <w:rPr>
                <w:rFonts w:hint="eastAsia" w:ascii="宋体" w:hAnsi="宋体" w:eastAsia="宋体" w:cs="宋体"/>
                <w:spacing w:val="2"/>
                <w:sz w:val="22"/>
                <w:szCs w:val="22"/>
              </w:rPr>
              <w:t>远程手机</w:t>
            </w:r>
          </w:p>
          <w:p w14:paraId="1EC01665">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3"/>
                <w:sz w:val="22"/>
                <w:szCs w:val="22"/>
              </w:rPr>
            </w:pPr>
            <w:r>
              <w:rPr>
                <w:rFonts w:hint="eastAsia" w:ascii="宋体" w:hAnsi="宋体" w:eastAsia="宋体" w:cs="宋体"/>
                <w:spacing w:val="2"/>
                <w:sz w:val="22"/>
                <w:szCs w:val="22"/>
              </w:rPr>
              <w:t>报警系统</w:t>
            </w:r>
          </w:p>
        </w:tc>
        <w:tc>
          <w:tcPr>
            <w:tcW w:w="2707" w:type="pct"/>
            <w:noWrap w:val="0"/>
            <w:vAlign w:val="center"/>
          </w:tcPr>
          <w:p w14:paraId="70618464">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both"/>
              <w:textAlignment w:val="baseline"/>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2"/>
                <w:sz w:val="22"/>
                <w:szCs w:val="22"/>
                <w:highlight w:val="none"/>
              </w:rPr>
              <w:t>采用测速轮即时监测PE管回收速度，实现精准测速；同时用户手机端实时显示PE管的回收速度；当喷头车接近主机时，报警系统向用户手机拨打电话和发微信进行报警</w:t>
            </w:r>
            <w:r>
              <w:rPr>
                <w:rFonts w:hint="eastAsia" w:ascii="宋体" w:hAnsi="宋体" w:eastAsia="宋体" w:cs="宋体"/>
                <w:color w:val="auto"/>
                <w:spacing w:val="2"/>
                <w:sz w:val="22"/>
                <w:szCs w:val="22"/>
                <w:highlight w:val="none"/>
                <w:lang w:eastAsia="zh-CN"/>
              </w:rPr>
              <w:t>；</w:t>
            </w:r>
          </w:p>
        </w:tc>
      </w:tr>
      <w:tr w14:paraId="0E880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267" w:type="pct"/>
            <w:vMerge w:val="continue"/>
            <w:noWrap w:val="0"/>
            <w:vAlign w:val="center"/>
          </w:tcPr>
          <w:p w14:paraId="1FA37905">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22F2413C">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28922A8A">
            <w:pPr>
              <w:pStyle w:val="92"/>
              <w:keepNext w:val="0"/>
              <w:keepLines w:val="0"/>
              <w:pageBreakBefore w:val="0"/>
              <w:widowControl/>
              <w:kinsoku w:val="0"/>
              <w:wordWrap/>
              <w:overflowPunct/>
              <w:topLinePunct w:val="0"/>
              <w:autoSpaceDE w:val="0"/>
              <w:autoSpaceDN w:val="0"/>
              <w:bidi w:val="0"/>
              <w:adjustRightInd w:val="0"/>
              <w:snapToGrid w:val="0"/>
              <w:spacing w:before="9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0A305989">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4"/>
                <w:sz w:val="22"/>
                <w:szCs w:val="22"/>
              </w:rPr>
            </w:pPr>
            <w:r>
              <w:rPr>
                <w:rFonts w:hint="eastAsia" w:ascii="宋体" w:hAnsi="宋体" w:eastAsia="宋体" w:cs="宋体"/>
                <w:spacing w:val="2"/>
                <w:sz w:val="22"/>
                <w:szCs w:val="22"/>
              </w:rPr>
              <w:t>喷头车升降系统</w:t>
            </w:r>
          </w:p>
        </w:tc>
        <w:tc>
          <w:tcPr>
            <w:tcW w:w="2707" w:type="pct"/>
            <w:noWrap w:val="0"/>
            <w:vAlign w:val="center"/>
          </w:tcPr>
          <w:p w14:paraId="7DE860B8">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both"/>
              <w:textAlignment w:val="baseline"/>
              <w:rPr>
                <w:rFonts w:hint="eastAsia" w:ascii="宋体" w:hAnsi="宋体" w:eastAsia="宋体" w:cs="宋体"/>
                <w:color w:val="auto"/>
                <w:spacing w:val="4"/>
                <w:sz w:val="22"/>
                <w:szCs w:val="22"/>
                <w:highlight w:val="none"/>
                <w:lang w:eastAsia="zh-CN"/>
              </w:rPr>
            </w:pPr>
            <w:r>
              <w:rPr>
                <w:rFonts w:hint="eastAsia" w:ascii="宋体" w:hAnsi="宋体" w:eastAsia="宋体" w:cs="宋体"/>
                <w:color w:val="auto"/>
                <w:spacing w:val="2"/>
                <w:sz w:val="22"/>
                <w:szCs w:val="22"/>
                <w:highlight w:val="none"/>
              </w:rPr>
              <w:t>采用手动液压泵系统控制喷头车升降及侧支腿伸缩；操作中省时省力，方便快捷</w:t>
            </w:r>
            <w:r>
              <w:rPr>
                <w:rFonts w:hint="eastAsia" w:ascii="宋体" w:hAnsi="宋体" w:eastAsia="宋体" w:cs="宋体"/>
                <w:color w:val="auto"/>
                <w:spacing w:val="2"/>
                <w:sz w:val="22"/>
                <w:szCs w:val="22"/>
                <w:highlight w:val="none"/>
                <w:lang w:eastAsia="zh-CN"/>
              </w:rPr>
              <w:t>；</w:t>
            </w:r>
          </w:p>
        </w:tc>
      </w:tr>
      <w:tr w14:paraId="4FF1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67" w:type="pct"/>
            <w:vMerge w:val="continue"/>
            <w:noWrap w:val="0"/>
            <w:vAlign w:val="center"/>
          </w:tcPr>
          <w:p w14:paraId="441DF7CC">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266" w:type="pct"/>
            <w:vMerge w:val="continue"/>
            <w:noWrap w:val="0"/>
            <w:vAlign w:val="center"/>
          </w:tcPr>
          <w:p w14:paraId="2031A9D8">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699" w:type="pct"/>
            <w:vMerge w:val="continue"/>
            <w:noWrap w:val="0"/>
            <w:vAlign w:val="center"/>
          </w:tcPr>
          <w:p w14:paraId="2B3734ED">
            <w:pPr>
              <w:pStyle w:val="92"/>
              <w:keepNext w:val="0"/>
              <w:keepLines w:val="0"/>
              <w:pageBreakBefore w:val="0"/>
              <w:widowControl/>
              <w:kinsoku w:val="0"/>
              <w:wordWrap/>
              <w:overflowPunct/>
              <w:topLinePunct w:val="0"/>
              <w:autoSpaceDE w:val="0"/>
              <w:autoSpaceDN w:val="0"/>
              <w:bidi w:val="0"/>
              <w:adjustRightInd w:val="0"/>
              <w:snapToGrid w:val="0"/>
              <w:spacing w:before="75" w:line="280" w:lineRule="exact"/>
              <w:jc w:val="center"/>
              <w:textAlignment w:val="baseline"/>
              <w:rPr>
                <w:rFonts w:hint="eastAsia" w:ascii="宋体" w:hAnsi="宋体" w:eastAsia="宋体" w:cs="宋体"/>
                <w:spacing w:val="-2"/>
                <w:sz w:val="22"/>
                <w:szCs w:val="22"/>
              </w:rPr>
            </w:pPr>
          </w:p>
        </w:tc>
        <w:tc>
          <w:tcPr>
            <w:tcW w:w="1058" w:type="pct"/>
            <w:noWrap w:val="0"/>
            <w:vAlign w:val="center"/>
          </w:tcPr>
          <w:p w14:paraId="3EA0676E">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center"/>
              <w:textAlignment w:val="baseline"/>
              <w:rPr>
                <w:rFonts w:hint="eastAsia" w:ascii="宋体" w:hAnsi="宋体" w:eastAsia="宋体" w:cs="宋体"/>
                <w:spacing w:val="-3"/>
                <w:sz w:val="22"/>
                <w:szCs w:val="22"/>
              </w:rPr>
            </w:pPr>
            <w:r>
              <w:rPr>
                <w:rFonts w:hint="eastAsia" w:ascii="宋体" w:hAnsi="宋体" w:eastAsia="宋体" w:cs="宋体"/>
                <w:spacing w:val="2"/>
                <w:sz w:val="22"/>
                <w:szCs w:val="22"/>
              </w:rPr>
              <w:t>传动方式</w:t>
            </w:r>
          </w:p>
        </w:tc>
        <w:tc>
          <w:tcPr>
            <w:tcW w:w="2707" w:type="pct"/>
            <w:noWrap w:val="0"/>
            <w:vAlign w:val="center"/>
          </w:tcPr>
          <w:p w14:paraId="6FE39768">
            <w:pPr>
              <w:pStyle w:val="92"/>
              <w:keepNext w:val="0"/>
              <w:keepLines w:val="0"/>
              <w:pageBreakBefore w:val="0"/>
              <w:widowControl/>
              <w:kinsoku w:val="0"/>
              <w:wordWrap/>
              <w:overflowPunct/>
              <w:topLinePunct w:val="0"/>
              <w:autoSpaceDE w:val="0"/>
              <w:autoSpaceDN w:val="0"/>
              <w:bidi w:val="0"/>
              <w:adjustRightInd w:val="0"/>
              <w:snapToGrid w:val="0"/>
              <w:spacing w:before="112" w:line="240" w:lineRule="exact"/>
              <w:jc w:val="both"/>
              <w:textAlignment w:val="baseline"/>
              <w:rPr>
                <w:rFonts w:hint="eastAsia" w:ascii="宋体" w:hAnsi="宋体" w:eastAsia="宋体" w:cs="宋体"/>
                <w:color w:val="auto"/>
                <w:spacing w:val="-3"/>
                <w:sz w:val="22"/>
                <w:szCs w:val="22"/>
                <w:lang w:eastAsia="zh-CN"/>
              </w:rPr>
            </w:pPr>
            <w:r>
              <w:rPr>
                <w:rFonts w:hint="eastAsia" w:ascii="宋体" w:hAnsi="宋体" w:eastAsia="宋体" w:cs="宋体"/>
                <w:color w:val="auto"/>
                <w:spacing w:val="2"/>
                <w:sz w:val="22"/>
                <w:szCs w:val="22"/>
              </w:rPr>
              <w:t>变速齿轮箱向绞盘传送动力方式为齿轮与齿圈方式转动，相比链条传动方式，齿轮传动性能稳定可靠。</w:t>
            </w:r>
          </w:p>
        </w:tc>
      </w:tr>
      <w:bookmarkEnd w:id="24"/>
    </w:tbl>
    <w:p w14:paraId="492A3FCE">
      <w:pPr>
        <w:pStyle w:val="7"/>
        <w:rPr>
          <w:rFonts w:hint="eastAsia"/>
          <w:lang w:eastAsia="zh-CN"/>
        </w:rPr>
      </w:pPr>
    </w:p>
    <w:p w14:paraId="6BBCC4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00" w:firstLineChars="200"/>
        <w:textAlignment w:val="auto"/>
        <w:outlineLvl w:val="9"/>
        <w:rPr>
          <w:rFonts w:hint="eastAsia" w:ascii="宋体" w:hAnsi="宋体" w:eastAsia="宋体" w:cs="宋体"/>
          <w:b/>
          <w:bCs/>
          <w:snapToGrid w:val="0"/>
          <w:color w:val="auto"/>
          <w:spacing w:val="0"/>
          <w:kern w:val="0"/>
          <w:position w:val="0"/>
          <w:sz w:val="22"/>
          <w:szCs w:val="22"/>
          <w:highlight w:val="none"/>
          <w:lang w:eastAsia="zh-CN"/>
        </w:rPr>
      </w:pPr>
      <w:r>
        <w:rPr>
          <w:rFonts w:hint="eastAsia" w:ascii="仿宋" w:hAnsi="仿宋" w:eastAsia="仿宋" w:cs="仿宋"/>
          <w:b/>
          <w:bCs/>
          <w:color w:val="auto"/>
          <w:sz w:val="24"/>
          <w:szCs w:val="24"/>
          <w:highlight w:val="none"/>
          <w:lang w:val="en-US" w:eastAsia="zh-CN"/>
        </w:rPr>
        <w:t>注：</w:t>
      </w:r>
      <w:bookmarkStart w:id="25" w:name="_Toc7398"/>
      <w:r>
        <w:rPr>
          <w:rFonts w:hint="eastAsia" w:ascii="仿宋" w:hAnsi="仿宋" w:eastAsia="仿宋" w:cs="仿宋"/>
          <w:b/>
          <w:bCs/>
          <w:color w:val="auto"/>
          <w:sz w:val="24"/>
          <w:szCs w:val="24"/>
          <w:highlight w:val="none"/>
          <w:lang w:val="en-US" w:eastAsia="zh-CN"/>
        </w:rPr>
        <w:t>1、标识★的为重要技术参数，</w:t>
      </w:r>
      <w:r>
        <w:rPr>
          <w:rFonts w:hint="eastAsia" w:ascii="宋体" w:hAnsi="宋体" w:eastAsia="宋体" w:cs="宋体"/>
          <w:b/>
          <w:bCs/>
          <w:snapToGrid w:val="0"/>
          <w:color w:val="auto"/>
          <w:spacing w:val="0"/>
          <w:kern w:val="0"/>
          <w:position w:val="0"/>
          <w:sz w:val="22"/>
          <w:szCs w:val="22"/>
          <w:highlight w:val="none"/>
        </w:rPr>
        <w:t>不得负偏离</w:t>
      </w:r>
      <w:r>
        <w:rPr>
          <w:rFonts w:hint="eastAsia" w:ascii="宋体" w:hAnsi="宋体" w:cs="宋体"/>
          <w:b/>
          <w:bCs/>
          <w:snapToGrid w:val="0"/>
          <w:color w:val="auto"/>
          <w:spacing w:val="0"/>
          <w:kern w:val="0"/>
          <w:position w:val="0"/>
          <w:sz w:val="22"/>
          <w:szCs w:val="22"/>
          <w:highlight w:val="none"/>
          <w:lang w:eastAsia="zh-CN"/>
        </w:rPr>
        <w:t>；否则按无效响应处理；</w:t>
      </w:r>
      <w:r>
        <w:rPr>
          <w:rFonts w:hint="eastAsia" w:ascii="仿宋" w:hAnsi="仿宋" w:eastAsia="仿宋" w:cs="仿宋"/>
          <w:b/>
          <w:bCs/>
          <w:color w:val="auto"/>
          <w:sz w:val="24"/>
          <w:szCs w:val="24"/>
          <w:highlight w:val="none"/>
          <w:lang w:val="en-US" w:eastAsia="zh-CN"/>
        </w:rPr>
        <w:t>未标识★</w:t>
      </w:r>
      <w:r>
        <w:rPr>
          <w:rFonts w:hint="eastAsia" w:ascii="宋体" w:hAnsi="宋体" w:cs="宋体"/>
          <w:b/>
          <w:bCs/>
          <w:snapToGrid w:val="0"/>
          <w:color w:val="auto"/>
          <w:spacing w:val="0"/>
          <w:kern w:val="0"/>
          <w:position w:val="0"/>
          <w:sz w:val="22"/>
          <w:szCs w:val="22"/>
          <w:highlight w:val="none"/>
          <w:lang w:eastAsia="zh-CN"/>
        </w:rPr>
        <w:t>技术参数</w:t>
      </w:r>
      <w:r>
        <w:rPr>
          <w:rFonts w:hint="eastAsia" w:ascii="宋体" w:hAnsi="宋体" w:eastAsia="宋体" w:cs="宋体"/>
          <w:b/>
          <w:bCs/>
          <w:snapToGrid w:val="0"/>
          <w:color w:val="auto"/>
          <w:spacing w:val="0"/>
          <w:kern w:val="0"/>
          <w:position w:val="0"/>
          <w:sz w:val="22"/>
          <w:szCs w:val="22"/>
          <w:highlight w:val="none"/>
        </w:rPr>
        <w:t>要求，</w:t>
      </w:r>
      <w:r>
        <w:rPr>
          <w:rFonts w:hint="eastAsia" w:ascii="宋体" w:hAnsi="宋体" w:cs="宋体"/>
          <w:b/>
          <w:bCs/>
          <w:snapToGrid w:val="0"/>
          <w:color w:val="auto"/>
          <w:spacing w:val="0"/>
          <w:kern w:val="0"/>
          <w:position w:val="0"/>
          <w:sz w:val="22"/>
          <w:szCs w:val="22"/>
          <w:highlight w:val="none"/>
          <w:lang w:eastAsia="zh-CN"/>
        </w:rPr>
        <w:t>允许</w:t>
      </w:r>
      <w:r>
        <w:rPr>
          <w:rFonts w:hint="eastAsia" w:ascii="宋体" w:hAnsi="宋体" w:eastAsia="宋体" w:cs="宋体"/>
          <w:b/>
          <w:bCs/>
          <w:snapToGrid w:val="0"/>
          <w:color w:val="auto"/>
          <w:spacing w:val="0"/>
          <w:kern w:val="0"/>
          <w:position w:val="0"/>
          <w:sz w:val="22"/>
          <w:szCs w:val="22"/>
          <w:highlight w:val="none"/>
        </w:rPr>
        <w:t>负偏离</w:t>
      </w:r>
      <w:bookmarkStart w:id="26" w:name="OLE_LINK4"/>
      <w:r>
        <w:rPr>
          <w:rFonts w:hint="eastAsia" w:ascii="宋体" w:hAnsi="宋体" w:cs="宋体"/>
          <w:b/>
          <w:bCs/>
          <w:snapToGrid w:val="0"/>
          <w:color w:val="auto"/>
          <w:spacing w:val="0"/>
          <w:kern w:val="0"/>
          <w:position w:val="0"/>
          <w:sz w:val="22"/>
          <w:szCs w:val="22"/>
          <w:highlight w:val="none"/>
          <w:lang w:eastAsia="zh-CN"/>
        </w:rPr>
        <w:t>；技术参数须在技术响应偏离表后附佐证材料，</w:t>
      </w:r>
      <w:bookmarkEnd w:id="26"/>
      <w:r>
        <w:rPr>
          <w:rFonts w:hint="eastAsia" w:ascii="宋体" w:hAnsi="宋体" w:cs="宋体"/>
          <w:b/>
          <w:bCs/>
          <w:snapToGrid w:val="0"/>
          <w:color w:val="auto"/>
          <w:spacing w:val="0"/>
          <w:kern w:val="0"/>
          <w:position w:val="0"/>
          <w:sz w:val="22"/>
          <w:szCs w:val="22"/>
          <w:highlight w:val="none"/>
          <w:lang w:eastAsia="zh-CN"/>
        </w:rPr>
        <w:t>包括但不限于制造商公开发布的印刷资料（技术白皮书、宣传彩页或官方网站截图等）或检测机构出具的检测报</w:t>
      </w:r>
      <w:r>
        <w:rPr>
          <w:rFonts w:hint="eastAsia" w:ascii="宋体" w:hAnsi="宋体" w:eastAsia="宋体" w:cs="宋体"/>
          <w:b/>
          <w:bCs/>
          <w:snapToGrid w:val="0"/>
          <w:color w:val="auto"/>
          <w:spacing w:val="0"/>
          <w:kern w:val="0"/>
          <w:position w:val="0"/>
          <w:sz w:val="22"/>
          <w:szCs w:val="22"/>
          <w:highlight w:val="none"/>
          <w:lang w:eastAsia="zh-CN"/>
        </w:rPr>
        <w:t>告或技术说明书，如有不一致的情况以检测（检验）报告为准，无佐证材料的技术参数按负偏离处理。</w:t>
      </w:r>
      <w:bookmarkEnd w:id="25"/>
    </w:p>
    <w:p w14:paraId="2BC25E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60" w:firstLineChars="200"/>
        <w:textAlignment w:val="auto"/>
        <w:outlineLvl w:val="9"/>
        <w:rPr>
          <w:rFonts w:hint="default" w:ascii="宋体" w:hAnsi="宋体" w:eastAsia="宋体" w:cs="宋体"/>
          <w:b/>
          <w:bCs/>
          <w:snapToGrid w:val="0"/>
          <w:color w:val="auto"/>
          <w:spacing w:val="0"/>
          <w:kern w:val="0"/>
          <w:position w:val="0"/>
          <w:sz w:val="22"/>
          <w:szCs w:val="22"/>
          <w:highlight w:val="none"/>
          <w:lang w:val="en-US" w:eastAsia="zh-CN"/>
        </w:rPr>
      </w:pPr>
      <w:r>
        <w:rPr>
          <w:rFonts w:hint="eastAsia" w:ascii="宋体" w:hAnsi="宋体" w:eastAsia="宋体" w:cs="宋体"/>
          <w:b/>
          <w:bCs/>
          <w:snapToGrid w:val="0"/>
          <w:color w:val="auto"/>
          <w:spacing w:val="0"/>
          <w:kern w:val="0"/>
          <w:position w:val="0"/>
          <w:sz w:val="22"/>
          <w:szCs w:val="22"/>
          <w:highlight w:val="none"/>
          <w:lang w:val="en-US" w:eastAsia="zh-CN"/>
        </w:rPr>
        <w:t>2、在技术参数响应偏离表“说明”列注明相关技术参数佐证材料</w:t>
      </w:r>
      <w:r>
        <w:rPr>
          <w:rFonts w:hint="eastAsia" w:ascii="宋体" w:hAnsi="宋体" w:cs="宋体"/>
          <w:b/>
          <w:bCs/>
          <w:snapToGrid w:val="0"/>
          <w:color w:val="auto"/>
          <w:spacing w:val="0"/>
          <w:kern w:val="0"/>
          <w:position w:val="0"/>
          <w:sz w:val="22"/>
          <w:szCs w:val="22"/>
          <w:highlight w:val="none"/>
          <w:lang w:val="en-US" w:eastAsia="zh-CN"/>
        </w:rPr>
        <w:t>所在</w:t>
      </w:r>
      <w:r>
        <w:rPr>
          <w:rFonts w:hint="eastAsia" w:ascii="宋体" w:hAnsi="宋体" w:eastAsia="宋体" w:cs="宋体"/>
          <w:b/>
          <w:bCs/>
          <w:snapToGrid w:val="0"/>
          <w:color w:val="auto"/>
          <w:spacing w:val="0"/>
          <w:kern w:val="0"/>
          <w:position w:val="0"/>
          <w:sz w:val="22"/>
          <w:szCs w:val="22"/>
          <w:highlight w:val="none"/>
          <w:lang w:val="en-US" w:eastAsia="zh-CN"/>
        </w:rPr>
        <w:t>页码。</w:t>
      </w:r>
    </w:p>
    <w:p w14:paraId="10BEE9F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snapToGrid w:val="0"/>
          <w:color w:val="auto"/>
          <w:spacing w:val="0"/>
          <w:kern w:val="0"/>
          <w:position w:val="0"/>
          <w:sz w:val="24"/>
          <w:szCs w:val="24"/>
          <w:highlight w:val="none"/>
        </w:rPr>
      </w:pPr>
      <w:bookmarkStart w:id="27" w:name="_Toc954"/>
      <w:bookmarkStart w:id="28" w:name="_Toc5038_WPSOffice_Level1"/>
      <w:bookmarkStart w:id="29" w:name="_Toc24614"/>
      <w:r>
        <w:rPr>
          <w:rFonts w:hint="eastAsia" w:ascii="宋体" w:hAnsi="宋体" w:eastAsia="宋体" w:cs="宋体"/>
          <w:b/>
          <w:bCs/>
          <w:snapToGrid w:val="0"/>
          <w:color w:val="auto"/>
          <w:spacing w:val="0"/>
          <w:kern w:val="0"/>
          <w:position w:val="0"/>
          <w:sz w:val="24"/>
          <w:szCs w:val="24"/>
          <w:highlight w:val="none"/>
          <w:lang w:val="en-US" w:eastAsia="zh-CN"/>
        </w:rPr>
        <w:t>三</w:t>
      </w:r>
      <w:r>
        <w:rPr>
          <w:rFonts w:hint="eastAsia" w:ascii="宋体" w:hAnsi="宋体" w:eastAsia="宋体" w:cs="宋体"/>
          <w:b/>
          <w:bCs/>
          <w:snapToGrid w:val="0"/>
          <w:color w:val="auto"/>
          <w:spacing w:val="0"/>
          <w:kern w:val="0"/>
          <w:position w:val="0"/>
          <w:sz w:val="24"/>
          <w:szCs w:val="24"/>
          <w:highlight w:val="none"/>
        </w:rPr>
        <w:t>、商务要求</w:t>
      </w:r>
    </w:p>
    <w:p w14:paraId="357CDB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w w:val="100"/>
          <w:sz w:val="24"/>
          <w:szCs w:val="24"/>
          <w:highlight w:val="none"/>
          <w:lang w:val="en-US" w:eastAsia="zh-CN"/>
        </w:rPr>
        <w:t>供货</w:t>
      </w:r>
      <w:r>
        <w:rPr>
          <w:rFonts w:hint="eastAsia" w:ascii="宋体" w:hAnsi="宋体" w:eastAsia="宋体" w:cs="宋体"/>
          <w:color w:val="auto"/>
          <w:w w:val="100"/>
          <w:sz w:val="24"/>
          <w:szCs w:val="24"/>
          <w:highlight w:val="none"/>
          <w:lang w:val="en-US" w:eastAsia="zh-CN"/>
        </w:rPr>
        <w:t>期</w:t>
      </w:r>
      <w:r>
        <w:rPr>
          <w:rFonts w:hint="eastAsia" w:ascii="宋体" w:hAnsi="宋体" w:eastAsia="宋体" w:cs="宋体"/>
          <w:color w:val="auto"/>
          <w:sz w:val="24"/>
          <w:szCs w:val="24"/>
          <w:highlight w:val="none"/>
        </w:rPr>
        <w:t>：自签订合同之日起</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日历天。</w:t>
      </w:r>
    </w:p>
    <w:p w14:paraId="6282384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2、交付地点：宝鸡市凤翔区城关镇人民政府</w:t>
      </w:r>
      <w:r>
        <w:rPr>
          <w:rFonts w:hint="eastAsia" w:ascii="宋体" w:hAnsi="宋体" w:eastAsia="宋体" w:cs="宋体"/>
          <w:color w:val="auto"/>
          <w:sz w:val="24"/>
          <w:szCs w:val="24"/>
          <w:highlight w:val="none"/>
          <w:lang w:eastAsia="zh-CN"/>
        </w:rPr>
        <w:t>指定地点</w:t>
      </w:r>
    </w:p>
    <w:p w14:paraId="706453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kern w:val="0"/>
          <w:sz w:val="24"/>
        </w:rPr>
        <w:t>付款方式：甲乙双方签订合同时协商确定。</w:t>
      </w:r>
    </w:p>
    <w:p w14:paraId="274209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4、质保期：整机保修不少于</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p w14:paraId="4706C1BF">
      <w:pPr>
        <w:spacing w:line="360" w:lineRule="auto"/>
        <w:rPr>
          <w:rFonts w:hint="eastAsia"/>
          <w:color w:val="auto"/>
          <w:lang w:eastAsia="zh-CN"/>
        </w:rPr>
      </w:pP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、负责设备免费安装调试</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现场培训操作人员全面掌握该设备的操作。</w:t>
      </w:r>
    </w:p>
    <w:p w14:paraId="4072BA15">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、售后服务：质保期内，非人为原因出现故障问题，免费进行维修，不收取任何费用。24小时电话响应，若电话沟通无法解决问题，需2小时内上门，6小时内解决问题或提供备机。</w:t>
      </w:r>
    </w:p>
    <w:p w14:paraId="1C7D92B6">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、其他</w:t>
      </w:r>
    </w:p>
    <w:p w14:paraId="22ED9829">
      <w:pPr>
        <w:spacing w:line="360" w:lineRule="auto"/>
        <w:ind w:firstLine="50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质量验收标准或规范</w:t>
      </w:r>
    </w:p>
    <w:p w14:paraId="7E31A370">
      <w:pPr>
        <w:spacing w:line="360" w:lineRule="auto"/>
        <w:ind w:firstLine="50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现行的国家标准或国家行政部门颁布的法律法规、规章制度、</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文件。没有国家标准的，可以参考行业标准。</w:t>
      </w:r>
    </w:p>
    <w:p w14:paraId="34953333">
      <w:pPr>
        <w:spacing w:line="360" w:lineRule="auto"/>
        <w:ind w:firstLine="50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所供设备设施需为符合国家标准的全新合格产品，</w:t>
      </w:r>
      <w:r>
        <w:rPr>
          <w:rFonts w:hint="eastAsia" w:ascii="宋体" w:hAnsi="宋体" w:cs="宋体"/>
          <w:color w:val="auto"/>
          <w:sz w:val="24"/>
          <w:szCs w:val="24"/>
          <w:highlight w:val="none"/>
          <w:lang w:val="en-US" w:eastAsia="zh-CN"/>
        </w:rPr>
        <w:t>未经使用的产品，</w:t>
      </w:r>
      <w:r>
        <w:rPr>
          <w:rFonts w:hint="eastAsia" w:ascii="宋体" w:hAnsi="宋体" w:eastAsia="宋体" w:cs="宋体"/>
          <w:color w:val="auto"/>
          <w:sz w:val="24"/>
          <w:szCs w:val="24"/>
          <w:highlight w:val="none"/>
        </w:rPr>
        <w:t>进货渠道合法合规，非进口产品。</w:t>
      </w:r>
    </w:p>
    <w:p w14:paraId="58D62589">
      <w:pPr>
        <w:spacing w:line="360" w:lineRule="auto"/>
        <w:ind w:firstLine="50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违约责任</w:t>
      </w:r>
    </w:p>
    <w:p w14:paraId="25133AE2">
      <w:pPr>
        <w:spacing w:afterLines="50" w:line="700" w:lineRule="exact"/>
        <w:ind w:firstLine="500" w:firstLineChars="200"/>
        <w:jc w:val="left"/>
        <w:outlineLvl w:val="0"/>
        <w:rPr>
          <w:rFonts w:hint="eastAsia" w:ascii="宋体" w:hAnsi="宋体" w:eastAsia="宋体" w:cs="宋体"/>
          <w:snapToGrid w:val="0"/>
          <w:color w:val="auto"/>
          <w:spacing w:val="-17"/>
          <w:kern w:val="0"/>
          <w:sz w:val="24"/>
          <w:szCs w:val="24"/>
          <w:highlight w:val="none"/>
          <w:lang w:val="en-US" w:eastAsia="zh-CN"/>
        </w:rPr>
      </w:pPr>
      <w:r>
        <w:rPr>
          <w:rFonts w:hint="eastAsia" w:ascii="宋体" w:hAnsi="宋体" w:eastAsia="宋体" w:cs="宋体"/>
          <w:color w:val="auto"/>
          <w:sz w:val="24"/>
          <w:szCs w:val="24"/>
          <w:highlight w:val="none"/>
        </w:rPr>
        <w:t>供应商应按照合同规定的期限完成供货及安装、调试，每延迟一天应承担当期应付款2‰的违约金，违约金累计不超过当期应付款10%。若违约金累计已达上限，供应商仍未履行，院方有权解除合同。如遇人力不可违抗的原因造成违约除外。</w:t>
      </w:r>
      <w:r>
        <w:rPr>
          <w:rFonts w:hint="eastAsia" w:ascii="宋体" w:hAnsi="宋体" w:eastAsia="宋体" w:cs="宋体"/>
          <w:snapToGrid w:val="0"/>
          <w:color w:val="auto"/>
          <w:spacing w:val="-17"/>
          <w:kern w:val="0"/>
          <w:sz w:val="24"/>
          <w:szCs w:val="24"/>
          <w:highlight w:val="none"/>
          <w:lang w:val="en-US" w:eastAsia="zh-CN"/>
        </w:rPr>
        <w:br w:type="page"/>
      </w:r>
    </w:p>
    <w:p w14:paraId="3A9DD1EE">
      <w:pPr>
        <w:spacing w:afterLines="50" w:line="70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第四部分 合同条款</w:t>
      </w:r>
      <w:bookmarkEnd w:id="27"/>
    </w:p>
    <w:p w14:paraId="21A6FCB5">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sz w:val="24"/>
          <w:szCs w:val="20"/>
          <w:highlight w:val="none"/>
        </w:rPr>
      </w:pPr>
      <w:r>
        <w:rPr>
          <w:rFonts w:ascii="宋体" w:hAnsi="宋体" w:eastAsia="宋体" w:cs="Times New Roman"/>
          <w:sz w:val="24"/>
          <w:szCs w:val="20"/>
          <w:highlight w:val="none"/>
        </w:rPr>
        <w:t xml:space="preserve">合同编号： </w:t>
      </w:r>
    </w:p>
    <w:p w14:paraId="587F2B6E">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sz w:val="24"/>
          <w:szCs w:val="20"/>
          <w:highlight w:val="none"/>
        </w:rPr>
      </w:pPr>
      <w:r>
        <w:rPr>
          <w:rFonts w:ascii="宋体" w:hAnsi="宋体" w:eastAsia="宋体" w:cs="Times New Roman"/>
          <w:sz w:val="24"/>
          <w:szCs w:val="20"/>
          <w:highlight w:val="none"/>
        </w:rPr>
        <w:t xml:space="preserve">签订地点： </w:t>
      </w:r>
    </w:p>
    <w:p w14:paraId="0CE6A973">
      <w:pPr>
        <w:keepNext w:val="0"/>
        <w:keepLines w:val="0"/>
        <w:pageBreakBefore w:val="0"/>
        <w:kinsoku/>
        <w:wordWrap/>
        <w:overflowPunct/>
        <w:topLinePunct w:val="0"/>
        <w:autoSpaceDE/>
        <w:autoSpaceDN/>
        <w:bidi w:val="0"/>
        <w:spacing w:line="520" w:lineRule="exact"/>
        <w:ind w:firstLine="500" w:firstLineChars="200"/>
        <w:textAlignment w:val="auto"/>
        <w:rPr>
          <w:rFonts w:hint="eastAsia" w:ascii="Times New Roman" w:hAnsi="Times New Roman" w:eastAsia="宋体" w:cs="Times New Roman"/>
          <w:color w:val="000000"/>
          <w:sz w:val="24"/>
          <w:szCs w:val="21"/>
          <w:highlight w:val="none"/>
        </w:rPr>
      </w:pPr>
      <w:r>
        <w:rPr>
          <w:rFonts w:ascii="宋体" w:hAnsi="宋体" w:eastAsia="宋体" w:cs="Times New Roman"/>
          <w:sz w:val="24"/>
          <w:szCs w:val="20"/>
          <w:highlight w:val="none"/>
        </w:rPr>
        <w:t>签订时间：</w:t>
      </w:r>
    </w:p>
    <w:p w14:paraId="08804558">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采购人（买</w:t>
      </w:r>
      <w:r>
        <w:rPr>
          <w:rFonts w:ascii="宋体" w:hAnsi="宋体" w:eastAsia="宋体" w:cs="Times New Roman"/>
          <w:sz w:val="24"/>
          <w:szCs w:val="20"/>
          <w:highlight w:val="none"/>
        </w:rPr>
        <w:t>方</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w:t>
      </w:r>
      <w:r>
        <w:rPr>
          <w:rFonts w:ascii="宋体" w:hAnsi="宋体" w:eastAsia="宋体" w:cs="Times New Roman"/>
          <w:sz w:val="24"/>
          <w:szCs w:val="20"/>
          <w:highlight w:val="none"/>
          <w:u w:val="single"/>
        </w:rPr>
        <w:t xml:space="preserve">                              </w:t>
      </w:r>
    </w:p>
    <w:p w14:paraId="1FFB178E">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0"/>
          <w:highlight w:val="none"/>
          <w:u w:val="single"/>
        </w:rPr>
      </w:pPr>
      <w:r>
        <w:rPr>
          <w:rFonts w:hint="eastAsia" w:ascii="宋体" w:hAnsi="宋体" w:eastAsia="宋体" w:cs="Times New Roman"/>
          <w:sz w:val="24"/>
          <w:szCs w:val="20"/>
          <w:highlight w:val="none"/>
        </w:rPr>
        <w:t>中标人（卖</w:t>
      </w:r>
      <w:r>
        <w:rPr>
          <w:rFonts w:ascii="宋体" w:hAnsi="宋体" w:eastAsia="宋体" w:cs="Times New Roman"/>
          <w:sz w:val="24"/>
          <w:szCs w:val="20"/>
          <w:highlight w:val="none"/>
        </w:rPr>
        <w:t>方</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w:t>
      </w:r>
      <w:r>
        <w:rPr>
          <w:rFonts w:ascii="宋体" w:hAnsi="宋体" w:eastAsia="宋体" w:cs="Times New Roman"/>
          <w:sz w:val="24"/>
          <w:szCs w:val="20"/>
          <w:highlight w:val="none"/>
          <w:u w:val="single"/>
        </w:rPr>
        <w:t xml:space="preserve">  </w:t>
      </w:r>
      <w:r>
        <w:rPr>
          <w:rFonts w:ascii="宋体" w:hAnsi="宋体" w:eastAsia="宋体" w:cs="Times New Roman"/>
          <w:color w:val="auto"/>
          <w:sz w:val="24"/>
          <w:szCs w:val="20"/>
          <w:highlight w:val="none"/>
          <w:u w:val="single"/>
        </w:rPr>
        <w:t xml:space="preserve">                            </w:t>
      </w:r>
    </w:p>
    <w:p w14:paraId="430612B8">
      <w:pPr>
        <w:keepNext w:val="0"/>
        <w:keepLines w:val="0"/>
        <w:pageBreakBefore w:val="0"/>
        <w:kinsoku/>
        <w:wordWrap/>
        <w:overflowPunct/>
        <w:topLinePunct w:val="0"/>
        <w:autoSpaceDE/>
        <w:autoSpaceDN/>
        <w:bidi w:val="0"/>
        <w:spacing w:line="520" w:lineRule="exact"/>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一、供货合同格式</w:t>
      </w:r>
    </w:p>
    <w:p w14:paraId="1C23280C">
      <w:pPr>
        <w:keepNext w:val="0"/>
        <w:keepLines w:val="0"/>
        <w:pageBreakBefore w:val="0"/>
        <w:widowControl/>
        <w:kinsoku/>
        <w:wordWrap/>
        <w:overflowPunct/>
        <w:topLinePunct w:val="0"/>
        <w:autoSpaceDE/>
        <w:autoSpaceDN/>
        <w:bidi w:val="0"/>
        <w:spacing w:line="520" w:lineRule="exact"/>
        <w:ind w:right="-206" w:rightChars="-94" w:firstLine="500" w:firstLineChars="200"/>
        <w:jc w:val="left"/>
        <w:textAlignment w:val="auto"/>
        <w:rPr>
          <w:rFonts w:ascii="宋体" w:hAnsi="宋体" w:eastAsia="宋体" w:cs="Times New Roman"/>
          <w:color w:val="auto"/>
          <w:kern w:val="0"/>
          <w:sz w:val="24"/>
          <w:szCs w:val="24"/>
          <w:highlight w:val="none"/>
        </w:rPr>
      </w:pPr>
      <w:r>
        <w:rPr>
          <w:rFonts w:hint="eastAsia" w:ascii="宋体" w:hAnsi="宋体" w:eastAsia="宋体" w:cs="仿宋_GB2312"/>
          <w:color w:val="auto"/>
          <w:sz w:val="24"/>
          <w:szCs w:val="24"/>
          <w:highlight w:val="none"/>
          <w:u w:val="single"/>
          <w:lang w:eastAsia="zh-CN"/>
        </w:rPr>
        <w:t>2025年城关镇村集体经济组织规模化高梁等农作物种植产能提升项目</w:t>
      </w:r>
      <w:r>
        <w:rPr>
          <w:rFonts w:ascii="宋体" w:hAnsi="宋体" w:eastAsia="宋体" w:cs="Times New Roman"/>
          <w:color w:val="auto"/>
          <w:sz w:val="24"/>
          <w:szCs w:val="24"/>
          <w:highlight w:val="none"/>
        </w:rPr>
        <w:t xml:space="preserve"> (项目编号：</w:t>
      </w:r>
      <w:r>
        <w:rPr>
          <w:rFonts w:hint="eastAsia" w:ascii="宋体" w:hAnsi="宋体" w:eastAsia="宋体" w:cs="Times New Roman"/>
          <w:color w:val="auto"/>
          <w:sz w:val="24"/>
          <w:szCs w:val="24"/>
          <w:highlight w:val="none"/>
          <w:u w:val="single"/>
          <w:lang w:eastAsia="zh-CN"/>
        </w:rPr>
        <w:t>SXHXBJ-2025-10-001</w:t>
      </w:r>
      <w:r>
        <w:rPr>
          <w:rFonts w:ascii="宋体" w:hAnsi="宋体" w:eastAsia="宋体" w:cs="Times New Roman"/>
          <w:color w:val="auto"/>
          <w:sz w:val="24"/>
          <w:szCs w:val="24"/>
          <w:highlight w:val="none"/>
        </w:rPr>
        <w:t>)，在</w:t>
      </w:r>
      <w:r>
        <w:rPr>
          <w:rFonts w:hint="eastAsia" w:ascii="宋体" w:hAnsi="宋体" w:cs="Times New Roman"/>
          <w:color w:val="auto"/>
          <w:sz w:val="24"/>
          <w:szCs w:val="24"/>
          <w:highlight w:val="none"/>
          <w:u w:val="single"/>
          <w:lang w:eastAsia="zh-CN"/>
        </w:rPr>
        <w:t>中国共产党宝鸡市凤翔区城关镇纪律检查委员会</w:t>
      </w:r>
      <w:r>
        <w:rPr>
          <w:rFonts w:ascii="宋体" w:hAnsi="宋体" w:eastAsia="宋体" w:cs="Times New Roman"/>
          <w:color w:val="auto"/>
          <w:sz w:val="24"/>
          <w:szCs w:val="24"/>
          <w:highlight w:val="none"/>
        </w:rPr>
        <w:t>的监督管理</w:t>
      </w:r>
      <w:r>
        <w:rPr>
          <w:rFonts w:ascii="宋体" w:hAnsi="宋体" w:eastAsia="宋体" w:cs="Times New Roman"/>
          <w:color w:val="auto"/>
          <w:kern w:val="0"/>
          <w:sz w:val="24"/>
          <w:szCs w:val="24"/>
          <w:highlight w:val="none"/>
        </w:rPr>
        <w:t>下，由</w:t>
      </w:r>
      <w:r>
        <w:rPr>
          <w:rFonts w:hint="eastAsia" w:ascii="宋体" w:hAnsi="宋体" w:eastAsia="宋体" w:cs="Times New Roman"/>
          <w:color w:val="auto"/>
          <w:kern w:val="0"/>
          <w:sz w:val="24"/>
          <w:szCs w:val="24"/>
          <w:highlight w:val="none"/>
          <w:u w:val="single"/>
          <w:lang w:eastAsia="zh-CN"/>
        </w:rPr>
        <w:t>陕西华信项目管理有限公司</w:t>
      </w:r>
      <w:r>
        <w:rPr>
          <w:rFonts w:ascii="宋体" w:hAnsi="宋体" w:eastAsia="宋体" w:cs="Times New Roman"/>
          <w:color w:val="auto"/>
          <w:kern w:val="0"/>
          <w:sz w:val="24"/>
          <w:szCs w:val="24"/>
          <w:highlight w:val="none"/>
        </w:rPr>
        <w:t>组织公开招标。</w:t>
      </w:r>
      <w:r>
        <w:rPr>
          <w:rFonts w:hint="eastAsia" w:ascii="宋体" w:hAnsi="宋体" w:eastAsia="宋体" w:cs="仿宋_GB2312"/>
          <w:color w:val="auto"/>
          <w:sz w:val="24"/>
          <w:szCs w:val="24"/>
          <w:highlight w:val="none"/>
          <w:u w:val="single"/>
          <w:lang w:eastAsia="zh-CN"/>
        </w:rPr>
        <w:t>宝鸡市凤翔区城关镇人民政府</w:t>
      </w:r>
      <w:r>
        <w:rPr>
          <w:rFonts w:ascii="宋体" w:hAnsi="宋体" w:eastAsia="宋体" w:cs="Times New Roman"/>
          <w:color w:val="auto"/>
          <w:kern w:val="0"/>
          <w:sz w:val="24"/>
          <w:szCs w:val="24"/>
          <w:highlight w:val="none"/>
        </w:rPr>
        <w:t>(以下简称“买方”)确定</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eastAsia="zh-CN"/>
        </w:rPr>
        <w:t>成交供应商</w:t>
      </w:r>
      <w:r>
        <w:rPr>
          <w:rFonts w:ascii="宋体" w:hAnsi="宋体" w:eastAsia="宋体" w:cs="Times New Roman"/>
          <w:color w:val="auto"/>
          <w:kern w:val="0"/>
          <w:sz w:val="24"/>
          <w:szCs w:val="24"/>
          <w:highlight w:val="none"/>
          <w:u w:val="single"/>
        </w:rPr>
        <w:t xml:space="preserve">名称) </w:t>
      </w:r>
      <w:r>
        <w:rPr>
          <w:rFonts w:ascii="宋体" w:hAnsi="宋体" w:eastAsia="宋体" w:cs="Times New Roman"/>
          <w:color w:val="auto"/>
          <w:kern w:val="0"/>
          <w:sz w:val="24"/>
          <w:szCs w:val="24"/>
          <w:highlight w:val="none"/>
        </w:rPr>
        <w:t>（以下简称“卖方”）为</w:t>
      </w:r>
      <w:r>
        <w:rPr>
          <w:rFonts w:hint="eastAsia" w:ascii="宋体" w:hAnsi="宋体" w:eastAsia="宋体" w:cs="Times New Roman"/>
          <w:color w:val="auto"/>
          <w:kern w:val="0"/>
          <w:sz w:val="24"/>
          <w:szCs w:val="24"/>
          <w:highlight w:val="none"/>
        </w:rPr>
        <w:t>成交供应商</w:t>
      </w:r>
      <w:r>
        <w:rPr>
          <w:rFonts w:ascii="宋体" w:hAnsi="宋体" w:eastAsia="宋体" w:cs="Times New Roman"/>
          <w:color w:val="auto"/>
          <w:kern w:val="0"/>
          <w:sz w:val="24"/>
          <w:szCs w:val="24"/>
          <w:highlight w:val="none"/>
        </w:rPr>
        <w:t>。</w:t>
      </w:r>
    </w:p>
    <w:p w14:paraId="426221F9">
      <w:pPr>
        <w:keepNext w:val="0"/>
        <w:keepLines w:val="0"/>
        <w:pageBreakBefore w:val="0"/>
        <w:kinsoku/>
        <w:wordWrap/>
        <w:overflowPunct/>
        <w:topLinePunct w:val="0"/>
        <w:autoSpaceDE/>
        <w:autoSpaceDN/>
        <w:bidi w:val="0"/>
        <w:spacing w:line="520" w:lineRule="exact"/>
        <w:ind w:right="220" w:rightChars="100" w:firstLine="500" w:firstLineChars="200"/>
        <w:textAlignment w:val="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依据《</w:t>
      </w:r>
      <w:r>
        <w:rPr>
          <w:rFonts w:hint="eastAsia" w:ascii="宋体" w:hAnsi="宋体" w:eastAsia="宋体" w:cs="Times New Roman"/>
          <w:color w:val="auto"/>
          <w:kern w:val="0"/>
          <w:sz w:val="24"/>
          <w:szCs w:val="24"/>
          <w:highlight w:val="none"/>
          <w:lang w:eastAsia="zh-CN"/>
        </w:rPr>
        <w:t>中华人民共和国民法典</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《中华人民共和国政府采购法》</w:t>
      </w:r>
      <w:r>
        <w:rPr>
          <w:rFonts w:hint="eastAsia" w:ascii="宋体" w:hAnsi="宋体" w:eastAsia="宋体" w:cs="Times New Roman"/>
          <w:color w:val="auto"/>
          <w:kern w:val="0"/>
          <w:sz w:val="24"/>
          <w:szCs w:val="24"/>
          <w:highlight w:val="none"/>
        </w:rPr>
        <w:t>《中华人民共和国政府采购法实施条例》</w:t>
      </w:r>
      <w:r>
        <w:rPr>
          <w:rFonts w:ascii="宋体" w:hAnsi="宋体" w:eastAsia="宋体" w:cs="Times New Roman"/>
          <w:color w:val="auto"/>
          <w:kern w:val="0"/>
          <w:sz w:val="24"/>
          <w:szCs w:val="24"/>
          <w:highlight w:val="none"/>
        </w:rPr>
        <w:t>，买方通过</w:t>
      </w:r>
      <w:r>
        <w:rPr>
          <w:rFonts w:hint="eastAsia" w:ascii="宋体" w:hAnsi="宋体" w:eastAsia="宋体" w:cs="Times New Roman"/>
          <w:color w:val="auto"/>
          <w:kern w:val="0"/>
          <w:sz w:val="24"/>
          <w:szCs w:val="24"/>
          <w:highlight w:val="none"/>
          <w:lang w:eastAsia="zh-CN"/>
        </w:rPr>
        <w:t>竞争性磋商</w:t>
      </w:r>
      <w:r>
        <w:rPr>
          <w:rFonts w:ascii="宋体" w:hAnsi="宋体" w:eastAsia="宋体" w:cs="Times New Roman"/>
          <w:color w:val="auto"/>
          <w:kern w:val="0"/>
          <w:sz w:val="24"/>
          <w:szCs w:val="24"/>
          <w:highlight w:val="none"/>
        </w:rPr>
        <w:t>采购</w:t>
      </w:r>
      <w:r>
        <w:rPr>
          <w:rFonts w:ascii="宋体" w:hAnsi="宋体" w:eastAsia="宋体" w:cs="Times New Roman"/>
          <w:color w:val="auto"/>
          <w:kern w:val="0"/>
          <w:sz w:val="24"/>
          <w:szCs w:val="24"/>
          <w:highlight w:val="none"/>
          <w:u w:val="single"/>
        </w:rPr>
        <w:t xml:space="preserve">（货物名称） </w:t>
      </w:r>
      <w:r>
        <w:rPr>
          <w:rFonts w:ascii="宋体" w:hAnsi="宋体" w:eastAsia="宋体" w:cs="Times New Roman"/>
          <w:color w:val="auto"/>
          <w:kern w:val="0"/>
          <w:sz w:val="24"/>
          <w:szCs w:val="24"/>
          <w:highlight w:val="none"/>
        </w:rPr>
        <w:t>，并接受了卖方以价格</w:t>
      </w:r>
      <w:r>
        <w:rPr>
          <w:rFonts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u w:val="single"/>
          <w:lang w:eastAsia="zh-CN"/>
        </w:rPr>
        <w:t>成交</w:t>
      </w:r>
      <w:r>
        <w:rPr>
          <w:rFonts w:ascii="宋体" w:hAnsi="宋体" w:eastAsia="宋体" w:cs="Times New Roman"/>
          <w:color w:val="auto"/>
          <w:kern w:val="0"/>
          <w:sz w:val="24"/>
          <w:szCs w:val="24"/>
          <w:highlight w:val="none"/>
          <w:u w:val="single"/>
        </w:rPr>
        <w:t>金额大写)</w:t>
      </w:r>
      <w:r>
        <w:rPr>
          <w:rFonts w:ascii="宋体" w:hAnsi="宋体" w:eastAsia="宋体" w:cs="Times New Roman"/>
          <w:color w:val="auto"/>
          <w:kern w:val="0"/>
          <w:sz w:val="24"/>
          <w:szCs w:val="24"/>
          <w:highlight w:val="none"/>
        </w:rPr>
        <w:t>(以下简称“合同价”)提供的产品及服务。</w:t>
      </w:r>
    </w:p>
    <w:p w14:paraId="7F6125BA">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4"/>
          <w:highlight w:val="none"/>
        </w:rPr>
      </w:pPr>
      <w:bookmarkStart w:id="30" w:name="_Toc188808831"/>
      <w:bookmarkStart w:id="31" w:name="_Toc193126879"/>
      <w:bookmarkStart w:id="32" w:name="_Toc194663916"/>
      <w:bookmarkStart w:id="33" w:name="_Toc193187095"/>
      <w:r>
        <w:rPr>
          <w:rFonts w:ascii="宋体" w:hAnsi="宋体" w:eastAsia="宋体" w:cs="Times New Roman"/>
          <w:color w:val="auto"/>
          <w:sz w:val="24"/>
          <w:szCs w:val="24"/>
          <w:highlight w:val="none"/>
        </w:rPr>
        <w:t>本合同在此声明如下：</w:t>
      </w:r>
    </w:p>
    <w:p w14:paraId="61BBED6C">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ascii="宋体" w:hAnsi="宋体" w:eastAsia="宋体" w:cs="Times New Roman"/>
          <w:color w:val="auto"/>
          <w:sz w:val="24"/>
          <w:szCs w:val="24"/>
          <w:highlight w:val="none"/>
        </w:rPr>
        <w:t>本合同中的词语和术语的含义与合同条款中定义的相同。</w:t>
      </w:r>
    </w:p>
    <w:p w14:paraId="1103F677">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下述文件是本合同的一部分，并与本合同一起阅读和解释：</w:t>
      </w:r>
    </w:p>
    <w:p w14:paraId="7A03CA45">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2.1</w:t>
      </w:r>
      <w:r>
        <w:rPr>
          <w:rFonts w:ascii="宋体" w:hAnsi="宋体" w:eastAsia="宋体" w:cs="Times New Roman"/>
          <w:color w:val="auto"/>
          <w:sz w:val="24"/>
          <w:szCs w:val="24"/>
          <w:highlight w:val="none"/>
        </w:rPr>
        <w:t>合同条款</w:t>
      </w:r>
    </w:p>
    <w:p w14:paraId="420C34B9">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2.2</w:t>
      </w:r>
      <w:r>
        <w:rPr>
          <w:rFonts w:ascii="宋体" w:hAnsi="宋体" w:eastAsia="宋体" w:cs="Times New Roman"/>
          <w:color w:val="auto"/>
          <w:sz w:val="24"/>
          <w:szCs w:val="24"/>
          <w:highlight w:val="none"/>
        </w:rPr>
        <w:t>合同条款附件</w:t>
      </w:r>
    </w:p>
    <w:p w14:paraId="6F530C9A">
      <w:pPr>
        <w:keepNext w:val="0"/>
        <w:keepLines w:val="0"/>
        <w:pageBreakBefore w:val="0"/>
        <w:kinsoku/>
        <w:wordWrap/>
        <w:overflowPunct/>
        <w:topLinePunct w:val="0"/>
        <w:autoSpaceDE/>
        <w:autoSpaceDN/>
        <w:bidi w:val="0"/>
        <w:spacing w:line="520" w:lineRule="exact"/>
        <w:ind w:firstLine="875" w:firstLineChars="350"/>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附件1—设备清单</w:t>
      </w:r>
    </w:p>
    <w:p w14:paraId="0C8AECE5">
      <w:pPr>
        <w:keepNext w:val="0"/>
        <w:keepLines w:val="0"/>
        <w:pageBreakBefore w:val="0"/>
        <w:kinsoku/>
        <w:wordWrap/>
        <w:overflowPunct/>
        <w:topLinePunct w:val="0"/>
        <w:autoSpaceDE/>
        <w:autoSpaceDN/>
        <w:bidi w:val="0"/>
        <w:spacing w:line="520" w:lineRule="exact"/>
        <w:ind w:firstLine="875" w:firstLineChars="350"/>
        <w:textAlignment w:val="auto"/>
        <w:rPr>
          <w:rFonts w:ascii="宋体" w:hAnsi="宋体" w:eastAsia="宋体" w:cs="Times New Roman"/>
          <w:sz w:val="24"/>
          <w:szCs w:val="24"/>
          <w:highlight w:val="none"/>
        </w:rPr>
      </w:pPr>
      <w:r>
        <w:rPr>
          <w:rFonts w:ascii="宋体" w:hAnsi="宋体" w:eastAsia="宋体" w:cs="Times New Roman"/>
          <w:sz w:val="24"/>
          <w:szCs w:val="24"/>
          <w:highlight w:val="none"/>
        </w:rPr>
        <w:t>附件2—质量保证</w:t>
      </w:r>
    </w:p>
    <w:p w14:paraId="6EA14A09">
      <w:pPr>
        <w:keepNext w:val="0"/>
        <w:keepLines w:val="0"/>
        <w:pageBreakBefore w:val="0"/>
        <w:kinsoku/>
        <w:wordWrap/>
        <w:overflowPunct/>
        <w:topLinePunct w:val="0"/>
        <w:autoSpaceDE/>
        <w:autoSpaceDN/>
        <w:bidi w:val="0"/>
        <w:spacing w:line="520" w:lineRule="exact"/>
        <w:ind w:firstLine="875" w:firstLineChars="350"/>
        <w:textAlignment w:val="auto"/>
        <w:rPr>
          <w:rFonts w:ascii="宋体" w:hAnsi="宋体" w:eastAsia="宋体" w:cs="Times New Roman"/>
          <w:sz w:val="24"/>
          <w:szCs w:val="24"/>
          <w:highlight w:val="none"/>
        </w:rPr>
      </w:pPr>
      <w:r>
        <w:rPr>
          <w:rFonts w:ascii="宋体" w:hAnsi="宋体" w:eastAsia="宋体" w:cs="Times New Roman"/>
          <w:sz w:val="24"/>
          <w:szCs w:val="24"/>
          <w:highlight w:val="none"/>
        </w:rPr>
        <w:t>附件3—售后服务方案</w:t>
      </w:r>
    </w:p>
    <w:p w14:paraId="214C5469">
      <w:pPr>
        <w:keepNext w:val="0"/>
        <w:keepLines w:val="0"/>
        <w:pageBreakBefore w:val="0"/>
        <w:kinsoku/>
        <w:wordWrap/>
        <w:overflowPunct/>
        <w:topLinePunct w:val="0"/>
        <w:autoSpaceDE/>
        <w:autoSpaceDN/>
        <w:bidi w:val="0"/>
        <w:spacing w:line="520" w:lineRule="exact"/>
        <w:ind w:firstLine="875" w:firstLineChars="350"/>
        <w:textAlignment w:val="auto"/>
        <w:rPr>
          <w:rFonts w:ascii="宋体" w:hAnsi="宋体" w:eastAsia="宋体" w:cs="Times New Roman"/>
          <w:sz w:val="24"/>
          <w:szCs w:val="24"/>
          <w:highlight w:val="none"/>
        </w:rPr>
      </w:pPr>
      <w:r>
        <w:rPr>
          <w:rFonts w:ascii="宋体" w:hAnsi="宋体" w:eastAsia="宋体" w:cs="Times New Roman"/>
          <w:sz w:val="24"/>
          <w:szCs w:val="24"/>
          <w:highlight w:val="none"/>
        </w:rPr>
        <w:t>附件</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—培训</w:t>
      </w:r>
      <w:r>
        <w:rPr>
          <w:rFonts w:hint="eastAsia" w:ascii="宋体" w:hAnsi="宋体" w:eastAsia="宋体" w:cs="Times New Roman"/>
          <w:sz w:val="24"/>
          <w:szCs w:val="24"/>
          <w:highlight w:val="none"/>
        </w:rPr>
        <w:t>方案</w:t>
      </w:r>
    </w:p>
    <w:p w14:paraId="3A037FA5">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2.3</w:t>
      </w:r>
      <w:r>
        <w:rPr>
          <w:rFonts w:ascii="宋体" w:hAnsi="宋体" w:eastAsia="宋体" w:cs="Times New Roman"/>
          <w:sz w:val="24"/>
          <w:szCs w:val="24"/>
          <w:highlight w:val="none"/>
        </w:rPr>
        <w:t>中标通知书</w:t>
      </w:r>
    </w:p>
    <w:p w14:paraId="2EB39A15">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2.4</w:t>
      </w:r>
      <w:r>
        <w:rPr>
          <w:rFonts w:hint="eastAsia" w:ascii="宋体" w:hAnsi="宋体" w:eastAsia="宋体" w:cs="Times New Roman"/>
          <w:sz w:val="24"/>
          <w:szCs w:val="24"/>
          <w:highlight w:val="none"/>
          <w:lang w:eastAsia="zh-CN"/>
        </w:rPr>
        <w:t>采购</w:t>
      </w:r>
      <w:r>
        <w:rPr>
          <w:rFonts w:ascii="宋体" w:hAnsi="宋体" w:eastAsia="宋体" w:cs="Times New Roman"/>
          <w:sz w:val="24"/>
          <w:szCs w:val="24"/>
          <w:highlight w:val="none"/>
        </w:rPr>
        <w:t>文件</w:t>
      </w:r>
    </w:p>
    <w:p w14:paraId="08AAD367">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lang w:eastAsia="zh-CN"/>
        </w:rPr>
        <w:t>响应</w:t>
      </w:r>
      <w:r>
        <w:rPr>
          <w:rFonts w:ascii="宋体" w:hAnsi="宋体" w:eastAsia="宋体" w:cs="Times New Roman"/>
          <w:sz w:val="24"/>
          <w:szCs w:val="24"/>
          <w:highlight w:val="none"/>
        </w:rPr>
        <w:t>文件</w:t>
      </w:r>
    </w:p>
    <w:p w14:paraId="442C668D">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3.</w:t>
      </w:r>
      <w:r>
        <w:rPr>
          <w:rFonts w:ascii="宋体" w:hAnsi="宋体" w:eastAsia="宋体" w:cs="Times New Roman"/>
          <w:sz w:val="24"/>
          <w:szCs w:val="24"/>
          <w:highlight w:val="none"/>
        </w:rPr>
        <w:t>考虑到买方将按照本合同向卖方支付货款，卖方在此保证全部按照合同的规定向买方提供货物和</w:t>
      </w:r>
      <w:r>
        <w:rPr>
          <w:rFonts w:hint="eastAsia" w:ascii="宋体" w:hAnsi="宋体" w:eastAsia="宋体" w:cs="Times New Roman"/>
          <w:sz w:val="24"/>
          <w:szCs w:val="24"/>
          <w:highlight w:val="none"/>
        </w:rPr>
        <w:t>与货物有关的</w:t>
      </w:r>
      <w:r>
        <w:rPr>
          <w:rFonts w:ascii="宋体" w:hAnsi="宋体" w:eastAsia="宋体" w:cs="Times New Roman"/>
          <w:sz w:val="24"/>
          <w:szCs w:val="24"/>
          <w:highlight w:val="none"/>
        </w:rPr>
        <w:t>服务，并修补缺陷。</w:t>
      </w:r>
    </w:p>
    <w:p w14:paraId="6308F342">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sz w:val="24"/>
          <w:szCs w:val="24"/>
          <w:highlight w:val="none"/>
          <w:lang w:val="en-US" w:eastAsia="zh-CN"/>
        </w:rPr>
        <w:t>4.</w:t>
      </w:r>
      <w:r>
        <w:rPr>
          <w:rFonts w:ascii="宋体" w:hAnsi="宋体" w:eastAsia="宋体" w:cs="Times New Roman"/>
          <w:sz w:val="24"/>
          <w:szCs w:val="24"/>
          <w:highlight w:val="none"/>
        </w:rPr>
        <w:t>考虑到卖方提</w:t>
      </w:r>
      <w:r>
        <w:rPr>
          <w:rFonts w:ascii="宋体" w:hAnsi="宋体" w:eastAsia="宋体" w:cs="Times New Roman"/>
          <w:color w:val="auto"/>
          <w:sz w:val="24"/>
          <w:szCs w:val="24"/>
          <w:highlight w:val="none"/>
        </w:rPr>
        <w:t>供的货物和</w:t>
      </w:r>
      <w:r>
        <w:rPr>
          <w:rFonts w:hint="eastAsia" w:ascii="宋体" w:hAnsi="宋体" w:eastAsia="宋体" w:cs="Times New Roman"/>
          <w:color w:val="auto"/>
          <w:sz w:val="24"/>
          <w:szCs w:val="24"/>
          <w:highlight w:val="none"/>
        </w:rPr>
        <w:t>与货物有关的</w:t>
      </w:r>
      <w:r>
        <w:rPr>
          <w:rFonts w:ascii="宋体" w:hAnsi="宋体" w:eastAsia="宋体" w:cs="Times New Roman"/>
          <w:color w:val="auto"/>
          <w:sz w:val="24"/>
          <w:szCs w:val="24"/>
          <w:highlight w:val="none"/>
        </w:rPr>
        <w:t>服务并修补缺陷，买方在此保证按照合同规定的时间和方式向卖方支付合同价或其他按合同规定应支付的金额。</w:t>
      </w:r>
    </w:p>
    <w:p w14:paraId="005F1499">
      <w:pPr>
        <w:keepNext w:val="0"/>
        <w:keepLines w:val="0"/>
        <w:pageBreakBefore w:val="0"/>
        <w:kinsoku/>
        <w:wordWrap/>
        <w:overflowPunct/>
        <w:topLinePunct w:val="0"/>
        <w:autoSpaceDE/>
        <w:autoSpaceDN/>
        <w:bidi w:val="0"/>
        <w:spacing w:line="520" w:lineRule="exact"/>
        <w:ind w:firstLine="500" w:firstLineChars="200"/>
        <w:textAlignment w:val="auto"/>
        <w:rPr>
          <w:rFonts w:hint="eastAsia" w:ascii="宋体" w:hAnsi="宋体" w:cs="宋体"/>
          <w:color w:val="auto"/>
          <w:kern w:val="0"/>
          <w:sz w:val="24"/>
        </w:rPr>
      </w:pPr>
      <w:r>
        <w:rPr>
          <w:rFonts w:hint="eastAsia" w:ascii="宋体" w:hAnsi="宋体" w:eastAsia="宋体" w:cs="Times New Roman"/>
          <w:color w:val="auto"/>
          <w:sz w:val="24"/>
          <w:szCs w:val="24"/>
          <w:highlight w:val="none"/>
          <w:lang w:val="en-US" w:eastAsia="zh-CN"/>
        </w:rPr>
        <w:t>5.</w:t>
      </w:r>
      <w:r>
        <w:rPr>
          <w:rFonts w:ascii="宋体" w:hAnsi="宋体" w:eastAsia="宋体" w:cs="Times New Roman"/>
          <w:color w:val="auto"/>
          <w:sz w:val="24"/>
          <w:szCs w:val="24"/>
          <w:highlight w:val="none"/>
        </w:rPr>
        <w:t>付款方式：</w:t>
      </w:r>
      <w:r>
        <w:rPr>
          <w:rFonts w:hint="eastAsia" w:ascii="宋体" w:hAnsi="宋体" w:cs="宋体"/>
          <w:color w:val="auto"/>
          <w:kern w:val="0"/>
          <w:sz w:val="24"/>
        </w:rPr>
        <w:t>甲乙双方签订合同时协商确定。</w:t>
      </w:r>
    </w:p>
    <w:p w14:paraId="1A75CDFB">
      <w:pPr>
        <w:keepNext w:val="0"/>
        <w:keepLines w:val="0"/>
        <w:pageBreakBefore w:val="0"/>
        <w:kinsoku/>
        <w:wordWrap/>
        <w:overflowPunct/>
        <w:topLinePunct w:val="0"/>
        <w:autoSpaceDE/>
        <w:autoSpaceDN/>
        <w:bidi w:val="0"/>
        <w:adjustRightInd w:val="0"/>
        <w:snapToGrid w:val="0"/>
        <w:spacing w:line="520" w:lineRule="exact"/>
        <w:ind w:firstLine="50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6.交付时间</w:t>
      </w:r>
      <w:r>
        <w:rPr>
          <w:rFonts w:hint="eastAsia" w:ascii="宋体" w:hAnsi="宋体" w:eastAsia="宋体" w:cs="Times New Roman"/>
          <w:color w:val="auto"/>
          <w:sz w:val="24"/>
          <w:szCs w:val="24"/>
          <w:highlight w:val="none"/>
        </w:rPr>
        <w:t>：自合同签订</w:t>
      </w:r>
      <w:r>
        <w:rPr>
          <w:rFonts w:hint="eastAsia" w:ascii="宋体" w:hAnsi="宋体" w:eastAsia="宋体" w:cs="Times New Roman"/>
          <w:color w:val="auto"/>
          <w:sz w:val="24"/>
          <w:szCs w:val="24"/>
          <w:highlight w:val="none"/>
          <w:lang w:val="en-US" w:eastAsia="zh-CN"/>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日历</w:t>
      </w:r>
      <w:r>
        <w:rPr>
          <w:rFonts w:hint="eastAsia" w:ascii="宋体" w:hAnsi="宋体" w:eastAsia="宋体" w:cs="Times New Roman"/>
          <w:color w:val="auto"/>
          <w:sz w:val="24"/>
          <w:szCs w:val="24"/>
          <w:highlight w:val="none"/>
          <w:lang w:val="en-US" w:eastAsia="zh-CN"/>
        </w:rPr>
        <w:t>天</w:t>
      </w:r>
      <w:r>
        <w:rPr>
          <w:rFonts w:hint="eastAsia" w:ascii="宋体" w:hAnsi="宋体" w:eastAsia="宋体" w:cs="Times New Roman"/>
          <w:color w:val="auto"/>
          <w:sz w:val="24"/>
          <w:szCs w:val="24"/>
          <w:highlight w:val="none"/>
        </w:rPr>
        <w:t>。</w:t>
      </w:r>
    </w:p>
    <w:p w14:paraId="03BF8F12">
      <w:pPr>
        <w:keepNext w:val="0"/>
        <w:keepLines w:val="0"/>
        <w:pageBreakBefore w:val="0"/>
        <w:kinsoku/>
        <w:wordWrap/>
        <w:overflowPunct/>
        <w:topLinePunct w:val="0"/>
        <w:autoSpaceDE/>
        <w:autoSpaceDN/>
        <w:bidi w:val="0"/>
        <w:adjustRightInd w:val="0"/>
        <w:snapToGrid w:val="0"/>
        <w:spacing w:line="520" w:lineRule="exact"/>
        <w:ind w:firstLine="50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 xml:space="preserve">  交货地点：</w:t>
      </w:r>
      <w:r>
        <w:rPr>
          <w:rFonts w:hint="eastAsia" w:ascii="宋体" w:hAnsi="宋体" w:cs="Times New Roman"/>
          <w:color w:val="auto"/>
          <w:sz w:val="24"/>
          <w:szCs w:val="24"/>
          <w:highlight w:val="none"/>
          <w:u w:val="single"/>
          <w:lang w:val="en-US" w:eastAsia="zh-CN"/>
        </w:rPr>
        <w:t xml:space="preserve">                      。</w:t>
      </w:r>
    </w:p>
    <w:p w14:paraId="192986DB">
      <w:pPr>
        <w:keepNext w:val="0"/>
        <w:keepLines w:val="0"/>
        <w:pageBreakBefore w:val="0"/>
        <w:kinsoku/>
        <w:wordWrap/>
        <w:overflowPunct/>
        <w:topLinePunct w:val="0"/>
        <w:autoSpaceDE/>
        <w:autoSpaceDN/>
        <w:bidi w:val="0"/>
        <w:spacing w:line="520" w:lineRule="exact"/>
        <w:ind w:firstLine="50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本合同一式</w:t>
      </w:r>
      <w:r>
        <w:rPr>
          <w:rFonts w:hint="eastAsia" w:ascii="宋体" w:hAnsi="宋体" w:eastAsia="宋体" w:cs="Times New Roman"/>
          <w:color w:val="auto"/>
          <w:sz w:val="24"/>
          <w:szCs w:val="24"/>
          <w:highlight w:val="none"/>
          <w:lang w:eastAsia="zh-CN"/>
        </w:rPr>
        <w:t>伍</w:t>
      </w:r>
      <w:r>
        <w:rPr>
          <w:rFonts w:hint="eastAsia" w:ascii="宋体" w:hAnsi="宋体" w:eastAsia="宋体" w:cs="Times New Roman"/>
          <w:color w:val="auto"/>
          <w:sz w:val="24"/>
          <w:szCs w:val="24"/>
          <w:highlight w:val="none"/>
        </w:rPr>
        <w:t>份，其中，买方贰份，卖方贰份，</w:t>
      </w:r>
      <w:r>
        <w:rPr>
          <w:rFonts w:hint="eastAsia" w:ascii="宋体" w:hAnsi="宋体" w:cs="Times New Roman"/>
          <w:color w:val="auto"/>
          <w:sz w:val="24"/>
          <w:szCs w:val="24"/>
          <w:highlight w:val="none"/>
          <w:u w:val="single"/>
          <w:lang w:eastAsia="zh-CN"/>
        </w:rPr>
        <w:t>中国共产党宝鸡市凤翔区城关镇纪律检查委员会</w:t>
      </w:r>
      <w:r>
        <w:rPr>
          <w:rFonts w:hint="eastAsia" w:ascii="宋体" w:hAnsi="宋体" w:eastAsia="宋体" w:cs="Times New Roman"/>
          <w:color w:val="auto"/>
          <w:sz w:val="24"/>
          <w:szCs w:val="24"/>
          <w:highlight w:val="none"/>
        </w:rPr>
        <w:t>备案壹份。</w:t>
      </w:r>
    </w:p>
    <w:p w14:paraId="7AEC8658">
      <w:pPr>
        <w:keepNext w:val="0"/>
        <w:keepLines w:val="0"/>
        <w:pageBreakBefore w:val="0"/>
        <w:kinsoku/>
        <w:wordWrap/>
        <w:overflowPunct/>
        <w:topLinePunct w:val="0"/>
        <w:autoSpaceDE/>
        <w:autoSpaceDN/>
        <w:bidi w:val="0"/>
        <w:adjustRightInd w:val="0"/>
        <w:snapToGrid w:val="0"/>
        <w:spacing w:line="520" w:lineRule="exact"/>
        <w:ind w:firstLine="500" w:firstLineChars="200"/>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8.</w:t>
      </w:r>
      <w:r>
        <w:rPr>
          <w:rFonts w:hint="eastAsia" w:ascii="宋体" w:hAnsi="宋体" w:eastAsia="宋体" w:cs="Times New Roman"/>
          <w:color w:val="auto"/>
          <w:kern w:val="0"/>
          <w:sz w:val="24"/>
          <w:szCs w:val="24"/>
          <w:highlight w:val="none"/>
        </w:rPr>
        <w:t>本合同由买卖双方共同签字盖章之日起生效。</w:t>
      </w:r>
    </w:p>
    <w:p w14:paraId="5023C6FB">
      <w:pPr>
        <w:keepNext w:val="0"/>
        <w:keepLines w:val="0"/>
        <w:pageBreakBefore w:val="0"/>
        <w:kinsoku/>
        <w:wordWrap/>
        <w:overflowPunct/>
        <w:topLinePunct w:val="0"/>
        <w:autoSpaceDE/>
        <w:autoSpaceDN/>
        <w:bidi w:val="0"/>
        <w:adjustRightInd w:val="0"/>
        <w:snapToGrid w:val="0"/>
        <w:spacing w:line="520" w:lineRule="exact"/>
        <w:ind w:firstLine="500" w:firstLineChars="200"/>
        <w:textAlignment w:val="auto"/>
        <w:rPr>
          <w:rFonts w:hint="eastAsia" w:ascii="宋体" w:hAnsi="宋体" w:eastAsia="宋体" w:cs="Times New Roman"/>
          <w:color w:val="auto"/>
          <w:kern w:val="0"/>
          <w:sz w:val="24"/>
          <w:szCs w:val="24"/>
          <w:highlight w:val="none"/>
        </w:rPr>
      </w:pPr>
    </w:p>
    <w:tbl>
      <w:tblPr>
        <w:tblStyle w:val="31"/>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14:paraId="24666F2D">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14:paraId="0870BF64">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 xml:space="preserve">买方名称： </w:t>
            </w:r>
          </w:p>
          <w:p w14:paraId="1C647C15">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 xml:space="preserve">地    址： </w:t>
            </w:r>
          </w:p>
          <w:p w14:paraId="4A7E8DB7">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邮    编：</w:t>
            </w:r>
          </w:p>
          <w:p w14:paraId="3037FE31">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电    话：</w:t>
            </w:r>
          </w:p>
          <w:p w14:paraId="111B28D1">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传    真：</w:t>
            </w:r>
          </w:p>
          <w:p w14:paraId="3DB1D41A">
            <w:pPr>
              <w:autoSpaceDE w:val="0"/>
              <w:autoSpaceDN w:val="0"/>
              <w:spacing w:line="440" w:lineRule="exact"/>
              <w:ind w:left="220" w:leftChars="100"/>
              <w:rPr>
                <w:rFonts w:ascii="宋体" w:hAnsi="宋体" w:eastAsia="宋体" w:cs="Times New Roman"/>
                <w:sz w:val="24"/>
                <w:szCs w:val="24"/>
                <w:highlight w:val="none"/>
              </w:rPr>
            </w:pPr>
          </w:p>
          <w:p w14:paraId="3232BF55">
            <w:pPr>
              <w:autoSpaceDE w:val="0"/>
              <w:autoSpaceDN w:val="0"/>
              <w:spacing w:line="440" w:lineRule="exact"/>
              <w:ind w:left="220" w:leftChars="100"/>
              <w:rPr>
                <w:rFonts w:ascii="宋体" w:hAnsi="宋体" w:eastAsia="宋体" w:cs="Times New Roman"/>
                <w:sz w:val="24"/>
                <w:szCs w:val="24"/>
                <w:highlight w:val="none"/>
              </w:rPr>
            </w:pPr>
          </w:p>
          <w:p w14:paraId="3DFFCDFD">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代表签字</w:t>
            </w:r>
            <w:r>
              <w:rPr>
                <w:rFonts w:hint="eastAsia" w:ascii="宋体" w:hAnsi="宋体" w:eastAsia="宋体" w:cs="Times New Roman"/>
                <w:sz w:val="24"/>
                <w:szCs w:val="24"/>
                <w:highlight w:val="none"/>
                <w:lang w:eastAsia="zh-CN"/>
              </w:rPr>
              <w:t>或盖章</w:t>
            </w:r>
            <w:r>
              <w:rPr>
                <w:rFonts w:ascii="宋体" w:hAnsi="宋体" w:eastAsia="宋体" w:cs="Times New Roman"/>
                <w:sz w:val="24"/>
                <w:szCs w:val="24"/>
                <w:highlight w:val="none"/>
              </w:rPr>
              <w:t>：</w:t>
            </w:r>
          </w:p>
          <w:p w14:paraId="59F3F920">
            <w:pPr>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盖章：</w:t>
            </w:r>
          </w:p>
          <w:p w14:paraId="5BE5D51C">
            <w:pPr>
              <w:autoSpaceDE w:val="0"/>
              <w:autoSpaceDN w:val="0"/>
              <w:spacing w:line="440" w:lineRule="exact"/>
              <w:rPr>
                <w:rFonts w:ascii="宋体" w:hAnsi="宋体" w:eastAsia="宋体" w:cs="Times New Roman"/>
                <w:sz w:val="24"/>
                <w:szCs w:val="24"/>
                <w:highlight w:val="none"/>
              </w:rPr>
            </w:pPr>
            <w:r>
              <w:rPr>
                <w:rFonts w:ascii="宋体" w:hAnsi="宋体" w:eastAsia="宋体" w:cs="Times New Roman"/>
                <w:sz w:val="24"/>
                <w:szCs w:val="24"/>
                <w:highlight w:val="none"/>
              </w:rPr>
              <w:t xml:space="preserve">                年  月  日     </w:t>
            </w:r>
          </w:p>
        </w:tc>
        <w:tc>
          <w:tcPr>
            <w:tcW w:w="3936" w:type="dxa"/>
            <w:noWrap w:val="0"/>
            <w:tcMar>
              <w:top w:w="113" w:type="dxa"/>
              <w:left w:w="113" w:type="dxa"/>
              <w:bottom w:w="113" w:type="dxa"/>
              <w:right w:w="113" w:type="dxa"/>
            </w:tcMar>
            <w:vAlign w:val="top"/>
          </w:tcPr>
          <w:p w14:paraId="4499EA88">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卖方名称：</w:t>
            </w:r>
          </w:p>
          <w:p w14:paraId="33C89E35">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 xml:space="preserve">地    址： </w:t>
            </w:r>
          </w:p>
          <w:p w14:paraId="5884E0BE">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 xml:space="preserve">邮    编： </w:t>
            </w:r>
          </w:p>
          <w:p w14:paraId="58AADFAF">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 xml:space="preserve">电    话： </w:t>
            </w:r>
          </w:p>
          <w:p w14:paraId="0A13A76D">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 xml:space="preserve">传    真：  </w:t>
            </w:r>
          </w:p>
          <w:p w14:paraId="73F43342">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开户银行：</w:t>
            </w:r>
          </w:p>
          <w:p w14:paraId="6630AD7B">
            <w:pPr>
              <w:autoSpaceDE w:val="0"/>
              <w:autoSpaceDN w:val="0"/>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帐    号：</w:t>
            </w:r>
          </w:p>
          <w:p w14:paraId="24159F0C">
            <w:pPr>
              <w:autoSpaceDE w:val="0"/>
              <w:autoSpaceDN w:val="0"/>
              <w:spacing w:line="440" w:lineRule="exact"/>
              <w:ind w:left="220" w:leftChars="100"/>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代表签字</w:t>
            </w:r>
            <w:r>
              <w:rPr>
                <w:rFonts w:hint="eastAsia" w:ascii="宋体" w:hAnsi="宋体" w:eastAsia="宋体" w:cs="Times New Roman"/>
                <w:sz w:val="24"/>
                <w:szCs w:val="24"/>
                <w:highlight w:val="none"/>
                <w:lang w:eastAsia="zh-CN"/>
              </w:rPr>
              <w:t>或盖章：</w:t>
            </w:r>
          </w:p>
          <w:p w14:paraId="5FF3319D">
            <w:pPr>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盖章：</w:t>
            </w:r>
          </w:p>
          <w:p w14:paraId="14F4DAF8">
            <w:pPr>
              <w:spacing w:line="440" w:lineRule="exact"/>
              <w:ind w:left="220" w:leftChars="100"/>
              <w:rPr>
                <w:rFonts w:ascii="宋体" w:hAnsi="宋体" w:eastAsia="宋体" w:cs="Times New Roman"/>
                <w:sz w:val="24"/>
                <w:szCs w:val="24"/>
                <w:highlight w:val="none"/>
              </w:rPr>
            </w:pPr>
            <w:r>
              <w:rPr>
                <w:rFonts w:ascii="宋体" w:hAnsi="宋体" w:eastAsia="宋体" w:cs="Times New Roman"/>
                <w:sz w:val="24"/>
                <w:szCs w:val="24"/>
                <w:highlight w:val="none"/>
              </w:rPr>
              <w:t xml:space="preserve">             年  月  日</w:t>
            </w:r>
          </w:p>
        </w:tc>
      </w:tr>
      <w:bookmarkEnd w:id="30"/>
      <w:bookmarkEnd w:id="31"/>
      <w:bookmarkEnd w:id="32"/>
      <w:bookmarkEnd w:id="33"/>
    </w:tbl>
    <w:p w14:paraId="747E2931">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C0D86AF">
      <w:pPr>
        <w:autoSpaceDE w:val="0"/>
        <w:autoSpaceDN w:val="0"/>
        <w:spacing w:line="700" w:lineRule="exact"/>
        <w:jc w:val="center"/>
        <w:outlineLvl w:val="0"/>
        <w:rPr>
          <w:rFonts w:ascii="宋体" w:hAnsi="宋体" w:cs="宋体"/>
          <w:b/>
          <w:color w:val="auto"/>
          <w:sz w:val="36"/>
          <w:szCs w:val="36"/>
          <w:highlight w:val="none"/>
        </w:rPr>
      </w:pPr>
      <w:bookmarkStart w:id="34" w:name="_Toc12060"/>
      <w:r>
        <w:rPr>
          <w:rFonts w:hint="eastAsia" w:ascii="宋体" w:hAnsi="宋体" w:cs="宋体"/>
          <w:b/>
          <w:color w:val="auto"/>
          <w:sz w:val="36"/>
          <w:szCs w:val="36"/>
          <w:highlight w:val="none"/>
        </w:rPr>
        <w:t>第五部分 竞争性磋商响应文件格式</w:t>
      </w:r>
      <w:bookmarkEnd w:id="34"/>
    </w:p>
    <w:p w14:paraId="5EC434EA">
      <w:pPr>
        <w:spacing w:line="60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竞争性磋商响应文件编制说明</w:t>
      </w:r>
    </w:p>
    <w:p w14:paraId="4168A0DE">
      <w:pPr>
        <w:numPr>
          <w:ilvl w:val="0"/>
          <w:numId w:val="5"/>
        </w:numPr>
        <w:spacing w:line="560" w:lineRule="exact"/>
        <w:ind w:firstLine="50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竞争性磋商文件提供的竞争性磋商响应文件格式，起到样式作用，编制竞争性磋商响应文件前，请详细阅读竞争性磋商文件，理解文件中的每一项要求。</w:t>
      </w:r>
    </w:p>
    <w:p w14:paraId="6ECBA550">
      <w:pPr>
        <w:numPr>
          <w:ilvl w:val="0"/>
          <w:numId w:val="5"/>
        </w:numPr>
        <w:spacing w:line="560" w:lineRule="exact"/>
        <w:ind w:firstLine="50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竞争性磋商响应文件的编制应按照样本格式提供的内容，做出逐一明确的答复；供应商认为有必要，还可以做其它补充说明。</w:t>
      </w:r>
    </w:p>
    <w:p w14:paraId="05D9EE59">
      <w:pPr>
        <w:spacing w:line="480" w:lineRule="exact"/>
        <w:ind w:firstLine="660" w:firstLineChars="200"/>
        <w:rPr>
          <w:rFonts w:ascii="宋体" w:hAnsi="宋体" w:cs="宋体"/>
          <w:bCs/>
          <w:color w:val="auto"/>
          <w:sz w:val="32"/>
          <w:szCs w:val="32"/>
          <w:highlight w:val="none"/>
        </w:rPr>
      </w:pPr>
    </w:p>
    <w:p w14:paraId="6A7E7A1E">
      <w:pPr>
        <w:pStyle w:val="6"/>
        <w:rPr>
          <w:color w:val="auto"/>
        </w:rPr>
      </w:pPr>
    </w:p>
    <w:p w14:paraId="2A0C9693">
      <w:pPr>
        <w:spacing w:line="480" w:lineRule="exact"/>
        <w:rPr>
          <w:rFonts w:ascii="宋体" w:hAnsi="宋体" w:cs="宋体"/>
          <w:bCs/>
          <w:color w:val="auto"/>
          <w:sz w:val="32"/>
          <w:szCs w:val="32"/>
          <w:highlight w:val="none"/>
        </w:rPr>
      </w:pPr>
    </w:p>
    <w:p w14:paraId="516BFD96">
      <w:pPr>
        <w:spacing w:line="480" w:lineRule="exact"/>
        <w:rPr>
          <w:rFonts w:ascii="宋体" w:hAnsi="宋体" w:cs="宋体"/>
          <w:bCs/>
          <w:color w:val="auto"/>
          <w:sz w:val="32"/>
          <w:szCs w:val="32"/>
          <w:highlight w:val="none"/>
        </w:rPr>
      </w:pPr>
    </w:p>
    <w:p w14:paraId="219447B3">
      <w:pPr>
        <w:spacing w:line="480" w:lineRule="exact"/>
        <w:rPr>
          <w:rFonts w:ascii="宋体" w:hAnsi="宋体" w:cs="宋体"/>
          <w:bCs/>
          <w:color w:val="auto"/>
          <w:sz w:val="32"/>
          <w:szCs w:val="32"/>
          <w:highlight w:val="none"/>
        </w:rPr>
      </w:pPr>
    </w:p>
    <w:p w14:paraId="6800E3AE">
      <w:pPr>
        <w:spacing w:line="480" w:lineRule="exact"/>
        <w:rPr>
          <w:rFonts w:ascii="宋体" w:hAnsi="宋体" w:cs="宋体"/>
          <w:bCs/>
          <w:color w:val="auto"/>
          <w:sz w:val="32"/>
          <w:szCs w:val="32"/>
          <w:highlight w:val="none"/>
        </w:rPr>
      </w:pPr>
    </w:p>
    <w:p w14:paraId="64AF39E3">
      <w:pPr>
        <w:spacing w:line="480" w:lineRule="exact"/>
        <w:rPr>
          <w:rFonts w:ascii="宋体" w:hAnsi="宋体" w:cs="宋体"/>
          <w:bCs/>
          <w:color w:val="auto"/>
          <w:sz w:val="32"/>
          <w:szCs w:val="32"/>
          <w:highlight w:val="none"/>
        </w:rPr>
      </w:pPr>
    </w:p>
    <w:p w14:paraId="1FD2DA85">
      <w:pPr>
        <w:spacing w:line="480" w:lineRule="exact"/>
        <w:rPr>
          <w:rFonts w:ascii="宋体" w:hAnsi="宋体" w:cs="宋体"/>
          <w:bCs/>
          <w:color w:val="auto"/>
          <w:sz w:val="32"/>
          <w:szCs w:val="32"/>
          <w:highlight w:val="none"/>
        </w:rPr>
      </w:pPr>
    </w:p>
    <w:p w14:paraId="55867A85">
      <w:pPr>
        <w:spacing w:line="480" w:lineRule="exact"/>
        <w:rPr>
          <w:rFonts w:ascii="宋体" w:hAnsi="宋体" w:cs="宋体"/>
          <w:bCs/>
          <w:color w:val="auto"/>
          <w:sz w:val="32"/>
          <w:szCs w:val="32"/>
          <w:highlight w:val="none"/>
        </w:rPr>
      </w:pPr>
    </w:p>
    <w:p w14:paraId="167834A8">
      <w:pPr>
        <w:spacing w:line="480" w:lineRule="exact"/>
        <w:rPr>
          <w:rFonts w:ascii="宋体" w:hAnsi="宋体" w:cs="宋体"/>
          <w:bCs/>
          <w:color w:val="auto"/>
          <w:sz w:val="32"/>
          <w:szCs w:val="32"/>
          <w:highlight w:val="none"/>
        </w:rPr>
      </w:pPr>
    </w:p>
    <w:p w14:paraId="6C5C8581">
      <w:pPr>
        <w:spacing w:line="480" w:lineRule="exact"/>
        <w:rPr>
          <w:rFonts w:ascii="宋体" w:hAnsi="宋体" w:cs="宋体"/>
          <w:bCs/>
          <w:color w:val="auto"/>
          <w:sz w:val="32"/>
          <w:szCs w:val="32"/>
          <w:highlight w:val="none"/>
        </w:rPr>
      </w:pPr>
    </w:p>
    <w:p w14:paraId="512B8034">
      <w:pPr>
        <w:spacing w:line="480" w:lineRule="exact"/>
        <w:rPr>
          <w:rFonts w:ascii="宋体" w:hAnsi="宋体" w:cs="宋体"/>
          <w:bCs/>
          <w:color w:val="auto"/>
          <w:sz w:val="32"/>
          <w:szCs w:val="32"/>
          <w:highlight w:val="none"/>
        </w:rPr>
      </w:pPr>
    </w:p>
    <w:p w14:paraId="745E31C2">
      <w:pPr>
        <w:spacing w:line="480" w:lineRule="exact"/>
        <w:rPr>
          <w:rFonts w:ascii="宋体" w:hAnsi="宋体" w:cs="宋体"/>
          <w:bCs/>
          <w:color w:val="auto"/>
          <w:sz w:val="32"/>
          <w:szCs w:val="32"/>
          <w:highlight w:val="none"/>
        </w:rPr>
      </w:pPr>
    </w:p>
    <w:p w14:paraId="5AD952FC">
      <w:pPr>
        <w:spacing w:line="480" w:lineRule="exact"/>
        <w:rPr>
          <w:rFonts w:ascii="宋体" w:hAnsi="宋体" w:cs="宋体"/>
          <w:bCs/>
          <w:color w:val="auto"/>
          <w:sz w:val="32"/>
          <w:szCs w:val="32"/>
          <w:highlight w:val="none"/>
        </w:rPr>
      </w:pPr>
    </w:p>
    <w:p w14:paraId="3C7E590F">
      <w:pPr>
        <w:spacing w:line="480" w:lineRule="exact"/>
        <w:rPr>
          <w:rFonts w:ascii="宋体" w:hAnsi="宋体" w:cs="宋体"/>
          <w:bCs/>
          <w:color w:val="auto"/>
          <w:sz w:val="32"/>
          <w:szCs w:val="32"/>
          <w:highlight w:val="none"/>
        </w:rPr>
      </w:pPr>
    </w:p>
    <w:p w14:paraId="54C554FA">
      <w:pPr>
        <w:pStyle w:val="6"/>
        <w:rPr>
          <w:rFonts w:ascii="宋体" w:hAnsi="宋体" w:cs="宋体"/>
          <w:bCs/>
          <w:color w:val="auto"/>
          <w:sz w:val="32"/>
          <w:szCs w:val="32"/>
          <w:highlight w:val="none"/>
        </w:rPr>
      </w:pPr>
    </w:p>
    <w:p w14:paraId="67E244D2">
      <w:pPr>
        <w:spacing w:line="480" w:lineRule="exact"/>
        <w:rPr>
          <w:rFonts w:ascii="宋体" w:hAnsi="宋体" w:cs="宋体"/>
          <w:bCs/>
          <w:color w:val="auto"/>
          <w:sz w:val="32"/>
          <w:szCs w:val="32"/>
          <w:highlight w:val="none"/>
        </w:rPr>
      </w:pPr>
    </w:p>
    <w:p w14:paraId="28CEA275">
      <w:pPr>
        <w:pStyle w:val="49"/>
        <w:rPr>
          <w:color w:val="auto"/>
        </w:rPr>
      </w:pPr>
    </w:p>
    <w:p w14:paraId="65676DA0">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BBADABF">
      <w:pPr>
        <w:pStyle w:val="48"/>
        <w:ind w:left="0" w:leftChars="0" w:firstLine="0" w:firstLineChars="0"/>
        <w:rPr>
          <w:rFonts w:hint="eastAsia"/>
          <w:color w:val="auto"/>
          <w:sz w:val="24"/>
          <w:szCs w:val="28"/>
          <w:lang w:eastAsia="zh-CN"/>
        </w:rPr>
      </w:pPr>
      <w:r>
        <w:rPr>
          <w:rFonts w:hint="eastAsia" w:ascii="宋体" w:hAnsi="宋体" w:cs="宋体"/>
          <w:b/>
          <w:color w:val="auto"/>
          <w:sz w:val="24"/>
          <w:szCs w:val="24"/>
          <w:highlight w:val="none"/>
        </w:rPr>
        <w:t>项目编号</w:t>
      </w:r>
      <w:r>
        <w:rPr>
          <w:rFonts w:hint="eastAsia" w:ascii="宋体" w:hAnsi="宋体" w:cs="宋体"/>
          <w:b/>
          <w:color w:val="auto"/>
          <w:sz w:val="24"/>
          <w:szCs w:val="24"/>
          <w:highlight w:val="none"/>
          <w:lang w:eastAsia="zh-CN"/>
        </w:rPr>
        <w:t>：SXHXBJ-2025-10-001</w:t>
      </w:r>
    </w:p>
    <w:p w14:paraId="710F0E85">
      <w:pPr>
        <w:jc w:val="center"/>
        <w:rPr>
          <w:rFonts w:hint="eastAsia" w:ascii="宋体" w:hAnsi="宋体" w:cs="宋体"/>
          <w:b/>
          <w:color w:val="auto"/>
          <w:spacing w:val="-6"/>
          <w:sz w:val="44"/>
          <w:szCs w:val="44"/>
          <w:highlight w:val="none"/>
          <w:lang w:eastAsia="zh-CN"/>
        </w:rPr>
      </w:pPr>
    </w:p>
    <w:p w14:paraId="2935024F">
      <w:pPr>
        <w:pStyle w:val="9"/>
        <w:rPr>
          <w:rFonts w:hint="eastAsia" w:ascii="宋体" w:hAnsi="宋体" w:cs="宋体"/>
          <w:b/>
          <w:color w:val="auto"/>
          <w:spacing w:val="-6"/>
          <w:sz w:val="44"/>
          <w:szCs w:val="44"/>
          <w:highlight w:val="none"/>
          <w:lang w:eastAsia="zh-CN"/>
        </w:rPr>
      </w:pPr>
    </w:p>
    <w:p w14:paraId="4F1A6BA0">
      <w:pPr>
        <w:rPr>
          <w:rFonts w:hint="eastAsia"/>
          <w:lang w:eastAsia="zh-CN"/>
        </w:rPr>
      </w:pPr>
    </w:p>
    <w:p w14:paraId="630DAA68">
      <w:pPr>
        <w:jc w:val="center"/>
        <w:rPr>
          <w:rFonts w:hint="eastAsia" w:ascii="宋体" w:hAnsi="宋体" w:cs="宋体"/>
          <w:bCs/>
          <w:color w:val="auto"/>
          <w:sz w:val="28"/>
          <w:szCs w:val="28"/>
          <w:highlight w:val="none"/>
        </w:rPr>
      </w:pPr>
      <w:r>
        <w:rPr>
          <w:rFonts w:hint="eastAsia" w:ascii="宋体" w:hAnsi="宋体" w:cs="宋体"/>
          <w:b/>
          <w:color w:val="auto"/>
          <w:spacing w:val="0"/>
          <w:sz w:val="44"/>
          <w:szCs w:val="44"/>
          <w:highlight w:val="none"/>
          <w:lang w:eastAsia="zh-CN"/>
        </w:rPr>
        <w:t>2025年城关镇村集体经济组织规模化高梁等农作物种植产能提升项目</w:t>
      </w:r>
    </w:p>
    <w:p w14:paraId="61D4EAA5">
      <w:pPr>
        <w:pStyle w:val="6"/>
        <w:rPr>
          <w:rFonts w:hint="eastAsia"/>
          <w:color w:val="auto"/>
          <w:highlight w:val="none"/>
        </w:rPr>
      </w:pPr>
    </w:p>
    <w:p w14:paraId="3B74A9B2">
      <w:pPr>
        <w:jc w:val="center"/>
        <w:rPr>
          <w:rFonts w:hint="eastAsia" w:ascii="宋体" w:hAnsi="宋体" w:cs="宋体"/>
          <w:b/>
          <w:color w:val="auto"/>
          <w:sz w:val="48"/>
          <w:szCs w:val="48"/>
          <w:highlight w:val="none"/>
        </w:rPr>
      </w:pPr>
    </w:p>
    <w:p w14:paraId="6ECAC694">
      <w:pPr>
        <w:jc w:val="center"/>
        <w:rPr>
          <w:rFonts w:hint="eastAsia" w:ascii="宋体" w:hAnsi="宋体" w:cs="宋体"/>
          <w:b/>
          <w:color w:val="auto"/>
          <w:sz w:val="48"/>
          <w:szCs w:val="48"/>
          <w:highlight w:val="none"/>
        </w:rPr>
      </w:pPr>
    </w:p>
    <w:p w14:paraId="0D105D11">
      <w:pPr>
        <w:jc w:val="center"/>
        <w:rPr>
          <w:rFonts w:ascii="宋体" w:hAnsi="宋体" w:cs="宋体"/>
          <w:b/>
          <w:color w:val="auto"/>
          <w:sz w:val="44"/>
          <w:szCs w:val="44"/>
          <w:highlight w:val="none"/>
        </w:rPr>
      </w:pPr>
      <w:r>
        <w:rPr>
          <w:rFonts w:hint="eastAsia" w:ascii="宋体" w:hAnsi="宋体" w:cs="宋体"/>
          <w:b/>
          <w:color w:val="auto"/>
          <w:sz w:val="44"/>
          <w:szCs w:val="44"/>
          <w:highlight w:val="none"/>
        </w:rPr>
        <w:t>竞争性磋商响应文件</w:t>
      </w:r>
    </w:p>
    <w:p w14:paraId="339CA428">
      <w:pPr>
        <w:spacing w:line="480" w:lineRule="exact"/>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47C5C33E">
      <w:pPr>
        <w:spacing w:line="480" w:lineRule="exact"/>
        <w:rPr>
          <w:rFonts w:ascii="宋体" w:hAnsi="宋体" w:cs="宋体"/>
          <w:bCs/>
          <w:color w:val="auto"/>
          <w:sz w:val="28"/>
          <w:szCs w:val="28"/>
          <w:highlight w:val="none"/>
        </w:rPr>
      </w:pPr>
    </w:p>
    <w:p w14:paraId="7ED3072C">
      <w:pPr>
        <w:pStyle w:val="6"/>
        <w:rPr>
          <w:rFonts w:ascii="宋体" w:hAnsi="宋体" w:cs="宋体"/>
          <w:bCs/>
          <w:color w:val="auto"/>
          <w:sz w:val="28"/>
          <w:szCs w:val="28"/>
          <w:highlight w:val="none"/>
        </w:rPr>
      </w:pPr>
    </w:p>
    <w:p w14:paraId="2B2F5965">
      <w:pPr>
        <w:pStyle w:val="6"/>
        <w:ind w:left="0" w:leftChars="0" w:firstLine="0" w:firstLineChars="0"/>
        <w:rPr>
          <w:rFonts w:ascii="宋体" w:hAnsi="宋体" w:cs="宋体"/>
          <w:bCs/>
          <w:color w:val="auto"/>
          <w:sz w:val="28"/>
          <w:szCs w:val="28"/>
          <w:highlight w:val="none"/>
        </w:rPr>
      </w:pPr>
    </w:p>
    <w:p w14:paraId="027DE7C7">
      <w:pPr>
        <w:spacing w:line="480" w:lineRule="exact"/>
        <w:rPr>
          <w:rFonts w:ascii="宋体" w:hAnsi="宋体" w:cs="宋体"/>
          <w:bCs/>
          <w:color w:val="auto"/>
          <w:sz w:val="28"/>
          <w:szCs w:val="28"/>
          <w:highlight w:val="none"/>
        </w:rPr>
      </w:pPr>
    </w:p>
    <w:p w14:paraId="4D6A5D90">
      <w:pPr>
        <w:pStyle w:val="6"/>
        <w:rPr>
          <w:color w:val="auto"/>
          <w:highlight w:val="none"/>
        </w:rPr>
      </w:pPr>
    </w:p>
    <w:p w14:paraId="60600C49">
      <w:pPr>
        <w:pStyle w:val="16"/>
        <w:spacing w:line="720" w:lineRule="auto"/>
        <w:ind w:left="629" w:firstLine="580" w:firstLineChars="200"/>
        <w:jc w:val="left"/>
        <w:rPr>
          <w:rFonts w:hAnsi="宋体" w:cs="宋体"/>
          <w:color w:val="auto"/>
          <w:sz w:val="28"/>
          <w:szCs w:val="18"/>
          <w:highlight w:val="none"/>
        </w:rPr>
      </w:pPr>
      <w:r>
        <w:rPr>
          <w:rFonts w:hint="eastAsia" w:hAnsi="宋体" w:cs="宋体"/>
          <w:color w:val="auto"/>
          <w:sz w:val="28"/>
          <w:szCs w:val="18"/>
          <w:highlight w:val="none"/>
        </w:rPr>
        <w:t>供应商名称：</w:t>
      </w:r>
      <w:r>
        <w:rPr>
          <w:rFonts w:hint="eastAsia" w:hAnsi="宋体" w:cs="宋体"/>
          <w:color w:val="auto"/>
          <w:sz w:val="28"/>
          <w:szCs w:val="18"/>
          <w:highlight w:val="none"/>
          <w:u w:val="single"/>
        </w:rPr>
        <w:t xml:space="preserve">                    （公    章）</w:t>
      </w:r>
    </w:p>
    <w:p w14:paraId="59CC57BB">
      <w:pPr>
        <w:pStyle w:val="16"/>
        <w:spacing w:line="720" w:lineRule="auto"/>
        <w:ind w:left="629" w:firstLine="580" w:firstLineChars="200"/>
        <w:rPr>
          <w:rFonts w:hAnsi="宋体" w:cs="宋体"/>
          <w:color w:val="auto"/>
          <w:sz w:val="28"/>
          <w:szCs w:val="18"/>
          <w:highlight w:val="none"/>
        </w:rPr>
      </w:pPr>
      <w:r>
        <w:rPr>
          <w:rFonts w:hint="eastAsia" w:hAnsi="宋体" w:cs="宋体"/>
          <w:color w:val="auto"/>
          <w:sz w:val="28"/>
          <w:szCs w:val="18"/>
          <w:highlight w:val="none"/>
        </w:rPr>
        <w:t>法定代表人或其委托代理人：</w:t>
      </w:r>
      <w:r>
        <w:rPr>
          <w:rFonts w:hint="eastAsia" w:hAnsi="宋体" w:cs="宋体"/>
          <w:color w:val="auto"/>
          <w:sz w:val="28"/>
          <w:szCs w:val="18"/>
          <w:highlight w:val="none"/>
          <w:u w:val="single"/>
        </w:rPr>
        <w:t xml:space="preserve">     （签字或盖章）</w:t>
      </w:r>
    </w:p>
    <w:p w14:paraId="71996576">
      <w:pPr>
        <w:pStyle w:val="16"/>
        <w:spacing w:line="720" w:lineRule="auto"/>
        <w:ind w:left="629" w:firstLine="580" w:firstLineChars="200"/>
        <w:rPr>
          <w:rFonts w:hAnsi="宋体" w:cs="宋体"/>
          <w:color w:val="auto"/>
          <w:sz w:val="28"/>
          <w:szCs w:val="18"/>
          <w:highlight w:val="none"/>
        </w:rPr>
      </w:pPr>
      <w:r>
        <w:rPr>
          <w:rFonts w:hint="eastAsia" w:hAnsi="宋体" w:cs="宋体"/>
          <w:color w:val="auto"/>
          <w:sz w:val="28"/>
          <w:szCs w:val="18"/>
          <w:highlight w:val="none"/>
        </w:rPr>
        <w:t xml:space="preserve">日    期： </w:t>
      </w:r>
      <w:r>
        <w:rPr>
          <w:rFonts w:hint="eastAsia" w:hAnsi="宋体" w:cs="宋体"/>
          <w:color w:val="auto"/>
          <w:sz w:val="28"/>
          <w:szCs w:val="18"/>
          <w:highlight w:val="none"/>
          <w:u w:val="single"/>
        </w:rPr>
        <w:t xml:space="preserve">         </w:t>
      </w:r>
      <w:r>
        <w:rPr>
          <w:rFonts w:hint="eastAsia" w:hAnsi="宋体" w:cs="宋体"/>
          <w:color w:val="auto"/>
          <w:sz w:val="28"/>
          <w:szCs w:val="18"/>
          <w:highlight w:val="none"/>
        </w:rPr>
        <w:t xml:space="preserve">年 </w:t>
      </w:r>
      <w:r>
        <w:rPr>
          <w:rFonts w:hint="eastAsia" w:hAnsi="宋体" w:cs="宋体"/>
          <w:color w:val="auto"/>
          <w:sz w:val="28"/>
          <w:szCs w:val="18"/>
          <w:highlight w:val="none"/>
          <w:u w:val="single"/>
        </w:rPr>
        <w:t xml:space="preserve">     </w:t>
      </w:r>
      <w:r>
        <w:rPr>
          <w:rFonts w:hint="eastAsia" w:hAnsi="宋体" w:cs="宋体"/>
          <w:color w:val="auto"/>
          <w:sz w:val="28"/>
          <w:szCs w:val="18"/>
          <w:highlight w:val="none"/>
        </w:rPr>
        <w:t xml:space="preserve"> 月 </w:t>
      </w:r>
      <w:r>
        <w:rPr>
          <w:rFonts w:hint="eastAsia" w:hAnsi="宋体" w:cs="宋体"/>
          <w:color w:val="auto"/>
          <w:sz w:val="28"/>
          <w:szCs w:val="18"/>
          <w:highlight w:val="none"/>
          <w:u w:val="single"/>
        </w:rPr>
        <w:t xml:space="preserve">      </w:t>
      </w:r>
      <w:r>
        <w:rPr>
          <w:rFonts w:hint="eastAsia" w:hAnsi="宋体" w:cs="宋体"/>
          <w:color w:val="auto"/>
          <w:sz w:val="28"/>
          <w:szCs w:val="18"/>
          <w:highlight w:val="none"/>
        </w:rPr>
        <w:t xml:space="preserve"> 日</w:t>
      </w:r>
    </w:p>
    <w:p w14:paraId="3146919B">
      <w:pPr>
        <w:widowControl/>
        <w:jc w:val="center"/>
        <w:rPr>
          <w:rFonts w:ascii="宋体" w:hAnsi="宋体" w:cs="宋体"/>
          <w:b/>
          <w:bCs/>
          <w:color w:val="auto"/>
          <w:kern w:val="0"/>
          <w:szCs w:val="21"/>
          <w:highlight w:val="none"/>
        </w:rPr>
      </w:pPr>
    </w:p>
    <w:p w14:paraId="5F63CEFF">
      <w:pPr>
        <w:widowControl/>
        <w:spacing w:line="480" w:lineRule="auto"/>
        <w:jc w:val="center"/>
        <w:rPr>
          <w:rFonts w:hint="eastAsia" w:ascii="宋体" w:hAnsi="宋体" w:cs="宋体"/>
          <w:b/>
          <w:bCs/>
          <w:color w:val="auto"/>
          <w:kern w:val="0"/>
          <w:sz w:val="40"/>
          <w:szCs w:val="40"/>
          <w:highlight w:val="none"/>
        </w:rPr>
      </w:pPr>
    </w:p>
    <w:p w14:paraId="44399548">
      <w:pPr>
        <w:pStyle w:val="48"/>
        <w:rPr>
          <w:rFonts w:hint="eastAsia"/>
          <w:color w:val="auto"/>
        </w:rPr>
      </w:pPr>
    </w:p>
    <w:p w14:paraId="652FDB26">
      <w:pPr>
        <w:widowControl/>
        <w:spacing w:line="48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40"/>
          <w:szCs w:val="40"/>
          <w:highlight w:val="none"/>
        </w:rPr>
        <w:t>目  录</w:t>
      </w:r>
    </w:p>
    <w:p w14:paraId="134071ED">
      <w:pPr>
        <w:spacing w:line="760" w:lineRule="exact"/>
        <w:ind w:firstLine="1500" w:firstLineChars="6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 磋商响应函</w:t>
      </w:r>
    </w:p>
    <w:p w14:paraId="4C15208F">
      <w:pPr>
        <w:spacing w:line="760" w:lineRule="exact"/>
        <w:ind w:firstLine="1500" w:firstLineChars="6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 报价一览表</w:t>
      </w:r>
    </w:p>
    <w:p w14:paraId="4662FE9C">
      <w:pPr>
        <w:spacing w:line="760" w:lineRule="exact"/>
        <w:ind w:firstLine="1500" w:firstLineChars="6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三、 法定代表人身份证明</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rPr>
        <w:t>法人授权委托书</w:t>
      </w:r>
    </w:p>
    <w:p w14:paraId="704EC979">
      <w:pPr>
        <w:spacing w:line="760" w:lineRule="exact"/>
        <w:ind w:firstLine="1500" w:firstLineChars="6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四、 </w:t>
      </w:r>
      <w:r>
        <w:rPr>
          <w:rFonts w:hint="eastAsia" w:ascii="宋体" w:hAnsi="宋体" w:cs="宋体"/>
          <w:color w:val="auto"/>
          <w:kern w:val="0"/>
          <w:sz w:val="24"/>
          <w:szCs w:val="24"/>
          <w:highlight w:val="none"/>
          <w:lang w:eastAsia="zh-CN"/>
        </w:rPr>
        <w:t>技术参数</w:t>
      </w:r>
      <w:r>
        <w:rPr>
          <w:rFonts w:hint="eastAsia" w:ascii="宋体" w:hAnsi="宋体" w:cs="宋体"/>
          <w:color w:val="auto"/>
          <w:kern w:val="0"/>
          <w:sz w:val="24"/>
          <w:szCs w:val="24"/>
          <w:highlight w:val="none"/>
        </w:rPr>
        <w:t>响应偏离表</w:t>
      </w:r>
    </w:p>
    <w:p w14:paraId="486890D1">
      <w:pPr>
        <w:spacing w:line="760" w:lineRule="exact"/>
        <w:ind w:firstLine="1500" w:firstLineChars="6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 商务</w:t>
      </w:r>
      <w:r>
        <w:rPr>
          <w:rFonts w:hint="eastAsia" w:ascii="宋体" w:hAnsi="宋体" w:cs="宋体"/>
          <w:color w:val="auto"/>
          <w:kern w:val="0"/>
          <w:sz w:val="24"/>
          <w:szCs w:val="24"/>
          <w:highlight w:val="none"/>
          <w:lang w:eastAsia="zh-CN"/>
        </w:rPr>
        <w:t>条款</w:t>
      </w:r>
      <w:r>
        <w:rPr>
          <w:rFonts w:hint="eastAsia" w:ascii="宋体" w:hAnsi="宋体" w:cs="宋体"/>
          <w:color w:val="auto"/>
          <w:kern w:val="0"/>
          <w:sz w:val="24"/>
          <w:szCs w:val="24"/>
          <w:highlight w:val="none"/>
        </w:rPr>
        <w:t>响应偏离表</w:t>
      </w:r>
    </w:p>
    <w:p w14:paraId="1E3805E5">
      <w:pPr>
        <w:spacing w:line="760" w:lineRule="exact"/>
        <w:ind w:firstLine="1500" w:firstLineChars="6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eastAsia="zh-CN"/>
        </w:rPr>
        <w:t>相关资格证明文件</w:t>
      </w:r>
    </w:p>
    <w:p w14:paraId="7E77175F">
      <w:pPr>
        <w:spacing w:line="760" w:lineRule="exact"/>
        <w:ind w:firstLine="1500" w:firstLineChars="6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磋商保证金</w:t>
      </w:r>
    </w:p>
    <w:p w14:paraId="29288174">
      <w:pPr>
        <w:spacing w:line="760" w:lineRule="exact"/>
        <w:ind w:firstLine="1500" w:firstLineChars="6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 供应商近3年类似业绩证明</w:t>
      </w:r>
    </w:p>
    <w:p w14:paraId="19C8467A">
      <w:pPr>
        <w:spacing w:line="760" w:lineRule="exact"/>
        <w:ind w:firstLine="1500" w:firstLineChars="6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九</w:t>
      </w:r>
      <w:r>
        <w:rPr>
          <w:rFonts w:hint="eastAsia" w:ascii="宋体" w:hAnsi="宋体" w:cs="宋体"/>
          <w:color w:val="auto"/>
          <w:kern w:val="0"/>
          <w:sz w:val="24"/>
          <w:szCs w:val="24"/>
          <w:highlight w:val="none"/>
        </w:rPr>
        <w:t>、 宝鸡市政府采购供应商诚信承诺书</w:t>
      </w:r>
    </w:p>
    <w:p w14:paraId="443D9DE3">
      <w:pPr>
        <w:spacing w:line="760" w:lineRule="exact"/>
        <w:ind w:firstLine="1500" w:firstLineChars="6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十、拒绝政府采购领域商业贿赂承诺书</w:t>
      </w:r>
    </w:p>
    <w:p w14:paraId="1B37A738">
      <w:pPr>
        <w:spacing w:line="760" w:lineRule="exact"/>
        <w:ind w:firstLine="1500" w:firstLineChars="6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一</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实施</w:t>
      </w:r>
      <w:r>
        <w:rPr>
          <w:rFonts w:hint="eastAsia" w:ascii="宋体" w:hAnsi="宋体" w:cs="宋体"/>
          <w:color w:val="auto"/>
          <w:kern w:val="0"/>
          <w:sz w:val="24"/>
          <w:szCs w:val="24"/>
          <w:highlight w:val="none"/>
        </w:rPr>
        <w:t>方案说明</w:t>
      </w:r>
    </w:p>
    <w:p w14:paraId="64ED13F7">
      <w:pPr>
        <w:spacing w:line="760" w:lineRule="exact"/>
        <w:ind w:firstLine="1500" w:firstLineChars="6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十</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售后服务方案</w:t>
      </w:r>
    </w:p>
    <w:p w14:paraId="37642822">
      <w:pPr>
        <w:spacing w:line="760" w:lineRule="exact"/>
        <w:ind w:firstLine="1500" w:firstLineChars="6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、其他资料</w:t>
      </w:r>
    </w:p>
    <w:p w14:paraId="36C00DAD">
      <w:pPr>
        <w:spacing w:line="760" w:lineRule="exact"/>
        <w:ind w:firstLine="1500" w:firstLineChars="600"/>
        <w:rPr>
          <w:rFonts w:hint="eastAsia" w:ascii="宋体" w:hAnsi="宋体" w:cs="宋体"/>
          <w:color w:val="auto"/>
          <w:kern w:val="0"/>
          <w:sz w:val="24"/>
          <w:szCs w:val="24"/>
          <w:highlight w:val="none"/>
          <w:lang w:eastAsia="zh-CN"/>
        </w:rPr>
      </w:pPr>
    </w:p>
    <w:p w14:paraId="28DA57C0">
      <w:pPr>
        <w:pStyle w:val="11"/>
        <w:ind w:firstLine="1500" w:firstLineChars="600"/>
        <w:rPr>
          <w:rFonts w:hint="eastAsia"/>
          <w:color w:val="auto"/>
          <w:sz w:val="24"/>
          <w:szCs w:val="24"/>
          <w:highlight w:val="none"/>
          <w:lang w:eastAsia="zh-CN"/>
        </w:rPr>
      </w:pPr>
    </w:p>
    <w:p w14:paraId="0D6D7E90">
      <w:pPr>
        <w:rPr>
          <w:rFonts w:hint="eastAsia"/>
          <w:color w:val="auto"/>
          <w:sz w:val="24"/>
          <w:szCs w:val="24"/>
          <w:highlight w:val="none"/>
          <w:lang w:eastAsia="zh-CN"/>
        </w:rPr>
      </w:pPr>
    </w:p>
    <w:p w14:paraId="5BAAFFE4">
      <w:pPr>
        <w:rPr>
          <w:rFonts w:hint="eastAsia"/>
          <w:color w:val="auto"/>
          <w:sz w:val="24"/>
          <w:szCs w:val="24"/>
          <w:highlight w:val="none"/>
          <w:lang w:eastAsia="zh-CN"/>
        </w:rPr>
      </w:pPr>
      <w:r>
        <w:rPr>
          <w:rFonts w:hint="eastAsia"/>
          <w:color w:val="auto"/>
          <w:sz w:val="24"/>
          <w:szCs w:val="24"/>
          <w:highlight w:val="none"/>
          <w:lang w:eastAsia="zh-CN"/>
        </w:rPr>
        <w:br w:type="page"/>
      </w:r>
    </w:p>
    <w:p w14:paraId="73A7A67F">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color w:val="auto"/>
          <w:sz w:val="32"/>
          <w:szCs w:val="32"/>
          <w:highlight w:val="none"/>
        </w:rPr>
      </w:pPr>
      <w:bookmarkStart w:id="35" w:name="_Toc29443"/>
      <w:bookmarkStart w:id="36" w:name="_Toc5270"/>
      <w:bookmarkStart w:id="37" w:name="_Toc29700"/>
      <w:bookmarkStart w:id="38" w:name="_Toc2103_WPSOffice_Level1"/>
      <w:r>
        <w:rPr>
          <w:rFonts w:hint="eastAsia" w:ascii="宋体" w:hAnsi="宋体" w:eastAsia="宋体" w:cs="宋体"/>
          <w:b/>
          <w:color w:val="auto"/>
          <w:sz w:val="32"/>
          <w:szCs w:val="32"/>
          <w:highlight w:val="none"/>
        </w:rPr>
        <w:t>磋商响应函</w:t>
      </w:r>
      <w:bookmarkEnd w:id="35"/>
      <w:bookmarkEnd w:id="36"/>
      <w:bookmarkEnd w:id="37"/>
      <w:bookmarkEnd w:id="38"/>
    </w:p>
    <w:p w14:paraId="29B3CF37">
      <w:pPr>
        <w:pStyle w:val="6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 xml:space="preserve">                （采购人名称）：</w:t>
      </w:r>
    </w:p>
    <w:p w14:paraId="2CFEDE39">
      <w:pPr>
        <w:pStyle w:val="66"/>
        <w:spacing w:line="336"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我方收到贵单位的</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eastAsia="zh-CN"/>
        </w:rPr>
        <w:t>2025年城关镇村集体经济组织规模化高梁等农作物种植产能提升项目</w:t>
      </w:r>
      <w:r>
        <w:rPr>
          <w:rFonts w:hint="eastAsia" w:ascii="宋体" w:hAnsi="宋体" w:eastAsia="宋体" w:cs="宋体"/>
          <w:bCs/>
          <w:color w:val="auto"/>
          <w:sz w:val="24"/>
          <w:szCs w:val="24"/>
          <w:highlight w:val="none"/>
          <w:u w:val="single"/>
        </w:rPr>
        <w:t>（项目编号：</w:t>
      </w:r>
      <w:r>
        <w:rPr>
          <w:rFonts w:hint="eastAsia" w:ascii="宋体" w:hAnsi="宋体" w:cs="宋体"/>
          <w:bCs/>
          <w:color w:val="auto"/>
          <w:sz w:val="24"/>
          <w:szCs w:val="24"/>
          <w:highlight w:val="none"/>
          <w:u w:val="single"/>
          <w:lang w:eastAsia="zh-CN"/>
        </w:rPr>
        <w:t>SXHXBJ-2025-10-001</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竞争性磋商文件，经详细研究，我方决定参加该项目磋商活动。为此，我方郑重声明以下诸点，并负法律责任。</w:t>
      </w:r>
    </w:p>
    <w:p w14:paraId="76719C96">
      <w:pPr>
        <w:pStyle w:val="66"/>
        <w:spacing w:line="336" w:lineRule="auto"/>
        <w:ind w:firstLine="5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一、我方已详细阅读了磋商文件，完全理解并同意磋商文件的所有事项及内容。</w:t>
      </w:r>
    </w:p>
    <w:p w14:paraId="2083510A">
      <w:pPr>
        <w:pStyle w:val="66"/>
        <w:spacing w:line="336" w:lineRule="auto"/>
        <w:ind w:firstLine="5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二、同意向贵单位提供与本次磋商有关的任何证明材料，并保证所提交的证明材料真实、合法、有效。我方理解最低价不是成交的唯一条件，并尊重磋商小组的评审结果。</w:t>
      </w:r>
    </w:p>
    <w:p w14:paraId="5E657C64">
      <w:pPr>
        <w:pStyle w:val="66"/>
        <w:spacing w:line="336" w:lineRule="auto"/>
        <w:ind w:firstLine="5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三、愿意按照磋商文件中的一切要求，完成本项目的合同责任和义务。</w:t>
      </w:r>
    </w:p>
    <w:p w14:paraId="71631ED8">
      <w:pPr>
        <w:pStyle w:val="66"/>
        <w:spacing w:line="336" w:lineRule="auto"/>
        <w:ind w:firstLine="5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四、按磋商文件的规定，完成本项目采购内容并验收合格。</w:t>
      </w:r>
    </w:p>
    <w:p w14:paraId="45F20E70">
      <w:pPr>
        <w:pStyle w:val="66"/>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五、我方承诺成交后提交纸质响应文件正本壹份、副本贰份，电子文件</w:t>
      </w:r>
      <w:r>
        <w:rPr>
          <w:rFonts w:hint="eastAsia" w:ascii="宋体" w:hAnsi="宋体" w:cs="宋体"/>
          <w:bCs/>
          <w:color w:val="auto"/>
          <w:sz w:val="24"/>
          <w:szCs w:val="24"/>
          <w:highlight w:val="none"/>
          <w:lang w:eastAsia="zh-CN"/>
        </w:rPr>
        <w:t>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（U盘）</w:t>
      </w:r>
      <w:r>
        <w:rPr>
          <w:rFonts w:hint="eastAsia" w:ascii="宋体" w:hAnsi="宋体" w:eastAsia="宋体" w:cs="宋体"/>
          <w:bCs/>
          <w:color w:val="auto"/>
          <w:sz w:val="24"/>
          <w:szCs w:val="24"/>
          <w:highlight w:val="none"/>
        </w:rPr>
        <w:t>。</w:t>
      </w:r>
    </w:p>
    <w:p w14:paraId="710F91D8">
      <w:pPr>
        <w:pStyle w:val="66"/>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六、我方同意按磋商文件规定，遵守贵方有关采购的各项规定。</w:t>
      </w:r>
    </w:p>
    <w:p w14:paraId="77030481">
      <w:pPr>
        <w:pStyle w:val="66"/>
        <w:spacing w:line="336" w:lineRule="auto"/>
        <w:ind w:firstLine="502"/>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七、我方的响应文件在磋商之日起90个日历天内有效，如成交，延长至合同执行完毕时止。</w:t>
      </w:r>
    </w:p>
    <w:p w14:paraId="5CD6F09C">
      <w:pPr>
        <w:pStyle w:val="66"/>
        <w:spacing w:line="336" w:lineRule="auto"/>
        <w:ind w:firstLine="5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八、所有关于此次磋商活动的函电，请按下列地址联系：</w:t>
      </w:r>
    </w:p>
    <w:p w14:paraId="0EA25F12">
      <w:pPr>
        <w:pStyle w:val="66"/>
        <w:spacing w:line="336" w:lineRule="auto"/>
        <w:ind w:firstLine="2500" w:firstLineChars="1000"/>
        <w:rPr>
          <w:rFonts w:hint="eastAsia" w:ascii="宋体" w:hAnsi="宋体" w:eastAsia="宋体" w:cs="宋体"/>
          <w:bCs/>
          <w:color w:val="auto"/>
          <w:sz w:val="24"/>
          <w:szCs w:val="24"/>
          <w:highlight w:val="none"/>
        </w:rPr>
      </w:pPr>
    </w:p>
    <w:p w14:paraId="2667133D">
      <w:pPr>
        <w:pStyle w:val="66"/>
        <w:spacing w:line="336" w:lineRule="auto"/>
        <w:ind w:firstLine="250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名称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（公章）</w:t>
      </w:r>
    </w:p>
    <w:p w14:paraId="4ACC7911">
      <w:pPr>
        <w:pStyle w:val="66"/>
        <w:spacing w:line="336" w:lineRule="auto"/>
        <w:ind w:firstLine="2500" w:firstLineChars="10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地址： </w:t>
      </w:r>
      <w:r>
        <w:rPr>
          <w:rFonts w:hint="eastAsia" w:ascii="宋体" w:hAnsi="宋体" w:eastAsia="宋体" w:cs="宋体"/>
          <w:bCs/>
          <w:color w:val="auto"/>
          <w:sz w:val="24"/>
          <w:szCs w:val="24"/>
          <w:highlight w:val="none"/>
          <w:u w:val="single"/>
        </w:rPr>
        <w:t xml:space="preserve">                         </w:t>
      </w:r>
    </w:p>
    <w:p w14:paraId="35E6541F">
      <w:pPr>
        <w:pStyle w:val="66"/>
        <w:spacing w:line="336" w:lineRule="auto"/>
        <w:ind w:firstLine="250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电话： </w:t>
      </w:r>
      <w:r>
        <w:rPr>
          <w:rFonts w:hint="eastAsia" w:ascii="宋体" w:hAnsi="宋体" w:eastAsia="宋体" w:cs="宋体"/>
          <w:bCs/>
          <w:color w:val="auto"/>
          <w:sz w:val="24"/>
          <w:szCs w:val="24"/>
          <w:highlight w:val="none"/>
          <w:u w:val="single"/>
        </w:rPr>
        <w:t xml:space="preserve">                         </w:t>
      </w:r>
    </w:p>
    <w:p w14:paraId="4735618A">
      <w:pPr>
        <w:pStyle w:val="66"/>
        <w:spacing w:line="336" w:lineRule="auto"/>
        <w:ind w:firstLine="250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（签字或盖章）</w:t>
      </w:r>
    </w:p>
    <w:p w14:paraId="72D79489">
      <w:pPr>
        <w:pStyle w:val="66"/>
        <w:spacing w:line="336" w:lineRule="auto"/>
        <w:ind w:firstLine="2500" w:firstLineChars="1000"/>
        <w:rPr>
          <w:rFonts w:hint="eastAsia" w:ascii="宋体" w:hAnsi="宋体" w:eastAsia="宋体" w:cs="宋体"/>
          <w:bCs/>
          <w:color w:val="auto"/>
          <w:sz w:val="24"/>
          <w:szCs w:val="24"/>
          <w:highlight w:val="none"/>
        </w:rPr>
        <w:sectPr>
          <w:footerReference r:id="rId6" w:type="default"/>
          <w:pgSz w:w="11906" w:h="16838"/>
          <w:pgMar w:top="1440" w:right="1587" w:bottom="1361" w:left="1701" w:header="851" w:footer="1191" w:gutter="0"/>
          <w:pgBorders>
            <w:top w:val="none" w:sz="0" w:space="0"/>
            <w:left w:val="none" w:sz="0" w:space="0"/>
            <w:bottom w:val="none" w:sz="0" w:space="0"/>
            <w:right w:val="none" w:sz="0" w:space="0"/>
          </w:pgBorders>
          <w:pgNumType w:fmt="decimal" w:start="1"/>
          <w:cols w:space="0" w:num="1"/>
          <w:rtlGutter w:val="0"/>
          <w:docGrid w:type="linesAndChars" w:linePitch="390" w:charSpace="2048"/>
        </w:sectPr>
      </w:pPr>
      <w:r>
        <w:rPr>
          <w:rFonts w:hint="eastAsia" w:ascii="宋体" w:hAnsi="宋体" w:eastAsia="宋体" w:cs="宋体"/>
          <w:bCs/>
          <w:color w:val="auto"/>
          <w:sz w:val="24"/>
          <w:szCs w:val="24"/>
          <w:highlight w:val="none"/>
        </w:rPr>
        <w:t xml:space="preserve">日期：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年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月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34C0FB52">
      <w:pPr>
        <w:spacing w:after="195" w:afterLines="50" w:line="480" w:lineRule="exact"/>
        <w:jc w:val="center"/>
        <w:outlineLvl w:val="1"/>
        <w:rPr>
          <w:rFonts w:hint="eastAsia" w:ascii="宋体" w:hAnsi="宋体" w:eastAsia="宋体" w:cs="宋体"/>
          <w:b/>
          <w:color w:val="auto"/>
          <w:sz w:val="32"/>
          <w:szCs w:val="32"/>
          <w:highlight w:val="none"/>
        </w:rPr>
      </w:pPr>
      <w:bookmarkStart w:id="39" w:name="_Toc24459"/>
      <w:bookmarkStart w:id="40" w:name="_Toc25576_WPSOffice_Level1"/>
      <w:bookmarkStart w:id="41" w:name="_Toc7891"/>
      <w:bookmarkStart w:id="42" w:name="_Toc16027"/>
      <w:r>
        <w:rPr>
          <w:rFonts w:hint="eastAsia" w:ascii="宋体" w:hAnsi="宋体" w:eastAsia="宋体" w:cs="宋体"/>
          <w:b/>
          <w:color w:val="auto"/>
          <w:sz w:val="32"/>
          <w:szCs w:val="32"/>
          <w:highlight w:val="none"/>
        </w:rPr>
        <w:t>二、报价一览表</w:t>
      </w:r>
      <w:bookmarkEnd w:id="39"/>
      <w:bookmarkEnd w:id="40"/>
      <w:bookmarkEnd w:id="41"/>
      <w:bookmarkEnd w:id="42"/>
    </w:p>
    <w:p w14:paraId="49532E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color w:val="auto"/>
          <w:highlight w:val="none"/>
        </w:rPr>
      </w:pPr>
      <w:r>
        <w:rPr>
          <w:rFonts w:hint="eastAsia" w:ascii="宋体" w:hAnsi="宋体" w:eastAsia="宋体" w:cs="宋体"/>
          <w:b/>
          <w:bCs/>
          <w:color w:val="auto"/>
          <w:sz w:val="24"/>
          <w:szCs w:val="24"/>
          <w:highlight w:val="none"/>
        </w:rPr>
        <w:t>（一）磋商报价表</w:t>
      </w:r>
    </w:p>
    <w:p w14:paraId="641551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2025年城关镇村集体经济组织规模化高梁等农作物种植产能提升项目</w:t>
      </w:r>
    </w:p>
    <w:p w14:paraId="01F3AD26">
      <w:pPr>
        <w:kinsoku w:val="0"/>
        <w:spacing w:after="195"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SXHXBJ-2025-10-001</w:t>
      </w:r>
      <w:r>
        <w:rPr>
          <w:rFonts w:hint="eastAsia" w:ascii="宋体" w:hAnsi="宋体" w:eastAsia="宋体" w:cs="宋体"/>
          <w:color w:val="auto"/>
          <w:sz w:val="24"/>
          <w:szCs w:val="24"/>
          <w:highlight w:val="none"/>
        </w:rPr>
        <w:t xml:space="preserve">                </w:t>
      </w:r>
    </w:p>
    <w:tbl>
      <w:tblPr>
        <w:tblStyle w:val="31"/>
        <w:tblW w:w="88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3998"/>
        <w:gridCol w:w="1693"/>
      </w:tblGrid>
      <w:tr w14:paraId="20BF9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3129" w:type="dxa"/>
            <w:tcBorders>
              <w:tl2br w:val="nil"/>
              <w:tr2bl w:val="nil"/>
            </w:tcBorders>
            <w:vAlign w:val="center"/>
          </w:tcPr>
          <w:p w14:paraId="0D047AE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报价项</w:t>
            </w:r>
          </w:p>
        </w:tc>
        <w:tc>
          <w:tcPr>
            <w:tcW w:w="3998" w:type="dxa"/>
            <w:tcBorders>
              <w:tl2br w:val="nil"/>
              <w:tr2bl w:val="nil"/>
            </w:tcBorders>
            <w:vAlign w:val="center"/>
          </w:tcPr>
          <w:p w14:paraId="0E6A25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磋商内容</w:t>
            </w:r>
          </w:p>
        </w:tc>
        <w:tc>
          <w:tcPr>
            <w:tcW w:w="1693" w:type="dxa"/>
            <w:tcBorders>
              <w:tl2br w:val="nil"/>
              <w:tr2bl w:val="nil"/>
            </w:tcBorders>
            <w:vAlign w:val="center"/>
          </w:tcPr>
          <w:p w14:paraId="16C2C6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1FA7A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3129" w:type="dxa"/>
            <w:tcBorders>
              <w:tl2br w:val="nil"/>
              <w:tr2bl w:val="nil"/>
            </w:tcBorders>
            <w:vAlign w:val="center"/>
          </w:tcPr>
          <w:p w14:paraId="59CF3C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磋商总报价（元）</w:t>
            </w:r>
          </w:p>
        </w:tc>
        <w:tc>
          <w:tcPr>
            <w:tcW w:w="3998" w:type="dxa"/>
            <w:tcBorders>
              <w:tl2br w:val="nil"/>
              <w:tr2bl w:val="nil"/>
            </w:tcBorders>
            <w:vAlign w:val="center"/>
          </w:tcPr>
          <w:p w14:paraId="48A90D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大写： </w:t>
            </w:r>
            <w:r>
              <w:rPr>
                <w:rFonts w:hint="eastAsia" w:ascii="宋体" w:hAnsi="宋体" w:eastAsia="宋体" w:cs="宋体"/>
                <w:color w:val="auto"/>
                <w:sz w:val="24"/>
                <w:szCs w:val="24"/>
                <w:highlight w:val="none"/>
                <w:u w:val="single"/>
              </w:rPr>
              <w:t xml:space="preserve">                     </w:t>
            </w:r>
          </w:p>
          <w:p w14:paraId="2244E5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w:t>
            </w:r>
            <w:r>
              <w:rPr>
                <w:rFonts w:hint="eastAsia" w:ascii="宋体" w:hAnsi="宋体" w:eastAsia="宋体" w:cs="宋体"/>
                <w:color w:val="auto"/>
                <w:sz w:val="24"/>
                <w:szCs w:val="24"/>
                <w:highlight w:val="none"/>
                <w:u w:val="single"/>
              </w:rPr>
              <w:t xml:space="preserve">                     </w:t>
            </w:r>
          </w:p>
        </w:tc>
        <w:tc>
          <w:tcPr>
            <w:tcW w:w="1693" w:type="dxa"/>
            <w:tcBorders>
              <w:tl2br w:val="nil"/>
              <w:tr2bl w:val="nil"/>
            </w:tcBorders>
            <w:vAlign w:val="center"/>
          </w:tcPr>
          <w:p w14:paraId="2C72DDE5">
            <w:pPr>
              <w:spacing w:line="360" w:lineRule="auto"/>
              <w:ind w:firstLine="211"/>
              <w:jc w:val="center"/>
              <w:rPr>
                <w:rFonts w:hint="eastAsia" w:ascii="宋体" w:hAnsi="宋体" w:eastAsia="宋体" w:cs="宋体"/>
                <w:color w:val="auto"/>
                <w:sz w:val="24"/>
                <w:szCs w:val="24"/>
                <w:highlight w:val="none"/>
              </w:rPr>
            </w:pPr>
          </w:p>
        </w:tc>
      </w:tr>
      <w:tr w14:paraId="503AA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3129" w:type="dxa"/>
            <w:tcBorders>
              <w:tl2br w:val="nil"/>
              <w:tr2bl w:val="nil"/>
            </w:tcBorders>
            <w:vAlign w:val="center"/>
          </w:tcPr>
          <w:p w14:paraId="1630DC0F">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供货期</w:t>
            </w:r>
          </w:p>
        </w:tc>
        <w:tc>
          <w:tcPr>
            <w:tcW w:w="3998" w:type="dxa"/>
            <w:tcBorders>
              <w:tl2br w:val="nil"/>
              <w:tr2bl w:val="nil"/>
            </w:tcBorders>
            <w:vAlign w:val="center"/>
          </w:tcPr>
          <w:p w14:paraId="1B79B8C3">
            <w:pPr>
              <w:pStyle w:val="6"/>
              <w:rPr>
                <w:rFonts w:hint="eastAsia" w:ascii="宋体" w:hAnsi="宋体" w:eastAsia="宋体" w:cs="宋体"/>
                <w:color w:val="auto"/>
                <w:sz w:val="24"/>
                <w:szCs w:val="24"/>
                <w:highlight w:val="none"/>
              </w:rPr>
            </w:pPr>
          </w:p>
        </w:tc>
        <w:tc>
          <w:tcPr>
            <w:tcW w:w="1693" w:type="dxa"/>
            <w:tcBorders>
              <w:tl2br w:val="nil"/>
              <w:tr2bl w:val="nil"/>
            </w:tcBorders>
            <w:vAlign w:val="center"/>
          </w:tcPr>
          <w:p w14:paraId="08189664">
            <w:pPr>
              <w:spacing w:line="360" w:lineRule="auto"/>
              <w:ind w:firstLine="211"/>
              <w:jc w:val="center"/>
              <w:rPr>
                <w:rFonts w:hint="eastAsia" w:ascii="宋体" w:hAnsi="宋体" w:eastAsia="宋体" w:cs="宋体"/>
                <w:color w:val="auto"/>
                <w:sz w:val="24"/>
                <w:szCs w:val="24"/>
                <w:highlight w:val="none"/>
              </w:rPr>
            </w:pPr>
          </w:p>
        </w:tc>
      </w:tr>
      <w:tr w14:paraId="05E06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3129" w:type="dxa"/>
            <w:tcBorders>
              <w:tl2br w:val="nil"/>
              <w:tr2bl w:val="nil"/>
            </w:tcBorders>
            <w:vAlign w:val="center"/>
          </w:tcPr>
          <w:p w14:paraId="12B1D088">
            <w:pPr>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质保期</w:t>
            </w:r>
          </w:p>
        </w:tc>
        <w:tc>
          <w:tcPr>
            <w:tcW w:w="3998" w:type="dxa"/>
            <w:tcBorders>
              <w:tl2br w:val="nil"/>
              <w:tr2bl w:val="nil"/>
            </w:tcBorders>
            <w:vAlign w:val="center"/>
          </w:tcPr>
          <w:p w14:paraId="176C5434">
            <w:pPr>
              <w:pStyle w:val="6"/>
              <w:rPr>
                <w:rFonts w:hint="eastAsia" w:ascii="宋体" w:hAnsi="宋体" w:eastAsia="宋体" w:cs="宋体"/>
                <w:color w:val="auto"/>
                <w:sz w:val="24"/>
                <w:szCs w:val="24"/>
                <w:highlight w:val="none"/>
              </w:rPr>
            </w:pPr>
          </w:p>
        </w:tc>
        <w:tc>
          <w:tcPr>
            <w:tcW w:w="1693" w:type="dxa"/>
            <w:tcBorders>
              <w:tl2br w:val="nil"/>
              <w:tr2bl w:val="nil"/>
            </w:tcBorders>
            <w:vAlign w:val="center"/>
          </w:tcPr>
          <w:p w14:paraId="5D821B65">
            <w:pPr>
              <w:spacing w:line="360" w:lineRule="auto"/>
              <w:ind w:firstLine="211"/>
              <w:jc w:val="center"/>
              <w:rPr>
                <w:rFonts w:hint="eastAsia" w:ascii="宋体" w:hAnsi="宋体" w:eastAsia="宋体" w:cs="宋体"/>
                <w:color w:val="auto"/>
                <w:sz w:val="24"/>
                <w:szCs w:val="24"/>
                <w:highlight w:val="none"/>
              </w:rPr>
            </w:pPr>
          </w:p>
        </w:tc>
      </w:tr>
      <w:tr w14:paraId="47A12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3129" w:type="dxa"/>
            <w:tcBorders>
              <w:tl2br w:val="nil"/>
              <w:tr2bl w:val="nil"/>
            </w:tcBorders>
            <w:vAlign w:val="center"/>
          </w:tcPr>
          <w:p w14:paraId="781D97B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质</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量</w:t>
            </w:r>
          </w:p>
        </w:tc>
        <w:tc>
          <w:tcPr>
            <w:tcW w:w="3998" w:type="dxa"/>
            <w:tcBorders>
              <w:tl2br w:val="nil"/>
              <w:tr2bl w:val="nil"/>
            </w:tcBorders>
            <w:vAlign w:val="center"/>
          </w:tcPr>
          <w:p w14:paraId="3B952344">
            <w:pPr>
              <w:pStyle w:val="6"/>
              <w:rPr>
                <w:rFonts w:hint="eastAsia" w:ascii="宋体" w:hAnsi="宋体" w:eastAsia="宋体" w:cs="宋体"/>
                <w:color w:val="auto"/>
                <w:sz w:val="24"/>
                <w:szCs w:val="24"/>
                <w:highlight w:val="none"/>
              </w:rPr>
            </w:pPr>
          </w:p>
        </w:tc>
        <w:tc>
          <w:tcPr>
            <w:tcW w:w="1693" w:type="dxa"/>
            <w:tcBorders>
              <w:tl2br w:val="nil"/>
              <w:tr2bl w:val="nil"/>
            </w:tcBorders>
            <w:vAlign w:val="center"/>
          </w:tcPr>
          <w:p w14:paraId="5AA3E318">
            <w:pPr>
              <w:spacing w:line="360" w:lineRule="auto"/>
              <w:ind w:firstLine="211"/>
              <w:jc w:val="center"/>
              <w:rPr>
                <w:rFonts w:hint="eastAsia" w:ascii="宋体" w:hAnsi="宋体" w:eastAsia="宋体" w:cs="宋体"/>
                <w:color w:val="auto"/>
                <w:sz w:val="24"/>
                <w:szCs w:val="24"/>
                <w:highlight w:val="none"/>
              </w:rPr>
            </w:pPr>
          </w:p>
        </w:tc>
      </w:tr>
    </w:tbl>
    <w:p w14:paraId="742C44AD">
      <w:pPr>
        <w:kinsoku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注：</w:t>
      </w:r>
      <w:r>
        <w:rPr>
          <w:rFonts w:hint="eastAsia" w:ascii="宋体" w:hAnsi="宋体" w:eastAsia="宋体" w:cs="宋体"/>
          <w:color w:val="auto"/>
          <w:sz w:val="21"/>
          <w:szCs w:val="21"/>
          <w:highlight w:val="none"/>
        </w:rPr>
        <w:t>保留小数点后两位。</w:t>
      </w:r>
    </w:p>
    <w:p w14:paraId="37FCDA2B">
      <w:pPr>
        <w:kinsoku w:val="0"/>
        <w:spacing w:line="500" w:lineRule="exact"/>
        <w:ind w:firstLine="3125" w:firstLineChars="1250"/>
        <w:rPr>
          <w:rFonts w:hint="eastAsia" w:ascii="宋体" w:hAnsi="宋体" w:eastAsia="宋体" w:cs="宋体"/>
          <w:color w:val="auto"/>
          <w:sz w:val="24"/>
          <w:szCs w:val="24"/>
          <w:highlight w:val="none"/>
        </w:rPr>
      </w:pPr>
    </w:p>
    <w:p w14:paraId="3425A271">
      <w:pPr>
        <w:kinsoku w:val="0"/>
        <w:spacing w:line="500" w:lineRule="exact"/>
        <w:ind w:firstLine="3125" w:firstLineChars="1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178FEF55">
      <w:pPr>
        <w:kinsoku w:val="0"/>
        <w:spacing w:line="500" w:lineRule="exact"/>
        <w:rPr>
          <w:rFonts w:hint="eastAsia" w:ascii="宋体" w:hAnsi="宋体" w:eastAsia="宋体" w:cs="宋体"/>
          <w:color w:val="auto"/>
          <w:sz w:val="24"/>
          <w:szCs w:val="24"/>
          <w:highlight w:val="none"/>
        </w:rPr>
      </w:pPr>
    </w:p>
    <w:p w14:paraId="6B580E8B">
      <w:pPr>
        <w:kinsoku w:val="0"/>
        <w:spacing w:line="500" w:lineRule="exact"/>
        <w:ind w:firstLine="3125" w:firstLineChars="1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p>
    <w:p w14:paraId="54215BE2">
      <w:pPr>
        <w:kinsoku w:val="0"/>
        <w:spacing w:line="500" w:lineRule="exact"/>
        <w:ind w:firstLine="3125" w:firstLineChars="1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48F2A57">
      <w:pPr>
        <w:kinsoku w:val="0"/>
        <w:spacing w:line="500" w:lineRule="exact"/>
        <w:rPr>
          <w:rFonts w:hint="eastAsia" w:ascii="宋体" w:hAnsi="宋体" w:eastAsia="宋体" w:cs="宋体"/>
          <w:color w:val="auto"/>
          <w:sz w:val="24"/>
          <w:szCs w:val="24"/>
          <w:highlight w:val="none"/>
        </w:rPr>
      </w:pPr>
    </w:p>
    <w:p w14:paraId="129521E3">
      <w:pPr>
        <w:pStyle w:val="26"/>
        <w:spacing w:line="480" w:lineRule="exact"/>
        <w:ind w:firstLine="50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 xml:space="preserve">                 </w:t>
      </w:r>
      <w:bookmarkStart w:id="43" w:name="_Toc23512_WPSOffice_Level1"/>
      <w:r>
        <w:rPr>
          <w:rFonts w:hint="eastAsia" w:ascii="宋体" w:hAnsi="宋体" w:eastAsia="宋体" w:cs="宋体"/>
          <w:color w:val="auto"/>
          <w:sz w:val="24"/>
          <w:szCs w:val="24"/>
          <w:highlight w:val="none"/>
        </w:rPr>
        <w:t xml:space="preserve">    日    期：</w:t>
      </w:r>
      <w:bookmarkEnd w:id="4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Start w:id="44" w:name="_Toc29961"/>
      <w:bookmarkStart w:id="45" w:name="_Toc11192"/>
      <w:bookmarkStart w:id="46" w:name="_Toc2371"/>
      <w:bookmarkStart w:id="47" w:name="_Toc144"/>
      <w:bookmarkStart w:id="48" w:name="_Toc8265_WPSOffice_Level1"/>
    </w:p>
    <w:p w14:paraId="5753BC80">
      <w:pPr>
        <w:pageBreakBefore w:val="0"/>
        <w:numPr>
          <w:ilvl w:val="0"/>
          <w:numId w:val="0"/>
        </w:numPr>
        <w:overflowPunct/>
        <w:bidi w:val="0"/>
        <w:spacing w:before="312" w:beforeLines="100" w:after="156" w:afterLines="50" w:line="520" w:lineRule="exact"/>
        <w:jc w:val="center"/>
        <w:rPr>
          <w:rFonts w:hint="eastAsia" w:ascii="宋体" w:hAnsi="宋体" w:eastAsia="宋体" w:cs="宋体"/>
          <w:b/>
          <w:color w:val="000000" w:themeColor="text1"/>
          <w:sz w:val="22"/>
          <w:szCs w:val="22"/>
          <w:highlight w:val="none"/>
          <w:lang w:val="en-US"/>
          <w14:textFill>
            <w14:solidFill>
              <w14:schemeClr w14:val="tx1"/>
            </w14:solidFill>
          </w14:textFill>
        </w:rPr>
      </w:pPr>
      <w:r>
        <w:rPr>
          <w:rFonts w:hint="eastAsia" w:ascii="宋体" w:hAnsi="宋体" w:cs="宋体"/>
          <w:b/>
          <w:bCs w:val="0"/>
          <w:color w:val="000000" w:themeColor="text1"/>
          <w:sz w:val="22"/>
          <w:szCs w:val="22"/>
          <w:highlight w:val="none"/>
          <w:lang w:val="en-US" w:eastAsia="zh-CN"/>
          <w14:textFill>
            <w14:solidFill>
              <w14:schemeClr w14:val="tx1"/>
            </w14:solidFill>
          </w14:textFill>
        </w:rPr>
        <w:t>(二)</w:t>
      </w:r>
      <w:r>
        <w:rPr>
          <w:rFonts w:hint="eastAsia" w:ascii="宋体" w:hAnsi="宋体" w:eastAsia="宋体" w:cs="宋体"/>
          <w:b/>
          <w:bCs w:val="0"/>
          <w:color w:val="000000" w:themeColor="text1"/>
          <w:sz w:val="22"/>
          <w:szCs w:val="22"/>
          <w:highlight w:val="none"/>
          <w:lang w:val="en-US" w:eastAsia="zh-CN"/>
          <w14:textFill>
            <w14:solidFill>
              <w14:schemeClr w14:val="tx1"/>
            </w14:solidFill>
          </w14:textFill>
        </w:rPr>
        <w:t>分项报价表</w:t>
      </w:r>
    </w:p>
    <w:p w14:paraId="4FB26B2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2025年城关镇村集体经济组织规模化高梁等农作物种植产能提升项目</w:t>
      </w:r>
    </w:p>
    <w:p w14:paraId="3FB475D5">
      <w:pPr>
        <w:spacing w:line="360" w:lineRule="auto"/>
        <w:rPr>
          <w:rFonts w:hint="eastAsia"/>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SXHXBJ-2025-10-001</w:t>
      </w:r>
      <w:r>
        <w:rPr>
          <w:rFonts w:hint="eastAsia" w:ascii="宋体" w:hAnsi="宋体" w:eastAsia="宋体" w:cs="宋体"/>
          <w:color w:val="auto"/>
          <w:sz w:val="24"/>
          <w:szCs w:val="24"/>
          <w:highlight w:val="none"/>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w:t>
      </w:r>
    </w:p>
    <w:tbl>
      <w:tblPr>
        <w:tblStyle w:val="31"/>
        <w:tblW w:w="9536" w:type="dxa"/>
        <w:jc w:val="center"/>
        <w:tblLayout w:type="fixed"/>
        <w:tblCellMar>
          <w:top w:w="0" w:type="dxa"/>
          <w:left w:w="28" w:type="dxa"/>
          <w:bottom w:w="0" w:type="dxa"/>
          <w:right w:w="28" w:type="dxa"/>
        </w:tblCellMar>
      </w:tblPr>
      <w:tblGrid>
        <w:gridCol w:w="892"/>
        <w:gridCol w:w="797"/>
        <w:gridCol w:w="723"/>
        <w:gridCol w:w="1096"/>
        <w:gridCol w:w="1260"/>
        <w:gridCol w:w="854"/>
        <w:gridCol w:w="982"/>
        <w:gridCol w:w="968"/>
        <w:gridCol w:w="14"/>
        <w:gridCol w:w="968"/>
        <w:gridCol w:w="982"/>
      </w:tblGrid>
      <w:tr w14:paraId="4E5DFF17">
        <w:tblPrEx>
          <w:tblCellMar>
            <w:top w:w="0" w:type="dxa"/>
            <w:left w:w="28" w:type="dxa"/>
            <w:bottom w:w="0" w:type="dxa"/>
            <w:right w:w="28" w:type="dxa"/>
          </w:tblCellMar>
        </w:tblPrEx>
        <w:trPr>
          <w:trHeight w:val="598" w:hRule="atLeast"/>
          <w:jc w:val="center"/>
        </w:trPr>
        <w:tc>
          <w:tcPr>
            <w:tcW w:w="892" w:type="dxa"/>
            <w:tcBorders>
              <w:top w:val="single" w:color="auto" w:sz="6" w:space="0"/>
              <w:left w:val="single" w:color="auto" w:sz="4" w:space="0"/>
              <w:bottom w:val="single" w:color="auto" w:sz="6" w:space="0"/>
            </w:tcBorders>
            <w:noWrap w:val="0"/>
            <w:vAlign w:val="center"/>
          </w:tcPr>
          <w:p w14:paraId="42F32C87">
            <w:pPr>
              <w:spacing w:after="1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797" w:type="dxa"/>
            <w:tcBorders>
              <w:top w:val="single" w:color="auto" w:sz="6" w:space="0"/>
              <w:left w:val="single" w:color="auto" w:sz="6" w:space="0"/>
              <w:bottom w:val="single" w:color="auto" w:sz="6" w:space="0"/>
              <w:right w:val="single" w:color="auto" w:sz="6" w:space="0"/>
            </w:tcBorders>
            <w:noWrap w:val="0"/>
            <w:vAlign w:val="center"/>
          </w:tcPr>
          <w:p w14:paraId="25895C01">
            <w:pPr>
              <w:spacing w:after="12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名称</w:t>
            </w:r>
          </w:p>
        </w:tc>
        <w:tc>
          <w:tcPr>
            <w:tcW w:w="723" w:type="dxa"/>
            <w:tcBorders>
              <w:top w:val="single" w:color="auto" w:sz="6" w:space="0"/>
              <w:left w:val="single" w:color="auto" w:sz="6" w:space="0"/>
              <w:bottom w:val="single" w:color="auto" w:sz="6" w:space="0"/>
              <w:right w:val="single" w:color="auto" w:sz="4" w:space="0"/>
            </w:tcBorders>
            <w:noWrap w:val="0"/>
            <w:vAlign w:val="center"/>
          </w:tcPr>
          <w:p w14:paraId="6E2FF809">
            <w:pPr>
              <w:spacing w:after="12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品牌</w:t>
            </w:r>
          </w:p>
        </w:tc>
        <w:tc>
          <w:tcPr>
            <w:tcW w:w="1096" w:type="dxa"/>
            <w:tcBorders>
              <w:top w:val="single" w:color="auto" w:sz="6" w:space="0"/>
              <w:left w:val="single" w:color="auto" w:sz="4" w:space="0"/>
              <w:bottom w:val="single" w:color="auto" w:sz="6" w:space="0"/>
              <w:right w:val="single" w:color="auto" w:sz="6" w:space="0"/>
            </w:tcBorders>
            <w:noWrap w:val="0"/>
            <w:vAlign w:val="center"/>
          </w:tcPr>
          <w:p w14:paraId="691EC4B6">
            <w:pPr>
              <w:spacing w:after="12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型号</w:t>
            </w:r>
            <w:r>
              <w:rPr>
                <w:rFonts w:hint="eastAsia"/>
                <w:color w:val="000000" w:themeColor="text1"/>
                <w:sz w:val="21"/>
                <w:szCs w:val="21"/>
                <w:highlight w:val="none"/>
                <w:lang w:val="en-US" w:eastAsia="zh-CN"/>
                <w14:textFill>
                  <w14:solidFill>
                    <w14:schemeClr w14:val="tx1"/>
                  </w14:solidFill>
                </w14:textFill>
              </w:rPr>
              <w:t>/</w:t>
            </w:r>
            <w:r>
              <w:rPr>
                <w:color w:val="000000" w:themeColor="text1"/>
                <w:sz w:val="21"/>
                <w:szCs w:val="21"/>
                <w:highlight w:val="none"/>
                <w14:textFill>
                  <w14:solidFill>
                    <w14:schemeClr w14:val="tx1"/>
                  </w14:solidFill>
                </w14:textFill>
              </w:rPr>
              <w:t>规格</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522F163">
            <w:pPr>
              <w:spacing w:before="163" w:beforeLines="50" w:after="12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制造厂名</w:t>
            </w:r>
          </w:p>
        </w:tc>
        <w:tc>
          <w:tcPr>
            <w:tcW w:w="854" w:type="dxa"/>
            <w:tcBorders>
              <w:top w:val="single" w:color="auto" w:sz="6" w:space="0"/>
              <w:left w:val="single" w:color="auto" w:sz="6" w:space="0"/>
              <w:bottom w:val="single" w:color="auto" w:sz="6" w:space="0"/>
              <w:right w:val="single" w:color="auto" w:sz="6" w:space="0"/>
            </w:tcBorders>
            <w:noWrap w:val="0"/>
            <w:vAlign w:val="center"/>
          </w:tcPr>
          <w:p w14:paraId="3FB96C6A">
            <w:pPr>
              <w:spacing w:after="12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数量</w:t>
            </w:r>
          </w:p>
        </w:tc>
        <w:tc>
          <w:tcPr>
            <w:tcW w:w="982" w:type="dxa"/>
            <w:tcBorders>
              <w:top w:val="single" w:color="auto" w:sz="6" w:space="0"/>
              <w:left w:val="single" w:color="auto" w:sz="6" w:space="0"/>
              <w:bottom w:val="single" w:color="auto" w:sz="6" w:space="0"/>
              <w:right w:val="single" w:color="auto" w:sz="6" w:space="0"/>
            </w:tcBorders>
            <w:noWrap w:val="0"/>
            <w:vAlign w:val="center"/>
          </w:tcPr>
          <w:p w14:paraId="1993223A">
            <w:pPr>
              <w:spacing w:after="12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单位</w:t>
            </w:r>
          </w:p>
        </w:tc>
        <w:tc>
          <w:tcPr>
            <w:tcW w:w="982" w:type="dxa"/>
            <w:gridSpan w:val="2"/>
            <w:tcBorders>
              <w:top w:val="single" w:color="auto" w:sz="6" w:space="0"/>
              <w:left w:val="single" w:color="auto" w:sz="6" w:space="0"/>
              <w:bottom w:val="single" w:color="auto" w:sz="6" w:space="0"/>
              <w:right w:val="single" w:color="auto" w:sz="6" w:space="0"/>
            </w:tcBorders>
            <w:noWrap w:val="0"/>
            <w:vAlign w:val="center"/>
          </w:tcPr>
          <w:p w14:paraId="5BFA8B0C">
            <w:pPr>
              <w:spacing w:after="120"/>
              <w:jc w:val="center"/>
              <w:rPr>
                <w:rFonts w:hint="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单价</w:t>
            </w:r>
          </w:p>
          <w:p w14:paraId="32F26766">
            <w:pPr>
              <w:spacing w:after="12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（元）</w:t>
            </w:r>
          </w:p>
        </w:tc>
        <w:tc>
          <w:tcPr>
            <w:tcW w:w="968" w:type="dxa"/>
            <w:tcBorders>
              <w:top w:val="single" w:color="auto" w:sz="6" w:space="0"/>
              <w:left w:val="single" w:color="auto" w:sz="6" w:space="0"/>
              <w:bottom w:val="single" w:color="auto" w:sz="6" w:space="0"/>
              <w:right w:val="single" w:color="auto" w:sz="6" w:space="0"/>
            </w:tcBorders>
            <w:noWrap w:val="0"/>
            <w:vAlign w:val="center"/>
          </w:tcPr>
          <w:p w14:paraId="0314B82A">
            <w:pPr>
              <w:spacing w:after="120"/>
              <w:jc w:val="center"/>
              <w:rPr>
                <w:rFonts w:hint="eastAsia"/>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总价</w:t>
            </w:r>
          </w:p>
          <w:p w14:paraId="62E12D0B">
            <w:pPr>
              <w:spacing w:after="12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（元）</w:t>
            </w:r>
          </w:p>
        </w:tc>
        <w:tc>
          <w:tcPr>
            <w:tcW w:w="982" w:type="dxa"/>
            <w:tcBorders>
              <w:top w:val="single" w:color="auto" w:sz="6" w:space="0"/>
              <w:left w:val="single" w:color="auto" w:sz="6" w:space="0"/>
              <w:bottom w:val="single" w:color="auto" w:sz="6" w:space="0"/>
              <w:right w:val="single" w:color="auto" w:sz="6" w:space="0"/>
            </w:tcBorders>
            <w:noWrap w:val="0"/>
            <w:vAlign w:val="center"/>
          </w:tcPr>
          <w:p w14:paraId="2CFD8DC7">
            <w:pPr>
              <w:spacing w:after="120"/>
              <w:jc w:val="center"/>
              <w:rPr>
                <w:rFonts w:hint="eastAsia"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备注</w:t>
            </w:r>
          </w:p>
        </w:tc>
      </w:tr>
      <w:tr w14:paraId="1B1C1CF4">
        <w:tblPrEx>
          <w:tblCellMar>
            <w:top w:w="0" w:type="dxa"/>
            <w:left w:w="28" w:type="dxa"/>
            <w:bottom w:w="0" w:type="dxa"/>
            <w:right w:w="28" w:type="dxa"/>
          </w:tblCellMar>
        </w:tblPrEx>
        <w:trPr>
          <w:trHeight w:val="531" w:hRule="atLeast"/>
          <w:jc w:val="center"/>
        </w:trPr>
        <w:tc>
          <w:tcPr>
            <w:tcW w:w="892" w:type="dxa"/>
            <w:tcBorders>
              <w:top w:val="single" w:color="auto" w:sz="6" w:space="0"/>
              <w:left w:val="single" w:color="auto" w:sz="4" w:space="0"/>
              <w:bottom w:val="single" w:color="auto" w:sz="4" w:space="0"/>
            </w:tcBorders>
            <w:noWrap w:val="0"/>
            <w:vAlign w:val="center"/>
          </w:tcPr>
          <w:p w14:paraId="44771E50">
            <w:pPr>
              <w:spacing w:before="327" w:beforeLines="1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797" w:type="dxa"/>
            <w:tcBorders>
              <w:top w:val="single" w:color="auto" w:sz="6" w:space="0"/>
              <w:left w:val="single" w:color="auto" w:sz="6" w:space="0"/>
              <w:bottom w:val="single" w:color="auto" w:sz="4" w:space="0"/>
              <w:right w:val="single" w:color="auto" w:sz="6" w:space="0"/>
            </w:tcBorders>
            <w:noWrap w:val="0"/>
            <w:vAlign w:val="center"/>
          </w:tcPr>
          <w:p w14:paraId="10C5DC49">
            <w:pPr>
              <w:spacing w:before="163" w:beforeLines="50"/>
              <w:jc w:val="center"/>
              <w:rPr>
                <w:color w:val="000000" w:themeColor="text1"/>
                <w:sz w:val="21"/>
                <w:szCs w:val="21"/>
                <w:highlight w:val="none"/>
                <w14:textFill>
                  <w14:solidFill>
                    <w14:schemeClr w14:val="tx1"/>
                  </w14:solidFill>
                </w14:textFill>
              </w:rPr>
            </w:pPr>
          </w:p>
        </w:tc>
        <w:tc>
          <w:tcPr>
            <w:tcW w:w="723" w:type="dxa"/>
            <w:tcBorders>
              <w:top w:val="single" w:color="auto" w:sz="6" w:space="0"/>
              <w:left w:val="single" w:color="auto" w:sz="6" w:space="0"/>
              <w:bottom w:val="single" w:color="auto" w:sz="4" w:space="0"/>
              <w:right w:val="single" w:color="auto" w:sz="4" w:space="0"/>
            </w:tcBorders>
            <w:noWrap w:val="0"/>
            <w:vAlign w:val="center"/>
          </w:tcPr>
          <w:p w14:paraId="7B1A3EC6">
            <w:pPr>
              <w:spacing w:before="163" w:beforeLines="50"/>
              <w:jc w:val="center"/>
              <w:rPr>
                <w:color w:val="000000" w:themeColor="text1"/>
                <w:sz w:val="21"/>
                <w:szCs w:val="21"/>
                <w:highlight w:val="none"/>
                <w14:textFill>
                  <w14:solidFill>
                    <w14:schemeClr w14:val="tx1"/>
                  </w14:solidFill>
                </w14:textFill>
              </w:rPr>
            </w:pPr>
          </w:p>
        </w:tc>
        <w:tc>
          <w:tcPr>
            <w:tcW w:w="1096" w:type="dxa"/>
            <w:tcBorders>
              <w:top w:val="single" w:color="auto" w:sz="6" w:space="0"/>
              <w:left w:val="single" w:color="auto" w:sz="4" w:space="0"/>
              <w:bottom w:val="single" w:color="auto" w:sz="4" w:space="0"/>
              <w:right w:val="single" w:color="auto" w:sz="6" w:space="0"/>
            </w:tcBorders>
            <w:noWrap w:val="0"/>
            <w:vAlign w:val="center"/>
          </w:tcPr>
          <w:p w14:paraId="020B3C4F">
            <w:pPr>
              <w:spacing w:before="163" w:beforeLines="50"/>
              <w:jc w:val="center"/>
              <w:rPr>
                <w:color w:val="000000" w:themeColor="text1"/>
                <w:sz w:val="2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4" w:space="0"/>
              <w:right w:val="single" w:color="auto" w:sz="6" w:space="0"/>
            </w:tcBorders>
            <w:noWrap w:val="0"/>
            <w:vAlign w:val="center"/>
          </w:tcPr>
          <w:p w14:paraId="1E55A96E">
            <w:pPr>
              <w:spacing w:before="163" w:beforeLines="50"/>
              <w:jc w:val="center"/>
              <w:rPr>
                <w:color w:val="000000" w:themeColor="text1"/>
                <w:sz w:val="21"/>
                <w:szCs w:val="21"/>
                <w:highlight w:val="none"/>
                <w14:textFill>
                  <w14:solidFill>
                    <w14:schemeClr w14:val="tx1"/>
                  </w14:solidFill>
                </w14:textFill>
              </w:rPr>
            </w:pPr>
          </w:p>
        </w:tc>
        <w:tc>
          <w:tcPr>
            <w:tcW w:w="854" w:type="dxa"/>
            <w:tcBorders>
              <w:top w:val="single" w:color="auto" w:sz="6" w:space="0"/>
              <w:left w:val="single" w:color="auto" w:sz="6" w:space="0"/>
              <w:bottom w:val="single" w:color="auto" w:sz="4" w:space="0"/>
              <w:right w:val="single" w:color="auto" w:sz="6" w:space="0"/>
            </w:tcBorders>
            <w:noWrap w:val="0"/>
            <w:vAlign w:val="center"/>
          </w:tcPr>
          <w:p w14:paraId="704DE353">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4" w:space="0"/>
              <w:right w:val="single" w:color="auto" w:sz="6" w:space="0"/>
            </w:tcBorders>
            <w:noWrap w:val="0"/>
            <w:vAlign w:val="center"/>
          </w:tcPr>
          <w:p w14:paraId="7813263C">
            <w:pPr>
              <w:spacing w:before="163" w:beforeLines="50"/>
              <w:jc w:val="center"/>
              <w:rPr>
                <w:color w:val="000000" w:themeColor="text1"/>
                <w:sz w:val="21"/>
                <w:szCs w:val="21"/>
                <w:highlight w:val="none"/>
                <w14:textFill>
                  <w14:solidFill>
                    <w14:schemeClr w14:val="tx1"/>
                  </w14:solidFill>
                </w14:textFill>
              </w:rPr>
            </w:pPr>
          </w:p>
        </w:tc>
        <w:tc>
          <w:tcPr>
            <w:tcW w:w="982" w:type="dxa"/>
            <w:gridSpan w:val="2"/>
            <w:tcBorders>
              <w:top w:val="single" w:color="auto" w:sz="6" w:space="0"/>
              <w:left w:val="single" w:color="auto" w:sz="6" w:space="0"/>
              <w:bottom w:val="single" w:color="auto" w:sz="4" w:space="0"/>
              <w:right w:val="single" w:color="auto" w:sz="6" w:space="0"/>
            </w:tcBorders>
            <w:noWrap w:val="0"/>
            <w:vAlign w:val="center"/>
          </w:tcPr>
          <w:p w14:paraId="54326560">
            <w:pPr>
              <w:spacing w:before="163" w:beforeLines="50"/>
              <w:jc w:val="center"/>
              <w:rPr>
                <w:color w:val="000000" w:themeColor="text1"/>
                <w:sz w:val="21"/>
                <w:szCs w:val="21"/>
                <w:highlight w:val="none"/>
                <w14:textFill>
                  <w14:solidFill>
                    <w14:schemeClr w14:val="tx1"/>
                  </w14:solidFill>
                </w14:textFill>
              </w:rPr>
            </w:pPr>
          </w:p>
        </w:tc>
        <w:tc>
          <w:tcPr>
            <w:tcW w:w="968" w:type="dxa"/>
            <w:tcBorders>
              <w:top w:val="single" w:color="auto" w:sz="6" w:space="0"/>
              <w:left w:val="single" w:color="auto" w:sz="6" w:space="0"/>
              <w:bottom w:val="single" w:color="auto" w:sz="4" w:space="0"/>
              <w:right w:val="single" w:color="auto" w:sz="6" w:space="0"/>
            </w:tcBorders>
            <w:noWrap w:val="0"/>
            <w:vAlign w:val="center"/>
          </w:tcPr>
          <w:p w14:paraId="6EB9BCA6">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4" w:space="0"/>
              <w:right w:val="single" w:color="auto" w:sz="6" w:space="0"/>
            </w:tcBorders>
            <w:noWrap w:val="0"/>
            <w:vAlign w:val="center"/>
          </w:tcPr>
          <w:p w14:paraId="5B53D6BA">
            <w:pPr>
              <w:spacing w:before="163" w:beforeLines="50"/>
              <w:jc w:val="center"/>
              <w:rPr>
                <w:color w:val="000000" w:themeColor="text1"/>
                <w:sz w:val="21"/>
                <w:szCs w:val="21"/>
                <w:highlight w:val="none"/>
                <w14:textFill>
                  <w14:solidFill>
                    <w14:schemeClr w14:val="tx1"/>
                  </w14:solidFill>
                </w14:textFill>
              </w:rPr>
            </w:pPr>
          </w:p>
        </w:tc>
      </w:tr>
      <w:tr w14:paraId="56EA39AD">
        <w:tblPrEx>
          <w:tblCellMar>
            <w:top w:w="0" w:type="dxa"/>
            <w:left w:w="28" w:type="dxa"/>
            <w:bottom w:w="0" w:type="dxa"/>
            <w:right w:w="28" w:type="dxa"/>
          </w:tblCellMar>
        </w:tblPrEx>
        <w:trPr>
          <w:trHeight w:val="531" w:hRule="atLeast"/>
          <w:jc w:val="center"/>
        </w:trPr>
        <w:tc>
          <w:tcPr>
            <w:tcW w:w="892" w:type="dxa"/>
            <w:tcBorders>
              <w:top w:val="single" w:color="auto" w:sz="4" w:space="0"/>
              <w:left w:val="single" w:color="auto" w:sz="4" w:space="0"/>
              <w:bottom w:val="single" w:color="auto" w:sz="6" w:space="0"/>
            </w:tcBorders>
            <w:noWrap w:val="0"/>
            <w:vAlign w:val="center"/>
          </w:tcPr>
          <w:p w14:paraId="021F619A">
            <w:pPr>
              <w:spacing w:before="327" w:beforeLines="1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74E80A0A">
            <w:pPr>
              <w:spacing w:before="327" w:beforeLines="100"/>
              <w:jc w:val="center"/>
              <w:rPr>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6" w:space="0"/>
              <w:bottom w:val="single" w:color="auto" w:sz="6" w:space="0"/>
              <w:right w:val="single" w:color="auto" w:sz="4" w:space="0"/>
            </w:tcBorders>
            <w:noWrap w:val="0"/>
            <w:vAlign w:val="center"/>
          </w:tcPr>
          <w:p w14:paraId="379B9147">
            <w:pPr>
              <w:spacing w:before="163" w:beforeLines="50"/>
              <w:jc w:val="center"/>
              <w:rPr>
                <w:color w:val="000000" w:themeColor="text1"/>
                <w:sz w:val="2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6" w:space="0"/>
              <w:right w:val="single" w:color="auto" w:sz="6" w:space="0"/>
            </w:tcBorders>
            <w:noWrap w:val="0"/>
            <w:vAlign w:val="center"/>
          </w:tcPr>
          <w:p w14:paraId="4F7B32C3">
            <w:pPr>
              <w:spacing w:before="163" w:beforeLines="50"/>
              <w:jc w:val="center"/>
              <w:rPr>
                <w:color w:val="000000" w:themeColor="text1"/>
                <w:sz w:val="21"/>
                <w:szCs w:val="21"/>
                <w:highlight w:val="none"/>
                <w14:textFill>
                  <w14:solidFill>
                    <w14:schemeClr w14:val="tx1"/>
                  </w14:solidFill>
                </w14:textFill>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14:paraId="1828F6EA">
            <w:pPr>
              <w:spacing w:before="163" w:beforeLines="50"/>
              <w:jc w:val="center"/>
              <w:rPr>
                <w:color w:val="000000" w:themeColor="text1"/>
                <w:sz w:val="21"/>
                <w:szCs w:val="21"/>
                <w:highlight w:val="none"/>
                <w14:textFill>
                  <w14:solidFill>
                    <w14:schemeClr w14:val="tx1"/>
                  </w14:solidFill>
                </w14:textFill>
              </w:rPr>
            </w:pPr>
          </w:p>
        </w:tc>
        <w:tc>
          <w:tcPr>
            <w:tcW w:w="854" w:type="dxa"/>
            <w:tcBorders>
              <w:top w:val="single" w:color="auto" w:sz="4" w:space="0"/>
              <w:left w:val="single" w:color="auto" w:sz="6" w:space="0"/>
              <w:bottom w:val="single" w:color="auto" w:sz="6" w:space="0"/>
              <w:right w:val="single" w:color="auto" w:sz="6" w:space="0"/>
            </w:tcBorders>
            <w:noWrap w:val="0"/>
            <w:vAlign w:val="center"/>
          </w:tcPr>
          <w:p w14:paraId="0F5F003A">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31A484B6">
            <w:pPr>
              <w:spacing w:before="163" w:beforeLines="50"/>
              <w:jc w:val="center"/>
              <w:rPr>
                <w:color w:val="000000" w:themeColor="text1"/>
                <w:sz w:val="21"/>
                <w:szCs w:val="21"/>
                <w:highlight w:val="none"/>
                <w14:textFill>
                  <w14:solidFill>
                    <w14:schemeClr w14:val="tx1"/>
                  </w14:solidFill>
                </w14:textFill>
              </w:rPr>
            </w:pPr>
          </w:p>
        </w:tc>
        <w:tc>
          <w:tcPr>
            <w:tcW w:w="982" w:type="dxa"/>
            <w:gridSpan w:val="2"/>
            <w:tcBorders>
              <w:top w:val="single" w:color="auto" w:sz="4" w:space="0"/>
              <w:left w:val="single" w:color="auto" w:sz="6" w:space="0"/>
              <w:bottom w:val="single" w:color="auto" w:sz="6" w:space="0"/>
              <w:right w:val="single" w:color="auto" w:sz="6" w:space="0"/>
            </w:tcBorders>
            <w:noWrap w:val="0"/>
            <w:vAlign w:val="center"/>
          </w:tcPr>
          <w:p w14:paraId="6FD18C58">
            <w:pPr>
              <w:spacing w:before="163" w:beforeLines="50"/>
              <w:jc w:val="center"/>
              <w:rPr>
                <w:color w:val="000000" w:themeColor="text1"/>
                <w:sz w:val="21"/>
                <w:szCs w:val="21"/>
                <w:highlight w:val="none"/>
                <w14:textFill>
                  <w14:solidFill>
                    <w14:schemeClr w14:val="tx1"/>
                  </w14:solidFill>
                </w14:textFill>
              </w:rPr>
            </w:pPr>
          </w:p>
        </w:tc>
        <w:tc>
          <w:tcPr>
            <w:tcW w:w="968" w:type="dxa"/>
            <w:tcBorders>
              <w:top w:val="single" w:color="auto" w:sz="4" w:space="0"/>
              <w:left w:val="single" w:color="auto" w:sz="6" w:space="0"/>
              <w:bottom w:val="single" w:color="auto" w:sz="6" w:space="0"/>
              <w:right w:val="single" w:color="auto" w:sz="6" w:space="0"/>
            </w:tcBorders>
            <w:noWrap w:val="0"/>
            <w:vAlign w:val="center"/>
          </w:tcPr>
          <w:p w14:paraId="359C5141">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09030541">
            <w:pPr>
              <w:spacing w:before="163" w:beforeLines="50"/>
              <w:jc w:val="center"/>
              <w:rPr>
                <w:color w:val="000000" w:themeColor="text1"/>
                <w:sz w:val="21"/>
                <w:szCs w:val="21"/>
                <w:highlight w:val="none"/>
                <w14:textFill>
                  <w14:solidFill>
                    <w14:schemeClr w14:val="tx1"/>
                  </w14:solidFill>
                </w14:textFill>
              </w:rPr>
            </w:pPr>
          </w:p>
        </w:tc>
      </w:tr>
      <w:tr w14:paraId="50C9F3DD">
        <w:tblPrEx>
          <w:tblCellMar>
            <w:top w:w="0" w:type="dxa"/>
            <w:left w:w="28" w:type="dxa"/>
            <w:bottom w:w="0" w:type="dxa"/>
            <w:right w:w="28" w:type="dxa"/>
          </w:tblCellMar>
        </w:tblPrEx>
        <w:trPr>
          <w:trHeight w:val="531" w:hRule="atLeast"/>
          <w:jc w:val="center"/>
        </w:trPr>
        <w:tc>
          <w:tcPr>
            <w:tcW w:w="892" w:type="dxa"/>
            <w:tcBorders>
              <w:top w:val="single" w:color="auto" w:sz="4" w:space="0"/>
              <w:left w:val="single" w:color="auto" w:sz="4" w:space="0"/>
              <w:bottom w:val="single" w:color="auto" w:sz="6" w:space="0"/>
            </w:tcBorders>
            <w:noWrap w:val="0"/>
            <w:vAlign w:val="center"/>
          </w:tcPr>
          <w:p w14:paraId="5EF2E894">
            <w:pPr>
              <w:spacing w:before="327" w:beforeLines="1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2B308424">
            <w:pPr>
              <w:spacing w:before="327" w:beforeLines="100"/>
              <w:jc w:val="center"/>
              <w:rPr>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6" w:space="0"/>
              <w:bottom w:val="single" w:color="auto" w:sz="6" w:space="0"/>
              <w:right w:val="single" w:color="auto" w:sz="4" w:space="0"/>
            </w:tcBorders>
            <w:noWrap w:val="0"/>
            <w:vAlign w:val="center"/>
          </w:tcPr>
          <w:p w14:paraId="496E83C8">
            <w:pPr>
              <w:spacing w:before="163" w:beforeLines="50"/>
              <w:jc w:val="center"/>
              <w:rPr>
                <w:color w:val="000000" w:themeColor="text1"/>
                <w:sz w:val="2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6" w:space="0"/>
              <w:right w:val="single" w:color="auto" w:sz="6" w:space="0"/>
            </w:tcBorders>
            <w:noWrap w:val="0"/>
            <w:vAlign w:val="center"/>
          </w:tcPr>
          <w:p w14:paraId="545D534A">
            <w:pPr>
              <w:spacing w:before="163" w:beforeLines="50"/>
              <w:jc w:val="center"/>
              <w:rPr>
                <w:color w:val="000000" w:themeColor="text1"/>
                <w:sz w:val="21"/>
                <w:szCs w:val="21"/>
                <w:highlight w:val="none"/>
                <w14:textFill>
                  <w14:solidFill>
                    <w14:schemeClr w14:val="tx1"/>
                  </w14:solidFill>
                </w14:textFill>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14:paraId="19A85618">
            <w:pPr>
              <w:spacing w:before="163" w:beforeLines="50"/>
              <w:jc w:val="center"/>
              <w:rPr>
                <w:color w:val="000000" w:themeColor="text1"/>
                <w:sz w:val="21"/>
                <w:szCs w:val="21"/>
                <w:highlight w:val="none"/>
                <w14:textFill>
                  <w14:solidFill>
                    <w14:schemeClr w14:val="tx1"/>
                  </w14:solidFill>
                </w14:textFill>
              </w:rPr>
            </w:pPr>
          </w:p>
        </w:tc>
        <w:tc>
          <w:tcPr>
            <w:tcW w:w="854" w:type="dxa"/>
            <w:tcBorders>
              <w:top w:val="single" w:color="auto" w:sz="4" w:space="0"/>
              <w:left w:val="single" w:color="auto" w:sz="6" w:space="0"/>
              <w:bottom w:val="single" w:color="auto" w:sz="6" w:space="0"/>
              <w:right w:val="single" w:color="auto" w:sz="6" w:space="0"/>
            </w:tcBorders>
            <w:noWrap w:val="0"/>
            <w:vAlign w:val="center"/>
          </w:tcPr>
          <w:p w14:paraId="5DB9D554">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1A5571CD">
            <w:pPr>
              <w:spacing w:before="163" w:beforeLines="50"/>
              <w:jc w:val="center"/>
              <w:rPr>
                <w:color w:val="000000" w:themeColor="text1"/>
                <w:sz w:val="21"/>
                <w:szCs w:val="21"/>
                <w:highlight w:val="none"/>
                <w14:textFill>
                  <w14:solidFill>
                    <w14:schemeClr w14:val="tx1"/>
                  </w14:solidFill>
                </w14:textFill>
              </w:rPr>
            </w:pPr>
          </w:p>
        </w:tc>
        <w:tc>
          <w:tcPr>
            <w:tcW w:w="982" w:type="dxa"/>
            <w:gridSpan w:val="2"/>
            <w:tcBorders>
              <w:top w:val="single" w:color="auto" w:sz="4" w:space="0"/>
              <w:left w:val="single" w:color="auto" w:sz="6" w:space="0"/>
              <w:bottom w:val="single" w:color="auto" w:sz="6" w:space="0"/>
              <w:right w:val="single" w:color="auto" w:sz="6" w:space="0"/>
            </w:tcBorders>
            <w:noWrap w:val="0"/>
            <w:vAlign w:val="center"/>
          </w:tcPr>
          <w:p w14:paraId="053BA59B">
            <w:pPr>
              <w:spacing w:before="163" w:beforeLines="50"/>
              <w:jc w:val="center"/>
              <w:rPr>
                <w:color w:val="000000" w:themeColor="text1"/>
                <w:sz w:val="21"/>
                <w:szCs w:val="21"/>
                <w:highlight w:val="none"/>
                <w14:textFill>
                  <w14:solidFill>
                    <w14:schemeClr w14:val="tx1"/>
                  </w14:solidFill>
                </w14:textFill>
              </w:rPr>
            </w:pPr>
          </w:p>
        </w:tc>
        <w:tc>
          <w:tcPr>
            <w:tcW w:w="968" w:type="dxa"/>
            <w:tcBorders>
              <w:top w:val="single" w:color="auto" w:sz="4" w:space="0"/>
              <w:left w:val="single" w:color="auto" w:sz="6" w:space="0"/>
              <w:bottom w:val="single" w:color="auto" w:sz="6" w:space="0"/>
              <w:right w:val="single" w:color="auto" w:sz="6" w:space="0"/>
            </w:tcBorders>
            <w:noWrap w:val="0"/>
            <w:vAlign w:val="center"/>
          </w:tcPr>
          <w:p w14:paraId="71AD41A9">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7F60DF06">
            <w:pPr>
              <w:spacing w:before="163" w:beforeLines="50"/>
              <w:jc w:val="center"/>
              <w:rPr>
                <w:color w:val="000000" w:themeColor="text1"/>
                <w:sz w:val="21"/>
                <w:szCs w:val="21"/>
                <w:highlight w:val="none"/>
                <w14:textFill>
                  <w14:solidFill>
                    <w14:schemeClr w14:val="tx1"/>
                  </w14:solidFill>
                </w14:textFill>
              </w:rPr>
            </w:pPr>
          </w:p>
        </w:tc>
      </w:tr>
      <w:tr w14:paraId="4031BEAE">
        <w:tblPrEx>
          <w:tblCellMar>
            <w:top w:w="0" w:type="dxa"/>
            <w:left w:w="28" w:type="dxa"/>
            <w:bottom w:w="0" w:type="dxa"/>
            <w:right w:w="28" w:type="dxa"/>
          </w:tblCellMar>
        </w:tblPrEx>
        <w:trPr>
          <w:trHeight w:val="531" w:hRule="atLeast"/>
          <w:jc w:val="center"/>
        </w:trPr>
        <w:tc>
          <w:tcPr>
            <w:tcW w:w="892" w:type="dxa"/>
            <w:tcBorders>
              <w:top w:val="single" w:color="auto" w:sz="4" w:space="0"/>
              <w:left w:val="single" w:color="auto" w:sz="4" w:space="0"/>
              <w:bottom w:val="single" w:color="auto" w:sz="6" w:space="0"/>
            </w:tcBorders>
            <w:noWrap w:val="0"/>
            <w:vAlign w:val="center"/>
          </w:tcPr>
          <w:p w14:paraId="0E295356">
            <w:pPr>
              <w:spacing w:before="327" w:beforeLines="1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0EDB3DBD">
            <w:pPr>
              <w:spacing w:before="163" w:beforeLines="50"/>
              <w:jc w:val="center"/>
              <w:rPr>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6" w:space="0"/>
              <w:bottom w:val="single" w:color="auto" w:sz="6" w:space="0"/>
              <w:right w:val="single" w:color="auto" w:sz="4" w:space="0"/>
            </w:tcBorders>
            <w:noWrap w:val="0"/>
            <w:vAlign w:val="center"/>
          </w:tcPr>
          <w:p w14:paraId="6FB7B442">
            <w:pPr>
              <w:spacing w:before="163" w:beforeLines="50"/>
              <w:jc w:val="center"/>
              <w:rPr>
                <w:color w:val="000000" w:themeColor="text1"/>
                <w:sz w:val="2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6" w:space="0"/>
              <w:right w:val="single" w:color="auto" w:sz="6" w:space="0"/>
            </w:tcBorders>
            <w:noWrap w:val="0"/>
            <w:vAlign w:val="center"/>
          </w:tcPr>
          <w:p w14:paraId="7C5E98B9">
            <w:pPr>
              <w:spacing w:before="163" w:beforeLines="50"/>
              <w:jc w:val="center"/>
              <w:rPr>
                <w:color w:val="000000" w:themeColor="text1"/>
                <w:sz w:val="21"/>
                <w:szCs w:val="21"/>
                <w:highlight w:val="none"/>
                <w14:textFill>
                  <w14:solidFill>
                    <w14:schemeClr w14:val="tx1"/>
                  </w14:solidFill>
                </w14:textFill>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14:paraId="388D2D5B">
            <w:pPr>
              <w:spacing w:before="163" w:beforeLines="50"/>
              <w:jc w:val="center"/>
              <w:rPr>
                <w:color w:val="000000" w:themeColor="text1"/>
                <w:sz w:val="21"/>
                <w:szCs w:val="21"/>
                <w:highlight w:val="none"/>
                <w14:textFill>
                  <w14:solidFill>
                    <w14:schemeClr w14:val="tx1"/>
                  </w14:solidFill>
                </w14:textFill>
              </w:rPr>
            </w:pPr>
          </w:p>
        </w:tc>
        <w:tc>
          <w:tcPr>
            <w:tcW w:w="854" w:type="dxa"/>
            <w:tcBorders>
              <w:top w:val="single" w:color="auto" w:sz="4" w:space="0"/>
              <w:left w:val="single" w:color="auto" w:sz="6" w:space="0"/>
              <w:bottom w:val="single" w:color="auto" w:sz="6" w:space="0"/>
              <w:right w:val="single" w:color="auto" w:sz="6" w:space="0"/>
            </w:tcBorders>
            <w:noWrap w:val="0"/>
            <w:vAlign w:val="center"/>
          </w:tcPr>
          <w:p w14:paraId="792E3972">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1B6AEC6E">
            <w:pPr>
              <w:spacing w:before="163" w:beforeLines="50"/>
              <w:jc w:val="center"/>
              <w:rPr>
                <w:color w:val="000000" w:themeColor="text1"/>
                <w:sz w:val="21"/>
                <w:szCs w:val="21"/>
                <w:highlight w:val="none"/>
                <w14:textFill>
                  <w14:solidFill>
                    <w14:schemeClr w14:val="tx1"/>
                  </w14:solidFill>
                </w14:textFill>
              </w:rPr>
            </w:pPr>
          </w:p>
        </w:tc>
        <w:tc>
          <w:tcPr>
            <w:tcW w:w="982" w:type="dxa"/>
            <w:gridSpan w:val="2"/>
            <w:tcBorders>
              <w:top w:val="single" w:color="auto" w:sz="4" w:space="0"/>
              <w:left w:val="single" w:color="auto" w:sz="6" w:space="0"/>
              <w:bottom w:val="single" w:color="auto" w:sz="6" w:space="0"/>
              <w:right w:val="single" w:color="auto" w:sz="6" w:space="0"/>
            </w:tcBorders>
            <w:noWrap w:val="0"/>
            <w:vAlign w:val="center"/>
          </w:tcPr>
          <w:p w14:paraId="0DB4DC16">
            <w:pPr>
              <w:spacing w:before="163" w:beforeLines="50"/>
              <w:jc w:val="center"/>
              <w:rPr>
                <w:color w:val="000000" w:themeColor="text1"/>
                <w:sz w:val="21"/>
                <w:szCs w:val="21"/>
                <w:highlight w:val="none"/>
                <w14:textFill>
                  <w14:solidFill>
                    <w14:schemeClr w14:val="tx1"/>
                  </w14:solidFill>
                </w14:textFill>
              </w:rPr>
            </w:pPr>
          </w:p>
        </w:tc>
        <w:tc>
          <w:tcPr>
            <w:tcW w:w="968" w:type="dxa"/>
            <w:tcBorders>
              <w:top w:val="single" w:color="auto" w:sz="4" w:space="0"/>
              <w:left w:val="single" w:color="auto" w:sz="6" w:space="0"/>
              <w:bottom w:val="single" w:color="auto" w:sz="6" w:space="0"/>
              <w:right w:val="single" w:color="auto" w:sz="6" w:space="0"/>
            </w:tcBorders>
            <w:noWrap w:val="0"/>
            <w:vAlign w:val="center"/>
          </w:tcPr>
          <w:p w14:paraId="10221482">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6BC39288">
            <w:pPr>
              <w:spacing w:before="163" w:beforeLines="50"/>
              <w:jc w:val="center"/>
              <w:rPr>
                <w:color w:val="000000" w:themeColor="text1"/>
                <w:sz w:val="21"/>
                <w:szCs w:val="21"/>
                <w:highlight w:val="none"/>
                <w14:textFill>
                  <w14:solidFill>
                    <w14:schemeClr w14:val="tx1"/>
                  </w14:solidFill>
                </w14:textFill>
              </w:rPr>
            </w:pPr>
          </w:p>
        </w:tc>
      </w:tr>
      <w:tr w14:paraId="6132CBBE">
        <w:tblPrEx>
          <w:tblCellMar>
            <w:top w:w="0" w:type="dxa"/>
            <w:left w:w="28" w:type="dxa"/>
            <w:bottom w:w="0" w:type="dxa"/>
            <w:right w:w="28" w:type="dxa"/>
          </w:tblCellMar>
        </w:tblPrEx>
        <w:trPr>
          <w:trHeight w:val="531" w:hRule="atLeast"/>
          <w:jc w:val="center"/>
        </w:trPr>
        <w:tc>
          <w:tcPr>
            <w:tcW w:w="892" w:type="dxa"/>
            <w:tcBorders>
              <w:top w:val="single" w:color="auto" w:sz="4" w:space="0"/>
              <w:left w:val="single" w:color="auto" w:sz="4" w:space="0"/>
              <w:bottom w:val="single" w:color="auto" w:sz="6" w:space="0"/>
            </w:tcBorders>
            <w:noWrap w:val="0"/>
            <w:vAlign w:val="center"/>
          </w:tcPr>
          <w:p w14:paraId="4F7D3F77">
            <w:pPr>
              <w:spacing w:before="327" w:beforeLines="100"/>
              <w:jc w:val="center"/>
              <w:rPr>
                <w:b/>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29738C85">
            <w:pPr>
              <w:spacing w:before="163" w:beforeLines="50"/>
              <w:jc w:val="center"/>
              <w:rPr>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6" w:space="0"/>
              <w:bottom w:val="single" w:color="auto" w:sz="6" w:space="0"/>
              <w:right w:val="single" w:color="auto" w:sz="4" w:space="0"/>
            </w:tcBorders>
            <w:noWrap w:val="0"/>
            <w:vAlign w:val="center"/>
          </w:tcPr>
          <w:p w14:paraId="3C77125E">
            <w:pPr>
              <w:spacing w:before="163" w:beforeLines="50"/>
              <w:jc w:val="center"/>
              <w:rPr>
                <w:color w:val="000000" w:themeColor="text1"/>
                <w:sz w:val="2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6" w:space="0"/>
              <w:right w:val="single" w:color="auto" w:sz="6" w:space="0"/>
            </w:tcBorders>
            <w:noWrap w:val="0"/>
            <w:vAlign w:val="center"/>
          </w:tcPr>
          <w:p w14:paraId="4E31B8B7">
            <w:pPr>
              <w:spacing w:before="163" w:beforeLines="50"/>
              <w:jc w:val="center"/>
              <w:rPr>
                <w:color w:val="000000" w:themeColor="text1"/>
                <w:sz w:val="21"/>
                <w:szCs w:val="21"/>
                <w:highlight w:val="none"/>
                <w14:textFill>
                  <w14:solidFill>
                    <w14:schemeClr w14:val="tx1"/>
                  </w14:solidFill>
                </w14:textFill>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14:paraId="319AF4F2">
            <w:pPr>
              <w:spacing w:before="163" w:beforeLines="50"/>
              <w:jc w:val="center"/>
              <w:rPr>
                <w:color w:val="000000" w:themeColor="text1"/>
                <w:sz w:val="21"/>
                <w:szCs w:val="21"/>
                <w:highlight w:val="none"/>
                <w14:textFill>
                  <w14:solidFill>
                    <w14:schemeClr w14:val="tx1"/>
                  </w14:solidFill>
                </w14:textFill>
              </w:rPr>
            </w:pPr>
          </w:p>
        </w:tc>
        <w:tc>
          <w:tcPr>
            <w:tcW w:w="854" w:type="dxa"/>
            <w:tcBorders>
              <w:top w:val="single" w:color="auto" w:sz="4" w:space="0"/>
              <w:left w:val="single" w:color="auto" w:sz="6" w:space="0"/>
              <w:bottom w:val="single" w:color="auto" w:sz="6" w:space="0"/>
              <w:right w:val="single" w:color="auto" w:sz="6" w:space="0"/>
            </w:tcBorders>
            <w:noWrap w:val="0"/>
            <w:vAlign w:val="center"/>
          </w:tcPr>
          <w:p w14:paraId="6B190AAE">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2D58F90C">
            <w:pPr>
              <w:spacing w:before="163" w:beforeLines="50"/>
              <w:jc w:val="center"/>
              <w:rPr>
                <w:color w:val="000000" w:themeColor="text1"/>
                <w:sz w:val="21"/>
                <w:szCs w:val="21"/>
                <w:highlight w:val="none"/>
                <w14:textFill>
                  <w14:solidFill>
                    <w14:schemeClr w14:val="tx1"/>
                  </w14:solidFill>
                </w14:textFill>
              </w:rPr>
            </w:pPr>
          </w:p>
        </w:tc>
        <w:tc>
          <w:tcPr>
            <w:tcW w:w="982" w:type="dxa"/>
            <w:gridSpan w:val="2"/>
            <w:tcBorders>
              <w:top w:val="single" w:color="auto" w:sz="4" w:space="0"/>
              <w:left w:val="single" w:color="auto" w:sz="6" w:space="0"/>
              <w:bottom w:val="single" w:color="auto" w:sz="6" w:space="0"/>
              <w:right w:val="single" w:color="auto" w:sz="6" w:space="0"/>
            </w:tcBorders>
            <w:noWrap w:val="0"/>
            <w:vAlign w:val="center"/>
          </w:tcPr>
          <w:p w14:paraId="2B4AEAEA">
            <w:pPr>
              <w:spacing w:before="163" w:beforeLines="50"/>
              <w:jc w:val="center"/>
              <w:rPr>
                <w:color w:val="000000" w:themeColor="text1"/>
                <w:sz w:val="21"/>
                <w:szCs w:val="21"/>
                <w:highlight w:val="none"/>
                <w14:textFill>
                  <w14:solidFill>
                    <w14:schemeClr w14:val="tx1"/>
                  </w14:solidFill>
                </w14:textFill>
              </w:rPr>
            </w:pPr>
          </w:p>
        </w:tc>
        <w:tc>
          <w:tcPr>
            <w:tcW w:w="968" w:type="dxa"/>
            <w:tcBorders>
              <w:top w:val="single" w:color="auto" w:sz="4" w:space="0"/>
              <w:left w:val="single" w:color="auto" w:sz="6" w:space="0"/>
              <w:bottom w:val="single" w:color="auto" w:sz="6" w:space="0"/>
              <w:right w:val="single" w:color="auto" w:sz="6" w:space="0"/>
            </w:tcBorders>
            <w:noWrap w:val="0"/>
            <w:vAlign w:val="center"/>
          </w:tcPr>
          <w:p w14:paraId="0E977D4E">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6F4CC412">
            <w:pPr>
              <w:spacing w:before="163" w:beforeLines="50"/>
              <w:jc w:val="center"/>
              <w:rPr>
                <w:color w:val="000000" w:themeColor="text1"/>
                <w:sz w:val="21"/>
                <w:szCs w:val="21"/>
                <w:highlight w:val="none"/>
                <w14:textFill>
                  <w14:solidFill>
                    <w14:schemeClr w14:val="tx1"/>
                  </w14:solidFill>
                </w14:textFill>
              </w:rPr>
            </w:pPr>
          </w:p>
        </w:tc>
      </w:tr>
      <w:tr w14:paraId="53421022">
        <w:tblPrEx>
          <w:tblCellMar>
            <w:top w:w="0" w:type="dxa"/>
            <w:left w:w="28" w:type="dxa"/>
            <w:bottom w:w="0" w:type="dxa"/>
            <w:right w:w="28" w:type="dxa"/>
          </w:tblCellMar>
        </w:tblPrEx>
        <w:trPr>
          <w:trHeight w:val="531" w:hRule="atLeast"/>
          <w:jc w:val="center"/>
        </w:trPr>
        <w:tc>
          <w:tcPr>
            <w:tcW w:w="1689" w:type="dxa"/>
            <w:gridSpan w:val="2"/>
            <w:tcBorders>
              <w:top w:val="single" w:color="auto" w:sz="4" w:space="0"/>
              <w:left w:val="single" w:color="auto" w:sz="4" w:space="0"/>
              <w:bottom w:val="single" w:color="auto" w:sz="6" w:space="0"/>
            </w:tcBorders>
            <w:noWrap w:val="0"/>
            <w:vAlign w:val="center"/>
          </w:tcPr>
          <w:p w14:paraId="65F8851F">
            <w:pPr>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磋商</w:t>
            </w:r>
            <w:r>
              <w:rPr>
                <w:rFonts w:hint="eastAsia"/>
                <w:color w:val="000000" w:themeColor="text1"/>
                <w:sz w:val="21"/>
                <w:szCs w:val="21"/>
                <w:highlight w:val="none"/>
                <w14:textFill>
                  <w14:solidFill>
                    <w14:schemeClr w14:val="tx1"/>
                  </w14:solidFill>
                </w14:textFill>
              </w:rPr>
              <w:t>总报价</w:t>
            </w:r>
          </w:p>
        </w:tc>
        <w:tc>
          <w:tcPr>
            <w:tcW w:w="5883" w:type="dxa"/>
            <w:gridSpan w:val="6"/>
            <w:tcBorders>
              <w:top w:val="single" w:color="auto" w:sz="4" w:space="0"/>
              <w:left w:val="single" w:color="auto" w:sz="6" w:space="0"/>
              <w:bottom w:val="single" w:color="auto" w:sz="6" w:space="0"/>
              <w:right w:val="single" w:color="auto" w:sz="6" w:space="0"/>
            </w:tcBorders>
            <w:noWrap w:val="0"/>
            <w:vAlign w:val="center"/>
          </w:tcPr>
          <w:p w14:paraId="753E7A01">
            <w:pPr>
              <w:spacing w:before="163" w:beforeLines="5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大写：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小写：</w:t>
            </w:r>
          </w:p>
        </w:tc>
        <w:tc>
          <w:tcPr>
            <w:tcW w:w="982" w:type="dxa"/>
            <w:gridSpan w:val="2"/>
            <w:tcBorders>
              <w:top w:val="single" w:color="auto" w:sz="4" w:space="0"/>
              <w:left w:val="single" w:color="auto" w:sz="6" w:space="0"/>
              <w:bottom w:val="single" w:color="auto" w:sz="6" w:space="0"/>
              <w:right w:val="single" w:color="auto" w:sz="6" w:space="0"/>
            </w:tcBorders>
            <w:noWrap w:val="0"/>
            <w:vAlign w:val="center"/>
          </w:tcPr>
          <w:p w14:paraId="59A70CFE">
            <w:pPr>
              <w:spacing w:before="163" w:beforeLines="50"/>
              <w:jc w:val="center"/>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1DA21447">
            <w:pPr>
              <w:spacing w:before="163" w:beforeLines="50"/>
              <w:jc w:val="center"/>
              <w:rPr>
                <w:color w:val="000000" w:themeColor="text1"/>
                <w:sz w:val="21"/>
                <w:szCs w:val="21"/>
                <w:highlight w:val="none"/>
                <w14:textFill>
                  <w14:solidFill>
                    <w14:schemeClr w14:val="tx1"/>
                  </w14:solidFill>
                </w14:textFill>
              </w:rPr>
            </w:pPr>
          </w:p>
        </w:tc>
      </w:tr>
      <w:tr w14:paraId="3D0EE41F">
        <w:tblPrEx>
          <w:tblCellMar>
            <w:top w:w="0" w:type="dxa"/>
            <w:left w:w="28" w:type="dxa"/>
            <w:bottom w:w="0" w:type="dxa"/>
            <w:right w:w="28" w:type="dxa"/>
          </w:tblCellMar>
        </w:tblPrEx>
        <w:trPr>
          <w:trHeight w:val="531" w:hRule="atLeast"/>
          <w:jc w:val="center"/>
        </w:trPr>
        <w:tc>
          <w:tcPr>
            <w:tcW w:w="1689" w:type="dxa"/>
            <w:gridSpan w:val="2"/>
            <w:tcBorders>
              <w:top w:val="single" w:color="auto" w:sz="4" w:space="0"/>
              <w:left w:val="single" w:color="auto" w:sz="4" w:space="0"/>
              <w:bottom w:val="single" w:color="auto" w:sz="6" w:space="0"/>
            </w:tcBorders>
            <w:noWrap w:val="0"/>
            <w:vAlign w:val="center"/>
          </w:tcPr>
          <w:p w14:paraId="09FD3B8A">
            <w:pPr>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w:t>
            </w:r>
          </w:p>
        </w:tc>
        <w:tc>
          <w:tcPr>
            <w:tcW w:w="5883" w:type="dxa"/>
            <w:gridSpan w:val="6"/>
            <w:tcBorders>
              <w:top w:val="single" w:color="auto" w:sz="4" w:space="0"/>
              <w:left w:val="single" w:color="auto" w:sz="6" w:space="0"/>
              <w:bottom w:val="single" w:color="auto" w:sz="6" w:space="0"/>
              <w:right w:val="single" w:color="auto" w:sz="6" w:space="0"/>
            </w:tcBorders>
            <w:noWrap w:val="0"/>
            <w:vAlign w:val="center"/>
          </w:tcPr>
          <w:p w14:paraId="01F5BA0B">
            <w:pPr>
              <w:spacing w:before="163" w:beforeLines="50"/>
              <w:rPr>
                <w:color w:val="000000" w:themeColor="text1"/>
                <w:sz w:val="21"/>
                <w:szCs w:val="21"/>
                <w:highlight w:val="none"/>
                <w14:textFill>
                  <w14:solidFill>
                    <w14:schemeClr w14:val="tx1"/>
                  </w14:solidFill>
                </w14:textFill>
              </w:rPr>
            </w:pPr>
          </w:p>
        </w:tc>
        <w:tc>
          <w:tcPr>
            <w:tcW w:w="982" w:type="dxa"/>
            <w:gridSpan w:val="2"/>
            <w:tcBorders>
              <w:top w:val="single" w:color="auto" w:sz="4" w:space="0"/>
              <w:left w:val="single" w:color="auto" w:sz="6" w:space="0"/>
              <w:bottom w:val="single" w:color="auto" w:sz="6" w:space="0"/>
              <w:right w:val="single" w:color="auto" w:sz="6" w:space="0"/>
            </w:tcBorders>
            <w:noWrap w:val="0"/>
            <w:vAlign w:val="center"/>
          </w:tcPr>
          <w:p w14:paraId="75A371BA">
            <w:pPr>
              <w:spacing w:before="163" w:beforeLines="50"/>
              <w:rPr>
                <w:color w:val="000000" w:themeColor="text1"/>
                <w:sz w:val="21"/>
                <w:szCs w:val="21"/>
                <w:highlight w:val="none"/>
                <w14:textFill>
                  <w14:solidFill>
                    <w14:schemeClr w14:val="tx1"/>
                  </w14:solidFill>
                </w14:textFill>
              </w:rPr>
            </w:pPr>
          </w:p>
        </w:tc>
        <w:tc>
          <w:tcPr>
            <w:tcW w:w="982" w:type="dxa"/>
            <w:tcBorders>
              <w:top w:val="single" w:color="auto" w:sz="4" w:space="0"/>
              <w:left w:val="single" w:color="auto" w:sz="6" w:space="0"/>
              <w:bottom w:val="single" w:color="auto" w:sz="6" w:space="0"/>
              <w:right w:val="single" w:color="auto" w:sz="6" w:space="0"/>
            </w:tcBorders>
            <w:noWrap w:val="0"/>
            <w:vAlign w:val="center"/>
          </w:tcPr>
          <w:p w14:paraId="0BC24D20">
            <w:pPr>
              <w:spacing w:before="163" w:beforeLines="50"/>
              <w:rPr>
                <w:rFonts w:hint="eastAsia" w:hAnsi="宋体"/>
                <w:color w:val="000000" w:themeColor="text1"/>
                <w:spacing w:val="-6"/>
                <w:sz w:val="21"/>
                <w:szCs w:val="21"/>
                <w:highlight w:val="none"/>
                <w14:textFill>
                  <w14:solidFill>
                    <w14:schemeClr w14:val="tx1"/>
                  </w14:solidFill>
                </w14:textFill>
              </w:rPr>
            </w:pPr>
          </w:p>
        </w:tc>
      </w:tr>
    </w:tbl>
    <w:p w14:paraId="436CE673">
      <w:pPr>
        <w:rPr>
          <w:rFonts w:hint="eastAsia"/>
          <w:color w:val="000000" w:themeColor="text1"/>
          <w:highlight w:val="none"/>
          <w14:textFill>
            <w14:solidFill>
              <w14:schemeClr w14:val="tx1"/>
            </w14:solidFill>
          </w14:textFill>
        </w:rPr>
      </w:pPr>
    </w:p>
    <w:p w14:paraId="653993E3">
      <w:pPr>
        <w:pStyle w:val="2"/>
        <w:rPr>
          <w:rFonts w:hint="eastAsia"/>
          <w:color w:val="000000" w:themeColor="text1"/>
          <w:highlight w:val="none"/>
          <w14:textFill>
            <w14:solidFill>
              <w14:schemeClr w14:val="tx1"/>
            </w14:solidFill>
          </w14:textFill>
        </w:rPr>
      </w:pPr>
    </w:p>
    <w:p w14:paraId="3D5483BB">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本表中的“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合计</w:t>
      </w:r>
      <w:r>
        <w:rPr>
          <w:rFonts w:hint="eastAsia" w:ascii="宋体" w:hAnsi="宋体" w:eastAsia="宋体" w:cs="宋体"/>
          <w:color w:val="000000" w:themeColor="text1"/>
          <w:sz w:val="22"/>
          <w:szCs w:val="22"/>
          <w:highlight w:val="none"/>
          <w14:textFill>
            <w14:solidFill>
              <w14:schemeClr w14:val="tx1"/>
            </w14:solidFill>
          </w14:textFill>
        </w:rPr>
        <w:t>”与“</w:t>
      </w:r>
      <w:r>
        <w:rPr>
          <w:rFonts w:hint="eastAsia" w:ascii="宋体" w:hAnsi="宋体" w:cs="宋体"/>
          <w:color w:val="000000" w:themeColor="text1"/>
          <w:sz w:val="22"/>
          <w:szCs w:val="22"/>
          <w:highlight w:val="none"/>
          <w:lang w:val="en-US" w:eastAsia="zh-CN"/>
          <w14:textFill>
            <w14:solidFill>
              <w14:schemeClr w14:val="tx1"/>
            </w14:solidFill>
          </w14:textFill>
        </w:rPr>
        <w:t>首次报价表</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中的总价</w:t>
      </w:r>
      <w:r>
        <w:rPr>
          <w:rFonts w:hint="eastAsia" w:ascii="宋体" w:hAnsi="宋体" w:eastAsia="宋体" w:cs="宋体"/>
          <w:color w:val="000000" w:themeColor="text1"/>
          <w:sz w:val="22"/>
          <w:szCs w:val="22"/>
          <w:highlight w:val="none"/>
          <w14:textFill>
            <w14:solidFill>
              <w14:schemeClr w14:val="tx1"/>
            </w14:solidFill>
          </w14:textFill>
        </w:rPr>
        <w:t>一致。</w:t>
      </w:r>
    </w:p>
    <w:p w14:paraId="510C3486">
      <w:pPr>
        <w:pageBreakBefore w:val="0"/>
        <w:overflowPunct/>
        <w:bidi w:val="0"/>
        <w:spacing w:line="520" w:lineRule="exact"/>
        <w:ind w:firstLine="460" w:firstLineChars="200"/>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2、本报价的币种为人民币</w:t>
      </w:r>
      <w:r>
        <w:rPr>
          <w:rFonts w:hint="eastAsia" w:ascii="宋体" w:hAnsi="宋体" w:eastAsia="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表内报价内容以元为单位（如有小数，保留小数点后2位）。</w:t>
      </w:r>
    </w:p>
    <w:p w14:paraId="536DB190">
      <w:pPr>
        <w:pStyle w:val="2"/>
        <w:rPr>
          <w:rFonts w:hint="eastAsia"/>
          <w:color w:val="000000" w:themeColor="text1"/>
          <w:highlight w:val="none"/>
          <w:lang w:eastAsia="zh-CN"/>
          <w14:textFill>
            <w14:solidFill>
              <w14:schemeClr w14:val="tx1"/>
            </w14:solidFill>
          </w14:textFill>
        </w:rPr>
      </w:pPr>
    </w:p>
    <w:p w14:paraId="1D7C4C24">
      <w:pPr>
        <w:keepNext w:val="0"/>
        <w:keepLines w:val="0"/>
        <w:pageBreakBefore w:val="0"/>
        <w:widowControl w:val="0"/>
        <w:kinsoku/>
        <w:wordWrap/>
        <w:overflowPunct/>
        <w:topLinePunct w:val="0"/>
        <w:autoSpaceDE/>
        <w:autoSpaceDN/>
        <w:bidi w:val="0"/>
        <w:adjustRightInd w:val="0"/>
        <w:snapToGrid w:val="0"/>
        <w:spacing w:line="480" w:lineRule="auto"/>
        <w:ind w:right="0"/>
        <w:jc w:val="both"/>
        <w:textAlignment w:val="auto"/>
        <w:rPr>
          <w:rFonts w:hint="eastAsia" w:ascii="宋体" w:hAnsi="宋体" w:eastAsia="宋体" w:cs="宋体"/>
          <w:color w:val="000000" w:themeColor="text1"/>
          <w:sz w:val="22"/>
          <w:szCs w:val="22"/>
          <w:highlight w:val="none"/>
          <w:u w:val="none"/>
          <w:lang w:eastAsia="zh-CN"/>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供应商名称</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none"/>
          <w14:textFill>
            <w14:solidFill>
              <w14:schemeClr w14:val="tx1"/>
            </w14:solidFill>
          </w14:textFill>
        </w:rPr>
        <w:t>（盖公章）</w:t>
      </w:r>
    </w:p>
    <w:p w14:paraId="52212BD2">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法定代表人或</w:t>
      </w:r>
      <w:r>
        <w:rPr>
          <w:rFonts w:hint="eastAsia" w:ascii="宋体" w:hAnsi="宋体" w:eastAsia="宋体" w:cs="宋体"/>
          <w:color w:val="000000" w:themeColor="text1"/>
          <w:sz w:val="22"/>
          <w:szCs w:val="22"/>
          <w:highlight w:val="none"/>
          <w14:textFill>
            <w14:solidFill>
              <w14:schemeClr w14:val="tx1"/>
            </w14:solidFill>
          </w14:textFill>
        </w:rPr>
        <w:t>委托代理人</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14:textFill>
            <w14:solidFill>
              <w14:schemeClr w14:val="tx1"/>
            </w14:solidFill>
          </w14:textFill>
        </w:rPr>
        <w:t>签字或盖章</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p>
    <w:p w14:paraId="125A75EF">
      <w:pPr>
        <w:pStyle w:val="48"/>
        <w:pageBreakBefore w:val="0"/>
        <w:overflowPunct/>
        <w:bidi w:val="0"/>
        <w:spacing w:line="480" w:lineRule="auto"/>
        <w:ind w:left="0" w:leftChars="0" w:firstLine="0" w:firstLineChars="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bookmarkEnd w:id="44"/>
    <w:bookmarkEnd w:id="45"/>
    <w:bookmarkEnd w:id="46"/>
    <w:bookmarkEnd w:id="47"/>
    <w:bookmarkEnd w:id="48"/>
    <w:p w14:paraId="3D6C0192">
      <w:pPr>
        <w:rPr>
          <w:rFonts w:hint="eastAsia" w:ascii="宋体" w:hAnsi="宋体" w:cs="宋体"/>
          <w:b/>
          <w:color w:val="auto"/>
          <w:sz w:val="32"/>
          <w:szCs w:val="32"/>
          <w:highlight w:val="none"/>
        </w:rPr>
      </w:pPr>
      <w:bookmarkStart w:id="49" w:name="_Toc29416"/>
      <w:bookmarkStart w:id="50" w:name="_Toc8707_WPSOffice_Level1"/>
      <w:bookmarkStart w:id="51" w:name="_Toc5761"/>
      <w:bookmarkStart w:id="52" w:name="_Toc23418"/>
      <w:r>
        <w:rPr>
          <w:rFonts w:hint="eastAsia" w:ascii="宋体" w:hAnsi="宋体" w:cs="宋体"/>
          <w:b/>
          <w:color w:val="auto"/>
          <w:sz w:val="32"/>
          <w:szCs w:val="32"/>
          <w:highlight w:val="none"/>
        </w:rPr>
        <w:br w:type="page"/>
      </w:r>
    </w:p>
    <w:p w14:paraId="690AAAF4">
      <w:pPr>
        <w:spacing w:line="220" w:lineRule="atLeast"/>
        <w:jc w:val="center"/>
        <w:outlineLvl w:val="1"/>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三</w:t>
      </w:r>
      <w:r>
        <w:rPr>
          <w:rFonts w:hint="eastAsia" w:ascii="宋体" w:hAnsi="宋体" w:cs="宋体"/>
          <w:b/>
          <w:color w:val="auto"/>
          <w:sz w:val="32"/>
          <w:szCs w:val="32"/>
          <w:highlight w:val="none"/>
        </w:rPr>
        <w:t>、</w:t>
      </w:r>
      <w:bookmarkStart w:id="53" w:name="_Toc6557"/>
      <w:r>
        <w:rPr>
          <w:rFonts w:hint="eastAsia" w:ascii="宋体" w:hAnsi="宋体" w:eastAsia="宋体" w:cs="宋体"/>
          <w:b/>
          <w:bCs/>
          <w:color w:val="auto"/>
          <w:sz w:val="32"/>
          <w:szCs w:val="32"/>
          <w:highlight w:val="none"/>
        </w:rPr>
        <w:t>法定代表人身份证明</w:t>
      </w:r>
      <w:r>
        <w:rPr>
          <w:rFonts w:hint="eastAsia" w:ascii="宋体" w:hAnsi="宋体" w:cs="宋体"/>
          <w:b/>
          <w:bCs/>
          <w:color w:val="auto"/>
          <w:sz w:val="32"/>
          <w:szCs w:val="32"/>
          <w:highlight w:val="none"/>
          <w:lang w:val="en-US" w:eastAsia="zh-CN"/>
        </w:rPr>
        <w:t>/</w:t>
      </w:r>
      <w:r>
        <w:rPr>
          <w:rFonts w:hint="eastAsia" w:ascii="宋体" w:hAnsi="宋体" w:eastAsia="宋体" w:cs="宋体"/>
          <w:b/>
          <w:color w:val="auto"/>
          <w:sz w:val="32"/>
          <w:szCs w:val="32"/>
          <w:highlight w:val="none"/>
        </w:rPr>
        <w:t>法人授权委托书</w:t>
      </w:r>
    </w:p>
    <w:p w14:paraId="45B31173">
      <w:pPr>
        <w:spacing w:line="220" w:lineRule="atLeast"/>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一</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、法定代表人身份证明</w:t>
      </w:r>
      <w:bookmarkEnd w:id="53"/>
    </w:p>
    <w:p w14:paraId="7CF82C89">
      <w:pPr>
        <w:pStyle w:val="6"/>
        <w:ind w:firstLine="0" w:firstLineChars="0"/>
        <w:rPr>
          <w:rFonts w:hint="eastAsia" w:ascii="宋体" w:hAnsi="宋体" w:eastAsia="宋体" w:cs="宋体"/>
          <w:color w:val="auto"/>
          <w:highlight w:val="none"/>
        </w:rPr>
      </w:pPr>
    </w:p>
    <w:p w14:paraId="54C95499">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790FCB9E">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7D03C419">
      <w:pPr>
        <w:spacing w:before="120" w:after="120" w:line="360" w:lineRule="auto"/>
        <w:ind w:firstLine="75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2106789B">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C428D9">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754158A">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41ADDD2A">
      <w:pPr>
        <w:spacing w:before="120" w:after="120" w:line="360" w:lineRule="auto"/>
        <w:ind w:firstLine="25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49E3A1C9">
      <w:pPr>
        <w:spacing w:before="120" w:after="120" w:line="400" w:lineRule="exact"/>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C2781F2">
      <w:pPr>
        <w:pStyle w:val="49"/>
        <w:rPr>
          <w:rFonts w:hint="eastAsia" w:ascii="宋体" w:hAnsi="宋体" w:eastAsia="宋体" w:cs="宋体"/>
          <w:color w:val="auto"/>
          <w:kern w:val="2"/>
          <w:sz w:val="24"/>
          <w:szCs w:val="24"/>
          <w:highlight w:val="none"/>
          <w:lang w:val="en-US" w:eastAsia="zh-CN" w:bidi="ar-SA"/>
        </w:rPr>
      </w:pPr>
    </w:p>
    <w:p w14:paraId="79065AE3">
      <w:pPr>
        <w:pStyle w:val="49"/>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后附：法定代表人身份证复印件</w:t>
      </w:r>
    </w:p>
    <w:p w14:paraId="45E1F783">
      <w:pPr>
        <w:spacing w:before="120" w:after="120" w:line="400" w:lineRule="exact"/>
        <w:ind w:left="6"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45454595">
      <w:pPr>
        <w:spacing w:before="120" w:after="120" w:line="400" w:lineRule="exact"/>
        <w:ind w:left="6" w:firstLine="420"/>
        <w:rPr>
          <w:rFonts w:hint="eastAsia" w:ascii="宋体" w:hAnsi="宋体" w:eastAsia="宋体" w:cs="宋体"/>
          <w:color w:val="auto"/>
          <w:sz w:val="24"/>
          <w:szCs w:val="24"/>
          <w:highlight w:val="none"/>
        </w:rPr>
      </w:pPr>
    </w:p>
    <w:p w14:paraId="088D2764">
      <w:pPr>
        <w:spacing w:before="120" w:after="120" w:line="400" w:lineRule="exact"/>
        <w:ind w:left="6" w:firstLine="420"/>
        <w:rPr>
          <w:rFonts w:hint="eastAsia" w:ascii="宋体" w:hAnsi="宋体" w:eastAsia="宋体" w:cs="宋体"/>
          <w:color w:val="auto"/>
          <w:sz w:val="24"/>
          <w:szCs w:val="24"/>
          <w:highlight w:val="none"/>
        </w:rPr>
      </w:pPr>
    </w:p>
    <w:p w14:paraId="7B99CEA0">
      <w:pPr>
        <w:spacing w:before="120" w:after="120" w:line="400" w:lineRule="exact"/>
        <w:ind w:left="6"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 章）</w:t>
      </w:r>
    </w:p>
    <w:p w14:paraId="0D9E8C8D">
      <w:pPr>
        <w:spacing w:before="120" w:after="120" w:line="400" w:lineRule="exact"/>
        <w:ind w:left="6"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C43AD57">
      <w:pPr>
        <w:spacing w:before="120" w:after="120" w:line="400" w:lineRule="exact"/>
        <w:ind w:firstLine="425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C31EA21">
      <w:pPr>
        <w:spacing w:before="195" w:beforeLines="50" w:after="195" w:afterLines="50"/>
        <w:jc w:val="both"/>
        <w:rPr>
          <w:rFonts w:hint="eastAsia" w:ascii="宋体" w:hAnsi="宋体" w:eastAsia="宋体" w:cs="宋体"/>
          <w:b/>
          <w:color w:val="auto"/>
          <w:sz w:val="32"/>
          <w:szCs w:val="32"/>
          <w:highlight w:val="none"/>
        </w:rPr>
      </w:pPr>
    </w:p>
    <w:p w14:paraId="6568B3A4">
      <w:pPr>
        <w:rPr>
          <w:rFonts w:hint="eastAsia" w:ascii="宋体" w:hAnsi="宋体" w:eastAsia="宋体" w:cs="宋体"/>
          <w:b/>
          <w:color w:val="auto"/>
          <w:sz w:val="32"/>
          <w:szCs w:val="32"/>
          <w:highlight w:val="none"/>
        </w:rPr>
      </w:pPr>
    </w:p>
    <w:p w14:paraId="1C6BD50D">
      <w:pPr>
        <w:pStyle w:val="11"/>
        <w:rPr>
          <w:rFonts w:hint="eastAsia"/>
        </w:rPr>
      </w:pPr>
    </w:p>
    <w:p w14:paraId="2B84FB80">
      <w:pPr>
        <w:spacing w:before="195" w:beforeLines="50" w:after="195" w:afterLines="50"/>
        <w:jc w:val="center"/>
        <w:outlineLvl w:val="1"/>
        <w:rPr>
          <w:rFonts w:hint="eastAsia" w:ascii="宋体" w:hAnsi="宋体" w:eastAsia="宋体" w:cs="宋体"/>
          <w:b/>
          <w:color w:val="auto"/>
          <w:sz w:val="32"/>
          <w:szCs w:val="32"/>
          <w:highlight w:val="none"/>
        </w:rPr>
      </w:pPr>
      <w:bookmarkStart w:id="54" w:name="_Toc23605"/>
      <w:bookmarkStart w:id="55" w:name="_Toc1069"/>
      <w:bookmarkStart w:id="56" w:name="_Toc25743"/>
      <w:bookmarkStart w:id="57" w:name="_Toc1139"/>
      <w:bookmarkStart w:id="58" w:name="_Toc18792"/>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、法人授权委托书</w:t>
      </w:r>
      <w:bookmarkEnd w:id="54"/>
      <w:bookmarkEnd w:id="55"/>
      <w:bookmarkEnd w:id="56"/>
      <w:bookmarkEnd w:id="57"/>
      <w:bookmarkEnd w:id="58"/>
    </w:p>
    <w:p w14:paraId="05F73A0C">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（采购人名称）</w:t>
      </w:r>
    </w:p>
    <w:p w14:paraId="2C6477B7">
      <w:pPr>
        <w:spacing w:line="360" w:lineRule="auto"/>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注册于</w:t>
      </w:r>
      <w:r>
        <w:rPr>
          <w:rFonts w:hint="eastAsia" w:ascii="宋体" w:hAnsi="宋体" w:eastAsia="宋体" w:cs="宋体"/>
          <w:color w:val="auto"/>
          <w:sz w:val="24"/>
          <w:szCs w:val="24"/>
          <w:highlight w:val="none"/>
          <w:u w:val="single"/>
        </w:rPr>
        <w:t xml:space="preserve">         （工商行政管理局名称）之       （供应商全称）       的      （法定代表人姓名）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（委托代理人姓名）为本公司全权代表，参加贵单位的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（采购项目名称）竞争性磋商活动，代表本公司全权处理磋商活动中的一切事宜</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本公司对委托代理人的签名负全部法律责任。</w:t>
      </w:r>
    </w:p>
    <w:tbl>
      <w:tblPr>
        <w:tblStyle w:val="31"/>
        <w:tblW w:w="86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4"/>
        <w:gridCol w:w="4314"/>
      </w:tblGrid>
      <w:tr w14:paraId="7A49D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314" w:type="dxa"/>
            <w:vAlign w:val="center"/>
          </w:tcPr>
          <w:p w14:paraId="53640B5C">
            <w:pPr>
              <w:pStyle w:val="67"/>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法人代表签字或盖章：</w:t>
            </w:r>
          </w:p>
        </w:tc>
        <w:tc>
          <w:tcPr>
            <w:tcW w:w="4314" w:type="dxa"/>
            <w:vAlign w:val="center"/>
          </w:tcPr>
          <w:p w14:paraId="205AD248">
            <w:pPr>
              <w:pStyle w:val="67"/>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p>
        </w:tc>
      </w:tr>
      <w:tr w14:paraId="4B05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314" w:type="dxa"/>
            <w:vAlign w:val="center"/>
          </w:tcPr>
          <w:p w14:paraId="3A0C7959">
            <w:pPr>
              <w:pStyle w:val="67"/>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314" w:type="dxa"/>
            <w:vAlign w:val="center"/>
          </w:tcPr>
          <w:p w14:paraId="1BCB170E">
            <w:pPr>
              <w:pStyle w:val="67"/>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r>
      <w:tr w14:paraId="21ED9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7" w:hRule="atLeast"/>
        </w:trPr>
        <w:tc>
          <w:tcPr>
            <w:tcW w:w="4314" w:type="dxa"/>
            <w:vAlign w:val="center"/>
          </w:tcPr>
          <w:p w14:paraId="15A27D1B">
            <w:pPr>
              <w:pStyle w:val="67"/>
              <w:autoSpaceDE w:val="0"/>
              <w:autoSpaceDN w:val="0"/>
              <w:ind w:firstLine="50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法定代表人身份证复印件粘贴处：（正</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c>
          <w:tcPr>
            <w:tcW w:w="4314" w:type="dxa"/>
            <w:vAlign w:val="center"/>
          </w:tcPr>
          <w:p w14:paraId="3AB0F521">
            <w:pPr>
              <w:pStyle w:val="67"/>
              <w:autoSpaceDE w:val="0"/>
              <w:autoSpaceDN w:val="0"/>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委托代理人身份证复印件粘贴处：</w:t>
            </w:r>
          </w:p>
          <w:p w14:paraId="3E4B3C8C">
            <w:pPr>
              <w:pStyle w:val="67"/>
              <w:autoSpaceDE w:val="0"/>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r>
    </w:tbl>
    <w:p w14:paraId="169ABAA3">
      <w:pPr>
        <w:spacing w:before="195" w:before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（本授权的有效期为</w:t>
      </w:r>
      <w:r>
        <w:rPr>
          <w:rFonts w:hint="eastAsia" w:ascii="宋体" w:hAnsi="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rPr>
        <w:t>日历天）</w:t>
      </w:r>
    </w:p>
    <w:p w14:paraId="0B41EEA2">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08A0DED1">
      <w:pPr>
        <w:spacing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5B239C">
      <w:pPr>
        <w:spacing w:line="480" w:lineRule="auto"/>
        <w:jc w:val="center"/>
        <w:rPr>
          <w:rFonts w:hint="eastAsia" w:ascii="宋体" w:hAnsi="宋体" w:eastAsia="宋体" w:cs="宋体"/>
          <w:b/>
          <w:color w:val="auto"/>
          <w:sz w:val="32"/>
          <w:szCs w:val="32"/>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56213C8">
      <w:pPr>
        <w:spacing w:line="480" w:lineRule="exact"/>
        <w:jc w:val="both"/>
        <w:outlineLvl w:val="1"/>
        <w:rPr>
          <w:rFonts w:hint="eastAsia" w:ascii="宋体" w:hAnsi="宋体" w:cs="宋体"/>
          <w:b/>
          <w:color w:val="auto"/>
          <w:sz w:val="32"/>
          <w:szCs w:val="32"/>
          <w:highlight w:val="none"/>
        </w:rPr>
      </w:pPr>
    </w:p>
    <w:p w14:paraId="425A46C9">
      <w:pPr>
        <w:spacing w:line="48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四、</w:t>
      </w:r>
      <w:r>
        <w:rPr>
          <w:rFonts w:hint="eastAsia" w:ascii="宋体" w:hAnsi="宋体" w:cs="宋体"/>
          <w:b/>
          <w:color w:val="auto"/>
          <w:sz w:val="32"/>
          <w:szCs w:val="32"/>
          <w:highlight w:val="none"/>
          <w:lang w:eastAsia="zh-CN"/>
        </w:rPr>
        <w:t>技术参数</w:t>
      </w:r>
      <w:r>
        <w:rPr>
          <w:rFonts w:hint="eastAsia" w:ascii="宋体" w:hAnsi="宋体" w:cs="宋体"/>
          <w:b/>
          <w:color w:val="auto"/>
          <w:sz w:val="32"/>
          <w:szCs w:val="32"/>
          <w:highlight w:val="none"/>
        </w:rPr>
        <w:t>响应偏离表</w:t>
      </w:r>
      <w:bookmarkEnd w:id="49"/>
    </w:p>
    <w:p w14:paraId="53B32841">
      <w:pPr>
        <w:spacing w:line="480" w:lineRule="exact"/>
        <w:jc w:val="center"/>
        <w:outlineLvl w:val="1"/>
        <w:rPr>
          <w:rFonts w:ascii="宋体" w:hAnsi="宋体" w:cs="宋体"/>
          <w:b/>
          <w:color w:val="auto"/>
          <w:sz w:val="32"/>
          <w:szCs w:val="32"/>
          <w:highlight w:val="none"/>
        </w:rPr>
      </w:pPr>
    </w:p>
    <w:p w14:paraId="3D7E1134">
      <w:pPr>
        <w:spacing w:line="288" w:lineRule="auto"/>
        <w:jc w:val="left"/>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rPr>
        <w:t>项目名称：</w:t>
      </w:r>
      <w:r>
        <w:rPr>
          <w:rFonts w:hint="eastAsia" w:ascii="宋体" w:hAnsi="宋体" w:cs="宋体"/>
          <w:bCs/>
          <w:color w:val="auto"/>
          <w:sz w:val="24"/>
          <w:szCs w:val="24"/>
          <w:highlight w:val="none"/>
          <w:lang w:eastAsia="zh-CN"/>
        </w:rPr>
        <w:t>2025年城关镇村集体经济组织规模化高梁等农作物种植产能提升项目</w:t>
      </w:r>
    </w:p>
    <w:p w14:paraId="166315AF">
      <w:pPr>
        <w:pStyle w:val="48"/>
        <w:keepNext w:val="0"/>
        <w:keepLines w:val="0"/>
        <w:pageBreakBefore w:val="0"/>
        <w:widowControl w:val="0"/>
        <w:kinsoku/>
        <w:wordWrap/>
        <w:overflowPunct/>
        <w:topLinePunct w:val="0"/>
        <w:autoSpaceDE/>
        <w:autoSpaceDN/>
        <w:bidi w:val="0"/>
        <w:adjustRightInd/>
        <w:snapToGrid/>
        <w:spacing w:after="196" w:afterLines="50"/>
        <w:ind w:left="0" w:leftChars="0" w:firstLine="0" w:firstLineChars="0"/>
        <w:textAlignment w:val="auto"/>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SXHXBJ-2025-10-001</w:t>
      </w:r>
    </w:p>
    <w:tbl>
      <w:tblPr>
        <w:tblStyle w:val="31"/>
        <w:tblW w:w="86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800"/>
        <w:gridCol w:w="2582"/>
        <w:gridCol w:w="1342"/>
        <w:gridCol w:w="1320"/>
      </w:tblGrid>
      <w:tr w14:paraId="59229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0" w:type="dxa"/>
            <w:tcBorders>
              <w:tl2br w:val="nil"/>
              <w:tr2bl w:val="nil"/>
            </w:tcBorders>
            <w:tcMar>
              <w:top w:w="57" w:type="dxa"/>
              <w:left w:w="28" w:type="dxa"/>
              <w:bottom w:w="57" w:type="dxa"/>
              <w:right w:w="28" w:type="dxa"/>
            </w:tcMar>
            <w:vAlign w:val="center"/>
          </w:tcPr>
          <w:p w14:paraId="109EA3B3">
            <w:pPr>
              <w:spacing w:line="440" w:lineRule="exact"/>
              <w:jc w:val="center"/>
              <w:rPr>
                <w:rFonts w:ascii="宋体" w:hAnsi="宋体" w:cs="宋体"/>
                <w:color w:val="auto"/>
                <w:sz w:val="28"/>
                <w:szCs w:val="28"/>
                <w:highlight w:val="none"/>
              </w:rPr>
            </w:pPr>
            <w:r>
              <w:rPr>
                <w:rFonts w:hint="eastAsia" w:ascii="宋体" w:hAnsi="宋体" w:cs="宋体"/>
                <w:color w:val="auto"/>
                <w:sz w:val="24"/>
                <w:szCs w:val="24"/>
                <w:highlight w:val="none"/>
              </w:rPr>
              <w:t>序号</w:t>
            </w:r>
          </w:p>
        </w:tc>
        <w:tc>
          <w:tcPr>
            <w:tcW w:w="2800" w:type="dxa"/>
            <w:tcBorders>
              <w:tl2br w:val="nil"/>
              <w:tr2bl w:val="nil"/>
            </w:tcBorders>
            <w:tcMar>
              <w:top w:w="57" w:type="dxa"/>
              <w:left w:w="28" w:type="dxa"/>
              <w:bottom w:w="57" w:type="dxa"/>
              <w:right w:w="28" w:type="dxa"/>
            </w:tcMar>
            <w:vAlign w:val="center"/>
          </w:tcPr>
          <w:p w14:paraId="50E6643E">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竞争性磋商文件</w:t>
            </w:r>
          </w:p>
          <w:p w14:paraId="63EC36CD">
            <w:pPr>
              <w:spacing w:line="440" w:lineRule="exact"/>
              <w:jc w:val="center"/>
              <w:rPr>
                <w:rFonts w:ascii="宋体" w:hAnsi="宋体" w:cs="宋体"/>
                <w:color w:val="auto"/>
                <w:sz w:val="28"/>
                <w:szCs w:val="28"/>
                <w:highlight w:val="none"/>
              </w:rPr>
            </w:pPr>
            <w:r>
              <w:rPr>
                <w:rFonts w:hint="eastAsia" w:ascii="宋体" w:hAnsi="宋体" w:cs="宋体"/>
                <w:color w:val="auto"/>
                <w:kern w:val="0"/>
                <w:sz w:val="24"/>
                <w:highlight w:val="none"/>
                <w:lang w:val="en-US" w:eastAsia="zh-CN"/>
              </w:rPr>
              <w:t>技术参数</w:t>
            </w:r>
            <w:r>
              <w:rPr>
                <w:rFonts w:hint="eastAsia" w:ascii="宋体" w:hAnsi="宋体" w:cs="宋体"/>
                <w:color w:val="auto"/>
                <w:kern w:val="0"/>
                <w:sz w:val="24"/>
                <w:highlight w:val="none"/>
              </w:rPr>
              <w:t>要求</w:t>
            </w:r>
          </w:p>
        </w:tc>
        <w:tc>
          <w:tcPr>
            <w:tcW w:w="2582" w:type="dxa"/>
            <w:tcBorders>
              <w:tl2br w:val="nil"/>
              <w:tr2bl w:val="nil"/>
            </w:tcBorders>
            <w:tcMar>
              <w:top w:w="57" w:type="dxa"/>
              <w:left w:w="28" w:type="dxa"/>
              <w:bottom w:w="57" w:type="dxa"/>
              <w:right w:w="28" w:type="dxa"/>
            </w:tcMar>
            <w:vAlign w:val="center"/>
          </w:tcPr>
          <w:p w14:paraId="20676A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w:t>
            </w:r>
            <w:r>
              <w:rPr>
                <w:rFonts w:hint="eastAsia" w:ascii="宋体" w:hAnsi="宋体" w:cs="宋体"/>
                <w:color w:val="auto"/>
                <w:kern w:val="0"/>
                <w:sz w:val="24"/>
                <w:highlight w:val="none"/>
                <w:lang w:val="en-US" w:eastAsia="zh-CN"/>
              </w:rPr>
              <w:t xml:space="preserve">技术参数   </w:t>
            </w:r>
            <w:r>
              <w:rPr>
                <w:rFonts w:hint="eastAsia" w:ascii="宋体" w:hAnsi="宋体" w:cs="宋体"/>
                <w:color w:val="auto"/>
                <w:kern w:val="0"/>
                <w:sz w:val="24"/>
                <w:highlight w:val="none"/>
              </w:rPr>
              <w:t>及要求响应</w:t>
            </w:r>
          </w:p>
        </w:tc>
        <w:tc>
          <w:tcPr>
            <w:tcW w:w="1342" w:type="dxa"/>
            <w:tcBorders>
              <w:tl2br w:val="nil"/>
              <w:tr2bl w:val="nil"/>
            </w:tcBorders>
            <w:tcMar>
              <w:top w:w="57" w:type="dxa"/>
              <w:left w:w="28" w:type="dxa"/>
              <w:bottom w:w="57" w:type="dxa"/>
              <w:right w:w="28" w:type="dxa"/>
            </w:tcMar>
            <w:vAlign w:val="center"/>
          </w:tcPr>
          <w:p w14:paraId="1A0A4F8C">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1320" w:type="dxa"/>
            <w:tcBorders>
              <w:tl2br w:val="nil"/>
              <w:tr2bl w:val="nil"/>
            </w:tcBorders>
            <w:tcMar>
              <w:top w:w="57" w:type="dxa"/>
              <w:left w:w="28" w:type="dxa"/>
              <w:bottom w:w="57" w:type="dxa"/>
              <w:right w:w="28" w:type="dxa"/>
            </w:tcMar>
            <w:vAlign w:val="center"/>
          </w:tcPr>
          <w:p w14:paraId="4A4F3B6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说 明</w:t>
            </w:r>
          </w:p>
        </w:tc>
      </w:tr>
      <w:tr w14:paraId="261D8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dxa"/>
            <w:tcBorders>
              <w:tl2br w:val="nil"/>
              <w:tr2bl w:val="nil"/>
            </w:tcBorders>
            <w:tcMar>
              <w:top w:w="57" w:type="dxa"/>
              <w:left w:w="28" w:type="dxa"/>
              <w:bottom w:w="57" w:type="dxa"/>
              <w:right w:w="28" w:type="dxa"/>
            </w:tcMar>
            <w:vAlign w:val="center"/>
          </w:tcPr>
          <w:p w14:paraId="22ECF76F">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10E27C8F">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6F759C00">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3DC9FF4B">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13DB6D46">
            <w:pPr>
              <w:spacing w:line="440" w:lineRule="exact"/>
              <w:ind w:firstLine="580" w:firstLineChars="200"/>
              <w:jc w:val="center"/>
              <w:rPr>
                <w:rFonts w:ascii="宋体" w:hAnsi="宋体" w:cs="宋体"/>
                <w:color w:val="auto"/>
                <w:sz w:val="28"/>
                <w:szCs w:val="28"/>
                <w:highlight w:val="none"/>
              </w:rPr>
            </w:pPr>
          </w:p>
        </w:tc>
      </w:tr>
      <w:tr w14:paraId="2308E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04F7E235">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3B2C9C7D">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44C23C43">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6F872E22">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2F0AFF90">
            <w:pPr>
              <w:spacing w:line="440" w:lineRule="exact"/>
              <w:ind w:firstLine="580" w:firstLineChars="200"/>
              <w:jc w:val="center"/>
              <w:rPr>
                <w:rFonts w:ascii="宋体" w:hAnsi="宋体" w:cs="宋体"/>
                <w:color w:val="auto"/>
                <w:sz w:val="28"/>
                <w:szCs w:val="28"/>
                <w:highlight w:val="none"/>
              </w:rPr>
            </w:pPr>
          </w:p>
        </w:tc>
      </w:tr>
      <w:tr w14:paraId="3D146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0761C5D4">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7683BCF3">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3A3D7AB5">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1320A06F">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5C21806F">
            <w:pPr>
              <w:spacing w:line="440" w:lineRule="exact"/>
              <w:ind w:firstLine="580" w:firstLineChars="200"/>
              <w:jc w:val="center"/>
              <w:rPr>
                <w:rFonts w:ascii="宋体" w:hAnsi="宋体" w:cs="宋体"/>
                <w:color w:val="auto"/>
                <w:sz w:val="28"/>
                <w:szCs w:val="28"/>
                <w:highlight w:val="none"/>
              </w:rPr>
            </w:pPr>
          </w:p>
        </w:tc>
      </w:tr>
      <w:tr w14:paraId="1986C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1DB3FC17">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009A2763">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6284AEDA">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4F55C6B7">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0B33D000">
            <w:pPr>
              <w:spacing w:line="440" w:lineRule="exact"/>
              <w:ind w:firstLine="580" w:firstLineChars="200"/>
              <w:jc w:val="center"/>
              <w:rPr>
                <w:rFonts w:ascii="宋体" w:hAnsi="宋体" w:cs="宋体"/>
                <w:color w:val="auto"/>
                <w:sz w:val="28"/>
                <w:szCs w:val="28"/>
                <w:highlight w:val="none"/>
              </w:rPr>
            </w:pPr>
          </w:p>
        </w:tc>
      </w:tr>
      <w:tr w14:paraId="01B21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39D75E27">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7C7544B0">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2B1A4CA3">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3179B425">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0AC1A334">
            <w:pPr>
              <w:spacing w:line="440" w:lineRule="exact"/>
              <w:ind w:firstLine="580" w:firstLineChars="200"/>
              <w:jc w:val="center"/>
              <w:rPr>
                <w:rFonts w:ascii="宋体" w:hAnsi="宋体" w:cs="宋体"/>
                <w:color w:val="auto"/>
                <w:sz w:val="28"/>
                <w:szCs w:val="28"/>
                <w:highlight w:val="none"/>
              </w:rPr>
            </w:pPr>
          </w:p>
        </w:tc>
      </w:tr>
      <w:tr w14:paraId="2F6F6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30" w:type="dxa"/>
            <w:tcBorders>
              <w:tl2br w:val="nil"/>
              <w:tr2bl w:val="nil"/>
            </w:tcBorders>
            <w:tcMar>
              <w:top w:w="57" w:type="dxa"/>
              <w:left w:w="28" w:type="dxa"/>
              <w:bottom w:w="57" w:type="dxa"/>
              <w:right w:w="28" w:type="dxa"/>
            </w:tcMar>
            <w:vAlign w:val="center"/>
          </w:tcPr>
          <w:p w14:paraId="0EA78075">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29D575D8">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46D378D8">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49F016A7">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31812519">
            <w:pPr>
              <w:spacing w:line="440" w:lineRule="exact"/>
              <w:ind w:firstLine="580" w:firstLineChars="200"/>
              <w:jc w:val="center"/>
              <w:rPr>
                <w:rFonts w:ascii="宋体" w:hAnsi="宋体" w:cs="宋体"/>
                <w:color w:val="auto"/>
                <w:sz w:val="28"/>
                <w:szCs w:val="28"/>
                <w:highlight w:val="none"/>
              </w:rPr>
            </w:pPr>
          </w:p>
        </w:tc>
      </w:tr>
      <w:tr w14:paraId="33DC0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1665F3B9">
            <w:pPr>
              <w:spacing w:line="440" w:lineRule="exact"/>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3BBAE2F1">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0B887D27">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63B46533">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6A7AC7D3">
            <w:pPr>
              <w:spacing w:line="440" w:lineRule="exact"/>
              <w:ind w:firstLine="580" w:firstLineChars="200"/>
              <w:jc w:val="center"/>
              <w:rPr>
                <w:rFonts w:ascii="宋体" w:hAnsi="宋体" w:cs="宋体"/>
                <w:color w:val="auto"/>
                <w:sz w:val="28"/>
                <w:szCs w:val="28"/>
                <w:highlight w:val="none"/>
              </w:rPr>
            </w:pPr>
          </w:p>
        </w:tc>
      </w:tr>
      <w:tr w14:paraId="01FA0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716B4248">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31B26732">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62C04F11">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2FED691E">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7C8F4435">
            <w:pPr>
              <w:spacing w:line="440" w:lineRule="exact"/>
              <w:ind w:firstLine="580" w:firstLineChars="200"/>
              <w:jc w:val="center"/>
              <w:rPr>
                <w:rFonts w:ascii="宋体" w:hAnsi="宋体" w:cs="宋体"/>
                <w:color w:val="auto"/>
                <w:sz w:val="28"/>
                <w:szCs w:val="28"/>
                <w:highlight w:val="none"/>
              </w:rPr>
            </w:pPr>
          </w:p>
        </w:tc>
      </w:tr>
      <w:tr w14:paraId="173F8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163AE3E2">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3ECD85B1">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3FE47608">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67853901">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0129B5EB">
            <w:pPr>
              <w:spacing w:line="440" w:lineRule="exact"/>
              <w:ind w:firstLine="580" w:firstLineChars="200"/>
              <w:jc w:val="center"/>
              <w:rPr>
                <w:rFonts w:ascii="宋体" w:hAnsi="宋体" w:cs="宋体"/>
                <w:color w:val="auto"/>
                <w:sz w:val="28"/>
                <w:szCs w:val="28"/>
                <w:highlight w:val="none"/>
              </w:rPr>
            </w:pPr>
          </w:p>
        </w:tc>
      </w:tr>
      <w:tr w14:paraId="457A9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0" w:type="dxa"/>
            <w:tcBorders>
              <w:tl2br w:val="nil"/>
              <w:tr2bl w:val="nil"/>
            </w:tcBorders>
            <w:tcMar>
              <w:top w:w="57" w:type="dxa"/>
              <w:left w:w="28" w:type="dxa"/>
              <w:bottom w:w="57" w:type="dxa"/>
              <w:right w:w="28" w:type="dxa"/>
            </w:tcMar>
            <w:vAlign w:val="center"/>
          </w:tcPr>
          <w:p w14:paraId="67D836EB">
            <w:pPr>
              <w:spacing w:line="440" w:lineRule="exact"/>
              <w:ind w:firstLine="205" w:firstLineChars="71"/>
              <w:jc w:val="center"/>
              <w:rPr>
                <w:rFonts w:ascii="宋体" w:hAnsi="宋体" w:cs="宋体"/>
                <w:color w:val="auto"/>
                <w:sz w:val="28"/>
                <w:szCs w:val="28"/>
                <w:highlight w:val="none"/>
              </w:rPr>
            </w:pPr>
          </w:p>
        </w:tc>
        <w:tc>
          <w:tcPr>
            <w:tcW w:w="2800" w:type="dxa"/>
            <w:tcBorders>
              <w:tl2br w:val="nil"/>
              <w:tr2bl w:val="nil"/>
            </w:tcBorders>
            <w:tcMar>
              <w:top w:w="57" w:type="dxa"/>
              <w:left w:w="28" w:type="dxa"/>
              <w:bottom w:w="57" w:type="dxa"/>
              <w:right w:w="28" w:type="dxa"/>
            </w:tcMar>
            <w:vAlign w:val="center"/>
          </w:tcPr>
          <w:p w14:paraId="6BA1BD5F">
            <w:pPr>
              <w:spacing w:line="440" w:lineRule="exact"/>
              <w:ind w:firstLine="580" w:firstLineChars="200"/>
              <w:jc w:val="center"/>
              <w:rPr>
                <w:rFonts w:ascii="宋体" w:hAnsi="宋体" w:cs="宋体"/>
                <w:color w:val="auto"/>
                <w:sz w:val="28"/>
                <w:szCs w:val="28"/>
                <w:highlight w:val="none"/>
              </w:rPr>
            </w:pPr>
          </w:p>
        </w:tc>
        <w:tc>
          <w:tcPr>
            <w:tcW w:w="2582" w:type="dxa"/>
            <w:tcBorders>
              <w:tl2br w:val="nil"/>
              <w:tr2bl w:val="nil"/>
            </w:tcBorders>
            <w:tcMar>
              <w:top w:w="57" w:type="dxa"/>
              <w:left w:w="28" w:type="dxa"/>
              <w:bottom w:w="57" w:type="dxa"/>
              <w:right w:w="28" w:type="dxa"/>
            </w:tcMar>
            <w:vAlign w:val="center"/>
          </w:tcPr>
          <w:p w14:paraId="6012166A">
            <w:pPr>
              <w:spacing w:line="440" w:lineRule="exact"/>
              <w:ind w:firstLine="580" w:firstLineChars="200"/>
              <w:jc w:val="center"/>
              <w:rPr>
                <w:rFonts w:ascii="宋体" w:hAnsi="宋体" w:cs="宋体"/>
                <w:color w:val="auto"/>
                <w:sz w:val="28"/>
                <w:szCs w:val="28"/>
                <w:highlight w:val="none"/>
              </w:rPr>
            </w:pPr>
          </w:p>
        </w:tc>
        <w:tc>
          <w:tcPr>
            <w:tcW w:w="1342" w:type="dxa"/>
            <w:tcBorders>
              <w:tl2br w:val="nil"/>
              <w:tr2bl w:val="nil"/>
            </w:tcBorders>
            <w:tcMar>
              <w:top w:w="57" w:type="dxa"/>
              <w:left w:w="28" w:type="dxa"/>
              <w:bottom w:w="57" w:type="dxa"/>
              <w:right w:w="28" w:type="dxa"/>
            </w:tcMar>
            <w:vAlign w:val="center"/>
          </w:tcPr>
          <w:p w14:paraId="57E74FFC">
            <w:pPr>
              <w:spacing w:line="440" w:lineRule="exact"/>
              <w:ind w:firstLine="580" w:firstLineChars="200"/>
              <w:jc w:val="center"/>
              <w:rPr>
                <w:rFonts w:ascii="宋体" w:hAnsi="宋体" w:cs="宋体"/>
                <w:color w:val="auto"/>
                <w:sz w:val="28"/>
                <w:szCs w:val="28"/>
                <w:highlight w:val="none"/>
              </w:rPr>
            </w:pPr>
          </w:p>
        </w:tc>
        <w:tc>
          <w:tcPr>
            <w:tcW w:w="1320" w:type="dxa"/>
            <w:tcBorders>
              <w:tl2br w:val="nil"/>
              <w:tr2bl w:val="nil"/>
            </w:tcBorders>
            <w:tcMar>
              <w:top w:w="57" w:type="dxa"/>
              <w:left w:w="28" w:type="dxa"/>
              <w:bottom w:w="57" w:type="dxa"/>
              <w:right w:w="28" w:type="dxa"/>
            </w:tcMar>
            <w:vAlign w:val="center"/>
          </w:tcPr>
          <w:p w14:paraId="4309F8B2">
            <w:pPr>
              <w:spacing w:line="440" w:lineRule="exact"/>
              <w:ind w:firstLine="580" w:firstLineChars="200"/>
              <w:jc w:val="center"/>
              <w:rPr>
                <w:rFonts w:ascii="宋体" w:hAnsi="宋体" w:cs="宋体"/>
                <w:color w:val="auto"/>
                <w:sz w:val="28"/>
                <w:szCs w:val="28"/>
                <w:highlight w:val="none"/>
              </w:rPr>
            </w:pPr>
          </w:p>
        </w:tc>
      </w:tr>
    </w:tbl>
    <w:p w14:paraId="327C34BB">
      <w:pPr>
        <w:spacing w:beforeLines="50" w:line="440" w:lineRule="exact"/>
        <w:ind w:firstLine="500" w:firstLineChars="200"/>
        <w:rPr>
          <w:rFonts w:ascii="宋体" w:hAnsi="宋体" w:cs="宋体"/>
          <w:color w:val="auto"/>
          <w:sz w:val="28"/>
          <w:szCs w:val="28"/>
          <w:highlight w:val="none"/>
        </w:rPr>
      </w:pPr>
      <w:r>
        <w:rPr>
          <w:rFonts w:hint="eastAsia" w:ascii="宋体" w:hAnsi="宋体" w:cs="宋体"/>
          <w:color w:val="auto"/>
          <w:sz w:val="24"/>
          <w:szCs w:val="24"/>
          <w:highlight w:val="none"/>
        </w:rPr>
        <w:t>注：如有漏报、瞒报竞争性磋商文件所要求</w:t>
      </w:r>
      <w:r>
        <w:rPr>
          <w:rFonts w:hint="eastAsia" w:ascii="宋体" w:hAnsi="宋体" w:cs="宋体"/>
          <w:color w:val="auto"/>
          <w:sz w:val="24"/>
          <w:szCs w:val="24"/>
          <w:highlight w:val="none"/>
          <w:lang w:val="en-US" w:eastAsia="zh-CN"/>
        </w:rPr>
        <w:t>“第三部分”中</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技术参数</w:t>
      </w:r>
      <w:r>
        <w:rPr>
          <w:rFonts w:hint="eastAsia" w:ascii="宋体" w:hAnsi="宋体" w:cs="宋体"/>
          <w:color w:val="auto"/>
          <w:sz w:val="24"/>
          <w:szCs w:val="24"/>
          <w:highlight w:val="none"/>
        </w:rPr>
        <w:t>等将视为没有实质性响应竞争性磋商文件。</w:t>
      </w:r>
    </w:p>
    <w:p w14:paraId="7CC09643">
      <w:pPr>
        <w:spacing w:line="440" w:lineRule="exact"/>
        <w:ind w:firstLine="580" w:firstLineChars="200"/>
        <w:rPr>
          <w:rFonts w:ascii="宋体" w:hAnsi="宋体" w:cs="宋体"/>
          <w:color w:val="auto"/>
          <w:sz w:val="28"/>
          <w:szCs w:val="28"/>
          <w:highlight w:val="none"/>
        </w:rPr>
      </w:pPr>
    </w:p>
    <w:p w14:paraId="692ED401">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（公章） </w:t>
      </w:r>
    </w:p>
    <w:p w14:paraId="0F5DC6AA">
      <w:pPr>
        <w:spacing w:line="440" w:lineRule="exact"/>
        <w:ind w:firstLine="4500" w:firstLineChars="18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1022916">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p>
    <w:p w14:paraId="075A5B95">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38A8465">
      <w:pPr>
        <w:rPr>
          <w:rFonts w:ascii="宋体" w:hAnsi="宋体" w:cs="宋体"/>
          <w:color w:val="auto"/>
          <w:sz w:val="24"/>
          <w:highlight w:val="none"/>
        </w:rPr>
      </w:pPr>
    </w:p>
    <w:p w14:paraId="047295D0">
      <w:pPr>
        <w:ind w:firstLine="3750" w:firstLineChars="1500"/>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99A2485">
      <w:pPr>
        <w:pStyle w:val="49"/>
        <w:rPr>
          <w:color w:val="auto"/>
          <w:lang w:val="zh-CN"/>
        </w:rPr>
      </w:pPr>
    </w:p>
    <w:p w14:paraId="7B47C04F">
      <w:pPr>
        <w:rPr>
          <w:rFonts w:hint="eastAsia" w:ascii="宋体" w:hAnsi="宋体" w:cs="宋体"/>
          <w:b/>
          <w:color w:val="auto"/>
          <w:sz w:val="32"/>
          <w:szCs w:val="32"/>
          <w:highlight w:val="none"/>
        </w:rPr>
      </w:pPr>
      <w:bookmarkStart w:id="59" w:name="_Toc31436"/>
      <w:bookmarkStart w:id="60" w:name="_Toc30691"/>
      <w:bookmarkStart w:id="61" w:name="_Toc23674_WPSOffice_Level1"/>
      <w:r>
        <w:rPr>
          <w:rFonts w:hint="eastAsia" w:ascii="宋体" w:hAnsi="宋体" w:cs="宋体"/>
          <w:b/>
          <w:color w:val="auto"/>
          <w:sz w:val="32"/>
          <w:szCs w:val="32"/>
          <w:highlight w:val="none"/>
        </w:rPr>
        <w:br w:type="page"/>
      </w:r>
    </w:p>
    <w:p w14:paraId="37BB16FB">
      <w:pPr>
        <w:spacing w:line="48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五</w:t>
      </w:r>
      <w:r>
        <w:rPr>
          <w:rFonts w:hint="eastAsia" w:ascii="宋体" w:hAnsi="宋体" w:cs="宋体"/>
          <w:b/>
          <w:color w:val="auto"/>
          <w:sz w:val="32"/>
          <w:szCs w:val="32"/>
          <w:highlight w:val="none"/>
        </w:rPr>
        <w:t>、商务条款响应偏离表</w:t>
      </w:r>
      <w:bookmarkEnd w:id="59"/>
      <w:bookmarkEnd w:id="60"/>
      <w:bookmarkEnd w:id="61"/>
    </w:p>
    <w:p w14:paraId="1D16B17F">
      <w:pPr>
        <w:tabs>
          <w:tab w:val="left" w:pos="2795"/>
        </w:tabs>
        <w:spacing w:line="440" w:lineRule="exact"/>
        <w:jc w:val="left"/>
        <w:rPr>
          <w:rFonts w:ascii="宋体" w:hAnsi="宋体" w:cs="宋体"/>
          <w:color w:val="auto"/>
          <w:sz w:val="28"/>
          <w:szCs w:val="28"/>
          <w:highlight w:val="none"/>
        </w:rPr>
      </w:pPr>
    </w:p>
    <w:p w14:paraId="567D2B11">
      <w:pPr>
        <w:jc w:val="left"/>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rPr>
        <w:t>项目名称：</w:t>
      </w:r>
      <w:r>
        <w:rPr>
          <w:rFonts w:hint="eastAsia" w:ascii="宋体" w:hAnsi="宋体" w:cs="宋体"/>
          <w:bCs/>
          <w:color w:val="auto"/>
          <w:sz w:val="24"/>
          <w:szCs w:val="24"/>
          <w:highlight w:val="none"/>
          <w:lang w:eastAsia="zh-CN"/>
        </w:rPr>
        <w:t>2025年城关镇村集体经济组织规模化高梁等农作物种植产能提升项目</w:t>
      </w:r>
    </w:p>
    <w:p w14:paraId="5DADA6CB">
      <w:pPr>
        <w:pStyle w:val="48"/>
        <w:keepNext w:val="0"/>
        <w:keepLines w:val="0"/>
        <w:pageBreakBefore w:val="0"/>
        <w:widowControl w:val="0"/>
        <w:kinsoku/>
        <w:wordWrap/>
        <w:overflowPunct/>
        <w:topLinePunct w:val="0"/>
        <w:autoSpaceDE/>
        <w:autoSpaceDN/>
        <w:bidi w:val="0"/>
        <w:adjustRightInd/>
        <w:snapToGrid/>
        <w:spacing w:after="196" w:afterLines="50"/>
        <w:ind w:left="0" w:leftChars="0" w:firstLine="0" w:firstLineChars="0"/>
        <w:textAlignment w:val="auto"/>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SXHXBJ-2025-10-001</w:t>
      </w:r>
    </w:p>
    <w:tbl>
      <w:tblPr>
        <w:tblStyle w:val="31"/>
        <w:tblW w:w="87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23"/>
        <w:gridCol w:w="2544"/>
        <w:gridCol w:w="1554"/>
        <w:gridCol w:w="1355"/>
      </w:tblGrid>
      <w:tr w14:paraId="146A2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8" w:type="dxa"/>
            <w:tcBorders>
              <w:tl2br w:val="nil"/>
              <w:tr2bl w:val="nil"/>
            </w:tcBorders>
            <w:tcMar>
              <w:top w:w="57" w:type="dxa"/>
              <w:left w:w="28" w:type="dxa"/>
              <w:bottom w:w="57" w:type="dxa"/>
              <w:right w:w="28" w:type="dxa"/>
            </w:tcMar>
            <w:vAlign w:val="center"/>
          </w:tcPr>
          <w:p w14:paraId="07A3D389">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523" w:type="dxa"/>
            <w:tcBorders>
              <w:tl2br w:val="nil"/>
              <w:tr2bl w:val="nil"/>
            </w:tcBorders>
            <w:tcMar>
              <w:top w:w="57" w:type="dxa"/>
              <w:left w:w="28" w:type="dxa"/>
              <w:bottom w:w="57" w:type="dxa"/>
              <w:right w:w="28" w:type="dxa"/>
            </w:tcMar>
            <w:vAlign w:val="center"/>
          </w:tcPr>
          <w:p w14:paraId="25626EDC">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竞争性磋商文件</w:t>
            </w:r>
          </w:p>
          <w:p w14:paraId="1FDCACBC">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商务条款要求</w:t>
            </w:r>
          </w:p>
        </w:tc>
        <w:tc>
          <w:tcPr>
            <w:tcW w:w="2544" w:type="dxa"/>
            <w:tcBorders>
              <w:tl2br w:val="nil"/>
              <w:tr2bl w:val="nil"/>
            </w:tcBorders>
            <w:tcMar>
              <w:top w:w="57" w:type="dxa"/>
              <w:left w:w="28" w:type="dxa"/>
              <w:bottom w:w="57" w:type="dxa"/>
              <w:right w:w="28" w:type="dxa"/>
            </w:tcMar>
            <w:vAlign w:val="center"/>
          </w:tcPr>
          <w:p w14:paraId="0D44201C">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竞争性磋商响应文件</w:t>
            </w:r>
          </w:p>
          <w:p w14:paraId="2E4F6D05">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商务条款响应</w:t>
            </w:r>
          </w:p>
        </w:tc>
        <w:tc>
          <w:tcPr>
            <w:tcW w:w="1554" w:type="dxa"/>
            <w:tcBorders>
              <w:tl2br w:val="nil"/>
              <w:tr2bl w:val="nil"/>
            </w:tcBorders>
            <w:tcMar>
              <w:top w:w="57" w:type="dxa"/>
              <w:left w:w="28" w:type="dxa"/>
              <w:bottom w:w="57" w:type="dxa"/>
              <w:right w:w="28" w:type="dxa"/>
            </w:tcMar>
            <w:vAlign w:val="center"/>
          </w:tcPr>
          <w:p w14:paraId="5DD7A83D">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偏离情况</w:t>
            </w:r>
          </w:p>
        </w:tc>
        <w:tc>
          <w:tcPr>
            <w:tcW w:w="1355" w:type="dxa"/>
            <w:tcBorders>
              <w:tl2br w:val="nil"/>
              <w:tr2bl w:val="nil"/>
            </w:tcBorders>
            <w:vAlign w:val="center"/>
          </w:tcPr>
          <w:p w14:paraId="33AE101B">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说明</w:t>
            </w:r>
          </w:p>
        </w:tc>
      </w:tr>
      <w:tr w14:paraId="61210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78" w:type="dxa"/>
            <w:tcBorders>
              <w:tl2br w:val="nil"/>
              <w:tr2bl w:val="nil"/>
            </w:tcBorders>
            <w:tcMar>
              <w:top w:w="57" w:type="dxa"/>
              <w:left w:w="28" w:type="dxa"/>
              <w:bottom w:w="57" w:type="dxa"/>
              <w:right w:w="28" w:type="dxa"/>
            </w:tcMar>
            <w:vAlign w:val="center"/>
          </w:tcPr>
          <w:p w14:paraId="5D04B0D9">
            <w:pPr>
              <w:spacing w:line="440" w:lineRule="exact"/>
              <w:ind w:firstLine="580" w:firstLineChars="200"/>
              <w:jc w:val="center"/>
              <w:rPr>
                <w:rFonts w:ascii="宋体" w:hAnsi="宋体" w:cs="宋体"/>
                <w:b/>
                <w:bCs/>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2793E8A0">
            <w:pPr>
              <w:spacing w:line="440" w:lineRule="exact"/>
              <w:ind w:firstLine="580" w:firstLineChars="200"/>
              <w:jc w:val="center"/>
              <w:rPr>
                <w:rFonts w:ascii="宋体" w:hAnsi="宋体" w:cs="宋体"/>
                <w:b/>
                <w:bCs/>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29083BC2">
            <w:pPr>
              <w:spacing w:line="440" w:lineRule="exact"/>
              <w:ind w:firstLine="580" w:firstLineChars="200"/>
              <w:jc w:val="center"/>
              <w:rPr>
                <w:rFonts w:ascii="宋体" w:hAnsi="宋体" w:cs="宋体"/>
                <w:b/>
                <w:bCs/>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6B908F30">
            <w:pPr>
              <w:spacing w:line="440" w:lineRule="exact"/>
              <w:ind w:firstLine="580" w:firstLineChars="200"/>
              <w:jc w:val="center"/>
              <w:rPr>
                <w:rFonts w:ascii="宋体" w:hAnsi="宋体" w:cs="宋体"/>
                <w:b/>
                <w:bCs/>
                <w:color w:val="auto"/>
                <w:sz w:val="28"/>
                <w:szCs w:val="28"/>
                <w:highlight w:val="none"/>
              </w:rPr>
            </w:pPr>
          </w:p>
        </w:tc>
        <w:tc>
          <w:tcPr>
            <w:tcW w:w="1355" w:type="dxa"/>
            <w:tcBorders>
              <w:tl2br w:val="nil"/>
              <w:tr2bl w:val="nil"/>
            </w:tcBorders>
            <w:vAlign w:val="center"/>
          </w:tcPr>
          <w:p w14:paraId="0A68FEEA">
            <w:pPr>
              <w:spacing w:line="440" w:lineRule="exact"/>
              <w:ind w:firstLine="580" w:firstLineChars="200"/>
              <w:jc w:val="center"/>
              <w:rPr>
                <w:rFonts w:ascii="宋体" w:hAnsi="宋体" w:cs="宋体"/>
                <w:b/>
                <w:bCs/>
                <w:color w:val="auto"/>
                <w:sz w:val="28"/>
                <w:szCs w:val="28"/>
                <w:highlight w:val="none"/>
              </w:rPr>
            </w:pPr>
          </w:p>
        </w:tc>
      </w:tr>
      <w:tr w14:paraId="05F09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8" w:type="dxa"/>
            <w:tcBorders>
              <w:tl2br w:val="nil"/>
              <w:tr2bl w:val="nil"/>
            </w:tcBorders>
            <w:tcMar>
              <w:top w:w="57" w:type="dxa"/>
              <w:left w:w="28" w:type="dxa"/>
              <w:bottom w:w="57" w:type="dxa"/>
              <w:right w:w="28" w:type="dxa"/>
            </w:tcMar>
            <w:vAlign w:val="center"/>
          </w:tcPr>
          <w:p w14:paraId="03C3F2F5">
            <w:pPr>
              <w:spacing w:line="440" w:lineRule="exact"/>
              <w:ind w:firstLine="580" w:firstLineChars="200"/>
              <w:jc w:val="center"/>
              <w:rPr>
                <w:rFonts w:ascii="宋体" w:hAnsi="宋体" w:cs="宋体"/>
                <w:b/>
                <w:bCs/>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187D9047">
            <w:pPr>
              <w:spacing w:line="440" w:lineRule="exact"/>
              <w:ind w:firstLine="580" w:firstLineChars="200"/>
              <w:jc w:val="center"/>
              <w:rPr>
                <w:rFonts w:ascii="宋体" w:hAnsi="宋体" w:cs="宋体"/>
                <w:b/>
                <w:bCs/>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5B2DB242">
            <w:pPr>
              <w:spacing w:line="440" w:lineRule="exact"/>
              <w:ind w:firstLine="580" w:firstLineChars="200"/>
              <w:jc w:val="center"/>
              <w:rPr>
                <w:rFonts w:ascii="宋体" w:hAnsi="宋体" w:cs="宋体"/>
                <w:b/>
                <w:bCs/>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4D4C6681">
            <w:pPr>
              <w:spacing w:line="440" w:lineRule="exact"/>
              <w:ind w:firstLine="580" w:firstLineChars="200"/>
              <w:jc w:val="center"/>
              <w:rPr>
                <w:rFonts w:ascii="宋体" w:hAnsi="宋体" w:cs="宋体"/>
                <w:b/>
                <w:bCs/>
                <w:color w:val="auto"/>
                <w:sz w:val="28"/>
                <w:szCs w:val="28"/>
                <w:highlight w:val="none"/>
              </w:rPr>
            </w:pPr>
          </w:p>
        </w:tc>
        <w:tc>
          <w:tcPr>
            <w:tcW w:w="1355" w:type="dxa"/>
            <w:tcBorders>
              <w:tl2br w:val="nil"/>
              <w:tr2bl w:val="nil"/>
            </w:tcBorders>
            <w:vAlign w:val="center"/>
          </w:tcPr>
          <w:p w14:paraId="17EDABE4">
            <w:pPr>
              <w:spacing w:line="440" w:lineRule="exact"/>
              <w:ind w:firstLine="580" w:firstLineChars="200"/>
              <w:jc w:val="center"/>
              <w:rPr>
                <w:rFonts w:ascii="宋体" w:hAnsi="宋体" w:cs="宋体"/>
                <w:b/>
                <w:bCs/>
                <w:color w:val="auto"/>
                <w:sz w:val="28"/>
                <w:szCs w:val="28"/>
                <w:highlight w:val="none"/>
              </w:rPr>
            </w:pPr>
          </w:p>
        </w:tc>
      </w:tr>
      <w:tr w14:paraId="04392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765490BB">
            <w:pPr>
              <w:spacing w:line="440" w:lineRule="exact"/>
              <w:ind w:firstLine="580" w:firstLineChars="200"/>
              <w:jc w:val="center"/>
              <w:rPr>
                <w:rFonts w:ascii="宋体" w:hAnsi="宋体" w:cs="宋体"/>
                <w:b/>
                <w:bCs/>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46C05ACA">
            <w:pPr>
              <w:spacing w:line="440" w:lineRule="exact"/>
              <w:ind w:firstLine="580" w:firstLineChars="200"/>
              <w:jc w:val="center"/>
              <w:rPr>
                <w:rFonts w:ascii="宋体" w:hAnsi="宋体" w:cs="宋体"/>
                <w:b/>
                <w:bCs/>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025E27BB">
            <w:pPr>
              <w:spacing w:line="440" w:lineRule="exact"/>
              <w:ind w:firstLine="580" w:firstLineChars="200"/>
              <w:jc w:val="center"/>
              <w:rPr>
                <w:rFonts w:ascii="宋体" w:hAnsi="宋体" w:cs="宋体"/>
                <w:b/>
                <w:bCs/>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797E7529">
            <w:pPr>
              <w:spacing w:line="440" w:lineRule="exact"/>
              <w:ind w:firstLine="580" w:firstLineChars="200"/>
              <w:jc w:val="center"/>
              <w:rPr>
                <w:rFonts w:ascii="宋体" w:hAnsi="宋体" w:cs="宋体"/>
                <w:b/>
                <w:bCs/>
                <w:color w:val="auto"/>
                <w:sz w:val="28"/>
                <w:szCs w:val="28"/>
                <w:highlight w:val="none"/>
              </w:rPr>
            </w:pPr>
          </w:p>
        </w:tc>
        <w:tc>
          <w:tcPr>
            <w:tcW w:w="1355" w:type="dxa"/>
            <w:tcBorders>
              <w:tl2br w:val="nil"/>
              <w:tr2bl w:val="nil"/>
            </w:tcBorders>
            <w:vAlign w:val="center"/>
          </w:tcPr>
          <w:p w14:paraId="148D1039">
            <w:pPr>
              <w:spacing w:line="440" w:lineRule="exact"/>
              <w:ind w:firstLine="580" w:firstLineChars="200"/>
              <w:jc w:val="center"/>
              <w:rPr>
                <w:rFonts w:ascii="宋体" w:hAnsi="宋体" w:cs="宋体"/>
                <w:b/>
                <w:bCs/>
                <w:color w:val="auto"/>
                <w:sz w:val="28"/>
                <w:szCs w:val="28"/>
                <w:highlight w:val="none"/>
              </w:rPr>
            </w:pPr>
          </w:p>
        </w:tc>
      </w:tr>
      <w:tr w14:paraId="76804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3CBA2899">
            <w:pPr>
              <w:spacing w:line="440" w:lineRule="exact"/>
              <w:ind w:firstLine="580" w:firstLineChars="200"/>
              <w:jc w:val="center"/>
              <w:rPr>
                <w:rFonts w:ascii="宋体" w:hAnsi="宋体" w:cs="宋体"/>
                <w:b/>
                <w:bCs/>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51396E34">
            <w:pPr>
              <w:spacing w:line="440" w:lineRule="exact"/>
              <w:ind w:firstLine="580" w:firstLineChars="200"/>
              <w:jc w:val="center"/>
              <w:rPr>
                <w:rFonts w:ascii="宋体" w:hAnsi="宋体" w:cs="宋体"/>
                <w:b/>
                <w:bCs/>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65A4667A">
            <w:pPr>
              <w:spacing w:line="440" w:lineRule="exact"/>
              <w:ind w:firstLine="580" w:firstLineChars="200"/>
              <w:jc w:val="center"/>
              <w:rPr>
                <w:rFonts w:ascii="宋体" w:hAnsi="宋体" w:cs="宋体"/>
                <w:b/>
                <w:bCs/>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545F93FB">
            <w:pPr>
              <w:spacing w:line="440" w:lineRule="exact"/>
              <w:ind w:firstLine="580" w:firstLineChars="200"/>
              <w:jc w:val="center"/>
              <w:rPr>
                <w:rFonts w:ascii="宋体" w:hAnsi="宋体" w:cs="宋体"/>
                <w:b/>
                <w:bCs/>
                <w:color w:val="auto"/>
                <w:sz w:val="28"/>
                <w:szCs w:val="28"/>
                <w:highlight w:val="none"/>
              </w:rPr>
            </w:pPr>
          </w:p>
        </w:tc>
        <w:tc>
          <w:tcPr>
            <w:tcW w:w="1355" w:type="dxa"/>
            <w:tcBorders>
              <w:tl2br w:val="nil"/>
              <w:tr2bl w:val="nil"/>
            </w:tcBorders>
            <w:vAlign w:val="center"/>
          </w:tcPr>
          <w:p w14:paraId="2A8D8214">
            <w:pPr>
              <w:spacing w:line="440" w:lineRule="exact"/>
              <w:ind w:firstLine="580" w:firstLineChars="200"/>
              <w:jc w:val="center"/>
              <w:rPr>
                <w:rFonts w:ascii="宋体" w:hAnsi="宋体" w:cs="宋体"/>
                <w:b/>
                <w:bCs/>
                <w:color w:val="auto"/>
                <w:sz w:val="28"/>
                <w:szCs w:val="28"/>
                <w:highlight w:val="none"/>
              </w:rPr>
            </w:pPr>
          </w:p>
        </w:tc>
      </w:tr>
      <w:tr w14:paraId="3C15D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48E6C9A9">
            <w:pPr>
              <w:spacing w:line="440" w:lineRule="exact"/>
              <w:ind w:firstLine="580" w:firstLineChars="200"/>
              <w:jc w:val="center"/>
              <w:rPr>
                <w:rFonts w:ascii="宋体" w:hAnsi="宋体" w:cs="宋体"/>
                <w:b/>
                <w:bCs/>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735C05C2">
            <w:pPr>
              <w:spacing w:line="440" w:lineRule="exact"/>
              <w:ind w:firstLine="580" w:firstLineChars="200"/>
              <w:jc w:val="center"/>
              <w:rPr>
                <w:rFonts w:ascii="宋体" w:hAnsi="宋体" w:cs="宋体"/>
                <w:b/>
                <w:bCs/>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7C13B04C">
            <w:pPr>
              <w:spacing w:line="440" w:lineRule="exact"/>
              <w:ind w:firstLine="580" w:firstLineChars="200"/>
              <w:jc w:val="center"/>
              <w:rPr>
                <w:rFonts w:ascii="宋体" w:hAnsi="宋体" w:cs="宋体"/>
                <w:b/>
                <w:bCs/>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178F7A14">
            <w:pPr>
              <w:spacing w:line="440" w:lineRule="exact"/>
              <w:ind w:firstLine="580" w:firstLineChars="200"/>
              <w:jc w:val="center"/>
              <w:rPr>
                <w:rFonts w:ascii="宋体" w:hAnsi="宋体" w:cs="宋体"/>
                <w:b/>
                <w:bCs/>
                <w:color w:val="auto"/>
                <w:sz w:val="28"/>
                <w:szCs w:val="28"/>
                <w:highlight w:val="none"/>
              </w:rPr>
            </w:pPr>
          </w:p>
        </w:tc>
        <w:tc>
          <w:tcPr>
            <w:tcW w:w="1355" w:type="dxa"/>
            <w:tcBorders>
              <w:tl2br w:val="nil"/>
              <w:tr2bl w:val="nil"/>
            </w:tcBorders>
            <w:vAlign w:val="center"/>
          </w:tcPr>
          <w:p w14:paraId="2630AB5C">
            <w:pPr>
              <w:spacing w:line="440" w:lineRule="exact"/>
              <w:ind w:firstLine="580" w:firstLineChars="200"/>
              <w:jc w:val="center"/>
              <w:rPr>
                <w:rFonts w:ascii="宋体" w:hAnsi="宋体" w:cs="宋体"/>
                <w:b/>
                <w:bCs/>
                <w:color w:val="auto"/>
                <w:sz w:val="28"/>
                <w:szCs w:val="28"/>
                <w:highlight w:val="none"/>
              </w:rPr>
            </w:pPr>
          </w:p>
        </w:tc>
      </w:tr>
      <w:tr w14:paraId="1F93A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61F22DF2">
            <w:pPr>
              <w:spacing w:line="440" w:lineRule="exact"/>
              <w:ind w:firstLine="580" w:firstLineChars="200"/>
              <w:jc w:val="center"/>
              <w:rPr>
                <w:rFonts w:ascii="宋体" w:hAnsi="宋体" w:cs="宋体"/>
                <w:b/>
                <w:bCs/>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35B1990C">
            <w:pPr>
              <w:spacing w:line="440" w:lineRule="exact"/>
              <w:ind w:firstLine="580" w:firstLineChars="200"/>
              <w:jc w:val="center"/>
              <w:rPr>
                <w:rFonts w:ascii="宋体" w:hAnsi="宋体" w:cs="宋体"/>
                <w:b/>
                <w:bCs/>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6BE4522A">
            <w:pPr>
              <w:spacing w:line="440" w:lineRule="exact"/>
              <w:ind w:firstLine="580" w:firstLineChars="200"/>
              <w:jc w:val="center"/>
              <w:rPr>
                <w:rFonts w:ascii="宋体" w:hAnsi="宋体" w:cs="宋体"/>
                <w:b/>
                <w:bCs/>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49E24C53">
            <w:pPr>
              <w:spacing w:line="440" w:lineRule="exact"/>
              <w:ind w:firstLine="580" w:firstLineChars="200"/>
              <w:jc w:val="center"/>
              <w:rPr>
                <w:rFonts w:ascii="宋体" w:hAnsi="宋体" w:cs="宋体"/>
                <w:b/>
                <w:bCs/>
                <w:color w:val="auto"/>
                <w:sz w:val="28"/>
                <w:szCs w:val="28"/>
                <w:highlight w:val="none"/>
              </w:rPr>
            </w:pPr>
          </w:p>
        </w:tc>
        <w:tc>
          <w:tcPr>
            <w:tcW w:w="1355" w:type="dxa"/>
            <w:tcBorders>
              <w:tl2br w:val="nil"/>
              <w:tr2bl w:val="nil"/>
            </w:tcBorders>
            <w:vAlign w:val="center"/>
          </w:tcPr>
          <w:p w14:paraId="04B540E2">
            <w:pPr>
              <w:spacing w:line="440" w:lineRule="exact"/>
              <w:ind w:firstLine="580" w:firstLineChars="200"/>
              <w:jc w:val="center"/>
              <w:rPr>
                <w:rFonts w:ascii="宋体" w:hAnsi="宋体" w:cs="宋体"/>
                <w:b/>
                <w:bCs/>
                <w:color w:val="auto"/>
                <w:sz w:val="28"/>
                <w:szCs w:val="28"/>
                <w:highlight w:val="none"/>
              </w:rPr>
            </w:pPr>
          </w:p>
        </w:tc>
      </w:tr>
      <w:tr w14:paraId="6B99A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4F190053">
            <w:pPr>
              <w:spacing w:line="440" w:lineRule="exact"/>
              <w:ind w:firstLine="580" w:firstLineChars="200"/>
              <w:jc w:val="center"/>
              <w:rPr>
                <w:rFonts w:ascii="宋体" w:hAnsi="宋体" w:cs="宋体"/>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47324A0E">
            <w:pPr>
              <w:spacing w:line="440" w:lineRule="exact"/>
              <w:ind w:firstLine="580" w:firstLineChars="200"/>
              <w:jc w:val="center"/>
              <w:rPr>
                <w:rFonts w:ascii="宋体" w:hAnsi="宋体" w:cs="宋体"/>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43BC08F0">
            <w:pPr>
              <w:spacing w:line="440" w:lineRule="exact"/>
              <w:ind w:firstLine="580" w:firstLineChars="200"/>
              <w:jc w:val="center"/>
              <w:rPr>
                <w:rFonts w:ascii="宋体" w:hAnsi="宋体" w:cs="宋体"/>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0AA4F0A9">
            <w:pPr>
              <w:spacing w:line="440" w:lineRule="exact"/>
              <w:ind w:firstLine="580" w:firstLineChars="200"/>
              <w:jc w:val="center"/>
              <w:rPr>
                <w:rFonts w:ascii="宋体" w:hAnsi="宋体" w:cs="宋体"/>
                <w:color w:val="auto"/>
                <w:sz w:val="28"/>
                <w:szCs w:val="28"/>
                <w:highlight w:val="none"/>
              </w:rPr>
            </w:pPr>
          </w:p>
        </w:tc>
        <w:tc>
          <w:tcPr>
            <w:tcW w:w="1355" w:type="dxa"/>
            <w:tcBorders>
              <w:tl2br w:val="nil"/>
              <w:tr2bl w:val="nil"/>
            </w:tcBorders>
            <w:vAlign w:val="center"/>
          </w:tcPr>
          <w:p w14:paraId="5E0036B6">
            <w:pPr>
              <w:spacing w:line="440" w:lineRule="exact"/>
              <w:ind w:firstLine="580" w:firstLineChars="200"/>
              <w:jc w:val="center"/>
              <w:rPr>
                <w:rFonts w:ascii="宋体" w:hAnsi="宋体" w:cs="宋体"/>
                <w:color w:val="auto"/>
                <w:sz w:val="28"/>
                <w:szCs w:val="28"/>
                <w:highlight w:val="none"/>
              </w:rPr>
            </w:pPr>
          </w:p>
        </w:tc>
      </w:tr>
      <w:tr w14:paraId="10032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2DBDEFEE">
            <w:pPr>
              <w:spacing w:line="440" w:lineRule="exact"/>
              <w:ind w:firstLine="580" w:firstLineChars="200"/>
              <w:jc w:val="center"/>
              <w:rPr>
                <w:rFonts w:ascii="宋体" w:hAnsi="宋体" w:cs="宋体"/>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11312B82">
            <w:pPr>
              <w:spacing w:line="440" w:lineRule="exact"/>
              <w:ind w:firstLine="580" w:firstLineChars="200"/>
              <w:jc w:val="center"/>
              <w:rPr>
                <w:rFonts w:ascii="宋体" w:hAnsi="宋体" w:cs="宋体"/>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430C2382">
            <w:pPr>
              <w:spacing w:line="440" w:lineRule="exact"/>
              <w:ind w:firstLine="580" w:firstLineChars="200"/>
              <w:jc w:val="center"/>
              <w:rPr>
                <w:rFonts w:ascii="宋体" w:hAnsi="宋体" w:cs="宋体"/>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1B0FD8C4">
            <w:pPr>
              <w:spacing w:line="440" w:lineRule="exact"/>
              <w:ind w:firstLine="580" w:firstLineChars="200"/>
              <w:jc w:val="center"/>
              <w:rPr>
                <w:rFonts w:ascii="宋体" w:hAnsi="宋体" w:cs="宋体"/>
                <w:color w:val="auto"/>
                <w:sz w:val="28"/>
                <w:szCs w:val="28"/>
                <w:highlight w:val="none"/>
              </w:rPr>
            </w:pPr>
          </w:p>
        </w:tc>
        <w:tc>
          <w:tcPr>
            <w:tcW w:w="1355" w:type="dxa"/>
            <w:tcBorders>
              <w:tl2br w:val="nil"/>
              <w:tr2bl w:val="nil"/>
            </w:tcBorders>
            <w:vAlign w:val="center"/>
          </w:tcPr>
          <w:p w14:paraId="3212342E">
            <w:pPr>
              <w:spacing w:line="440" w:lineRule="exact"/>
              <w:ind w:firstLine="580" w:firstLineChars="200"/>
              <w:jc w:val="center"/>
              <w:rPr>
                <w:rFonts w:ascii="宋体" w:hAnsi="宋体" w:cs="宋体"/>
                <w:color w:val="auto"/>
                <w:sz w:val="28"/>
                <w:szCs w:val="28"/>
                <w:highlight w:val="none"/>
              </w:rPr>
            </w:pPr>
          </w:p>
        </w:tc>
      </w:tr>
      <w:tr w14:paraId="09F57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43954667">
            <w:pPr>
              <w:spacing w:line="440" w:lineRule="exact"/>
              <w:ind w:firstLine="580" w:firstLineChars="200"/>
              <w:jc w:val="center"/>
              <w:rPr>
                <w:rFonts w:ascii="宋体" w:hAnsi="宋体" w:cs="宋体"/>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5E73855A">
            <w:pPr>
              <w:spacing w:line="440" w:lineRule="exact"/>
              <w:ind w:firstLine="580" w:firstLineChars="200"/>
              <w:jc w:val="center"/>
              <w:rPr>
                <w:rFonts w:ascii="宋体" w:hAnsi="宋体" w:cs="宋体"/>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7C26A520">
            <w:pPr>
              <w:spacing w:line="440" w:lineRule="exact"/>
              <w:ind w:firstLine="580" w:firstLineChars="200"/>
              <w:jc w:val="center"/>
              <w:rPr>
                <w:rFonts w:ascii="宋体" w:hAnsi="宋体" w:cs="宋体"/>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0882B2DD">
            <w:pPr>
              <w:spacing w:line="440" w:lineRule="exact"/>
              <w:ind w:firstLine="580" w:firstLineChars="200"/>
              <w:jc w:val="center"/>
              <w:rPr>
                <w:rFonts w:ascii="宋体" w:hAnsi="宋体" w:cs="宋体"/>
                <w:color w:val="auto"/>
                <w:sz w:val="28"/>
                <w:szCs w:val="28"/>
                <w:highlight w:val="none"/>
              </w:rPr>
            </w:pPr>
          </w:p>
        </w:tc>
        <w:tc>
          <w:tcPr>
            <w:tcW w:w="1355" w:type="dxa"/>
            <w:tcBorders>
              <w:tl2br w:val="nil"/>
              <w:tr2bl w:val="nil"/>
            </w:tcBorders>
            <w:vAlign w:val="center"/>
          </w:tcPr>
          <w:p w14:paraId="0F5E7A69">
            <w:pPr>
              <w:spacing w:line="440" w:lineRule="exact"/>
              <w:ind w:firstLine="580" w:firstLineChars="200"/>
              <w:jc w:val="center"/>
              <w:rPr>
                <w:rFonts w:ascii="宋体" w:hAnsi="宋体" w:cs="宋体"/>
                <w:color w:val="auto"/>
                <w:sz w:val="28"/>
                <w:szCs w:val="28"/>
                <w:highlight w:val="none"/>
              </w:rPr>
            </w:pPr>
          </w:p>
        </w:tc>
      </w:tr>
      <w:tr w14:paraId="36302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2122E2E3">
            <w:pPr>
              <w:spacing w:line="440" w:lineRule="exact"/>
              <w:ind w:firstLine="580" w:firstLineChars="200"/>
              <w:jc w:val="center"/>
              <w:rPr>
                <w:rFonts w:ascii="宋体" w:hAnsi="宋体" w:cs="宋体"/>
                <w:color w:val="auto"/>
                <w:sz w:val="28"/>
                <w:szCs w:val="28"/>
                <w:highlight w:val="none"/>
              </w:rPr>
            </w:pPr>
          </w:p>
        </w:tc>
        <w:tc>
          <w:tcPr>
            <w:tcW w:w="2523" w:type="dxa"/>
            <w:tcBorders>
              <w:tl2br w:val="nil"/>
              <w:tr2bl w:val="nil"/>
            </w:tcBorders>
            <w:tcMar>
              <w:top w:w="57" w:type="dxa"/>
              <w:left w:w="28" w:type="dxa"/>
              <w:bottom w:w="57" w:type="dxa"/>
              <w:right w:w="28" w:type="dxa"/>
            </w:tcMar>
            <w:vAlign w:val="center"/>
          </w:tcPr>
          <w:p w14:paraId="34B8F373">
            <w:pPr>
              <w:spacing w:line="440" w:lineRule="exact"/>
              <w:ind w:firstLine="580" w:firstLineChars="200"/>
              <w:jc w:val="center"/>
              <w:rPr>
                <w:rFonts w:ascii="宋体" w:hAnsi="宋体" w:cs="宋体"/>
                <w:color w:val="auto"/>
                <w:sz w:val="28"/>
                <w:szCs w:val="28"/>
                <w:highlight w:val="none"/>
              </w:rPr>
            </w:pPr>
          </w:p>
        </w:tc>
        <w:tc>
          <w:tcPr>
            <w:tcW w:w="2544" w:type="dxa"/>
            <w:tcBorders>
              <w:tl2br w:val="nil"/>
              <w:tr2bl w:val="nil"/>
            </w:tcBorders>
            <w:tcMar>
              <w:top w:w="57" w:type="dxa"/>
              <w:left w:w="28" w:type="dxa"/>
              <w:bottom w:w="57" w:type="dxa"/>
              <w:right w:w="28" w:type="dxa"/>
            </w:tcMar>
            <w:vAlign w:val="center"/>
          </w:tcPr>
          <w:p w14:paraId="433D7EEC">
            <w:pPr>
              <w:spacing w:line="440" w:lineRule="exact"/>
              <w:ind w:firstLine="580" w:firstLineChars="200"/>
              <w:jc w:val="center"/>
              <w:rPr>
                <w:rFonts w:ascii="宋体" w:hAnsi="宋体" w:cs="宋体"/>
                <w:color w:val="auto"/>
                <w:sz w:val="28"/>
                <w:szCs w:val="28"/>
                <w:highlight w:val="none"/>
              </w:rPr>
            </w:pPr>
          </w:p>
        </w:tc>
        <w:tc>
          <w:tcPr>
            <w:tcW w:w="1554" w:type="dxa"/>
            <w:tcBorders>
              <w:tl2br w:val="nil"/>
              <w:tr2bl w:val="nil"/>
            </w:tcBorders>
            <w:tcMar>
              <w:top w:w="57" w:type="dxa"/>
              <w:left w:w="28" w:type="dxa"/>
              <w:bottom w:w="57" w:type="dxa"/>
              <w:right w:w="28" w:type="dxa"/>
            </w:tcMar>
            <w:vAlign w:val="center"/>
          </w:tcPr>
          <w:p w14:paraId="09E1DDEE">
            <w:pPr>
              <w:spacing w:line="440" w:lineRule="exact"/>
              <w:ind w:firstLine="580" w:firstLineChars="200"/>
              <w:jc w:val="center"/>
              <w:rPr>
                <w:rFonts w:ascii="宋体" w:hAnsi="宋体" w:cs="宋体"/>
                <w:color w:val="auto"/>
                <w:sz w:val="28"/>
                <w:szCs w:val="28"/>
                <w:highlight w:val="none"/>
              </w:rPr>
            </w:pPr>
          </w:p>
        </w:tc>
        <w:tc>
          <w:tcPr>
            <w:tcW w:w="1355" w:type="dxa"/>
            <w:tcBorders>
              <w:tl2br w:val="nil"/>
              <w:tr2bl w:val="nil"/>
            </w:tcBorders>
            <w:vAlign w:val="center"/>
          </w:tcPr>
          <w:p w14:paraId="6F71F1A2">
            <w:pPr>
              <w:spacing w:line="440" w:lineRule="exact"/>
              <w:ind w:firstLine="580" w:firstLineChars="200"/>
              <w:jc w:val="center"/>
              <w:rPr>
                <w:rFonts w:ascii="宋体" w:hAnsi="宋体" w:cs="宋体"/>
                <w:color w:val="auto"/>
                <w:sz w:val="28"/>
                <w:szCs w:val="28"/>
                <w:highlight w:val="none"/>
              </w:rPr>
            </w:pPr>
          </w:p>
        </w:tc>
      </w:tr>
    </w:tbl>
    <w:p w14:paraId="4F109C75">
      <w:pPr>
        <w:spacing w:beforeLines="50" w:line="44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注：如有漏报、瞒报竞争性磋商文件所要求</w:t>
      </w:r>
      <w:r>
        <w:rPr>
          <w:rFonts w:hint="eastAsia" w:ascii="宋体" w:hAnsi="宋体" w:cs="宋体"/>
          <w:color w:val="auto"/>
          <w:sz w:val="24"/>
          <w:szCs w:val="24"/>
          <w:highlight w:val="none"/>
          <w:lang w:val="en-US" w:eastAsia="zh-CN"/>
        </w:rPr>
        <w:t>“第三部分”中</w:t>
      </w:r>
      <w:r>
        <w:rPr>
          <w:rFonts w:hint="eastAsia" w:ascii="宋体" w:hAnsi="宋体" w:cs="宋体"/>
          <w:color w:val="auto"/>
          <w:sz w:val="24"/>
          <w:szCs w:val="24"/>
          <w:highlight w:val="none"/>
        </w:rPr>
        <w:t>的商务要求等将视为没有实质性响应竞争性磋商文件。</w:t>
      </w:r>
    </w:p>
    <w:p w14:paraId="4072A982">
      <w:pPr>
        <w:spacing w:line="440" w:lineRule="exact"/>
        <w:ind w:firstLine="500" w:firstLineChars="200"/>
        <w:rPr>
          <w:rFonts w:ascii="宋体" w:hAnsi="宋体" w:cs="宋体"/>
          <w:color w:val="auto"/>
          <w:sz w:val="24"/>
          <w:szCs w:val="24"/>
          <w:highlight w:val="none"/>
        </w:rPr>
      </w:pPr>
    </w:p>
    <w:p w14:paraId="349BEED6">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（公章） </w:t>
      </w:r>
    </w:p>
    <w:p w14:paraId="40AFEA5C">
      <w:pPr>
        <w:spacing w:line="440" w:lineRule="exact"/>
        <w:ind w:firstLine="4500" w:firstLineChars="18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4923B21">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p>
    <w:p w14:paraId="1FCD134E">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2891D24">
      <w:pPr>
        <w:pStyle w:val="48"/>
        <w:ind w:firstLine="442"/>
        <w:rPr>
          <w:color w:val="auto"/>
          <w:highlight w:val="none"/>
        </w:rPr>
      </w:pPr>
    </w:p>
    <w:p w14:paraId="2C326A9D">
      <w:pPr>
        <w:ind w:firstLine="3750" w:firstLineChars="1500"/>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A37E439">
      <w:pPr>
        <w:pStyle w:val="49"/>
        <w:rPr>
          <w:rFonts w:hint="eastAsia"/>
          <w:color w:val="auto"/>
        </w:rPr>
      </w:pPr>
    </w:p>
    <w:p w14:paraId="3DCC8CBC">
      <w:pPr>
        <w:rPr>
          <w:rFonts w:hint="eastAsia" w:ascii="宋体" w:hAnsi="宋体" w:cs="宋体"/>
          <w:b/>
          <w:color w:val="auto"/>
          <w:sz w:val="32"/>
          <w:szCs w:val="32"/>
          <w:highlight w:val="none"/>
          <w:lang w:eastAsia="zh-CN"/>
        </w:rPr>
      </w:pPr>
      <w:bookmarkStart w:id="62" w:name="_Toc8225"/>
      <w:r>
        <w:rPr>
          <w:rFonts w:hint="eastAsia" w:ascii="宋体" w:hAnsi="宋体" w:cs="宋体"/>
          <w:b/>
          <w:color w:val="auto"/>
          <w:sz w:val="32"/>
          <w:szCs w:val="32"/>
          <w:highlight w:val="none"/>
          <w:lang w:eastAsia="zh-CN"/>
        </w:rPr>
        <w:br w:type="page"/>
      </w:r>
    </w:p>
    <w:bookmarkEnd w:id="50"/>
    <w:bookmarkEnd w:id="51"/>
    <w:bookmarkEnd w:id="52"/>
    <w:p w14:paraId="75ECB120">
      <w:pPr>
        <w:numPr>
          <w:ilvl w:val="0"/>
          <w:numId w:val="0"/>
        </w:numPr>
        <w:spacing w:line="480" w:lineRule="auto"/>
        <w:ind w:leftChars="200"/>
        <w:jc w:val="center"/>
        <w:outlineLvl w:val="1"/>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lang w:eastAsia="zh-CN"/>
        </w:rPr>
        <w:t>相关资格证明文件</w:t>
      </w:r>
      <w:bookmarkEnd w:id="62"/>
    </w:p>
    <w:p w14:paraId="7E6684D6">
      <w:pPr>
        <w:pStyle w:val="11"/>
        <w:numPr>
          <w:ilvl w:val="0"/>
          <w:numId w:val="0"/>
        </w:numP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（一）基本资格条件：符合《中华人民共和国政府采购法》第二十二条的规定：</w:t>
      </w:r>
    </w:p>
    <w:p w14:paraId="3287F179">
      <w:pPr>
        <w:widowControl/>
        <w:numPr>
          <w:ilvl w:val="0"/>
          <w:numId w:val="7"/>
        </w:numPr>
        <w:spacing w:line="500" w:lineRule="exact"/>
        <w:ind w:firstLine="50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供应商须为合法注册的法人、其他组织或者自然人，并具有独立承担民事责任的能力；提供统一社会信用代码的营业执照（或事业法人证、自然人身份证）等证</w:t>
      </w:r>
      <w:r>
        <w:rPr>
          <w:rFonts w:hint="eastAsia" w:asciiTheme="minorEastAsia" w:hAnsiTheme="minorEastAsia" w:eastAsiaTheme="minorEastAsia" w:cstheme="minorEastAsia"/>
          <w:color w:val="auto"/>
          <w:kern w:val="0"/>
          <w:sz w:val="24"/>
          <w:szCs w:val="24"/>
          <w:lang w:eastAsia="zh-CN"/>
        </w:rPr>
        <w:t>明文件；</w:t>
      </w:r>
    </w:p>
    <w:p w14:paraId="588E9B37">
      <w:pPr>
        <w:keepNext w:val="0"/>
        <w:keepLines w:val="0"/>
        <w:pageBreakBefore w:val="0"/>
        <w:widowControl w:val="0"/>
        <w:kinsoku w:val="0"/>
        <w:wordWrap/>
        <w:overflowPunct w:val="0"/>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）供应商财务状况报告：提供2024年度经审计的财务报告（至少包括资产负债表和利润表，成立时间至提交响应文件截止时间不足一年的可提供成立后任意时段的资产负债表）</w:t>
      </w:r>
      <w:r>
        <w:rPr>
          <w:rFonts w:hint="eastAsia" w:asciiTheme="minorEastAsia" w:hAnsiTheme="minorEastAsia" w:eastAsiaTheme="minorEastAsia" w:cstheme="minorEastAsia"/>
          <w:color w:val="auto"/>
          <w:kern w:val="0"/>
          <w:sz w:val="24"/>
          <w:szCs w:val="24"/>
          <w:lang w:eastAsia="zh-CN"/>
        </w:rPr>
        <w:t>（报告须真实有效并符合《关于加强审计报告查验工作的通知》（财会[2023]15号）文件的要求，报告须赋二维码）</w:t>
      </w:r>
      <w:r>
        <w:rPr>
          <w:rFonts w:hint="eastAsia" w:asciiTheme="minorEastAsia" w:hAnsiTheme="minorEastAsia" w:eastAsiaTheme="minorEastAsia" w:cstheme="minorEastAsia"/>
          <w:color w:val="auto"/>
          <w:kern w:val="0"/>
          <w:sz w:val="24"/>
          <w:szCs w:val="24"/>
        </w:rPr>
        <w:t xml:space="preserve">，或其开标前三个月内基本存款账户开户银行出具的资信证明及基本存款账户开户许可证或基本存款账户信息，（以上两种形式的资料提供任何一种即可）；  </w:t>
      </w:r>
    </w:p>
    <w:p w14:paraId="43E5CB5B">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）供应商税收缴纳证明：提供磋商截止时间前六个月内，</w:t>
      </w:r>
      <w:r>
        <w:rPr>
          <w:rFonts w:hint="eastAsia" w:asciiTheme="minorEastAsia" w:hAnsiTheme="minorEastAsia" w:eastAsiaTheme="minorEastAsia" w:cstheme="minorEastAsia"/>
          <w:color w:val="auto"/>
          <w:kern w:val="0"/>
          <w:sz w:val="24"/>
          <w:szCs w:val="24"/>
          <w:lang w:eastAsia="zh-CN"/>
        </w:rPr>
        <w:t>任意一个月已</w:t>
      </w:r>
      <w:r>
        <w:rPr>
          <w:rFonts w:hint="eastAsia" w:asciiTheme="minorEastAsia" w:hAnsiTheme="minorEastAsia" w:eastAsiaTheme="minorEastAsia" w:cstheme="minorEastAsia"/>
          <w:color w:val="auto"/>
          <w:kern w:val="0"/>
          <w:sz w:val="24"/>
          <w:szCs w:val="24"/>
        </w:rPr>
        <w:t xml:space="preserve">缴纳的纳税证明或完税证明，依法免税的供应商应提供相关证明材料； </w:t>
      </w:r>
    </w:p>
    <w:p w14:paraId="2FB5C916">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）供应商社会保障资金缴纳证明：提供磋商截止时间前六个月内，</w:t>
      </w:r>
      <w:r>
        <w:rPr>
          <w:rFonts w:hint="eastAsia" w:asciiTheme="minorEastAsia" w:hAnsiTheme="minorEastAsia" w:eastAsiaTheme="minorEastAsia" w:cstheme="minorEastAsia"/>
          <w:color w:val="auto"/>
          <w:kern w:val="0"/>
          <w:sz w:val="24"/>
          <w:szCs w:val="24"/>
          <w:lang w:eastAsia="zh-CN"/>
        </w:rPr>
        <w:t>任意一个月已</w:t>
      </w:r>
      <w:r>
        <w:rPr>
          <w:rFonts w:hint="eastAsia" w:asciiTheme="minorEastAsia" w:hAnsiTheme="minorEastAsia" w:eastAsiaTheme="minorEastAsia" w:cstheme="minorEastAsia"/>
          <w:color w:val="auto"/>
          <w:kern w:val="0"/>
          <w:sz w:val="24"/>
          <w:szCs w:val="24"/>
        </w:rPr>
        <w:t>缴存的社会保障资金缴存单据或社保机构开具的社会保险参保缴费情况证明；依法不需要缴纳社会保障资金的供应商应提供相关文件证明；</w:t>
      </w:r>
    </w:p>
    <w:p w14:paraId="25718D6C">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 xml:space="preserve">）参加政府采购活动前三年内，在经营活动中没有重大违法记录的书面声明； </w:t>
      </w:r>
    </w:p>
    <w:p w14:paraId="67CE1AAB">
      <w:pPr>
        <w:pStyle w:val="6"/>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500" w:firstLineChars="200"/>
        <w:textAlignment w:val="auto"/>
        <w:outlineLvl w:val="9"/>
        <w:rPr>
          <w:rFonts w:hint="eastAsia"/>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）具有履行合同所必须的设备和专业技术能力的说明及承诺；</w:t>
      </w:r>
    </w:p>
    <w:p w14:paraId="2E30E502">
      <w:pP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二</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特定资格要求：</w:t>
      </w:r>
    </w:p>
    <w:p w14:paraId="6EFF6C3C">
      <w:pPr>
        <w:widowControl/>
        <w:numPr>
          <w:ilvl w:val="0"/>
          <w:numId w:val="8"/>
        </w:numPr>
        <w:spacing w:line="500" w:lineRule="exact"/>
        <w:ind w:firstLine="50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法定代表人直接参加磋商的，须提供法定代表人身份证明书（附法定代表人身份证复印件并加盖公章）；委托代理人参加磋商的，须提供法人授权委托书（附法定代表人</w:t>
      </w:r>
      <w:r>
        <w:rPr>
          <w:rFonts w:hint="eastAsia" w:asciiTheme="minorEastAsia" w:hAnsiTheme="minorEastAsia" w:eastAsiaTheme="minorEastAsia" w:cstheme="minorEastAsia"/>
          <w:color w:val="auto"/>
          <w:kern w:val="0"/>
          <w:sz w:val="24"/>
          <w:szCs w:val="24"/>
        </w:rPr>
        <w:t>及委托代理人身份证复印件并加盖公章）；</w:t>
      </w:r>
    </w:p>
    <w:p w14:paraId="155292BD">
      <w:pPr>
        <w:keepNext w:val="0"/>
        <w:keepLines w:val="0"/>
        <w:pageBreakBefore w:val="0"/>
        <w:widowControl w:val="0"/>
        <w:numPr>
          <w:ilvl w:val="0"/>
          <w:numId w:val="8"/>
        </w:numPr>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hint="eastAsia"/>
        </w:rPr>
      </w:pPr>
      <w:r>
        <w:rPr>
          <w:rFonts w:hint="eastAsia" w:asciiTheme="minorEastAsia" w:hAnsiTheme="minorEastAsia" w:eastAsiaTheme="minorEastAsia" w:cstheme="minorEastAsia"/>
          <w:color w:val="auto"/>
          <w:kern w:val="0"/>
          <w:sz w:val="24"/>
          <w:szCs w:val="24"/>
        </w:rPr>
        <w:t>供应商须在磋商时限内</w:t>
      </w:r>
      <w:r>
        <w:rPr>
          <w:rFonts w:hint="eastAsia" w:asciiTheme="minorEastAsia" w:hAnsiTheme="minorEastAsia" w:eastAsiaTheme="minorEastAsia" w:cstheme="minorEastAsia"/>
          <w:color w:val="auto"/>
          <w:kern w:val="0"/>
          <w:sz w:val="24"/>
          <w:szCs w:val="24"/>
          <w:lang w:eastAsia="zh-CN"/>
        </w:rPr>
        <w:t>在</w:t>
      </w:r>
      <w:r>
        <w:rPr>
          <w:rFonts w:hint="eastAsia" w:asciiTheme="minorEastAsia" w:hAnsiTheme="minorEastAsia" w:eastAsiaTheme="minorEastAsia" w:cstheme="minorEastAsia"/>
          <w:color w:val="auto"/>
          <w:kern w:val="0"/>
          <w:sz w:val="24"/>
          <w:szCs w:val="24"/>
        </w:rPr>
        <w:t>“信用中国”网站（www.creditchina.gov.cn）未被列入失信被执行人和</w:t>
      </w:r>
      <w:r>
        <w:rPr>
          <w:rFonts w:hint="eastAsia" w:asciiTheme="minorEastAsia" w:hAnsiTheme="minorEastAsia" w:eastAsiaTheme="minorEastAsia" w:cstheme="minorEastAsia"/>
          <w:color w:val="auto"/>
          <w:kern w:val="0"/>
          <w:sz w:val="24"/>
          <w:szCs w:val="24"/>
          <w:lang w:eastAsia="zh-CN"/>
        </w:rPr>
        <w:t>重大税收违法失信主体</w:t>
      </w:r>
      <w:r>
        <w:rPr>
          <w:rFonts w:hint="eastAsia" w:asciiTheme="minorEastAsia" w:hAnsiTheme="minorEastAsia" w:eastAsiaTheme="minorEastAsia" w:cstheme="minorEastAsia"/>
          <w:color w:val="auto"/>
          <w:kern w:val="0"/>
          <w:sz w:val="24"/>
          <w:szCs w:val="24"/>
        </w:rPr>
        <w:t>中、未在“中国政府采购网”（www.ccgp.gov.cn）政府采购严重违法失信行为记录名单中被财政部门禁止参加政府采购活动的供应商；</w:t>
      </w:r>
    </w:p>
    <w:p w14:paraId="24041DF2">
      <w:pPr>
        <w:keepNext w:val="0"/>
        <w:keepLines w:val="0"/>
        <w:pageBreakBefore w:val="0"/>
        <w:widowControl w:val="0"/>
        <w:numPr>
          <w:ilvl w:val="0"/>
          <w:numId w:val="8"/>
        </w:numPr>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pPr>
      <w:r>
        <w:rPr>
          <w:rFonts w:hint="eastAsia" w:asciiTheme="minorEastAsia" w:hAnsiTheme="minorEastAsia" w:eastAsiaTheme="minorEastAsia" w:cstheme="minorEastAsia"/>
          <w:color w:val="auto"/>
          <w:kern w:val="0"/>
          <w:sz w:val="24"/>
          <w:szCs w:val="24"/>
        </w:rPr>
        <w:t>单位负责人为同一人或者存在控股、管理关系的不同单位，不得参加同一合同项下的政府采购活动</w:t>
      </w:r>
      <w:r>
        <w:rPr>
          <w:rFonts w:hint="eastAsia" w:asciiTheme="minorEastAsia" w:hAnsiTheme="minorEastAsia" w:eastAsiaTheme="minorEastAsia" w:cstheme="minorEastAsia"/>
          <w:color w:val="auto"/>
          <w:kern w:val="0"/>
          <w:sz w:val="24"/>
          <w:szCs w:val="24"/>
          <w:lang w:eastAsia="zh-CN"/>
        </w:rPr>
        <w:t>；（提供承诺书及国家企业信用信息公示系统网页查询截图（体现股东及出资详细信息）并加盖公章）；</w:t>
      </w:r>
    </w:p>
    <w:p w14:paraId="6A5C5823">
      <w:pPr>
        <w:keepNext w:val="0"/>
        <w:keepLines w:val="0"/>
        <w:pageBreakBefore w:val="0"/>
        <w:widowControl w:val="0"/>
        <w:numPr>
          <w:ilvl w:val="0"/>
          <w:numId w:val="8"/>
        </w:numPr>
        <w:kinsoku/>
        <w:wordWrap/>
        <w:overflowPunct/>
        <w:topLinePunct w:val="0"/>
        <w:autoSpaceDE w:val="0"/>
        <w:autoSpaceDN w:val="0"/>
        <w:bidi w:val="0"/>
        <w:adjustRightInd w:val="0"/>
        <w:snapToGrid w:val="0"/>
        <w:spacing w:line="520" w:lineRule="exact"/>
        <w:ind w:left="0" w:leftChars="0" w:right="0" w:rightChars="0" w:firstLine="500" w:firstLineChars="200"/>
        <w:jc w:val="left"/>
        <w:textAlignment w:val="auto"/>
        <w:outlineLvl w:val="9"/>
        <w:rPr>
          <w:rFonts w:hint="eastAsia"/>
          <w:lang w:val="en-US" w:eastAsia="zh-CN"/>
        </w:rPr>
      </w:pPr>
      <w:r>
        <w:rPr>
          <w:rFonts w:hint="eastAsia" w:asciiTheme="minorEastAsia" w:hAnsiTheme="minorEastAsia" w:eastAsiaTheme="minorEastAsia" w:cstheme="minorEastAsia"/>
          <w:color w:val="auto"/>
          <w:kern w:val="0"/>
          <w:sz w:val="24"/>
          <w:szCs w:val="24"/>
          <w:lang w:val="en-US" w:eastAsia="zh-CN"/>
        </w:rPr>
        <w:t>本项目专门面向中小企业采购，供应商须提供中小企业声明函（如有虚假，将依法承担相应责任）；</w:t>
      </w:r>
    </w:p>
    <w:p w14:paraId="085198D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rightChars="0" w:firstLine="50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lang w:val="en-US" w:eastAsia="zh-CN"/>
        </w:rPr>
        <w:t>（5）本项目不接受联合体投标。</w:t>
      </w:r>
      <w:r>
        <w:rPr>
          <w:rFonts w:hint="eastAsia" w:asciiTheme="minorEastAsia" w:hAnsiTheme="minorEastAsia" w:eastAsiaTheme="minorEastAsia" w:cstheme="minorEastAsia"/>
          <w:color w:val="auto"/>
          <w:kern w:val="0"/>
          <w:sz w:val="24"/>
          <w:szCs w:val="24"/>
          <w:highlight w:val="none"/>
          <w:lang w:eastAsia="zh-CN"/>
        </w:rPr>
        <w:t>（提供书面声明，格式自拟）</w:t>
      </w:r>
    </w:p>
    <w:p w14:paraId="7EA4072E">
      <w:pPr>
        <w:keepNext w:val="0"/>
        <w:keepLines w:val="0"/>
        <w:pageBreakBefore w:val="0"/>
        <w:widowControl w:val="0"/>
        <w:wordWrap/>
        <w:topLinePunct w:val="0"/>
        <w:bidi w:val="0"/>
        <w:adjustRightInd w:val="0"/>
        <w:snapToGrid w:val="0"/>
        <w:spacing w:line="480" w:lineRule="exact"/>
        <w:textAlignment w:val="auto"/>
        <w:rPr>
          <w:rFonts w:hint="eastAsia" w:ascii="宋体" w:hAnsi="宋体" w:eastAsia="宋体" w:cs="宋体"/>
          <w:b w:val="0"/>
          <w:color w:val="auto"/>
          <w:spacing w:val="4"/>
          <w:kern w:val="2"/>
          <w:sz w:val="24"/>
          <w:szCs w:val="24"/>
          <w:lang w:val="en-US" w:eastAsia="zh-CN" w:bidi="ar-SA"/>
        </w:rPr>
      </w:pPr>
      <w:bookmarkStart w:id="63" w:name="_Toc10132"/>
      <w:bookmarkStart w:id="64" w:name="_Toc3122"/>
      <w:bookmarkStart w:id="65" w:name="_Toc24595_WPSOffice_Level1"/>
      <w:r>
        <w:rPr>
          <w:rFonts w:hint="eastAsia" w:ascii="宋体" w:hAnsi="宋体" w:eastAsia="宋体" w:cs="宋体"/>
          <w:b w:val="0"/>
          <w:color w:val="auto"/>
          <w:spacing w:val="4"/>
          <w:kern w:val="2"/>
          <w:sz w:val="24"/>
          <w:szCs w:val="24"/>
          <w:lang w:val="en-US" w:eastAsia="zh-CN" w:bidi="ar-SA"/>
        </w:rPr>
        <w:t>注：提供相关声明函的，由其承担相应的法律责任。</w:t>
      </w:r>
    </w:p>
    <w:p w14:paraId="43A63FC3">
      <w:pP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br w:type="page"/>
      </w:r>
    </w:p>
    <w:p w14:paraId="20AD8FE8">
      <w:pPr>
        <w:jc w:val="center"/>
        <w:outlineLvl w:val="1"/>
        <w:rPr>
          <w:rFonts w:hint="eastAsia" w:ascii="宋体" w:hAnsi="宋体" w:cs="宋体"/>
          <w:b/>
          <w:color w:val="auto"/>
          <w:sz w:val="32"/>
          <w:szCs w:val="32"/>
          <w:highlight w:val="none"/>
          <w:lang w:eastAsia="zh-CN"/>
        </w:rPr>
      </w:pPr>
      <w:bookmarkStart w:id="66" w:name="_Toc16842"/>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lang w:eastAsia="zh-CN"/>
        </w:rPr>
        <w:t>、磋商保证金</w:t>
      </w:r>
    </w:p>
    <w:p w14:paraId="2FA12D85">
      <w:pPr>
        <w:jc w:val="center"/>
        <w:rPr>
          <w:rFonts w:hint="eastAsia" w:ascii="宋体" w:hAnsi="宋体" w:cs="宋体"/>
          <w:b w:val="0"/>
          <w:bCs/>
          <w:color w:val="auto"/>
          <w:sz w:val="24"/>
          <w:szCs w:val="24"/>
          <w:highlight w:val="none"/>
          <w:lang w:eastAsia="zh-CN"/>
        </w:rPr>
      </w:pPr>
    </w:p>
    <w:p w14:paraId="2779322E">
      <w:pPr>
        <w:spacing w:line="360" w:lineRule="auto"/>
        <w:jc w:val="center"/>
        <w:outlineLvl w:val="1"/>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保证金转账凭证及基本存款账户开户许可证（或基本存款账户信息）复印件</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lang w:eastAsia="zh-CN"/>
        </w:rPr>
        <w:t>或信用承诺书、担保机构出具的保函正本复印件（加盖单位公章）；如采用保函或者信用承诺书时格式详见磋商文件附件。</w:t>
      </w:r>
    </w:p>
    <w:p w14:paraId="1A20DBBC">
      <w:pPr>
        <w:spacing w:line="360" w:lineRule="auto"/>
        <w:jc w:val="center"/>
        <w:outlineLvl w:val="1"/>
        <w:rPr>
          <w:rFonts w:hint="eastAsia" w:ascii="宋体" w:hAnsi="宋体" w:cs="宋体"/>
          <w:b w:val="0"/>
          <w:bCs/>
          <w:color w:val="auto"/>
          <w:sz w:val="24"/>
          <w:szCs w:val="24"/>
          <w:highlight w:val="none"/>
          <w:lang w:eastAsia="zh-CN"/>
        </w:rPr>
      </w:pPr>
    </w:p>
    <w:p w14:paraId="11DFA517">
      <w:pPr>
        <w:spacing w:line="360" w:lineRule="auto"/>
        <w:jc w:val="center"/>
        <w:outlineLvl w:val="1"/>
        <w:rPr>
          <w:rFonts w:hint="eastAsia" w:ascii="宋体" w:hAnsi="宋体" w:cs="宋体"/>
          <w:b w:val="0"/>
          <w:bCs/>
          <w:color w:val="auto"/>
          <w:sz w:val="24"/>
          <w:szCs w:val="24"/>
          <w:highlight w:val="none"/>
          <w:lang w:eastAsia="zh-CN"/>
        </w:rPr>
      </w:pPr>
    </w:p>
    <w:p w14:paraId="01CEDD1F">
      <w:pPr>
        <w:spacing w:line="360" w:lineRule="auto"/>
        <w:jc w:val="center"/>
        <w:outlineLvl w:val="1"/>
        <w:rPr>
          <w:rFonts w:hint="eastAsia" w:ascii="宋体" w:hAnsi="宋体" w:cs="宋体"/>
          <w:b w:val="0"/>
          <w:bCs/>
          <w:color w:val="auto"/>
          <w:sz w:val="24"/>
          <w:szCs w:val="24"/>
          <w:highlight w:val="none"/>
          <w:lang w:eastAsia="zh-CN"/>
        </w:rPr>
      </w:pPr>
    </w:p>
    <w:p w14:paraId="33BBAD7E">
      <w:pPr>
        <w:spacing w:line="360" w:lineRule="auto"/>
        <w:jc w:val="center"/>
        <w:outlineLvl w:val="1"/>
        <w:rPr>
          <w:rFonts w:hint="eastAsia" w:ascii="宋体" w:hAnsi="宋体" w:cs="宋体"/>
          <w:b w:val="0"/>
          <w:bCs/>
          <w:color w:val="auto"/>
          <w:sz w:val="24"/>
          <w:szCs w:val="24"/>
          <w:highlight w:val="none"/>
          <w:lang w:eastAsia="zh-CN"/>
        </w:rPr>
      </w:pPr>
    </w:p>
    <w:p w14:paraId="4264C7CC">
      <w:pPr>
        <w:spacing w:line="360" w:lineRule="auto"/>
        <w:jc w:val="center"/>
        <w:outlineLvl w:val="1"/>
        <w:rPr>
          <w:rFonts w:hint="eastAsia" w:ascii="宋体" w:hAnsi="宋体" w:cs="宋体"/>
          <w:b w:val="0"/>
          <w:bCs/>
          <w:color w:val="auto"/>
          <w:sz w:val="24"/>
          <w:szCs w:val="24"/>
          <w:highlight w:val="none"/>
          <w:lang w:eastAsia="zh-CN"/>
        </w:rPr>
      </w:pPr>
    </w:p>
    <w:p w14:paraId="2654E30E">
      <w:pPr>
        <w:spacing w:line="360" w:lineRule="auto"/>
        <w:jc w:val="center"/>
        <w:outlineLvl w:val="1"/>
        <w:rPr>
          <w:rFonts w:hint="eastAsia" w:ascii="宋体" w:hAnsi="宋体" w:cs="宋体"/>
          <w:b w:val="0"/>
          <w:bCs/>
          <w:color w:val="auto"/>
          <w:sz w:val="24"/>
          <w:szCs w:val="24"/>
          <w:highlight w:val="none"/>
          <w:lang w:eastAsia="zh-CN"/>
        </w:rPr>
      </w:pPr>
    </w:p>
    <w:p w14:paraId="0D66A9DD">
      <w:pPr>
        <w:spacing w:line="360" w:lineRule="auto"/>
        <w:jc w:val="center"/>
        <w:outlineLvl w:val="1"/>
        <w:rPr>
          <w:rFonts w:hint="eastAsia" w:ascii="宋体" w:hAnsi="宋体" w:cs="宋体"/>
          <w:b w:val="0"/>
          <w:bCs/>
          <w:color w:val="auto"/>
          <w:sz w:val="24"/>
          <w:szCs w:val="24"/>
          <w:highlight w:val="none"/>
          <w:lang w:eastAsia="zh-CN"/>
        </w:rPr>
      </w:pPr>
    </w:p>
    <w:p w14:paraId="51EE993C">
      <w:pPr>
        <w:spacing w:line="360" w:lineRule="auto"/>
        <w:jc w:val="center"/>
        <w:outlineLvl w:val="1"/>
        <w:rPr>
          <w:rFonts w:hint="eastAsia" w:ascii="宋体" w:hAnsi="宋体" w:cs="宋体"/>
          <w:b w:val="0"/>
          <w:bCs/>
          <w:color w:val="auto"/>
          <w:sz w:val="24"/>
          <w:szCs w:val="24"/>
          <w:highlight w:val="none"/>
          <w:lang w:eastAsia="zh-CN"/>
        </w:rPr>
      </w:pPr>
    </w:p>
    <w:p w14:paraId="0052ACA6">
      <w:pPr>
        <w:spacing w:line="360" w:lineRule="auto"/>
        <w:jc w:val="center"/>
        <w:outlineLvl w:val="1"/>
        <w:rPr>
          <w:rFonts w:hint="eastAsia" w:ascii="宋体" w:hAnsi="宋体" w:cs="宋体"/>
          <w:b w:val="0"/>
          <w:bCs/>
          <w:color w:val="auto"/>
          <w:sz w:val="24"/>
          <w:szCs w:val="24"/>
          <w:highlight w:val="none"/>
          <w:lang w:eastAsia="zh-CN"/>
        </w:rPr>
      </w:pPr>
    </w:p>
    <w:p w14:paraId="4231E789">
      <w:pPr>
        <w:spacing w:line="360" w:lineRule="auto"/>
        <w:jc w:val="center"/>
        <w:outlineLvl w:val="1"/>
        <w:rPr>
          <w:rFonts w:hint="eastAsia" w:ascii="宋体" w:hAnsi="宋体" w:cs="宋体"/>
          <w:b w:val="0"/>
          <w:bCs/>
          <w:color w:val="auto"/>
          <w:sz w:val="24"/>
          <w:szCs w:val="24"/>
          <w:highlight w:val="none"/>
          <w:lang w:eastAsia="zh-CN"/>
        </w:rPr>
      </w:pPr>
    </w:p>
    <w:p w14:paraId="3948AE46">
      <w:pPr>
        <w:spacing w:line="360" w:lineRule="auto"/>
        <w:jc w:val="center"/>
        <w:outlineLvl w:val="1"/>
        <w:rPr>
          <w:rFonts w:hint="eastAsia" w:ascii="宋体" w:hAnsi="宋体" w:cs="宋体"/>
          <w:b w:val="0"/>
          <w:bCs/>
          <w:color w:val="auto"/>
          <w:sz w:val="24"/>
          <w:szCs w:val="24"/>
          <w:highlight w:val="none"/>
          <w:lang w:eastAsia="zh-CN"/>
        </w:rPr>
      </w:pPr>
    </w:p>
    <w:p w14:paraId="5450A2CF">
      <w:pPr>
        <w:spacing w:line="360" w:lineRule="auto"/>
        <w:jc w:val="center"/>
        <w:outlineLvl w:val="1"/>
        <w:rPr>
          <w:rFonts w:hint="eastAsia" w:ascii="宋体" w:hAnsi="宋体" w:cs="宋体"/>
          <w:b w:val="0"/>
          <w:bCs/>
          <w:color w:val="auto"/>
          <w:sz w:val="24"/>
          <w:szCs w:val="24"/>
          <w:highlight w:val="none"/>
          <w:lang w:eastAsia="zh-CN"/>
        </w:rPr>
      </w:pPr>
    </w:p>
    <w:p w14:paraId="1E19F4E7">
      <w:pPr>
        <w:spacing w:line="360" w:lineRule="auto"/>
        <w:jc w:val="center"/>
        <w:outlineLvl w:val="1"/>
        <w:rPr>
          <w:rFonts w:hint="eastAsia" w:ascii="宋体" w:hAnsi="宋体" w:cs="宋体"/>
          <w:b w:val="0"/>
          <w:bCs/>
          <w:color w:val="auto"/>
          <w:sz w:val="24"/>
          <w:szCs w:val="24"/>
          <w:highlight w:val="none"/>
          <w:lang w:eastAsia="zh-CN"/>
        </w:rPr>
      </w:pPr>
    </w:p>
    <w:p w14:paraId="0CC01212">
      <w:pPr>
        <w:spacing w:line="360" w:lineRule="auto"/>
        <w:jc w:val="center"/>
        <w:outlineLvl w:val="1"/>
        <w:rPr>
          <w:rFonts w:hint="eastAsia" w:ascii="宋体" w:hAnsi="宋体" w:cs="宋体"/>
          <w:b w:val="0"/>
          <w:bCs/>
          <w:color w:val="auto"/>
          <w:sz w:val="24"/>
          <w:szCs w:val="24"/>
          <w:highlight w:val="none"/>
          <w:lang w:eastAsia="zh-CN"/>
        </w:rPr>
      </w:pPr>
    </w:p>
    <w:p w14:paraId="70AD9F2E">
      <w:pPr>
        <w:spacing w:line="360" w:lineRule="auto"/>
        <w:jc w:val="center"/>
        <w:outlineLvl w:val="1"/>
        <w:rPr>
          <w:rFonts w:hint="eastAsia" w:ascii="宋体" w:hAnsi="宋体" w:cs="宋体"/>
          <w:b w:val="0"/>
          <w:bCs/>
          <w:color w:val="auto"/>
          <w:sz w:val="24"/>
          <w:szCs w:val="24"/>
          <w:highlight w:val="none"/>
          <w:lang w:eastAsia="zh-CN"/>
        </w:rPr>
      </w:pPr>
    </w:p>
    <w:p w14:paraId="32EBB690">
      <w:pPr>
        <w:spacing w:line="360" w:lineRule="auto"/>
        <w:jc w:val="center"/>
        <w:outlineLvl w:val="1"/>
        <w:rPr>
          <w:rFonts w:hint="eastAsia" w:ascii="宋体" w:hAnsi="宋体" w:cs="宋体"/>
          <w:b w:val="0"/>
          <w:bCs/>
          <w:color w:val="auto"/>
          <w:sz w:val="24"/>
          <w:szCs w:val="24"/>
          <w:highlight w:val="none"/>
          <w:lang w:eastAsia="zh-CN"/>
        </w:rPr>
      </w:pPr>
    </w:p>
    <w:p w14:paraId="5B454B7A">
      <w:pPr>
        <w:spacing w:line="360" w:lineRule="auto"/>
        <w:jc w:val="center"/>
        <w:outlineLvl w:val="1"/>
        <w:rPr>
          <w:rFonts w:hint="eastAsia" w:ascii="宋体" w:hAnsi="宋体" w:cs="宋体"/>
          <w:b w:val="0"/>
          <w:bCs/>
          <w:color w:val="auto"/>
          <w:sz w:val="24"/>
          <w:szCs w:val="24"/>
          <w:highlight w:val="none"/>
          <w:lang w:eastAsia="zh-CN"/>
        </w:rPr>
      </w:pPr>
    </w:p>
    <w:p w14:paraId="3E2D825D">
      <w:pPr>
        <w:spacing w:line="360" w:lineRule="auto"/>
        <w:jc w:val="center"/>
        <w:outlineLvl w:val="1"/>
        <w:rPr>
          <w:rFonts w:hint="eastAsia" w:ascii="宋体" w:hAnsi="宋体" w:cs="宋体"/>
          <w:b w:val="0"/>
          <w:bCs/>
          <w:color w:val="auto"/>
          <w:sz w:val="24"/>
          <w:szCs w:val="24"/>
          <w:highlight w:val="none"/>
          <w:lang w:eastAsia="zh-CN"/>
        </w:rPr>
      </w:pPr>
    </w:p>
    <w:p w14:paraId="6B9C4A3A">
      <w:pPr>
        <w:spacing w:line="360" w:lineRule="auto"/>
        <w:jc w:val="both"/>
        <w:outlineLvl w:val="1"/>
        <w:rPr>
          <w:rFonts w:hint="eastAsia" w:ascii="宋体" w:hAnsi="宋体" w:cs="宋体"/>
          <w:b w:val="0"/>
          <w:bCs/>
          <w:color w:val="auto"/>
          <w:sz w:val="24"/>
          <w:szCs w:val="24"/>
          <w:highlight w:val="none"/>
          <w:lang w:eastAsia="zh-CN"/>
        </w:rPr>
      </w:pPr>
    </w:p>
    <w:p w14:paraId="0E04C7C3">
      <w:pPr>
        <w:spacing w:line="360" w:lineRule="auto"/>
        <w:jc w:val="center"/>
        <w:outlineLvl w:val="1"/>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、供应商近3年类似业绩证明</w:t>
      </w:r>
      <w:bookmarkEnd w:id="63"/>
      <w:bookmarkEnd w:id="64"/>
      <w:bookmarkEnd w:id="65"/>
      <w:bookmarkEnd w:id="66"/>
    </w:p>
    <w:p w14:paraId="0A841ABF">
      <w:pPr>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近三年2022年</w:t>
      </w: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lang w:eastAsia="zh-CN"/>
        </w:rPr>
        <w:t>月1日至今的类似业绩（以合同签订时间为准），</w:t>
      </w:r>
      <w:r>
        <w:rPr>
          <w:rFonts w:hint="eastAsia" w:ascii="宋体" w:hAnsi="宋体" w:cs="宋体"/>
          <w:b/>
          <w:bCs/>
          <w:color w:val="auto"/>
          <w:sz w:val="28"/>
          <w:szCs w:val="28"/>
          <w:highlight w:val="none"/>
          <w:lang w:eastAsia="zh-CN"/>
        </w:rPr>
        <w:t>提供</w:t>
      </w:r>
      <w:r>
        <w:rPr>
          <w:rFonts w:hint="eastAsia" w:ascii="宋体" w:hAnsi="宋体" w:eastAsia="宋体" w:cs="宋体"/>
          <w:b/>
          <w:bCs/>
          <w:color w:val="auto"/>
          <w:sz w:val="28"/>
          <w:szCs w:val="28"/>
          <w:highlight w:val="none"/>
          <w:lang w:eastAsia="zh-CN"/>
        </w:rPr>
        <w:t>加盖公章的合同复印件</w:t>
      </w:r>
    </w:p>
    <w:p w14:paraId="347B3CD5">
      <w:pPr>
        <w:spacing w:line="480" w:lineRule="auto"/>
        <w:jc w:val="center"/>
        <w:rPr>
          <w:rFonts w:hint="eastAsia" w:ascii="宋体" w:hAnsi="宋体" w:eastAsia="宋体" w:cs="宋体"/>
          <w:b/>
          <w:bCs/>
          <w:color w:val="auto"/>
          <w:sz w:val="28"/>
          <w:szCs w:val="28"/>
          <w:highlight w:val="none"/>
        </w:rPr>
      </w:pPr>
    </w:p>
    <w:p w14:paraId="1AF43963">
      <w:pPr>
        <w:spacing w:line="480" w:lineRule="auto"/>
        <w:jc w:val="center"/>
        <w:rPr>
          <w:rFonts w:hint="eastAsia" w:ascii="宋体" w:hAnsi="宋体" w:eastAsia="宋体" w:cs="宋体"/>
          <w:b/>
          <w:bCs/>
          <w:color w:val="auto"/>
          <w:sz w:val="28"/>
          <w:szCs w:val="28"/>
          <w:highlight w:val="none"/>
        </w:rPr>
      </w:pPr>
    </w:p>
    <w:p w14:paraId="0B4A886B">
      <w:pPr>
        <w:spacing w:line="480" w:lineRule="auto"/>
        <w:jc w:val="center"/>
        <w:rPr>
          <w:rFonts w:hint="eastAsia" w:ascii="宋体" w:hAnsi="宋体" w:eastAsia="宋体" w:cs="宋体"/>
          <w:b/>
          <w:bCs/>
          <w:color w:val="auto"/>
          <w:sz w:val="28"/>
          <w:szCs w:val="28"/>
          <w:highlight w:val="none"/>
        </w:rPr>
      </w:pPr>
    </w:p>
    <w:p w14:paraId="5C5175D2">
      <w:pPr>
        <w:spacing w:line="480" w:lineRule="auto"/>
        <w:jc w:val="center"/>
        <w:rPr>
          <w:rFonts w:hint="eastAsia" w:ascii="宋体" w:hAnsi="宋体" w:eastAsia="宋体" w:cs="宋体"/>
          <w:b/>
          <w:bCs/>
          <w:color w:val="auto"/>
          <w:sz w:val="28"/>
          <w:szCs w:val="28"/>
          <w:highlight w:val="none"/>
        </w:rPr>
      </w:pPr>
    </w:p>
    <w:p w14:paraId="37EA276B">
      <w:pPr>
        <w:spacing w:line="480" w:lineRule="auto"/>
        <w:jc w:val="center"/>
        <w:rPr>
          <w:rFonts w:hint="eastAsia" w:ascii="宋体" w:hAnsi="宋体" w:eastAsia="宋体" w:cs="宋体"/>
          <w:b/>
          <w:bCs/>
          <w:color w:val="auto"/>
          <w:sz w:val="28"/>
          <w:szCs w:val="28"/>
          <w:highlight w:val="none"/>
        </w:rPr>
      </w:pPr>
    </w:p>
    <w:p w14:paraId="15BB8D23">
      <w:pPr>
        <w:spacing w:line="480" w:lineRule="auto"/>
        <w:jc w:val="center"/>
        <w:rPr>
          <w:rFonts w:hint="eastAsia" w:ascii="宋体" w:hAnsi="宋体" w:eastAsia="宋体" w:cs="宋体"/>
          <w:b/>
          <w:bCs/>
          <w:color w:val="auto"/>
          <w:sz w:val="28"/>
          <w:szCs w:val="28"/>
          <w:highlight w:val="none"/>
        </w:rPr>
      </w:pPr>
    </w:p>
    <w:p w14:paraId="65C91F38">
      <w:pPr>
        <w:pStyle w:val="6"/>
        <w:ind w:firstLine="442"/>
        <w:rPr>
          <w:rFonts w:hint="eastAsia" w:ascii="宋体" w:hAnsi="宋体" w:eastAsia="宋体" w:cs="宋体"/>
          <w:color w:val="auto"/>
          <w:highlight w:val="none"/>
        </w:rPr>
      </w:pPr>
    </w:p>
    <w:p w14:paraId="4CBCA73F">
      <w:pPr>
        <w:pStyle w:val="6"/>
        <w:ind w:firstLine="442"/>
        <w:rPr>
          <w:rFonts w:hint="eastAsia" w:ascii="宋体" w:hAnsi="宋体" w:eastAsia="宋体" w:cs="宋体"/>
          <w:color w:val="auto"/>
          <w:highlight w:val="none"/>
        </w:rPr>
      </w:pPr>
    </w:p>
    <w:p w14:paraId="4FC1F959">
      <w:pPr>
        <w:pStyle w:val="6"/>
        <w:ind w:firstLine="442"/>
        <w:rPr>
          <w:rFonts w:hint="eastAsia" w:ascii="宋体" w:hAnsi="宋体" w:eastAsia="宋体" w:cs="宋体"/>
          <w:color w:val="auto"/>
          <w:highlight w:val="none"/>
        </w:rPr>
      </w:pPr>
    </w:p>
    <w:p w14:paraId="5630143E">
      <w:pPr>
        <w:pStyle w:val="6"/>
        <w:ind w:firstLine="442"/>
        <w:rPr>
          <w:rFonts w:hint="eastAsia" w:ascii="宋体" w:hAnsi="宋体" w:eastAsia="宋体" w:cs="宋体"/>
          <w:color w:val="auto"/>
          <w:highlight w:val="none"/>
        </w:rPr>
      </w:pPr>
    </w:p>
    <w:p w14:paraId="20F53548">
      <w:pPr>
        <w:pStyle w:val="6"/>
        <w:ind w:firstLine="442"/>
        <w:rPr>
          <w:rFonts w:hint="eastAsia" w:ascii="宋体" w:hAnsi="宋体" w:eastAsia="宋体" w:cs="宋体"/>
          <w:color w:val="auto"/>
          <w:highlight w:val="none"/>
        </w:rPr>
      </w:pPr>
    </w:p>
    <w:p w14:paraId="306B0784">
      <w:pPr>
        <w:pStyle w:val="6"/>
        <w:ind w:firstLine="442"/>
        <w:rPr>
          <w:rFonts w:hint="eastAsia" w:ascii="宋体" w:hAnsi="宋体" w:eastAsia="宋体" w:cs="宋体"/>
          <w:color w:val="auto"/>
          <w:highlight w:val="none"/>
        </w:rPr>
      </w:pPr>
    </w:p>
    <w:p w14:paraId="1ACAB042">
      <w:pPr>
        <w:pStyle w:val="6"/>
        <w:ind w:firstLine="442"/>
        <w:rPr>
          <w:rFonts w:hint="eastAsia" w:ascii="宋体" w:hAnsi="宋体" w:eastAsia="宋体" w:cs="宋体"/>
          <w:color w:val="auto"/>
          <w:highlight w:val="none"/>
        </w:rPr>
      </w:pPr>
    </w:p>
    <w:p w14:paraId="4FFAE0EE">
      <w:pPr>
        <w:pStyle w:val="6"/>
        <w:ind w:firstLine="442"/>
        <w:rPr>
          <w:rFonts w:hint="eastAsia" w:ascii="宋体" w:hAnsi="宋体" w:eastAsia="宋体" w:cs="宋体"/>
          <w:color w:val="auto"/>
          <w:highlight w:val="none"/>
        </w:rPr>
      </w:pPr>
    </w:p>
    <w:p w14:paraId="23AA111C">
      <w:pPr>
        <w:pStyle w:val="6"/>
        <w:ind w:firstLine="442"/>
        <w:rPr>
          <w:rFonts w:hint="eastAsia" w:ascii="宋体" w:hAnsi="宋体" w:eastAsia="宋体" w:cs="宋体"/>
          <w:color w:val="auto"/>
          <w:highlight w:val="none"/>
        </w:rPr>
      </w:pPr>
    </w:p>
    <w:p w14:paraId="5B80FBE5">
      <w:pPr>
        <w:pStyle w:val="6"/>
        <w:ind w:firstLine="442"/>
        <w:rPr>
          <w:rFonts w:hint="eastAsia" w:ascii="宋体" w:hAnsi="宋体" w:eastAsia="宋体" w:cs="宋体"/>
          <w:color w:val="auto"/>
          <w:highlight w:val="none"/>
        </w:rPr>
      </w:pPr>
    </w:p>
    <w:p w14:paraId="436AD270">
      <w:pPr>
        <w:pStyle w:val="6"/>
        <w:ind w:firstLine="442"/>
        <w:rPr>
          <w:rFonts w:hint="eastAsia" w:ascii="宋体" w:hAnsi="宋体" w:eastAsia="宋体" w:cs="宋体"/>
          <w:color w:val="auto"/>
          <w:highlight w:val="none"/>
        </w:rPr>
      </w:pPr>
    </w:p>
    <w:p w14:paraId="01415F9D">
      <w:pPr>
        <w:pStyle w:val="6"/>
        <w:ind w:left="0" w:leftChars="0" w:firstLine="0" w:firstLineChars="0"/>
        <w:rPr>
          <w:rFonts w:hint="eastAsia" w:ascii="宋体" w:hAnsi="宋体" w:eastAsia="宋体" w:cs="宋体"/>
          <w:color w:val="auto"/>
          <w:highlight w:val="none"/>
        </w:rPr>
      </w:pPr>
    </w:p>
    <w:p w14:paraId="5C9DD44C">
      <w:pPr>
        <w:rPr>
          <w:rFonts w:hint="eastAsia" w:ascii="宋体" w:hAnsi="宋体" w:cs="宋体"/>
          <w:b/>
          <w:color w:val="auto"/>
          <w:sz w:val="32"/>
          <w:szCs w:val="32"/>
          <w:highlight w:val="none"/>
          <w:lang w:eastAsia="zh-CN"/>
        </w:rPr>
      </w:pPr>
      <w:bookmarkStart w:id="67" w:name="_Toc29076_WPSOffice_Level1"/>
      <w:bookmarkStart w:id="68" w:name="_Toc9744"/>
      <w:bookmarkStart w:id="69" w:name="_Toc12026"/>
      <w:bookmarkStart w:id="70" w:name="_Toc3544"/>
      <w:r>
        <w:rPr>
          <w:rFonts w:hint="eastAsia" w:ascii="宋体" w:hAnsi="宋体" w:cs="宋体"/>
          <w:b/>
          <w:color w:val="auto"/>
          <w:sz w:val="32"/>
          <w:szCs w:val="32"/>
          <w:highlight w:val="none"/>
          <w:lang w:eastAsia="zh-CN"/>
        </w:rPr>
        <w:br w:type="page"/>
      </w:r>
    </w:p>
    <w:p w14:paraId="1985A46A">
      <w:pPr>
        <w:spacing w:line="480" w:lineRule="auto"/>
        <w:jc w:val="center"/>
        <w:outlineLvl w:val="1"/>
        <w:rPr>
          <w:rFonts w:hint="eastAsia" w:ascii="宋体" w:hAnsi="宋体" w:eastAsia="宋体" w:cs="宋体"/>
          <w:b/>
          <w:bCs/>
          <w:color w:val="auto"/>
          <w:sz w:val="36"/>
          <w:szCs w:val="21"/>
          <w:highlight w:val="none"/>
        </w:rPr>
      </w:pPr>
      <w:r>
        <w:rPr>
          <w:rFonts w:hint="eastAsia" w:ascii="宋体" w:hAnsi="宋体" w:cs="宋体"/>
          <w:b/>
          <w:color w:val="auto"/>
          <w:sz w:val="32"/>
          <w:szCs w:val="32"/>
          <w:highlight w:val="none"/>
          <w:lang w:val="en-US" w:eastAsia="zh-CN"/>
        </w:rPr>
        <w:t>九</w:t>
      </w:r>
      <w:r>
        <w:rPr>
          <w:rFonts w:hint="eastAsia" w:ascii="宋体" w:hAnsi="宋体" w:eastAsia="宋体" w:cs="宋体"/>
          <w:b/>
          <w:color w:val="auto"/>
          <w:sz w:val="32"/>
          <w:szCs w:val="32"/>
          <w:highlight w:val="none"/>
        </w:rPr>
        <w:t>、宝鸡市政府采购供应商诚信承诺书</w:t>
      </w:r>
      <w:bookmarkEnd w:id="67"/>
      <w:bookmarkEnd w:id="68"/>
      <w:bookmarkEnd w:id="69"/>
      <w:bookmarkEnd w:id="70"/>
    </w:p>
    <w:p w14:paraId="342F00D2">
      <w:pPr>
        <w:spacing w:line="560" w:lineRule="exact"/>
        <w:jc w:val="left"/>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（采购人名称）</w:t>
      </w:r>
    </w:p>
    <w:p w14:paraId="462F7FAD">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的我方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(供应商名称)自愿参加贵单位组织的编号为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(采购项目编号)的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项目(采购项目名称)的政府采购活动，我方已知悉并理解本项目采购文件的各项要求。为贯彻公开、公平、公正和诚实信用的政府采购原则，共同维护宝鸡市政府采购市场良好秩序，我方郑重声明和承诺如下：</w:t>
      </w:r>
    </w:p>
    <w:p w14:paraId="31248B90">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一、在参加本次政府采购活动中严格遵守《</w:t>
      </w:r>
      <w:r>
        <w:rPr>
          <w:rFonts w:hint="eastAsia" w:ascii="宋体" w:hAnsi="宋体" w:cs="宋体"/>
          <w:color w:val="auto"/>
          <w:sz w:val="24"/>
          <w:highlight w:val="none"/>
          <w:lang w:eastAsia="zh-CN"/>
        </w:rPr>
        <w:t>中华</w:t>
      </w:r>
      <w:r>
        <w:rPr>
          <w:rFonts w:hint="eastAsia" w:ascii="宋体" w:hAnsi="宋体" w:eastAsia="宋体" w:cs="宋体"/>
          <w:color w:val="auto"/>
          <w:sz w:val="24"/>
          <w:highlight w:val="none"/>
        </w:rPr>
        <w:t>人民共和国政府采购法》等法律、法规、规章及宝鸡市有关规定。</w:t>
      </w:r>
    </w:p>
    <w:p w14:paraId="3BB8BE50">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二、我方郑重声明，在参加本次政府采购活动前三年内，无因违法经营受到刑事处罚或者责令停产停业、吊销许可证或者执照、较大数额罚款等重大违法记录。</w:t>
      </w:r>
    </w:p>
    <w:p w14:paraId="3CABDAC4">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我方同时声明，在参加本次政府采购活动前，未被列入失信被执行人、</w:t>
      </w:r>
      <w:r>
        <w:rPr>
          <w:rFonts w:hint="eastAsia" w:ascii="宋体" w:hAnsi="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07809D17">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我方对以上声明的真实性负责，接受采购人、采购代理机构根据相关政策规定进行的信用记录查询。如发现以上声明不实，我方承担相应后果。</w:t>
      </w:r>
    </w:p>
    <w:p w14:paraId="5B377175">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三、我方郑重承诺,在参加本次政府采购活动中：</w:t>
      </w:r>
    </w:p>
    <w:p w14:paraId="249E3B7E">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(1)不向采购人、采购代理机构和评审专家提供任何形式的商业贿赂或者提供其他不正当利益。对索取或接受商业贿赂的单位和个人，及时向财政部门和监察机关举报；</w:t>
      </w:r>
    </w:p>
    <w:p w14:paraId="6C5BC4E3">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(2)不与其它供应商串通采取围标、陪标等商业欺诈手段谋取中标(成交)；</w:t>
      </w:r>
    </w:p>
    <w:p w14:paraId="4C07E461">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(3)不出借或借用资质；</w:t>
      </w:r>
    </w:p>
    <w:p w14:paraId="305F144A">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(4)不与采购人、采购代理机构、评审专家恶意串通；</w:t>
      </w:r>
    </w:p>
    <w:p w14:paraId="40CB4375">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(5)不采取不正当手段诋毁、排挤其他供应商；</w:t>
      </w:r>
    </w:p>
    <w:p w14:paraId="3821992A">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(6)不以虚假材料谋取中标(成交)；</w:t>
      </w:r>
    </w:p>
    <w:p w14:paraId="714B3EE1">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(7)不以低于成本价或恶意低价竞争；</w:t>
      </w:r>
    </w:p>
    <w:p w14:paraId="28C995DA">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(8)不与采购人在招标采购过程中进行协商谈判；</w:t>
      </w:r>
    </w:p>
    <w:p w14:paraId="6E155F1C">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(9)中标或者成交后不得提供假冒伪劣产品；</w:t>
      </w:r>
    </w:p>
    <w:p w14:paraId="624BC4A8">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(10)中标或者成交后非因不可抗力不得变更投标(响应)文件中承诺的项目管理实施人员；</w:t>
      </w:r>
    </w:p>
    <w:p w14:paraId="7D5E14D2">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(11)中标或者成交后无正当理由不得拒不与采购人签订政府采购合同；</w:t>
      </w:r>
    </w:p>
    <w:p w14:paraId="7F58DB82">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(12)不得有未按照采购文件确定的事项与采购人签订政府采购合同，或者与采购人另行订立背离合同实质性内容协议的行为；</w:t>
      </w:r>
    </w:p>
    <w:p w14:paraId="03E828F7">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(13)不转包或违法分包政府采购合同，不擅自变更、中止或者终止政府采购合同；</w:t>
      </w:r>
    </w:p>
    <w:p w14:paraId="15017B10">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(14)不捏造事实、提供虚假材料或者以非法手段取得证明材料进行质疑、投诉；</w:t>
      </w:r>
    </w:p>
    <w:p w14:paraId="4E681B86">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(15)不得有拒绝有关部门监督检查或者提供虚假情况的行为；</w:t>
      </w:r>
    </w:p>
    <w:p w14:paraId="5199A0D4">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(16)不得有其他违反国家法律法规和规章要求的违法犯罪或者失信行为。</w:t>
      </w:r>
    </w:p>
    <w:p w14:paraId="78637CEA">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四、如有违反以上声明或者承诺之一情形的，我方知悉并接受采购人、采购代理机构和政府采购监督管理部门等政府职能部门将采取以下一种或几种方式追究我方责任：</w:t>
      </w:r>
    </w:p>
    <w:p w14:paraId="133FBD1D">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1、投标(响应)无效；</w:t>
      </w:r>
    </w:p>
    <w:p w14:paraId="0EE1FC8D">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2、不予退还投标保证金或者履约保证金；</w:t>
      </w:r>
    </w:p>
    <w:p w14:paraId="548B67A9">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3、约谈法人代表或者主要负责人，责令整改；</w:t>
      </w:r>
    </w:p>
    <w:p w14:paraId="7A926B34">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4、中标(成交)无效；</w:t>
      </w:r>
    </w:p>
    <w:p w14:paraId="1A0141E4">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5、处以采购金额千分之五以上千分之十以下的罚款，列入不良行为记录名单，在一至三年内禁止参加政府采购活动；</w:t>
      </w:r>
    </w:p>
    <w:p w14:paraId="6C89D913">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6、没收违法得所得；</w:t>
      </w:r>
    </w:p>
    <w:p w14:paraId="27195F3A">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7、吊销营业执照；</w:t>
      </w:r>
    </w:p>
    <w:p w14:paraId="29A8EF02">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8、政府相关部门的联合惩戒措施；</w:t>
      </w:r>
    </w:p>
    <w:p w14:paraId="5E51C302">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9、追究民事责任；</w:t>
      </w:r>
    </w:p>
    <w:p w14:paraId="433FFA65">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10、追究刑事责任；</w:t>
      </w:r>
    </w:p>
    <w:p w14:paraId="104AE27B">
      <w:pPr>
        <w:spacing w:line="560" w:lineRule="exact"/>
        <w:ind w:firstLine="50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11、法律法规规定的其他处理处罚措施。</w:t>
      </w:r>
    </w:p>
    <w:p w14:paraId="66CCA025">
      <w:pPr>
        <w:spacing w:line="220" w:lineRule="atLeast"/>
        <w:ind w:left="440" w:leftChars="200"/>
        <w:rPr>
          <w:rFonts w:hint="eastAsia" w:ascii="宋体" w:hAnsi="宋体" w:eastAsia="宋体" w:cs="宋体"/>
          <w:color w:val="auto"/>
          <w:sz w:val="24"/>
          <w:szCs w:val="24"/>
          <w:highlight w:val="none"/>
        </w:rPr>
      </w:pPr>
    </w:p>
    <w:p w14:paraId="4489F4A3">
      <w:pPr>
        <w:spacing w:line="220" w:lineRule="atLeast"/>
        <w:ind w:left="440" w:leftChars="200"/>
        <w:rPr>
          <w:rFonts w:hint="eastAsia" w:ascii="宋体" w:hAnsi="宋体" w:eastAsia="宋体" w:cs="宋体"/>
          <w:color w:val="auto"/>
          <w:sz w:val="24"/>
          <w:szCs w:val="24"/>
          <w:highlight w:val="none"/>
        </w:rPr>
      </w:pPr>
    </w:p>
    <w:p w14:paraId="2DB9369D">
      <w:pPr>
        <w:spacing w:line="220" w:lineRule="atLeast"/>
        <w:rPr>
          <w:rFonts w:hint="eastAsia" w:ascii="宋体" w:hAnsi="宋体" w:eastAsia="宋体" w:cs="宋体"/>
          <w:color w:val="auto"/>
          <w:sz w:val="24"/>
          <w:szCs w:val="24"/>
          <w:highlight w:val="none"/>
        </w:rPr>
      </w:pPr>
    </w:p>
    <w:p w14:paraId="276B863E">
      <w:pPr>
        <w:spacing w:line="760" w:lineRule="exact"/>
        <w:ind w:firstLine="25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u w:val="single"/>
        </w:rPr>
        <w:t xml:space="preserve">                             </w:t>
      </w:r>
    </w:p>
    <w:p w14:paraId="1CDE93BC">
      <w:pPr>
        <w:spacing w:line="760" w:lineRule="exact"/>
        <w:ind w:firstLine="25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法定代表人或主要负责人签字</w:t>
      </w:r>
      <w:r>
        <w:rPr>
          <w:rFonts w:hint="eastAsia" w:ascii="宋体" w:hAnsi="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5A21EB4">
      <w:pPr>
        <w:spacing w:line="760" w:lineRule="exact"/>
        <w:ind w:firstLine="25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法定代表人或主要负责人身份证复印件：</w:t>
      </w:r>
      <w:r>
        <w:rPr>
          <w:rFonts w:hint="eastAsia" w:ascii="宋体" w:hAnsi="宋体" w:eastAsia="宋体" w:cs="宋体"/>
          <w:color w:val="auto"/>
          <w:sz w:val="24"/>
          <w:szCs w:val="24"/>
          <w:highlight w:val="none"/>
          <w:u w:val="single"/>
        </w:rPr>
        <w:t xml:space="preserve">             </w:t>
      </w:r>
    </w:p>
    <w:p w14:paraId="3093E27B">
      <w:pPr>
        <w:spacing w:line="760" w:lineRule="exact"/>
        <w:ind w:firstLine="25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法定代表人或主要负责人联系电话：</w:t>
      </w:r>
      <w:r>
        <w:rPr>
          <w:rFonts w:hint="eastAsia" w:ascii="宋体" w:hAnsi="宋体" w:eastAsia="宋体" w:cs="宋体"/>
          <w:color w:val="auto"/>
          <w:sz w:val="24"/>
          <w:szCs w:val="24"/>
          <w:highlight w:val="none"/>
          <w:u w:val="single"/>
        </w:rPr>
        <w:t xml:space="preserve">                 </w:t>
      </w:r>
    </w:p>
    <w:p w14:paraId="10BA82B2">
      <w:pPr>
        <w:spacing w:line="760" w:lineRule="exact"/>
        <w:ind w:firstLine="25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法定代表人或主要负责人传真：</w:t>
      </w:r>
      <w:r>
        <w:rPr>
          <w:rFonts w:hint="eastAsia" w:ascii="宋体" w:hAnsi="宋体" w:eastAsia="宋体" w:cs="宋体"/>
          <w:color w:val="auto"/>
          <w:sz w:val="24"/>
          <w:szCs w:val="24"/>
          <w:highlight w:val="none"/>
          <w:u w:val="single"/>
        </w:rPr>
        <w:t xml:space="preserve">                     </w:t>
      </w:r>
    </w:p>
    <w:p w14:paraId="75D71427">
      <w:pPr>
        <w:spacing w:line="220" w:lineRule="atLeast"/>
        <w:rPr>
          <w:rFonts w:hint="eastAsia" w:ascii="宋体" w:hAnsi="宋体" w:eastAsia="宋体" w:cs="宋体"/>
          <w:color w:val="auto"/>
          <w:sz w:val="24"/>
          <w:szCs w:val="24"/>
          <w:highlight w:val="none"/>
        </w:rPr>
      </w:pPr>
    </w:p>
    <w:p w14:paraId="2246247E">
      <w:pPr>
        <w:spacing w:line="220" w:lineRule="atLeast"/>
        <w:ind w:left="440" w:leftChars="200"/>
        <w:rPr>
          <w:rFonts w:hint="eastAsia" w:ascii="宋体" w:hAnsi="宋体" w:eastAsia="宋体" w:cs="宋体"/>
          <w:color w:val="auto"/>
          <w:sz w:val="24"/>
          <w:szCs w:val="24"/>
          <w:highlight w:val="none"/>
        </w:rPr>
      </w:pPr>
    </w:p>
    <w:p w14:paraId="0B5F6CE4">
      <w:pPr>
        <w:spacing w:line="48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02B0F3">
      <w:pPr>
        <w:spacing w:line="480" w:lineRule="exact"/>
        <w:jc w:val="center"/>
        <w:outlineLvl w:val="1"/>
        <w:rPr>
          <w:rFonts w:hint="eastAsia" w:ascii="宋体" w:hAnsi="宋体" w:eastAsia="宋体" w:cs="宋体"/>
          <w:b/>
          <w:color w:val="auto"/>
          <w:sz w:val="32"/>
          <w:szCs w:val="32"/>
          <w:highlight w:val="none"/>
        </w:rPr>
      </w:pPr>
    </w:p>
    <w:p w14:paraId="67F20F6C">
      <w:pPr>
        <w:spacing w:line="480" w:lineRule="exact"/>
        <w:jc w:val="center"/>
        <w:outlineLvl w:val="1"/>
        <w:rPr>
          <w:rFonts w:hint="eastAsia" w:ascii="宋体" w:hAnsi="宋体" w:eastAsia="宋体" w:cs="宋体"/>
          <w:b/>
          <w:color w:val="auto"/>
          <w:sz w:val="32"/>
          <w:szCs w:val="32"/>
          <w:highlight w:val="none"/>
        </w:rPr>
      </w:pPr>
    </w:p>
    <w:p w14:paraId="44275B96">
      <w:pPr>
        <w:spacing w:line="480" w:lineRule="exact"/>
        <w:jc w:val="center"/>
        <w:outlineLvl w:val="1"/>
        <w:rPr>
          <w:rFonts w:hint="eastAsia" w:ascii="宋体" w:hAnsi="宋体" w:eastAsia="宋体" w:cs="宋体"/>
          <w:b/>
          <w:color w:val="auto"/>
          <w:sz w:val="32"/>
          <w:szCs w:val="32"/>
          <w:highlight w:val="none"/>
        </w:rPr>
      </w:pPr>
    </w:p>
    <w:p w14:paraId="0CF9D0B7">
      <w:pPr>
        <w:pStyle w:val="6"/>
        <w:ind w:firstLine="664"/>
        <w:rPr>
          <w:rFonts w:hint="eastAsia" w:ascii="宋体" w:hAnsi="宋体" w:eastAsia="宋体" w:cs="宋体"/>
          <w:b/>
          <w:color w:val="auto"/>
          <w:sz w:val="32"/>
          <w:szCs w:val="32"/>
          <w:highlight w:val="none"/>
        </w:rPr>
      </w:pPr>
    </w:p>
    <w:p w14:paraId="1170DC2B">
      <w:pPr>
        <w:pStyle w:val="6"/>
        <w:ind w:firstLine="664"/>
        <w:rPr>
          <w:rFonts w:hint="eastAsia" w:ascii="宋体" w:hAnsi="宋体" w:eastAsia="宋体" w:cs="宋体"/>
          <w:b/>
          <w:color w:val="auto"/>
          <w:sz w:val="32"/>
          <w:szCs w:val="32"/>
          <w:highlight w:val="none"/>
        </w:rPr>
      </w:pPr>
    </w:p>
    <w:p w14:paraId="002C4AAA">
      <w:pPr>
        <w:pStyle w:val="6"/>
        <w:ind w:firstLine="664"/>
        <w:rPr>
          <w:rFonts w:hint="eastAsia" w:ascii="宋体" w:hAnsi="宋体" w:eastAsia="宋体" w:cs="宋体"/>
          <w:b/>
          <w:color w:val="auto"/>
          <w:sz w:val="32"/>
          <w:szCs w:val="32"/>
          <w:highlight w:val="none"/>
        </w:rPr>
      </w:pPr>
    </w:p>
    <w:p w14:paraId="4A43D95E">
      <w:pPr>
        <w:spacing w:before="195" w:beforeLines="50" w:after="195" w:afterLines="50" w:line="220" w:lineRule="atLeast"/>
        <w:jc w:val="center"/>
        <w:outlineLvl w:val="1"/>
        <w:rPr>
          <w:rFonts w:hint="eastAsia" w:ascii="宋体" w:hAnsi="宋体" w:eastAsia="宋体" w:cs="宋体"/>
          <w:b/>
          <w:bCs/>
          <w:color w:val="auto"/>
          <w:sz w:val="32"/>
          <w:szCs w:val="32"/>
          <w:highlight w:val="none"/>
        </w:rPr>
      </w:pPr>
      <w:bookmarkStart w:id="71" w:name="_Toc29527"/>
      <w:bookmarkStart w:id="72" w:name="_Toc8342"/>
      <w:bookmarkStart w:id="73" w:name="_Toc22019"/>
      <w:bookmarkStart w:id="74" w:name="_Toc20694_WPSOffice_Level1"/>
      <w:r>
        <w:rPr>
          <w:rFonts w:hint="eastAsia" w:ascii="宋体" w:hAnsi="宋体" w:cs="宋体"/>
          <w:b/>
          <w:color w:val="auto"/>
          <w:sz w:val="32"/>
          <w:szCs w:val="32"/>
          <w:highlight w:val="none"/>
          <w:lang w:val="en-US" w:eastAsia="zh-CN"/>
        </w:rPr>
        <w:t>十</w:t>
      </w: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拒绝政府采购领域商业贿赂承诺书</w:t>
      </w:r>
      <w:bookmarkEnd w:id="71"/>
      <w:bookmarkEnd w:id="72"/>
      <w:bookmarkEnd w:id="73"/>
    </w:p>
    <w:p w14:paraId="59AE9480">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为响应党中央、国务院关于治理政府采购领域商业贿赂行为的号召，我单位在此庄严承诺：</w:t>
      </w:r>
    </w:p>
    <w:p w14:paraId="00710222">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1、在参与政府采购活动中遵纪守法、诚信经营、公平竞争。</w:t>
      </w:r>
    </w:p>
    <w:p w14:paraId="52B1D8C2">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2、不向采购人、采购代理机构和政府采购评审专家进行任何形式的商业贿赂以谋取交易机会。</w:t>
      </w:r>
    </w:p>
    <w:p w14:paraId="4EB721CB">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3、不向采购代理机构和采购人提供虚假资质文件或采用虚假应标方式参与政府采购市场竞争并谋取成交。</w:t>
      </w:r>
    </w:p>
    <w:p w14:paraId="2DE1BA8D">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4、不采取“围标、陪标”等商业欺诈手段获得政府采购定单。</w:t>
      </w:r>
    </w:p>
    <w:p w14:paraId="4506066A">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5、不采取不正当手段低毁、排挤其他供应商。</w:t>
      </w:r>
    </w:p>
    <w:p w14:paraId="0B03D50E">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6、不在提供商品和服务时“偷梁换柱、以次充好”损害采购人的合法权益。</w:t>
      </w:r>
    </w:p>
    <w:p w14:paraId="35D6D278">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7、不与采购人、采购代理机构政府采购评审专家或其它供应商恶意串通，进行质疑和投诉，维护政府采购市场秩序。</w:t>
      </w:r>
    </w:p>
    <w:p w14:paraId="534D99F0">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8、尊重和接受政府采购监督管理部门的监督和政府采购代理机构采购要求，承担因违约行为给采购人造成的损失。</w:t>
      </w:r>
    </w:p>
    <w:p w14:paraId="6CB6E312">
      <w:pPr>
        <w:spacing w:line="56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3E53CB6F">
      <w:pPr>
        <w:spacing w:line="560" w:lineRule="exact"/>
        <w:ind w:firstLine="500" w:firstLineChars="200"/>
        <w:rPr>
          <w:rFonts w:hint="eastAsia" w:ascii="宋体" w:hAnsi="宋体" w:eastAsia="宋体" w:cs="宋体"/>
          <w:color w:val="auto"/>
          <w:sz w:val="24"/>
          <w:szCs w:val="24"/>
          <w:highlight w:val="none"/>
        </w:rPr>
      </w:pPr>
    </w:p>
    <w:p w14:paraId="3DEDB455">
      <w:pPr>
        <w:spacing w:line="560" w:lineRule="exact"/>
        <w:ind w:firstLine="350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（单位盖章）</w:t>
      </w:r>
    </w:p>
    <w:p w14:paraId="1B7E4497">
      <w:pPr>
        <w:spacing w:line="560" w:lineRule="exact"/>
        <w:ind w:firstLine="350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7114E08">
      <w:pPr>
        <w:spacing w:line="560" w:lineRule="exact"/>
        <w:ind w:firstLine="350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68B1723">
      <w:pPr>
        <w:spacing w:line="560" w:lineRule="exact"/>
        <w:ind w:firstLine="350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494C6A6F">
      <w:pPr>
        <w:spacing w:line="560" w:lineRule="exact"/>
        <w:ind w:firstLine="3500" w:firstLineChars="14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电    话：</w:t>
      </w:r>
      <w:r>
        <w:rPr>
          <w:rFonts w:hint="eastAsia" w:ascii="宋体" w:hAnsi="宋体" w:eastAsia="宋体" w:cs="宋体"/>
          <w:i/>
          <w:iCs/>
          <w:color w:val="auto"/>
          <w:sz w:val="24"/>
          <w:szCs w:val="24"/>
          <w:highlight w:val="none"/>
          <w:u w:val="single"/>
        </w:rPr>
        <w:t xml:space="preserve">                      </w:t>
      </w:r>
    </w:p>
    <w:p w14:paraId="10998D27">
      <w:pPr>
        <w:spacing w:line="220" w:lineRule="atLeast"/>
        <w:ind w:firstLine="600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E99105">
      <w:pPr>
        <w:pStyle w:val="48"/>
        <w:rPr>
          <w:rFonts w:hint="eastAsia"/>
          <w:color w:val="auto"/>
        </w:rPr>
      </w:pPr>
    </w:p>
    <w:p w14:paraId="7F2092BF">
      <w:pPr>
        <w:spacing w:after="195" w:afterLines="50" w:line="480" w:lineRule="exact"/>
        <w:jc w:val="center"/>
        <w:outlineLvl w:val="1"/>
        <w:rPr>
          <w:rFonts w:hint="eastAsia" w:ascii="宋体" w:hAnsi="宋体" w:eastAsia="宋体" w:cs="宋体"/>
          <w:b/>
          <w:color w:val="auto"/>
          <w:sz w:val="32"/>
          <w:szCs w:val="32"/>
          <w:highlight w:val="none"/>
        </w:rPr>
      </w:pPr>
      <w:bookmarkStart w:id="75" w:name="_Toc14144"/>
      <w:bookmarkStart w:id="76" w:name="_Toc13331"/>
      <w:bookmarkStart w:id="77" w:name="_Toc31283"/>
      <w:r>
        <w:rPr>
          <w:rFonts w:hint="eastAsia" w:ascii="宋体" w:hAnsi="宋体" w:eastAsia="宋体" w:cs="宋体"/>
          <w:b/>
          <w:color w:val="auto"/>
          <w:sz w:val="32"/>
          <w:szCs w:val="32"/>
          <w:highlight w:val="none"/>
        </w:rPr>
        <w:t>十</w:t>
      </w:r>
      <w:r>
        <w:rPr>
          <w:rFonts w:hint="eastAsia" w:ascii="宋体" w:hAnsi="宋体" w:cs="宋体"/>
          <w:b/>
          <w:color w:val="auto"/>
          <w:sz w:val="32"/>
          <w:szCs w:val="32"/>
          <w:highlight w:val="none"/>
          <w:lang w:val="en-US" w:eastAsia="zh-CN"/>
        </w:rPr>
        <w:t>一</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实施</w:t>
      </w:r>
      <w:r>
        <w:rPr>
          <w:rFonts w:hint="eastAsia" w:ascii="宋体" w:hAnsi="宋体" w:eastAsia="宋体" w:cs="宋体"/>
          <w:b/>
          <w:color w:val="auto"/>
          <w:sz w:val="32"/>
          <w:szCs w:val="32"/>
          <w:highlight w:val="none"/>
        </w:rPr>
        <w:t>方案</w:t>
      </w:r>
      <w:bookmarkEnd w:id="74"/>
      <w:bookmarkEnd w:id="75"/>
      <w:r>
        <w:rPr>
          <w:rFonts w:hint="eastAsia" w:ascii="宋体" w:hAnsi="宋体" w:eastAsia="宋体" w:cs="宋体"/>
          <w:b/>
          <w:color w:val="auto"/>
          <w:sz w:val="32"/>
          <w:szCs w:val="32"/>
          <w:highlight w:val="none"/>
        </w:rPr>
        <w:t>说明</w:t>
      </w:r>
      <w:bookmarkEnd w:id="76"/>
      <w:bookmarkEnd w:id="77"/>
    </w:p>
    <w:p w14:paraId="03F07923">
      <w:pPr>
        <w:pStyle w:val="48"/>
        <w:rPr>
          <w:rFonts w:hint="eastAsia"/>
          <w:color w:val="auto"/>
        </w:rPr>
      </w:pPr>
    </w:p>
    <w:p w14:paraId="4E8CD671">
      <w:pPr>
        <w:pStyle w:val="29"/>
        <w:jc w:val="center"/>
        <w:rPr>
          <w:rFonts w:hint="eastAsia"/>
          <w:color w:val="auto"/>
          <w:lang w:eastAsia="zh-CN"/>
        </w:rPr>
      </w:pPr>
      <w:r>
        <w:rPr>
          <w:rFonts w:hint="eastAsia" w:cs="宋体"/>
          <w:b/>
          <w:bCs/>
          <w:color w:val="auto"/>
          <w:sz w:val="24"/>
          <w:szCs w:val="24"/>
          <w:highlight w:val="none"/>
          <w:lang w:val="en-US" w:eastAsia="zh-CN"/>
        </w:rPr>
        <w:t>供应商应根据评审方法中的评审因素评分细则对应做出详细阐述。</w:t>
      </w:r>
    </w:p>
    <w:p w14:paraId="274B3E07">
      <w:pPr>
        <w:spacing w:line="480" w:lineRule="auto"/>
        <w:ind w:firstLine="2610" w:firstLineChars="900"/>
        <w:rPr>
          <w:rFonts w:hint="eastAsia" w:ascii="宋体" w:hAnsi="宋体" w:eastAsia="宋体" w:cs="宋体"/>
          <w:b/>
          <w:bCs/>
          <w:color w:val="auto"/>
          <w:sz w:val="28"/>
          <w:szCs w:val="28"/>
          <w:highlight w:val="none"/>
        </w:rPr>
      </w:pPr>
    </w:p>
    <w:p w14:paraId="20ACF553">
      <w:pPr>
        <w:pStyle w:val="6"/>
        <w:ind w:firstLine="584"/>
        <w:rPr>
          <w:rFonts w:hint="eastAsia" w:ascii="宋体" w:hAnsi="宋体" w:eastAsia="宋体" w:cs="宋体"/>
          <w:b/>
          <w:bCs/>
          <w:color w:val="auto"/>
          <w:sz w:val="28"/>
          <w:szCs w:val="28"/>
          <w:highlight w:val="none"/>
        </w:rPr>
      </w:pPr>
    </w:p>
    <w:p w14:paraId="659E9192">
      <w:pPr>
        <w:pStyle w:val="6"/>
        <w:ind w:firstLine="584"/>
        <w:rPr>
          <w:rFonts w:hint="eastAsia" w:ascii="宋体" w:hAnsi="宋体" w:eastAsia="宋体" w:cs="宋体"/>
          <w:b/>
          <w:bCs/>
          <w:color w:val="auto"/>
          <w:sz w:val="28"/>
          <w:szCs w:val="28"/>
          <w:highlight w:val="none"/>
        </w:rPr>
      </w:pPr>
    </w:p>
    <w:p w14:paraId="4FD8EB71">
      <w:pPr>
        <w:spacing w:line="480" w:lineRule="auto"/>
        <w:jc w:val="center"/>
        <w:rPr>
          <w:rFonts w:hint="eastAsia" w:ascii="宋体" w:hAnsi="宋体" w:eastAsia="宋体" w:cs="宋体"/>
          <w:b/>
          <w:bCs/>
          <w:color w:val="auto"/>
          <w:sz w:val="28"/>
          <w:szCs w:val="28"/>
          <w:highlight w:val="none"/>
        </w:rPr>
      </w:pPr>
    </w:p>
    <w:p w14:paraId="05B70888">
      <w:pPr>
        <w:spacing w:line="480" w:lineRule="auto"/>
        <w:jc w:val="center"/>
        <w:rPr>
          <w:rFonts w:hint="eastAsia" w:ascii="宋体" w:hAnsi="宋体" w:eastAsia="宋体" w:cs="宋体"/>
          <w:b/>
          <w:bCs/>
          <w:color w:val="auto"/>
          <w:sz w:val="28"/>
          <w:szCs w:val="28"/>
          <w:highlight w:val="none"/>
        </w:rPr>
      </w:pPr>
    </w:p>
    <w:p w14:paraId="74DCF5DB">
      <w:pPr>
        <w:spacing w:line="480" w:lineRule="auto"/>
        <w:jc w:val="center"/>
        <w:rPr>
          <w:rFonts w:hint="eastAsia" w:ascii="宋体" w:hAnsi="宋体" w:eastAsia="宋体" w:cs="宋体"/>
          <w:b/>
          <w:bCs/>
          <w:color w:val="auto"/>
          <w:sz w:val="28"/>
          <w:szCs w:val="28"/>
          <w:highlight w:val="none"/>
        </w:rPr>
      </w:pPr>
    </w:p>
    <w:p w14:paraId="74F20E08">
      <w:pPr>
        <w:spacing w:line="480" w:lineRule="auto"/>
        <w:jc w:val="center"/>
        <w:rPr>
          <w:rFonts w:hint="eastAsia" w:ascii="宋体" w:hAnsi="宋体" w:eastAsia="宋体" w:cs="宋体"/>
          <w:b/>
          <w:bCs/>
          <w:color w:val="auto"/>
          <w:sz w:val="28"/>
          <w:szCs w:val="28"/>
          <w:highlight w:val="none"/>
        </w:rPr>
      </w:pPr>
    </w:p>
    <w:p w14:paraId="4E707BC2">
      <w:pPr>
        <w:spacing w:line="480" w:lineRule="auto"/>
        <w:jc w:val="center"/>
        <w:rPr>
          <w:rFonts w:hint="eastAsia" w:ascii="宋体" w:hAnsi="宋体" w:eastAsia="宋体" w:cs="宋体"/>
          <w:b/>
          <w:bCs/>
          <w:color w:val="auto"/>
          <w:sz w:val="28"/>
          <w:szCs w:val="28"/>
          <w:highlight w:val="none"/>
        </w:rPr>
      </w:pPr>
    </w:p>
    <w:p w14:paraId="33F19BC6">
      <w:pPr>
        <w:spacing w:line="480" w:lineRule="auto"/>
        <w:jc w:val="center"/>
        <w:rPr>
          <w:rFonts w:hint="eastAsia" w:ascii="宋体" w:hAnsi="宋体" w:eastAsia="宋体" w:cs="宋体"/>
          <w:b/>
          <w:bCs/>
          <w:color w:val="auto"/>
          <w:sz w:val="28"/>
          <w:szCs w:val="28"/>
          <w:highlight w:val="none"/>
        </w:rPr>
      </w:pPr>
    </w:p>
    <w:p w14:paraId="67BFCBB9">
      <w:pPr>
        <w:spacing w:line="360" w:lineRule="auto"/>
        <w:ind w:right="565" w:rightChars="257" w:firstLine="3500" w:firstLineChars="1400"/>
        <w:rPr>
          <w:rFonts w:hint="eastAsia" w:ascii="宋体" w:hAnsi="宋体" w:eastAsia="宋体" w:cs="宋体"/>
          <w:color w:val="auto"/>
          <w:sz w:val="24"/>
          <w:szCs w:val="24"/>
          <w:highlight w:val="none"/>
        </w:rPr>
      </w:pPr>
    </w:p>
    <w:p w14:paraId="7FF614FC">
      <w:pPr>
        <w:spacing w:line="480" w:lineRule="auto"/>
        <w:jc w:val="center"/>
        <w:rPr>
          <w:rFonts w:hint="eastAsia" w:ascii="宋体" w:hAnsi="宋体" w:eastAsia="宋体" w:cs="宋体"/>
          <w:b/>
          <w:bCs/>
          <w:color w:val="auto"/>
          <w:sz w:val="28"/>
          <w:szCs w:val="28"/>
          <w:highlight w:val="none"/>
        </w:rPr>
      </w:pPr>
    </w:p>
    <w:p w14:paraId="5179430B">
      <w:pPr>
        <w:pStyle w:val="6"/>
        <w:ind w:firstLine="584"/>
        <w:rPr>
          <w:rFonts w:hint="eastAsia" w:ascii="宋体" w:hAnsi="宋体" w:eastAsia="宋体" w:cs="宋体"/>
          <w:b/>
          <w:bCs/>
          <w:color w:val="auto"/>
          <w:sz w:val="28"/>
          <w:szCs w:val="28"/>
          <w:highlight w:val="none"/>
        </w:rPr>
      </w:pPr>
    </w:p>
    <w:p w14:paraId="4C520424">
      <w:pPr>
        <w:pStyle w:val="6"/>
        <w:ind w:firstLine="584"/>
        <w:rPr>
          <w:rFonts w:hint="eastAsia" w:ascii="宋体" w:hAnsi="宋体" w:eastAsia="宋体" w:cs="宋体"/>
          <w:b/>
          <w:bCs/>
          <w:color w:val="auto"/>
          <w:sz w:val="28"/>
          <w:szCs w:val="28"/>
          <w:highlight w:val="none"/>
        </w:rPr>
      </w:pPr>
    </w:p>
    <w:p w14:paraId="1D73BF9F">
      <w:pPr>
        <w:pStyle w:val="6"/>
        <w:ind w:left="0" w:leftChars="0" w:firstLine="0" w:firstLineChars="0"/>
        <w:rPr>
          <w:rFonts w:hint="eastAsia" w:ascii="宋体" w:hAnsi="宋体" w:eastAsia="宋体" w:cs="宋体"/>
          <w:b/>
          <w:bCs/>
          <w:color w:val="auto"/>
          <w:sz w:val="28"/>
          <w:szCs w:val="28"/>
          <w:highlight w:val="none"/>
        </w:rPr>
      </w:pPr>
    </w:p>
    <w:p w14:paraId="0406E562">
      <w:pPr>
        <w:rPr>
          <w:rFonts w:hint="eastAsia" w:ascii="宋体" w:hAnsi="宋体" w:eastAsia="宋体" w:cs="宋体"/>
          <w:b/>
          <w:color w:val="auto"/>
          <w:sz w:val="32"/>
          <w:szCs w:val="32"/>
          <w:highlight w:val="none"/>
        </w:rPr>
      </w:pPr>
      <w:bookmarkStart w:id="78" w:name="_Toc24300_WPSOffice_Level1"/>
      <w:bookmarkStart w:id="79" w:name="_Toc21116"/>
      <w:bookmarkStart w:id="80" w:name="_Toc5751"/>
      <w:bookmarkStart w:id="81" w:name="_Toc7710"/>
      <w:r>
        <w:rPr>
          <w:rFonts w:hint="eastAsia" w:ascii="宋体" w:hAnsi="宋体" w:eastAsia="宋体" w:cs="宋体"/>
          <w:b/>
          <w:color w:val="auto"/>
          <w:sz w:val="32"/>
          <w:szCs w:val="32"/>
          <w:highlight w:val="none"/>
        </w:rPr>
        <w:br w:type="page"/>
      </w:r>
    </w:p>
    <w:p w14:paraId="3F58456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十</w:t>
      </w:r>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rPr>
        <w:t>、</w:t>
      </w:r>
      <w:bookmarkEnd w:id="78"/>
      <w:r>
        <w:rPr>
          <w:rFonts w:hint="eastAsia" w:ascii="宋体" w:hAnsi="宋体" w:eastAsia="宋体" w:cs="宋体"/>
          <w:b/>
          <w:color w:val="auto"/>
          <w:sz w:val="32"/>
          <w:szCs w:val="32"/>
          <w:highlight w:val="none"/>
        </w:rPr>
        <w:t>售后服务方案</w:t>
      </w:r>
      <w:bookmarkEnd w:id="79"/>
    </w:p>
    <w:p w14:paraId="5A6BC636">
      <w:pPr>
        <w:rPr>
          <w:rFonts w:hint="eastAsia" w:ascii="宋体" w:hAnsi="宋体" w:eastAsia="宋体" w:cs="宋体"/>
          <w:color w:val="auto"/>
          <w:sz w:val="28"/>
          <w:szCs w:val="28"/>
          <w:highlight w:val="none"/>
        </w:rPr>
      </w:pPr>
    </w:p>
    <w:p w14:paraId="3C69F25F">
      <w:pPr>
        <w:pStyle w:val="29"/>
        <w:jc w:val="center"/>
        <w:rPr>
          <w:rFonts w:hint="eastAsia"/>
          <w:color w:val="auto"/>
          <w:lang w:eastAsia="zh-CN"/>
        </w:rPr>
      </w:pPr>
      <w:bookmarkStart w:id="82" w:name="_Toc2628"/>
      <w:r>
        <w:rPr>
          <w:rFonts w:hint="eastAsia" w:cs="宋体"/>
          <w:b/>
          <w:bCs/>
          <w:color w:val="auto"/>
          <w:sz w:val="24"/>
          <w:szCs w:val="24"/>
          <w:highlight w:val="none"/>
          <w:lang w:val="en-US" w:eastAsia="zh-CN"/>
        </w:rPr>
        <w:t>供应商应根据评审方法中的评审因素评分细则对应做出详细阐述。</w:t>
      </w:r>
    </w:p>
    <w:p w14:paraId="2E083F49">
      <w:pP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br w:type="page"/>
      </w:r>
    </w:p>
    <w:p w14:paraId="55F9DC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1"/>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十</w:t>
      </w:r>
      <w:r>
        <w:rPr>
          <w:rFonts w:hint="eastAsia" w:ascii="宋体" w:hAnsi="宋体" w:cs="宋体"/>
          <w:b/>
          <w:color w:val="auto"/>
          <w:sz w:val="32"/>
          <w:szCs w:val="32"/>
          <w:highlight w:val="none"/>
          <w:lang w:val="en-US" w:eastAsia="zh-CN"/>
        </w:rPr>
        <w:t>三</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其他资料</w:t>
      </w:r>
      <w:bookmarkEnd w:id="80"/>
      <w:bookmarkEnd w:id="81"/>
      <w:bookmarkEnd w:id="82"/>
    </w:p>
    <w:p w14:paraId="5123FC71">
      <w:pPr>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（供应商认为需要补充的其他资料）</w:t>
      </w:r>
    </w:p>
    <w:p w14:paraId="70DA64EA">
      <w:pPr>
        <w:spacing w:line="560" w:lineRule="exact"/>
        <w:rPr>
          <w:rFonts w:hint="eastAsia" w:ascii="宋体" w:hAnsi="宋体" w:eastAsia="宋体" w:cs="宋体"/>
          <w:color w:val="auto"/>
          <w:sz w:val="24"/>
          <w:highlight w:val="none"/>
        </w:rPr>
      </w:pPr>
    </w:p>
    <w:p w14:paraId="02441BB4">
      <w:pPr>
        <w:spacing w:line="560" w:lineRule="exact"/>
        <w:rPr>
          <w:rFonts w:hint="eastAsia" w:ascii="宋体" w:hAnsi="宋体" w:eastAsia="宋体" w:cs="宋体"/>
          <w:color w:val="auto"/>
          <w:sz w:val="24"/>
          <w:highlight w:val="none"/>
        </w:rPr>
      </w:pPr>
    </w:p>
    <w:p w14:paraId="458D39D5">
      <w:pPr>
        <w:spacing w:line="560" w:lineRule="exact"/>
        <w:rPr>
          <w:rFonts w:hint="eastAsia" w:ascii="宋体" w:hAnsi="宋体" w:eastAsia="宋体" w:cs="宋体"/>
          <w:color w:val="auto"/>
          <w:sz w:val="24"/>
          <w:highlight w:val="none"/>
        </w:rPr>
      </w:pPr>
    </w:p>
    <w:p w14:paraId="2D8FBB67">
      <w:pPr>
        <w:spacing w:line="560" w:lineRule="exact"/>
        <w:rPr>
          <w:rFonts w:hint="eastAsia" w:ascii="宋体" w:hAnsi="宋体" w:eastAsia="宋体" w:cs="宋体"/>
          <w:color w:val="auto"/>
          <w:sz w:val="24"/>
          <w:highlight w:val="none"/>
        </w:rPr>
      </w:pPr>
    </w:p>
    <w:p w14:paraId="32C1FA30">
      <w:pPr>
        <w:spacing w:line="560" w:lineRule="exact"/>
        <w:rPr>
          <w:rFonts w:hint="eastAsia" w:ascii="宋体" w:hAnsi="宋体" w:eastAsia="宋体" w:cs="宋体"/>
          <w:color w:val="auto"/>
          <w:sz w:val="24"/>
          <w:highlight w:val="none"/>
        </w:rPr>
      </w:pPr>
    </w:p>
    <w:p w14:paraId="5C74C265">
      <w:pPr>
        <w:spacing w:line="360" w:lineRule="auto"/>
        <w:rPr>
          <w:rFonts w:hint="eastAsia" w:ascii="宋体" w:hAnsi="宋体" w:eastAsia="宋体" w:cs="宋体"/>
          <w:color w:val="auto"/>
          <w:sz w:val="24"/>
          <w:szCs w:val="24"/>
          <w:highlight w:val="none"/>
        </w:rPr>
      </w:pPr>
    </w:p>
    <w:p w14:paraId="3A285D8B">
      <w:pPr>
        <w:rPr>
          <w:rFonts w:hint="eastAsia" w:ascii="宋体" w:hAnsi="宋体" w:eastAsia="宋体" w:cs="宋体"/>
          <w:color w:val="auto"/>
          <w:sz w:val="28"/>
          <w:szCs w:val="28"/>
          <w:highlight w:val="none"/>
        </w:rPr>
      </w:pPr>
    </w:p>
    <w:p w14:paraId="4940FF13">
      <w:pPr>
        <w:rPr>
          <w:rFonts w:hint="eastAsia" w:ascii="宋体" w:hAnsi="宋体" w:eastAsia="宋体" w:cs="宋体"/>
          <w:color w:val="auto"/>
          <w:sz w:val="28"/>
          <w:szCs w:val="28"/>
          <w:highlight w:val="none"/>
        </w:rPr>
      </w:pPr>
    </w:p>
    <w:p w14:paraId="33EED14D">
      <w:pPr>
        <w:rPr>
          <w:rFonts w:hint="eastAsia" w:ascii="宋体" w:hAnsi="宋体" w:eastAsia="宋体" w:cs="宋体"/>
          <w:color w:val="auto"/>
          <w:sz w:val="28"/>
          <w:szCs w:val="28"/>
          <w:highlight w:val="none"/>
        </w:rPr>
      </w:pPr>
    </w:p>
    <w:p w14:paraId="5A6766B2">
      <w:pPr>
        <w:rPr>
          <w:rFonts w:hint="eastAsia" w:ascii="宋体" w:hAnsi="宋体" w:eastAsia="宋体" w:cs="宋体"/>
          <w:color w:val="auto"/>
          <w:sz w:val="28"/>
          <w:szCs w:val="28"/>
          <w:highlight w:val="none"/>
        </w:rPr>
      </w:pPr>
    </w:p>
    <w:p w14:paraId="47B6F1A8">
      <w:pPr>
        <w:rPr>
          <w:rFonts w:hint="eastAsia" w:ascii="宋体" w:hAnsi="宋体" w:eastAsia="宋体" w:cs="宋体"/>
          <w:color w:val="auto"/>
          <w:sz w:val="28"/>
          <w:szCs w:val="28"/>
          <w:highlight w:val="none"/>
        </w:rPr>
      </w:pPr>
    </w:p>
    <w:p w14:paraId="699A6D13">
      <w:pPr>
        <w:rPr>
          <w:rFonts w:hint="eastAsia" w:ascii="宋体" w:hAnsi="宋体" w:eastAsia="宋体" w:cs="宋体"/>
          <w:color w:val="auto"/>
          <w:sz w:val="28"/>
          <w:szCs w:val="28"/>
          <w:highlight w:val="none"/>
        </w:rPr>
      </w:pPr>
    </w:p>
    <w:p w14:paraId="3263B117">
      <w:pPr>
        <w:rPr>
          <w:rFonts w:hint="eastAsia" w:ascii="宋体" w:hAnsi="宋体" w:eastAsia="宋体" w:cs="宋体"/>
          <w:color w:val="auto"/>
          <w:sz w:val="28"/>
          <w:szCs w:val="28"/>
          <w:highlight w:val="none"/>
        </w:rPr>
      </w:pPr>
    </w:p>
    <w:p w14:paraId="50716025">
      <w:pPr>
        <w:rPr>
          <w:rFonts w:hint="eastAsia" w:ascii="宋体" w:hAnsi="宋体" w:eastAsia="宋体" w:cs="宋体"/>
          <w:color w:val="auto"/>
          <w:sz w:val="28"/>
          <w:szCs w:val="28"/>
          <w:highlight w:val="none"/>
        </w:rPr>
      </w:pPr>
    </w:p>
    <w:p w14:paraId="13BC1831">
      <w:pPr>
        <w:spacing w:line="360" w:lineRule="auto"/>
        <w:ind w:right="565" w:rightChars="257" w:firstLine="3500" w:firstLineChars="1400"/>
        <w:rPr>
          <w:rFonts w:hint="eastAsia" w:ascii="宋体" w:hAnsi="宋体" w:eastAsia="宋体" w:cs="宋体"/>
          <w:color w:val="auto"/>
          <w:sz w:val="24"/>
          <w:szCs w:val="24"/>
          <w:highlight w:val="none"/>
        </w:rPr>
      </w:pPr>
    </w:p>
    <w:p w14:paraId="0D717246">
      <w:pPr>
        <w:rPr>
          <w:rFonts w:hint="eastAsia" w:ascii="宋体" w:hAnsi="宋体" w:eastAsia="宋体" w:cs="宋体"/>
          <w:color w:val="auto"/>
          <w:sz w:val="28"/>
          <w:szCs w:val="28"/>
          <w:highlight w:val="none"/>
        </w:rPr>
      </w:pPr>
    </w:p>
    <w:p w14:paraId="49587312">
      <w:pPr>
        <w:rPr>
          <w:rFonts w:hint="eastAsia" w:ascii="宋体" w:hAnsi="宋体" w:eastAsia="宋体" w:cs="宋体"/>
          <w:color w:val="auto"/>
          <w:sz w:val="28"/>
          <w:szCs w:val="28"/>
          <w:highlight w:val="none"/>
        </w:rPr>
      </w:pPr>
    </w:p>
    <w:p w14:paraId="19E38CF1">
      <w:pPr>
        <w:rPr>
          <w:rFonts w:hint="eastAsia" w:ascii="宋体" w:hAnsi="宋体" w:eastAsia="宋体" w:cs="宋体"/>
          <w:color w:val="auto"/>
          <w:szCs w:val="21"/>
          <w:highlight w:val="none"/>
        </w:rPr>
      </w:pPr>
    </w:p>
    <w:p w14:paraId="72D66286">
      <w:pPr>
        <w:pStyle w:val="49"/>
        <w:rPr>
          <w:rFonts w:hint="eastAsia" w:ascii="宋体" w:hAnsi="宋体" w:eastAsia="宋体" w:cs="宋体"/>
          <w:color w:val="auto"/>
          <w:szCs w:val="21"/>
          <w:highlight w:val="none"/>
        </w:rPr>
      </w:pPr>
    </w:p>
    <w:p w14:paraId="455BA000">
      <w:pPr>
        <w:pStyle w:val="49"/>
        <w:rPr>
          <w:rFonts w:hint="eastAsia" w:ascii="宋体" w:hAnsi="宋体" w:eastAsia="宋体" w:cs="宋体"/>
          <w:color w:val="auto"/>
          <w:szCs w:val="21"/>
          <w:highlight w:val="none"/>
        </w:rPr>
      </w:pPr>
    </w:p>
    <w:p w14:paraId="320A9AB9">
      <w:pPr>
        <w:pStyle w:val="49"/>
        <w:ind w:left="0" w:leftChars="0" w:firstLine="0" w:firstLineChars="0"/>
        <w:rPr>
          <w:rFonts w:hint="eastAsia" w:ascii="宋体" w:hAnsi="宋体" w:eastAsia="宋体" w:cs="宋体"/>
          <w:color w:val="auto"/>
          <w:szCs w:val="21"/>
          <w:highlight w:val="none"/>
        </w:rPr>
      </w:pPr>
    </w:p>
    <w:bookmarkEnd w:id="28"/>
    <w:bookmarkEnd w:id="29"/>
    <w:p w14:paraId="6264040A">
      <w:pPr>
        <w:rPr>
          <w:rFonts w:hint="eastAsia" w:ascii="宋体" w:hAnsi="宋体"/>
          <w:b/>
          <w:bCs/>
          <w:sz w:val="24"/>
        </w:rPr>
      </w:pPr>
      <w:bookmarkStart w:id="83" w:name="_Toc21121"/>
      <w:bookmarkStart w:id="84" w:name="_Toc18734"/>
      <w:bookmarkStart w:id="85" w:name="_Toc32567"/>
      <w:r>
        <w:rPr>
          <w:rFonts w:hint="eastAsia" w:ascii="宋体" w:hAnsi="宋体"/>
          <w:b/>
          <w:bCs/>
          <w:sz w:val="24"/>
        </w:rPr>
        <w:br w:type="page"/>
      </w:r>
    </w:p>
    <w:p w14:paraId="1F9A5188">
      <w:pPr>
        <w:spacing w:line="520" w:lineRule="exact"/>
        <w:rPr>
          <w:rFonts w:hint="eastAsia" w:ascii="宋体" w:hAnsi="宋体" w:eastAsia="宋体"/>
          <w:b/>
          <w:bCs/>
          <w:sz w:val="24"/>
          <w:lang w:eastAsia="zh-CN"/>
        </w:rPr>
      </w:pPr>
      <w:r>
        <w:rPr>
          <w:rFonts w:hint="eastAsia" w:ascii="宋体" w:hAnsi="宋体"/>
          <w:b/>
          <w:bCs/>
          <w:sz w:val="24"/>
          <w:lang w:eastAsia="zh-CN"/>
        </w:rPr>
        <w:t>以下附件为格式部分，根据采购文件要求放置响应文件相应位置，无需重复提供。</w:t>
      </w:r>
    </w:p>
    <w:p w14:paraId="7FD4B36C">
      <w:pPr>
        <w:spacing w:line="520" w:lineRule="exact"/>
        <w:rPr>
          <w:rFonts w:hint="eastAsia" w:ascii="宋体" w:hAnsi="宋体"/>
          <w:b/>
          <w:bCs/>
          <w:szCs w:val="21"/>
        </w:rPr>
      </w:pPr>
      <w:r>
        <w:rPr>
          <w:rFonts w:hint="eastAsia" w:ascii="宋体" w:hAnsi="宋体"/>
          <w:b/>
          <w:bCs/>
          <w:sz w:val="24"/>
        </w:rPr>
        <w:t>附件1</w:t>
      </w:r>
      <w:r>
        <w:rPr>
          <w:rFonts w:hint="eastAsia" w:ascii="宋体" w:hAnsi="宋体"/>
          <w:b/>
          <w:bCs/>
          <w:szCs w:val="21"/>
        </w:rPr>
        <w:t>：</w:t>
      </w:r>
    </w:p>
    <w:p w14:paraId="7212D874">
      <w:pPr>
        <w:pStyle w:val="2"/>
        <w:rPr>
          <w:rFonts w:hint="eastAsia" w:ascii="宋体" w:hAnsi="宋体"/>
          <w:b/>
          <w:bCs/>
          <w:szCs w:val="21"/>
        </w:rPr>
      </w:pPr>
    </w:p>
    <w:p w14:paraId="6F216FA4">
      <w:pPr>
        <w:pStyle w:val="2"/>
        <w:jc w:val="center"/>
        <w:rPr>
          <w:rFonts w:hint="eastAsia" w:ascii="宋体" w:hAnsi="宋体"/>
          <w:b/>
          <w:bCs/>
          <w:sz w:val="28"/>
          <w:szCs w:val="36"/>
        </w:rPr>
      </w:pPr>
      <w:r>
        <w:rPr>
          <w:rFonts w:hint="eastAsia" w:ascii="宋体" w:hAnsi="宋体"/>
          <w:b/>
          <w:bCs/>
          <w:sz w:val="28"/>
          <w:szCs w:val="36"/>
          <w:lang w:val="en-US" w:eastAsia="zh-CN"/>
        </w:rPr>
        <w:t>中小企业声明函</w:t>
      </w:r>
    </w:p>
    <w:p w14:paraId="79F31B88">
      <w:pPr>
        <w:spacing w:line="360" w:lineRule="auto"/>
        <w:ind w:firstLine="750" w:firstLineChars="3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本公司郑重声明，根据《政府采购促进中小企业发展管理办法》（财库﹝2020﹞46 号）的规定，本公司参加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（单位名称） </w:t>
      </w:r>
      <w:r>
        <w:rPr>
          <w:rFonts w:hint="eastAsia" w:ascii="宋体" w:hAnsi="宋体" w:eastAsia="宋体" w:cs="宋体"/>
          <w:bCs/>
          <w:color w:val="000000" w:themeColor="text1"/>
          <w:sz w:val="24"/>
          <w:szCs w:val="24"/>
          <w:highlight w:val="none"/>
          <w14:textFill>
            <w14:solidFill>
              <w14:schemeClr w14:val="tx1"/>
            </w14:solidFill>
          </w14:textFill>
        </w:rPr>
        <w:t>的</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（项目名称） </w:t>
      </w:r>
      <w:r>
        <w:rPr>
          <w:rFonts w:hint="eastAsia" w:ascii="宋体" w:hAnsi="宋体" w:eastAsia="宋体" w:cs="宋体"/>
          <w:bCs/>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A84DE6B">
      <w:pPr>
        <w:spacing w:line="360" w:lineRule="auto"/>
        <w:ind w:firstLine="50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（标的名称） </w:t>
      </w:r>
      <w:r>
        <w:rPr>
          <w:rFonts w:hint="eastAsia" w:ascii="宋体" w:hAnsi="宋体" w:eastAsia="宋体" w:cs="宋体"/>
          <w:bCs/>
          <w:color w:val="000000" w:themeColor="text1"/>
          <w:sz w:val="24"/>
          <w:szCs w:val="24"/>
          <w:highlight w:val="none"/>
          <w14:textFill>
            <w14:solidFill>
              <w14:schemeClr w14:val="tx1"/>
            </w14:solidFill>
          </w14:textFill>
        </w:rPr>
        <w:t>，属于</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（采购文件中明确的所属行业）</w:t>
      </w:r>
      <w:r>
        <w:rPr>
          <w:rFonts w:hint="eastAsia" w:ascii="宋体" w:hAnsi="宋体" w:eastAsia="宋体" w:cs="宋体"/>
          <w:bCs/>
          <w:color w:val="000000" w:themeColor="text1"/>
          <w:sz w:val="24"/>
          <w:szCs w:val="24"/>
          <w:highlight w:val="none"/>
          <w14:textFill>
            <w14:solidFill>
              <w14:schemeClr w14:val="tx1"/>
            </w14:solidFill>
          </w14:textFill>
        </w:rPr>
        <w:t>行业 ；制造商为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（企业名称）</w:t>
      </w:r>
      <w:r>
        <w:rPr>
          <w:rFonts w:hint="eastAsia" w:ascii="宋体" w:hAnsi="宋体" w:eastAsia="宋体" w:cs="宋体"/>
          <w:bCs/>
          <w:color w:val="000000" w:themeColor="text1"/>
          <w:sz w:val="24"/>
          <w:szCs w:val="24"/>
          <w:highlight w:val="none"/>
          <w14:textFill>
            <w14:solidFill>
              <w14:schemeClr w14:val="tx1"/>
            </w14:solidFill>
          </w14:textFill>
        </w:rPr>
        <w:t xml:space="preserve"> ，从业人员</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人，营业收入为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万元，资产总额为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万元，属于</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（中型企业、小型企业、微型企业） </w:t>
      </w:r>
      <w:r>
        <w:rPr>
          <w:rFonts w:hint="eastAsia" w:ascii="宋体" w:hAnsi="宋体" w:eastAsia="宋体" w:cs="宋体"/>
          <w:bCs/>
          <w:color w:val="000000" w:themeColor="text1"/>
          <w:sz w:val="24"/>
          <w:szCs w:val="24"/>
          <w:highlight w:val="none"/>
          <w14:textFill>
            <w14:solidFill>
              <w14:schemeClr w14:val="tx1"/>
            </w14:solidFill>
          </w14:textFill>
        </w:rPr>
        <w:t>；</w:t>
      </w:r>
    </w:p>
    <w:p w14:paraId="3AAF2DB7">
      <w:pPr>
        <w:spacing w:line="360" w:lineRule="auto"/>
        <w:ind w:firstLine="50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（标的名称） </w:t>
      </w:r>
      <w:r>
        <w:rPr>
          <w:rFonts w:hint="eastAsia" w:ascii="宋体" w:hAnsi="宋体" w:eastAsia="宋体" w:cs="宋体"/>
          <w:bCs/>
          <w:color w:val="000000" w:themeColor="text1"/>
          <w:sz w:val="24"/>
          <w:szCs w:val="24"/>
          <w:highlight w:val="none"/>
          <w14:textFill>
            <w14:solidFill>
              <w14:schemeClr w14:val="tx1"/>
            </w14:solidFill>
          </w14:textFill>
        </w:rPr>
        <w:t>，属于</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（采购文件中明确的所属行业）</w:t>
      </w:r>
      <w:r>
        <w:rPr>
          <w:rFonts w:hint="eastAsia" w:ascii="宋体" w:hAnsi="宋体" w:eastAsia="宋体" w:cs="宋体"/>
          <w:bCs/>
          <w:color w:val="000000" w:themeColor="text1"/>
          <w:sz w:val="24"/>
          <w:szCs w:val="24"/>
          <w:highlight w:val="none"/>
          <w14:textFill>
            <w14:solidFill>
              <w14:schemeClr w14:val="tx1"/>
            </w14:solidFill>
          </w14:textFill>
        </w:rPr>
        <w:t>行业 ；制造商为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（企业名称） </w:t>
      </w:r>
      <w:r>
        <w:rPr>
          <w:rFonts w:hint="eastAsia" w:ascii="宋体" w:hAnsi="宋体" w:eastAsia="宋体" w:cs="宋体"/>
          <w:bCs/>
          <w:color w:val="000000" w:themeColor="text1"/>
          <w:sz w:val="24"/>
          <w:szCs w:val="24"/>
          <w:highlight w:val="none"/>
          <w14:textFill>
            <w14:solidFill>
              <w14:schemeClr w14:val="tx1"/>
            </w14:solidFill>
          </w14:textFill>
        </w:rPr>
        <w:t>，从业人员</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人，营业收入为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万元，资产总额为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万元，属于</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（中型企业、小型企业、微型企业） </w:t>
      </w:r>
      <w:r>
        <w:rPr>
          <w:rFonts w:hint="eastAsia" w:ascii="宋体" w:hAnsi="宋体" w:eastAsia="宋体" w:cs="宋体"/>
          <w:bCs/>
          <w:color w:val="000000" w:themeColor="text1"/>
          <w:sz w:val="24"/>
          <w:szCs w:val="24"/>
          <w:highlight w:val="none"/>
          <w14:textFill>
            <w14:solidFill>
              <w14:schemeClr w14:val="tx1"/>
            </w14:solidFill>
          </w14:textFill>
        </w:rPr>
        <w:t>；</w:t>
      </w:r>
    </w:p>
    <w:p w14:paraId="6E435D9B">
      <w:pPr>
        <w:spacing w:line="560" w:lineRule="exact"/>
        <w:ind w:firstLine="50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1CC29A83">
      <w:pPr>
        <w:spacing w:line="560" w:lineRule="exact"/>
        <w:ind w:firstLine="50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0747E84E">
      <w:pPr>
        <w:pStyle w:val="6"/>
        <w:ind w:firstLine="500"/>
        <w:rPr>
          <w:rFonts w:asciiTheme="minorEastAsia" w:hAnsiTheme="minorEastAsia" w:eastAsiaTheme="minorEastAsia" w:cstheme="minorEastAsia"/>
          <w:sz w:val="24"/>
          <w:szCs w:val="24"/>
        </w:rPr>
      </w:pPr>
    </w:p>
    <w:p w14:paraId="5AA8F7A6">
      <w:pPr>
        <w:spacing w:line="480" w:lineRule="auto"/>
        <w:ind w:firstLine="3750" w:firstLineChars="1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762AA707">
      <w:pPr>
        <w:spacing w:line="480" w:lineRule="auto"/>
        <w:ind w:firstLine="3750" w:firstLineChars="1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0BFC4A72">
      <w:pPr>
        <w:pStyle w:val="6"/>
        <w:ind w:firstLine="500"/>
        <w:rPr>
          <w:rFonts w:asciiTheme="minorEastAsia" w:hAnsiTheme="minorEastAsia" w:eastAsiaTheme="minorEastAsia" w:cstheme="minorEastAsia"/>
          <w:sz w:val="24"/>
          <w:szCs w:val="24"/>
        </w:rPr>
      </w:pPr>
    </w:p>
    <w:p w14:paraId="6CE36DFB">
      <w:pPr>
        <w:spacing w:line="3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注：从业人员、营业收入、资产总额填报上一年度数据，无上一年度数据的新成立企业可不填报。</w:t>
      </w:r>
    </w:p>
    <w:p w14:paraId="1DC743CC">
      <w:pPr>
        <w:rPr>
          <w:rFonts w:hint="eastAsia"/>
        </w:rPr>
      </w:pPr>
    </w:p>
    <w:p w14:paraId="19F3C828">
      <w:pPr>
        <w:pStyle w:val="2"/>
        <w:rPr>
          <w:rFonts w:hint="eastAsia"/>
        </w:rPr>
      </w:pPr>
    </w:p>
    <w:p w14:paraId="45F7063F">
      <w:pPr>
        <w:pStyle w:val="2"/>
        <w:rPr>
          <w:rFonts w:hint="eastAsia"/>
        </w:rPr>
      </w:pPr>
      <w:bookmarkStart w:id="115" w:name="_GoBack"/>
      <w:bookmarkEnd w:id="115"/>
    </w:p>
    <w:p w14:paraId="395A8C76">
      <w:pPr>
        <w:pageBreakBefore w:val="0"/>
        <w:wordWrap/>
        <w:overflowPunct/>
        <w:topLinePunct w:val="0"/>
        <w:bidi w:val="0"/>
        <w:spacing w:line="520" w:lineRule="exact"/>
        <w:outlineLvl w:val="9"/>
        <w:rPr>
          <w:rFonts w:ascii="宋体" w:hAnsi="宋体" w:cs="宋体"/>
          <w:color w:val="auto"/>
          <w:highlight w:val="none"/>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2</w:t>
      </w:r>
      <w:r>
        <w:rPr>
          <w:rFonts w:hint="eastAsia" w:ascii="宋体" w:hAnsi="宋体"/>
          <w:b/>
          <w:bCs/>
          <w:color w:val="auto"/>
          <w:szCs w:val="21"/>
          <w:highlight w:val="none"/>
        </w:rPr>
        <w:t>：</w:t>
      </w:r>
      <w:bookmarkEnd w:id="83"/>
      <w:bookmarkEnd w:id="84"/>
      <w:bookmarkEnd w:id="85"/>
    </w:p>
    <w:p w14:paraId="72133C13">
      <w:pPr>
        <w:keepNext/>
        <w:keepLines/>
        <w:pageBreakBefore w:val="0"/>
        <w:wordWrap/>
        <w:overflowPunct/>
        <w:topLinePunct w:val="0"/>
        <w:bidi w:val="0"/>
        <w:spacing w:line="700" w:lineRule="exact"/>
        <w:jc w:val="center"/>
        <w:outlineLvl w:val="9"/>
        <w:rPr>
          <w:rFonts w:ascii="宋体" w:hAnsi="宋体" w:cs="宋体"/>
          <w:b/>
          <w:color w:val="auto"/>
          <w:sz w:val="32"/>
          <w:szCs w:val="32"/>
          <w:highlight w:val="none"/>
        </w:rPr>
      </w:pPr>
      <w:bookmarkStart w:id="86" w:name="_Toc14044"/>
      <w:bookmarkStart w:id="87" w:name="_Toc14371"/>
      <w:bookmarkStart w:id="88" w:name="_Toc4655"/>
      <w:r>
        <w:rPr>
          <w:rFonts w:hint="eastAsia" w:ascii="宋体" w:hAnsi="宋体" w:cs="宋体"/>
          <w:b/>
          <w:color w:val="auto"/>
          <w:sz w:val="32"/>
          <w:szCs w:val="32"/>
          <w:highlight w:val="none"/>
        </w:rPr>
        <w:t>监狱企业证明材料</w:t>
      </w:r>
      <w:bookmarkEnd w:id="86"/>
      <w:bookmarkEnd w:id="87"/>
      <w:bookmarkEnd w:id="88"/>
    </w:p>
    <w:p w14:paraId="15E0EBF8">
      <w:pPr>
        <w:pageBreakBefore w:val="0"/>
        <w:wordWrap/>
        <w:overflowPunct/>
        <w:topLinePunct w:val="0"/>
        <w:bidi w:val="0"/>
        <w:spacing w:line="360" w:lineRule="auto"/>
        <w:outlineLvl w:val="9"/>
        <w:rPr>
          <w:rFonts w:ascii="宋体" w:hAnsi="宋体" w:cs="宋体"/>
          <w:b/>
          <w:color w:val="auto"/>
          <w:spacing w:val="6"/>
          <w:sz w:val="24"/>
          <w:highlight w:val="none"/>
        </w:rPr>
      </w:pPr>
      <w:r>
        <w:rPr>
          <w:rFonts w:hint="eastAsia" w:ascii="宋体" w:hAnsi="宋体" w:cs="宋体"/>
          <w:b/>
          <w:color w:val="auto"/>
          <w:spacing w:val="6"/>
          <w:sz w:val="24"/>
          <w:highlight w:val="none"/>
        </w:rPr>
        <w:t>说明</w:t>
      </w:r>
    </w:p>
    <w:p w14:paraId="07891A95">
      <w:pPr>
        <w:pageBreakBefore w:val="0"/>
        <w:wordWrap/>
        <w:overflowPunct/>
        <w:topLinePunct w:val="0"/>
        <w:bidi w:val="0"/>
        <w:spacing w:line="360" w:lineRule="auto"/>
        <w:ind w:firstLine="500" w:firstLineChars="200"/>
        <w:outlineLvl w:val="9"/>
        <w:rPr>
          <w:rFonts w:ascii="宋体" w:hAnsi="宋体" w:cs="宋体"/>
          <w:b/>
          <w:color w:val="auto"/>
          <w:spacing w:val="6"/>
          <w:sz w:val="24"/>
          <w:highlight w:val="none"/>
        </w:rPr>
      </w:pPr>
      <w:r>
        <w:rPr>
          <w:rFonts w:hint="eastAsia" w:ascii="宋体" w:hAnsi="宋体" w:cs="宋体"/>
          <w:color w:val="auto"/>
          <w:sz w:val="24"/>
          <w:highlight w:val="none"/>
        </w:rPr>
        <w:t>1.监狱企业参加政府采购活动时，应当提供由省级以上监狱管理局、戒毒管理局(含新疆生产建设兵团)出具的属于监狱企业的证明文件。监狱企业参加政府采购活动时，视同小型、微型企业。</w:t>
      </w:r>
    </w:p>
    <w:p w14:paraId="35AB0A7F">
      <w:pPr>
        <w:pageBreakBefore w:val="0"/>
        <w:wordWrap/>
        <w:overflowPunct/>
        <w:topLinePunct w:val="0"/>
        <w:bidi w:val="0"/>
        <w:spacing w:line="360" w:lineRule="auto"/>
        <w:ind w:firstLine="420"/>
        <w:outlineLvl w:val="9"/>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如未提供证明材料的，则其不能享受磋商文件规定的价格扣减，但不影响供应商</w:t>
      </w:r>
      <w:r>
        <w:rPr>
          <w:rFonts w:hint="eastAsia" w:ascii="宋体" w:hAnsi="宋体" w:cs="宋体"/>
          <w:bCs/>
          <w:color w:val="auto"/>
          <w:sz w:val="24"/>
          <w:highlight w:val="none"/>
          <w:lang w:val="zh-CN"/>
        </w:rPr>
        <w:t>磋商响应</w:t>
      </w:r>
      <w:r>
        <w:rPr>
          <w:rFonts w:hint="eastAsia" w:ascii="宋体" w:hAnsi="宋体" w:cs="宋体"/>
          <w:color w:val="auto"/>
          <w:sz w:val="24"/>
          <w:highlight w:val="none"/>
        </w:rPr>
        <w:t>文件的有效性。</w:t>
      </w:r>
    </w:p>
    <w:p w14:paraId="1E422ADB">
      <w:pPr>
        <w:pageBreakBefore w:val="0"/>
        <w:wordWrap/>
        <w:overflowPunct/>
        <w:topLinePunct w:val="0"/>
        <w:bidi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3.非监狱企业可以不提供本材料。</w:t>
      </w:r>
    </w:p>
    <w:p w14:paraId="77644047">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59E02CC0">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60FE188D">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50282E26">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6E44838C">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46DD8F7C">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0E25715A">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40251621">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5DA72F51">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3D56C049">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01B4F9B6">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4FF71F0E">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52C5C436">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10386310">
      <w:pPr>
        <w:pageBreakBefore w:val="0"/>
        <w:wordWrap/>
        <w:overflowPunct/>
        <w:topLinePunct w:val="0"/>
        <w:bidi w:val="0"/>
        <w:spacing w:line="520" w:lineRule="exact"/>
        <w:jc w:val="center"/>
        <w:outlineLvl w:val="9"/>
        <w:rPr>
          <w:rFonts w:ascii="宋体" w:hAnsi="宋体" w:cs="宋体"/>
          <w:b/>
          <w:bCs/>
          <w:color w:val="auto"/>
          <w:sz w:val="32"/>
          <w:szCs w:val="32"/>
          <w:highlight w:val="none"/>
        </w:rPr>
      </w:pPr>
    </w:p>
    <w:p w14:paraId="760C2F89">
      <w:pPr>
        <w:pageBreakBefore w:val="0"/>
        <w:wordWrap/>
        <w:overflowPunct/>
        <w:topLinePunct w:val="0"/>
        <w:bidi w:val="0"/>
        <w:spacing w:line="520" w:lineRule="exact"/>
        <w:outlineLvl w:val="9"/>
        <w:rPr>
          <w:rFonts w:hint="eastAsia" w:ascii="宋体" w:hAnsi="宋体"/>
          <w:b/>
          <w:bCs/>
          <w:color w:val="auto"/>
          <w:sz w:val="24"/>
          <w:highlight w:val="none"/>
        </w:rPr>
      </w:pPr>
    </w:p>
    <w:p w14:paraId="0A89271E">
      <w:pPr>
        <w:pStyle w:val="48"/>
        <w:rPr>
          <w:rFonts w:hint="eastAsia"/>
          <w:color w:val="auto"/>
        </w:rPr>
      </w:pPr>
    </w:p>
    <w:p w14:paraId="428F9669">
      <w:pPr>
        <w:pageBreakBefore w:val="0"/>
        <w:wordWrap/>
        <w:overflowPunct/>
        <w:topLinePunct w:val="0"/>
        <w:bidi w:val="0"/>
        <w:spacing w:line="520" w:lineRule="exact"/>
        <w:outlineLvl w:val="9"/>
        <w:rPr>
          <w:rFonts w:ascii="宋体" w:hAnsi="宋体" w:cs="宋体"/>
          <w:b/>
          <w:bCs/>
          <w:color w:val="auto"/>
          <w:szCs w:val="21"/>
          <w:highlight w:val="none"/>
        </w:rPr>
      </w:pPr>
      <w:bookmarkStart w:id="89" w:name="_Toc29867"/>
      <w:bookmarkStart w:id="90" w:name="_Toc7628"/>
      <w:bookmarkStart w:id="91" w:name="_Toc25898"/>
      <w:r>
        <w:rPr>
          <w:rFonts w:hint="eastAsia" w:ascii="宋体" w:hAnsi="宋体"/>
          <w:b/>
          <w:bCs/>
          <w:color w:val="auto"/>
          <w:sz w:val="24"/>
          <w:highlight w:val="none"/>
        </w:rPr>
        <w:t>附件</w:t>
      </w:r>
      <w:r>
        <w:rPr>
          <w:rFonts w:hint="eastAsia" w:ascii="宋体" w:hAnsi="宋体"/>
          <w:b/>
          <w:bCs/>
          <w:color w:val="auto"/>
          <w:sz w:val="24"/>
          <w:highlight w:val="none"/>
          <w:lang w:val="en-US" w:eastAsia="zh-CN"/>
        </w:rPr>
        <w:t>3</w:t>
      </w:r>
      <w:r>
        <w:rPr>
          <w:rFonts w:hint="eastAsia" w:ascii="宋体" w:hAnsi="宋体"/>
          <w:b/>
          <w:bCs/>
          <w:color w:val="auto"/>
          <w:szCs w:val="21"/>
          <w:highlight w:val="none"/>
        </w:rPr>
        <w:t>：</w:t>
      </w:r>
      <w:bookmarkEnd w:id="89"/>
      <w:bookmarkEnd w:id="90"/>
      <w:bookmarkEnd w:id="91"/>
    </w:p>
    <w:p w14:paraId="1CCBA86A">
      <w:pPr>
        <w:pageBreakBefore w:val="0"/>
        <w:wordWrap/>
        <w:overflowPunct/>
        <w:topLinePunct w:val="0"/>
        <w:bidi w:val="0"/>
        <w:spacing w:line="700" w:lineRule="exact"/>
        <w:jc w:val="center"/>
        <w:outlineLvl w:val="9"/>
        <w:rPr>
          <w:rFonts w:ascii="宋体" w:hAnsi="宋体" w:cs="宋体"/>
          <w:color w:val="auto"/>
          <w:sz w:val="32"/>
          <w:szCs w:val="32"/>
          <w:highlight w:val="none"/>
        </w:rPr>
      </w:pPr>
      <w:bookmarkStart w:id="92" w:name="_Toc10607"/>
      <w:bookmarkStart w:id="93" w:name="_Toc354"/>
      <w:bookmarkStart w:id="94" w:name="_Toc7527"/>
      <w:r>
        <w:rPr>
          <w:rFonts w:hint="eastAsia" w:ascii="宋体" w:hAnsi="宋体" w:cs="宋体"/>
          <w:b/>
          <w:bCs/>
          <w:color w:val="auto"/>
          <w:sz w:val="32"/>
          <w:szCs w:val="32"/>
          <w:highlight w:val="none"/>
        </w:rPr>
        <w:t>残疾人福利性单位声明函</w:t>
      </w:r>
      <w:bookmarkEnd w:id="92"/>
      <w:bookmarkEnd w:id="93"/>
      <w:bookmarkEnd w:id="94"/>
    </w:p>
    <w:p w14:paraId="7BF0E829">
      <w:pPr>
        <w:pageBreakBefore w:val="0"/>
        <w:wordWrap/>
        <w:overflowPunct/>
        <w:topLinePunct w:val="0"/>
        <w:bidi w:val="0"/>
        <w:spacing w:line="600" w:lineRule="exact"/>
        <w:ind w:firstLine="50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5D55564">
      <w:pPr>
        <w:pageBreakBefore w:val="0"/>
        <w:wordWrap/>
        <w:overflowPunct/>
        <w:topLinePunct w:val="0"/>
        <w:bidi w:val="0"/>
        <w:spacing w:line="600" w:lineRule="exact"/>
        <w:ind w:firstLine="50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 应责任。</w:t>
      </w:r>
    </w:p>
    <w:p w14:paraId="72357D1B">
      <w:pPr>
        <w:pageBreakBefore w:val="0"/>
        <w:wordWrap/>
        <w:overflowPunct/>
        <w:topLinePunct w:val="0"/>
        <w:bidi w:val="0"/>
        <w:spacing w:line="520" w:lineRule="exact"/>
        <w:outlineLvl w:val="9"/>
        <w:rPr>
          <w:rFonts w:ascii="宋体" w:hAnsi="宋体" w:cs="宋体"/>
          <w:color w:val="auto"/>
          <w:szCs w:val="21"/>
          <w:highlight w:val="none"/>
        </w:rPr>
      </w:pPr>
    </w:p>
    <w:p w14:paraId="0F5B6FF2">
      <w:pPr>
        <w:pageBreakBefore w:val="0"/>
        <w:wordWrap/>
        <w:overflowPunct/>
        <w:topLinePunct w:val="0"/>
        <w:bidi w:val="0"/>
        <w:spacing w:line="520" w:lineRule="exact"/>
        <w:outlineLvl w:val="9"/>
        <w:rPr>
          <w:rFonts w:ascii="宋体" w:hAnsi="宋体" w:cs="宋体"/>
          <w:color w:val="auto"/>
          <w:szCs w:val="21"/>
          <w:highlight w:val="none"/>
        </w:rPr>
      </w:pPr>
    </w:p>
    <w:p w14:paraId="2FA5BFD5">
      <w:pPr>
        <w:pageBreakBefore w:val="0"/>
        <w:wordWrap/>
        <w:overflowPunct/>
        <w:topLinePunct w:val="0"/>
        <w:bidi w:val="0"/>
        <w:spacing w:line="520" w:lineRule="exact"/>
        <w:outlineLvl w:val="9"/>
        <w:rPr>
          <w:rFonts w:ascii="宋体" w:hAnsi="宋体" w:cs="宋体"/>
          <w:color w:val="auto"/>
          <w:szCs w:val="21"/>
          <w:highlight w:val="none"/>
        </w:rPr>
      </w:pPr>
    </w:p>
    <w:p w14:paraId="561DD7C9">
      <w:pPr>
        <w:pageBreakBefore w:val="0"/>
        <w:wordWrap/>
        <w:overflowPunct/>
        <w:topLinePunct w:val="0"/>
        <w:bidi w:val="0"/>
        <w:spacing w:line="520" w:lineRule="exact"/>
        <w:outlineLvl w:val="9"/>
        <w:rPr>
          <w:rFonts w:ascii="宋体" w:hAnsi="宋体" w:cs="宋体"/>
          <w:color w:val="auto"/>
          <w:szCs w:val="21"/>
          <w:highlight w:val="none"/>
        </w:rPr>
      </w:pPr>
    </w:p>
    <w:p w14:paraId="19B2EAE3">
      <w:pPr>
        <w:pageBreakBefore w:val="0"/>
        <w:wordWrap/>
        <w:overflowPunct/>
        <w:topLinePunct w:val="0"/>
        <w:bidi w:val="0"/>
        <w:spacing w:line="520" w:lineRule="exact"/>
        <w:outlineLvl w:val="9"/>
        <w:rPr>
          <w:rFonts w:ascii="宋体" w:hAnsi="宋体" w:cs="宋体"/>
          <w:color w:val="auto"/>
          <w:szCs w:val="21"/>
          <w:highlight w:val="none"/>
        </w:rPr>
      </w:pPr>
    </w:p>
    <w:p w14:paraId="31F85A20">
      <w:pPr>
        <w:pageBreakBefore w:val="0"/>
        <w:wordWrap/>
        <w:overflowPunct/>
        <w:topLinePunct w:val="0"/>
        <w:bidi w:val="0"/>
        <w:spacing w:line="520" w:lineRule="exact"/>
        <w:outlineLvl w:val="9"/>
        <w:rPr>
          <w:rFonts w:ascii="宋体" w:hAnsi="宋体" w:cs="宋体"/>
          <w:color w:val="auto"/>
          <w:szCs w:val="21"/>
          <w:highlight w:val="none"/>
        </w:rPr>
      </w:pPr>
    </w:p>
    <w:p w14:paraId="7FBCD68F">
      <w:pPr>
        <w:pageBreakBefore w:val="0"/>
        <w:wordWrap/>
        <w:overflowPunct/>
        <w:topLinePunct w:val="0"/>
        <w:bidi w:val="0"/>
        <w:spacing w:line="520" w:lineRule="exact"/>
        <w:ind w:firstLine="4250" w:firstLineChars="1700"/>
        <w:outlineLvl w:val="9"/>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r>
        <w:rPr>
          <w:rFonts w:hint="eastAsia" w:ascii="宋体" w:hAnsi="宋体" w:cs="宋体"/>
          <w:color w:val="auto"/>
          <w:sz w:val="24"/>
          <w:szCs w:val="24"/>
          <w:highlight w:val="none"/>
          <w:u w:val="single"/>
        </w:rPr>
        <w:t xml:space="preserve">               </w:t>
      </w:r>
    </w:p>
    <w:p w14:paraId="35C9E4C2">
      <w:pPr>
        <w:pageBreakBefore w:val="0"/>
        <w:wordWrap/>
        <w:overflowPunct/>
        <w:topLinePunct w:val="0"/>
        <w:bidi w:val="0"/>
        <w:spacing w:line="520" w:lineRule="exact"/>
        <w:outlineLvl w:val="9"/>
        <w:rPr>
          <w:rFonts w:ascii="宋体" w:hAnsi="宋体" w:cs="宋体"/>
          <w:color w:val="auto"/>
          <w:sz w:val="24"/>
          <w:szCs w:val="24"/>
          <w:highlight w:val="none"/>
        </w:rPr>
      </w:pPr>
    </w:p>
    <w:p w14:paraId="1ABEFF95">
      <w:pPr>
        <w:pageBreakBefore w:val="0"/>
        <w:wordWrap/>
        <w:overflowPunct/>
        <w:topLinePunct w:val="0"/>
        <w:bidi w:val="0"/>
        <w:adjustRightInd w:val="0"/>
        <w:spacing w:line="460" w:lineRule="exact"/>
        <w:ind w:firstLine="5500" w:firstLineChars="22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7D192A09">
      <w:pPr>
        <w:pageBreakBefore w:val="0"/>
        <w:wordWrap/>
        <w:overflowPunct/>
        <w:topLinePunct w:val="0"/>
        <w:bidi w:val="0"/>
        <w:adjustRightInd w:val="0"/>
        <w:spacing w:line="460" w:lineRule="exact"/>
        <w:jc w:val="left"/>
        <w:outlineLvl w:val="9"/>
        <w:rPr>
          <w:rFonts w:ascii="宋体" w:hAnsi="宋体" w:cs="宋体"/>
          <w:color w:val="auto"/>
          <w:sz w:val="24"/>
          <w:highlight w:val="none"/>
        </w:rPr>
      </w:pPr>
    </w:p>
    <w:p w14:paraId="3046EED0">
      <w:pPr>
        <w:pageBreakBefore w:val="0"/>
        <w:wordWrap/>
        <w:overflowPunct/>
        <w:topLinePunct w:val="0"/>
        <w:bidi w:val="0"/>
        <w:adjustRightInd w:val="0"/>
        <w:spacing w:line="460" w:lineRule="exact"/>
        <w:jc w:val="left"/>
        <w:outlineLvl w:val="9"/>
        <w:rPr>
          <w:rFonts w:ascii="宋体" w:hAnsi="宋体" w:cs="宋体"/>
          <w:color w:val="auto"/>
          <w:szCs w:val="21"/>
          <w:highlight w:val="none"/>
        </w:rPr>
      </w:pPr>
      <w:r>
        <w:rPr>
          <w:rFonts w:hint="eastAsia" w:ascii="宋体" w:hAnsi="宋体" w:cs="宋体"/>
          <w:color w:val="auto"/>
          <w:szCs w:val="21"/>
          <w:highlight w:val="none"/>
        </w:rPr>
        <w:t>注：</w:t>
      </w:r>
    </w:p>
    <w:p w14:paraId="02F13D08">
      <w:pPr>
        <w:pageBreakBefore w:val="0"/>
        <w:wordWrap/>
        <w:overflowPunct/>
        <w:topLinePunct w:val="0"/>
        <w:bidi w:val="0"/>
        <w:adjustRightInd w:val="0"/>
        <w:spacing w:line="460" w:lineRule="exact"/>
        <w:ind w:firstLine="440" w:firstLineChars="200"/>
        <w:jc w:val="left"/>
        <w:outlineLvl w:val="9"/>
        <w:rPr>
          <w:rFonts w:ascii="宋体" w:hAnsi="宋体" w:cs="宋体"/>
          <w:color w:val="auto"/>
          <w:sz w:val="22"/>
          <w:highlight w:val="none"/>
        </w:rPr>
      </w:pPr>
      <w:r>
        <w:rPr>
          <w:rFonts w:hint="eastAsia" w:ascii="宋体" w:hAnsi="宋体" w:cs="宋体"/>
          <w:color w:val="auto"/>
          <w:szCs w:val="21"/>
          <w:highlight w:val="none"/>
        </w:rPr>
        <w:t>残疾人福利性单位在参加政府采购活动时，应当提供本通知规定的《残疾人福利性单位声明函》 ,并对声明</w:t>
      </w:r>
      <w:r>
        <w:rPr>
          <w:rFonts w:hint="eastAsia" w:ascii="宋体" w:hAnsi="宋体" w:cs="宋体"/>
          <w:color w:val="auto"/>
          <w:sz w:val="22"/>
          <w:highlight w:val="none"/>
        </w:rPr>
        <w:t>的真实性负责。残疾人福利性单位参加政府采购活动时，视同小型、微型企业：残疾人福利性单位属于小型、微型企业的，不重复享受政策。</w:t>
      </w:r>
    </w:p>
    <w:p w14:paraId="374569EA">
      <w:pPr>
        <w:pageBreakBefore w:val="0"/>
        <w:wordWrap/>
        <w:overflowPunct/>
        <w:topLinePunct w:val="0"/>
        <w:bidi w:val="0"/>
        <w:adjustRightInd w:val="0"/>
        <w:spacing w:line="460" w:lineRule="exact"/>
        <w:ind w:firstLine="460" w:firstLineChars="200"/>
        <w:jc w:val="left"/>
        <w:outlineLvl w:val="9"/>
        <w:rPr>
          <w:rFonts w:ascii="宋体" w:hAnsi="宋体" w:cs="宋体"/>
          <w:color w:val="auto"/>
          <w:sz w:val="22"/>
          <w:highlight w:val="none"/>
        </w:rPr>
      </w:pPr>
      <w:bookmarkStart w:id="95" w:name="_Toc700"/>
      <w:bookmarkStart w:id="96" w:name="_Toc30827"/>
      <w:bookmarkStart w:id="97" w:name="_Toc28675"/>
      <w:r>
        <w:rPr>
          <w:rFonts w:hint="eastAsia" w:ascii="宋体" w:hAnsi="宋体" w:cs="宋体"/>
          <w:color w:val="auto"/>
          <w:sz w:val="22"/>
          <w:highlight w:val="none"/>
        </w:rPr>
        <w:t>供应商为非残疾人福利性单位的，可不提供此声明。</w:t>
      </w:r>
      <w:bookmarkEnd w:id="95"/>
      <w:bookmarkEnd w:id="96"/>
      <w:bookmarkEnd w:id="97"/>
    </w:p>
    <w:p w14:paraId="28C566BF">
      <w:pPr>
        <w:pageBreakBefore w:val="0"/>
        <w:wordWrap/>
        <w:overflowPunct/>
        <w:topLinePunct w:val="0"/>
        <w:bidi w:val="0"/>
        <w:spacing w:line="520" w:lineRule="exact"/>
        <w:outlineLvl w:val="9"/>
        <w:rPr>
          <w:rFonts w:hint="eastAsia" w:ascii="宋体" w:hAnsi="宋体"/>
          <w:b/>
          <w:bCs/>
          <w:color w:val="auto"/>
          <w:sz w:val="24"/>
          <w:highlight w:val="none"/>
        </w:rPr>
      </w:pPr>
    </w:p>
    <w:p w14:paraId="47A8D9F1">
      <w:pPr>
        <w:rPr>
          <w:rFonts w:hint="eastAsia" w:ascii="宋体" w:hAnsi="宋体"/>
          <w:b/>
          <w:bCs/>
          <w:color w:val="auto"/>
          <w:sz w:val="24"/>
          <w:highlight w:val="none"/>
        </w:rPr>
      </w:pPr>
      <w:bookmarkStart w:id="98" w:name="_Toc31960"/>
      <w:bookmarkStart w:id="99" w:name="_Toc32205"/>
      <w:bookmarkStart w:id="100" w:name="_Toc30681"/>
      <w:r>
        <w:rPr>
          <w:rFonts w:hint="eastAsia" w:ascii="宋体" w:hAnsi="宋体"/>
          <w:b/>
          <w:bCs/>
          <w:color w:val="auto"/>
          <w:sz w:val="24"/>
          <w:highlight w:val="none"/>
        </w:rPr>
        <w:br w:type="page"/>
      </w:r>
    </w:p>
    <w:p w14:paraId="0795247F">
      <w:pPr>
        <w:pageBreakBefore w:val="0"/>
        <w:wordWrap/>
        <w:overflowPunct/>
        <w:topLinePunct w:val="0"/>
        <w:bidi w:val="0"/>
        <w:spacing w:line="520" w:lineRule="exact"/>
        <w:outlineLvl w:val="9"/>
        <w:rPr>
          <w:rFonts w:hint="eastAsia" w:ascii="宋体" w:hAnsi="宋体"/>
          <w:b/>
          <w:bCs/>
          <w:color w:val="auto"/>
          <w:sz w:val="36"/>
          <w:szCs w:val="36"/>
          <w:highlight w:val="none"/>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4</w:t>
      </w:r>
      <w:r>
        <w:rPr>
          <w:rFonts w:hint="eastAsia" w:ascii="宋体" w:hAnsi="宋体"/>
          <w:b/>
          <w:bCs/>
          <w:color w:val="auto"/>
          <w:szCs w:val="21"/>
          <w:highlight w:val="none"/>
        </w:rPr>
        <w:t>：</w:t>
      </w:r>
      <w:bookmarkEnd w:id="98"/>
      <w:bookmarkEnd w:id="99"/>
      <w:bookmarkEnd w:id="100"/>
    </w:p>
    <w:p w14:paraId="1FC7BC17">
      <w:pPr>
        <w:pageBreakBefore w:val="0"/>
        <w:wordWrap/>
        <w:overflowPunct/>
        <w:topLinePunct w:val="0"/>
        <w:bidi w:val="0"/>
        <w:spacing w:line="360" w:lineRule="auto"/>
        <w:ind w:left="891" w:leftChars="405" w:right="979" w:rightChars="445"/>
        <w:jc w:val="center"/>
        <w:outlineLvl w:val="9"/>
        <w:rPr>
          <w:rFonts w:hint="eastAsia" w:ascii="宋体" w:hAnsi="宋体" w:cs="宋体"/>
          <w:b/>
          <w:color w:val="auto"/>
          <w:sz w:val="28"/>
          <w:szCs w:val="28"/>
          <w:highlight w:val="none"/>
        </w:rPr>
      </w:pPr>
    </w:p>
    <w:p w14:paraId="36211A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color w:val="auto"/>
          <w:sz w:val="28"/>
          <w:szCs w:val="28"/>
          <w:highlight w:val="none"/>
        </w:rPr>
      </w:pPr>
      <w:bookmarkStart w:id="101" w:name="_Toc21370"/>
      <w:bookmarkStart w:id="102" w:name="_Toc10263"/>
      <w:bookmarkStart w:id="103" w:name="_Toc17797"/>
      <w:r>
        <w:rPr>
          <w:rFonts w:hint="eastAsia" w:ascii="宋体" w:hAnsi="宋体" w:cs="宋体"/>
          <w:b/>
          <w:color w:val="auto"/>
          <w:sz w:val="28"/>
          <w:szCs w:val="28"/>
          <w:highlight w:val="none"/>
        </w:rPr>
        <w:t>参加政府采购活动</w:t>
      </w:r>
      <w:r>
        <w:rPr>
          <w:rFonts w:hint="eastAsia" w:ascii="宋体" w:hAnsi="宋体" w:cs="宋体"/>
          <w:b/>
          <w:color w:val="auto"/>
          <w:sz w:val="28"/>
          <w:szCs w:val="28"/>
          <w:highlight w:val="none"/>
          <w:lang w:eastAsia="zh-CN"/>
        </w:rPr>
        <w:t>前三</w:t>
      </w:r>
      <w:r>
        <w:rPr>
          <w:rFonts w:hint="eastAsia" w:ascii="宋体" w:hAnsi="宋体" w:cs="宋体"/>
          <w:b/>
          <w:color w:val="auto"/>
          <w:sz w:val="28"/>
          <w:szCs w:val="28"/>
          <w:highlight w:val="none"/>
        </w:rPr>
        <w:t>年内</w:t>
      </w:r>
      <w:r>
        <w:rPr>
          <w:rFonts w:hint="eastAsia" w:ascii="宋体" w:hAnsi="宋体" w:cs="宋体"/>
          <w:b/>
          <w:color w:val="auto"/>
          <w:sz w:val="28"/>
          <w:szCs w:val="28"/>
          <w:highlight w:val="none"/>
          <w:lang w:eastAsia="zh-CN"/>
        </w:rPr>
        <w:t>，在经营活动中无</w:t>
      </w:r>
      <w:r>
        <w:rPr>
          <w:rFonts w:hint="eastAsia" w:ascii="宋体" w:hAnsi="宋体" w:cs="宋体"/>
          <w:b/>
          <w:color w:val="auto"/>
          <w:sz w:val="28"/>
          <w:szCs w:val="28"/>
          <w:highlight w:val="none"/>
        </w:rPr>
        <w:t>重大违法记录</w:t>
      </w:r>
      <w:bookmarkEnd w:id="101"/>
      <w:bookmarkEnd w:id="102"/>
      <w:bookmarkEnd w:id="103"/>
    </w:p>
    <w:p w14:paraId="28C75F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color w:val="auto"/>
          <w:sz w:val="28"/>
          <w:szCs w:val="28"/>
          <w:highlight w:val="none"/>
        </w:rPr>
      </w:pPr>
      <w:bookmarkStart w:id="104" w:name="_Toc613"/>
      <w:bookmarkStart w:id="105" w:name="_Toc1434"/>
      <w:bookmarkStart w:id="106" w:name="_Toc16486"/>
      <w:r>
        <w:rPr>
          <w:rFonts w:hint="eastAsia" w:ascii="宋体" w:hAnsi="宋体" w:cs="宋体"/>
          <w:b/>
          <w:color w:val="auto"/>
          <w:sz w:val="28"/>
          <w:szCs w:val="28"/>
          <w:highlight w:val="none"/>
        </w:rPr>
        <w:t>的书面声明</w:t>
      </w:r>
      <w:bookmarkEnd w:id="104"/>
      <w:bookmarkEnd w:id="105"/>
      <w:bookmarkEnd w:id="106"/>
    </w:p>
    <w:p w14:paraId="10B5D676">
      <w:pPr>
        <w:pageBreakBefore w:val="0"/>
        <w:widowControl/>
        <w:wordWrap/>
        <w:overflowPunct/>
        <w:topLinePunct w:val="0"/>
        <w:bidi w:val="0"/>
        <w:snapToGrid w:val="0"/>
        <w:spacing w:line="380" w:lineRule="exact"/>
        <w:ind w:firstLine="560"/>
        <w:jc w:val="left"/>
        <w:outlineLvl w:val="9"/>
        <w:rPr>
          <w:rFonts w:ascii="宋体" w:hAnsi="宋体" w:cs="宋体"/>
          <w:color w:val="auto"/>
          <w:sz w:val="28"/>
          <w:szCs w:val="28"/>
          <w:highlight w:val="none"/>
        </w:rPr>
      </w:pPr>
    </w:p>
    <w:p w14:paraId="2C53BD19">
      <w:pPr>
        <w:pageBreakBefore w:val="0"/>
        <w:widowControl/>
        <w:wordWrap/>
        <w:overflowPunct/>
        <w:topLinePunct w:val="0"/>
        <w:bidi w:val="0"/>
        <w:snapToGrid w:val="0"/>
        <w:spacing w:line="480" w:lineRule="auto"/>
        <w:jc w:val="left"/>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8"/>
          <w:szCs w:val="32"/>
          <w:highlight w:val="none"/>
          <w:u w:val="single"/>
        </w:rPr>
        <w:t xml:space="preserve">              </w:t>
      </w:r>
      <w:r>
        <w:rPr>
          <w:rFonts w:hint="eastAsia" w:ascii="宋体" w:hAnsi="宋体" w:cs="宋体"/>
          <w:color w:val="auto"/>
          <w:sz w:val="24"/>
          <w:szCs w:val="28"/>
          <w:highlight w:val="none"/>
        </w:rPr>
        <w:t xml:space="preserve">（采购人名称）                    </w:t>
      </w:r>
    </w:p>
    <w:p w14:paraId="2C2CB86D">
      <w:pPr>
        <w:pageBreakBefore w:val="0"/>
        <w:widowControl/>
        <w:wordWrap/>
        <w:overflowPunct/>
        <w:topLinePunct w:val="0"/>
        <w:bidi w:val="0"/>
        <w:snapToGrid w:val="0"/>
        <w:spacing w:line="480" w:lineRule="auto"/>
        <w:ind w:firstLine="560"/>
        <w:jc w:val="left"/>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我单位</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名称）近</w:t>
      </w:r>
      <w:r>
        <w:rPr>
          <w:rFonts w:hint="eastAsia" w:ascii="宋体" w:hAnsi="宋体" w:cs="宋体"/>
          <w:color w:val="auto"/>
          <w:sz w:val="24"/>
          <w:szCs w:val="28"/>
          <w:highlight w:val="none"/>
          <w:lang w:val="en-US" w:eastAsia="zh-CN"/>
        </w:rPr>
        <w:t>三</w:t>
      </w:r>
      <w:r>
        <w:rPr>
          <w:rFonts w:hint="eastAsia" w:ascii="宋体" w:hAnsi="宋体" w:cs="宋体"/>
          <w:color w:val="auto"/>
          <w:sz w:val="24"/>
          <w:szCs w:val="28"/>
          <w:highlight w:val="none"/>
        </w:rPr>
        <w:t>年内，在参加政府采购活动中没有重大违法记录，特此声明。</w:t>
      </w:r>
    </w:p>
    <w:p w14:paraId="4513344A">
      <w:pPr>
        <w:pageBreakBefore w:val="0"/>
        <w:widowControl/>
        <w:wordWrap/>
        <w:overflowPunct/>
        <w:topLinePunct w:val="0"/>
        <w:bidi w:val="0"/>
        <w:snapToGrid w:val="0"/>
        <w:spacing w:line="480" w:lineRule="auto"/>
        <w:ind w:firstLine="560"/>
        <w:jc w:val="left"/>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若采购</w:t>
      </w:r>
      <w:r>
        <w:rPr>
          <w:rFonts w:hint="eastAsia" w:ascii="宋体" w:hAnsi="宋体" w:cs="宋体"/>
          <w:color w:val="auto"/>
          <w:sz w:val="24"/>
          <w:szCs w:val="28"/>
          <w:highlight w:val="none"/>
          <w:lang w:eastAsia="zh-CN"/>
        </w:rPr>
        <w:t>人</w:t>
      </w:r>
      <w:r>
        <w:rPr>
          <w:rFonts w:hint="eastAsia" w:ascii="宋体" w:hAnsi="宋体" w:cs="宋体"/>
          <w:color w:val="auto"/>
          <w:sz w:val="24"/>
          <w:szCs w:val="28"/>
          <w:highlight w:val="none"/>
        </w:rPr>
        <w:t>在本项目采购</w:t>
      </w:r>
      <w:r>
        <w:rPr>
          <w:rFonts w:hint="eastAsia" w:ascii="宋体" w:hAnsi="宋体" w:cs="宋体"/>
          <w:color w:val="auto"/>
          <w:sz w:val="24"/>
          <w:szCs w:val="28"/>
          <w:highlight w:val="none"/>
          <w:lang w:eastAsia="zh-CN"/>
        </w:rPr>
        <w:t>招标</w:t>
      </w:r>
      <w:r>
        <w:rPr>
          <w:rFonts w:hint="eastAsia" w:ascii="宋体" w:hAnsi="宋体" w:cs="宋体"/>
          <w:color w:val="auto"/>
          <w:sz w:val="24"/>
          <w:szCs w:val="28"/>
          <w:highlight w:val="none"/>
        </w:rPr>
        <w:t>过程中发现我单位近三年内在政府采购活动中有重大违法记录，我单位将无条件地退出本项目的</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招标，并承担因此引起的一切后果。</w:t>
      </w:r>
    </w:p>
    <w:p w14:paraId="7AD77C24">
      <w:pPr>
        <w:pageBreakBefore w:val="0"/>
        <w:widowControl/>
        <w:wordWrap/>
        <w:overflowPunct/>
        <w:topLinePunct w:val="0"/>
        <w:bidi w:val="0"/>
        <w:snapToGrid w:val="0"/>
        <w:spacing w:line="360" w:lineRule="auto"/>
        <w:ind w:firstLine="560"/>
        <w:jc w:val="left"/>
        <w:outlineLvl w:val="9"/>
        <w:rPr>
          <w:rFonts w:ascii="宋体" w:hAnsi="宋体" w:cs="宋体"/>
          <w:color w:val="auto"/>
          <w:sz w:val="24"/>
          <w:szCs w:val="28"/>
          <w:highlight w:val="none"/>
        </w:rPr>
      </w:pPr>
    </w:p>
    <w:p w14:paraId="3A618E32">
      <w:pPr>
        <w:pageBreakBefore w:val="0"/>
        <w:wordWrap/>
        <w:overflowPunct/>
        <w:topLinePunct w:val="0"/>
        <w:bidi w:val="0"/>
        <w:spacing w:line="360" w:lineRule="auto"/>
        <w:outlineLvl w:val="9"/>
        <w:rPr>
          <w:rFonts w:hint="eastAsia" w:ascii="黑体" w:eastAsia="黑体"/>
          <w:b/>
          <w:color w:val="auto"/>
          <w:sz w:val="22"/>
          <w:highlight w:val="none"/>
        </w:rPr>
      </w:pPr>
    </w:p>
    <w:p w14:paraId="57E90931">
      <w:pPr>
        <w:pageBreakBefore w:val="0"/>
        <w:wordWrap/>
        <w:overflowPunct/>
        <w:topLinePunct w:val="0"/>
        <w:bidi w:val="0"/>
        <w:spacing w:line="360" w:lineRule="auto"/>
        <w:outlineLvl w:val="9"/>
        <w:rPr>
          <w:rFonts w:hint="eastAsia" w:ascii="黑体" w:eastAsia="黑体"/>
          <w:b/>
          <w:color w:val="auto"/>
          <w:sz w:val="22"/>
          <w:highlight w:val="none"/>
        </w:rPr>
      </w:pPr>
    </w:p>
    <w:p w14:paraId="4398F7AE">
      <w:pPr>
        <w:pageBreakBefore w:val="0"/>
        <w:wordWrap/>
        <w:overflowPunct/>
        <w:topLinePunct w:val="0"/>
        <w:bidi w:val="0"/>
        <w:spacing w:line="360" w:lineRule="auto"/>
        <w:outlineLvl w:val="9"/>
        <w:rPr>
          <w:rFonts w:hint="eastAsia" w:ascii="黑体" w:eastAsia="黑体"/>
          <w:b/>
          <w:color w:val="auto"/>
          <w:sz w:val="22"/>
          <w:highlight w:val="none"/>
        </w:rPr>
      </w:pPr>
    </w:p>
    <w:p w14:paraId="5A565664">
      <w:pPr>
        <w:pageBreakBefore w:val="0"/>
        <w:wordWrap/>
        <w:overflowPunct/>
        <w:topLinePunct w:val="0"/>
        <w:bidi w:val="0"/>
        <w:spacing w:line="360" w:lineRule="auto"/>
        <w:outlineLvl w:val="9"/>
        <w:rPr>
          <w:rFonts w:hint="eastAsia" w:ascii="黑体" w:eastAsia="黑体"/>
          <w:b/>
          <w:color w:val="auto"/>
          <w:sz w:val="22"/>
          <w:highlight w:val="none"/>
        </w:rPr>
      </w:pPr>
    </w:p>
    <w:p w14:paraId="7DD3084F">
      <w:pPr>
        <w:pageBreakBefore w:val="0"/>
        <w:widowControl/>
        <w:wordWrap/>
        <w:overflowPunct/>
        <w:topLinePunct w:val="0"/>
        <w:bidi w:val="0"/>
        <w:snapToGrid w:val="0"/>
        <w:spacing w:line="360" w:lineRule="auto"/>
        <w:ind w:right="560" w:firstLine="3250" w:firstLineChars="1300"/>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供应商名称（</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章</w:t>
      </w:r>
      <w:r>
        <w:rPr>
          <w:rFonts w:hint="eastAsia" w:ascii="宋体" w:hAnsi="宋体" w:cs="宋体"/>
          <w:color w:val="auto"/>
          <w:sz w:val="24"/>
          <w:szCs w:val="28"/>
          <w:highlight w:val="none"/>
        </w:rPr>
        <w:t>）：</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p>
    <w:p w14:paraId="52330332">
      <w:pPr>
        <w:pageBreakBefore w:val="0"/>
        <w:widowControl/>
        <w:wordWrap/>
        <w:overflowPunct/>
        <w:topLinePunct w:val="0"/>
        <w:bidi w:val="0"/>
        <w:snapToGrid w:val="0"/>
        <w:spacing w:line="360" w:lineRule="auto"/>
        <w:ind w:firstLine="560"/>
        <w:jc w:val="left"/>
        <w:outlineLvl w:val="9"/>
        <w:rPr>
          <w:rFonts w:ascii="宋体" w:hAnsi="宋体" w:cs="宋体"/>
          <w:color w:val="auto"/>
          <w:sz w:val="24"/>
          <w:szCs w:val="28"/>
          <w:highlight w:val="none"/>
        </w:rPr>
      </w:pPr>
    </w:p>
    <w:p w14:paraId="379EE3E0">
      <w:pPr>
        <w:pageBreakBefore w:val="0"/>
        <w:widowControl/>
        <w:wordWrap/>
        <w:overflowPunct/>
        <w:topLinePunct w:val="0"/>
        <w:bidi w:val="0"/>
        <w:snapToGrid w:val="0"/>
        <w:spacing w:line="360" w:lineRule="auto"/>
        <w:ind w:firstLine="560"/>
        <w:jc w:val="left"/>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法定代表人（签字或</w:t>
      </w:r>
      <w:r>
        <w:rPr>
          <w:rFonts w:hint="eastAsia" w:ascii="宋体" w:hAnsi="宋体" w:cs="宋体"/>
          <w:color w:val="auto"/>
          <w:sz w:val="24"/>
          <w:szCs w:val="28"/>
          <w:highlight w:val="none"/>
          <w:lang w:eastAsia="zh-CN"/>
        </w:rPr>
        <w:t>盖</w:t>
      </w:r>
      <w:r>
        <w:rPr>
          <w:rFonts w:hint="eastAsia" w:ascii="宋体" w:hAnsi="宋体" w:cs="宋体"/>
          <w:color w:val="auto"/>
          <w:sz w:val="24"/>
          <w:szCs w:val="28"/>
          <w:highlight w:val="none"/>
        </w:rPr>
        <w:t>章）：</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p>
    <w:p w14:paraId="48084A12">
      <w:pPr>
        <w:pageBreakBefore w:val="0"/>
        <w:widowControl/>
        <w:wordWrap/>
        <w:overflowPunct/>
        <w:topLinePunct w:val="0"/>
        <w:bidi w:val="0"/>
        <w:snapToGrid w:val="0"/>
        <w:spacing w:line="360" w:lineRule="auto"/>
        <w:ind w:firstLine="560"/>
        <w:jc w:val="left"/>
        <w:outlineLvl w:val="9"/>
        <w:rPr>
          <w:rFonts w:ascii="宋体" w:hAnsi="宋体" w:cs="宋体"/>
          <w:color w:val="auto"/>
          <w:sz w:val="24"/>
          <w:szCs w:val="28"/>
          <w:highlight w:val="none"/>
        </w:rPr>
      </w:pPr>
    </w:p>
    <w:p w14:paraId="5F851B88">
      <w:pPr>
        <w:pageBreakBefore w:val="0"/>
        <w:widowControl/>
        <w:wordWrap/>
        <w:overflowPunct/>
        <w:topLinePunct w:val="0"/>
        <w:bidi w:val="0"/>
        <w:snapToGrid w:val="0"/>
        <w:spacing w:line="360" w:lineRule="auto"/>
        <w:ind w:firstLine="560"/>
        <w:jc w:val="left"/>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日    期：</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日 </w:t>
      </w:r>
    </w:p>
    <w:p w14:paraId="11A6EC26">
      <w:pPr>
        <w:pageBreakBefore w:val="0"/>
        <w:wordWrap/>
        <w:overflowPunct/>
        <w:topLinePunct w:val="0"/>
        <w:bidi w:val="0"/>
        <w:outlineLvl w:val="9"/>
        <w:rPr>
          <w:color w:val="auto"/>
          <w:highlight w:val="none"/>
        </w:rPr>
      </w:pPr>
    </w:p>
    <w:p w14:paraId="5AE54249">
      <w:pPr>
        <w:pageBreakBefore w:val="0"/>
        <w:wordWrap/>
        <w:overflowPunct/>
        <w:topLinePunct w:val="0"/>
        <w:bidi w:val="0"/>
        <w:outlineLvl w:val="9"/>
        <w:rPr>
          <w:rFonts w:hint="eastAsia"/>
          <w:color w:val="auto"/>
          <w:highlight w:val="none"/>
          <w:lang w:eastAsia="zh-CN"/>
        </w:rPr>
      </w:pPr>
    </w:p>
    <w:p w14:paraId="527062CF">
      <w:pPr>
        <w:pageBreakBefore w:val="0"/>
        <w:wordWrap/>
        <w:overflowPunct/>
        <w:topLinePunct w:val="0"/>
        <w:bidi w:val="0"/>
        <w:spacing w:line="520" w:lineRule="exact"/>
        <w:outlineLvl w:val="9"/>
        <w:rPr>
          <w:rFonts w:hint="eastAsia" w:ascii="宋体" w:hAnsi="宋体"/>
          <w:b/>
          <w:bCs/>
          <w:color w:val="auto"/>
          <w:sz w:val="24"/>
          <w:highlight w:val="none"/>
        </w:rPr>
      </w:pPr>
    </w:p>
    <w:p w14:paraId="4CF83A70">
      <w:pPr>
        <w:pageBreakBefore w:val="0"/>
        <w:wordWrap/>
        <w:overflowPunct/>
        <w:topLinePunct w:val="0"/>
        <w:bidi w:val="0"/>
        <w:spacing w:line="520" w:lineRule="exact"/>
        <w:outlineLvl w:val="9"/>
        <w:rPr>
          <w:rFonts w:hint="eastAsia" w:ascii="宋体" w:hAnsi="宋体"/>
          <w:b/>
          <w:bCs/>
          <w:color w:val="auto"/>
          <w:sz w:val="24"/>
          <w:highlight w:val="none"/>
        </w:rPr>
      </w:pPr>
    </w:p>
    <w:p w14:paraId="6A37F760">
      <w:pPr>
        <w:rPr>
          <w:rFonts w:hint="eastAsia" w:ascii="宋体" w:hAnsi="宋体"/>
          <w:b/>
          <w:bCs/>
          <w:color w:val="auto"/>
          <w:sz w:val="24"/>
          <w:highlight w:val="none"/>
        </w:rPr>
      </w:pPr>
      <w:bookmarkStart w:id="107" w:name="_Toc29913"/>
      <w:bookmarkStart w:id="108" w:name="_Toc10692"/>
      <w:bookmarkStart w:id="109" w:name="_Toc6173"/>
      <w:r>
        <w:rPr>
          <w:rFonts w:hint="eastAsia" w:ascii="宋体" w:hAnsi="宋体"/>
          <w:b/>
          <w:bCs/>
          <w:color w:val="auto"/>
          <w:sz w:val="24"/>
          <w:highlight w:val="none"/>
        </w:rPr>
        <w:br w:type="page"/>
      </w:r>
    </w:p>
    <w:p w14:paraId="61843D88">
      <w:pPr>
        <w:pageBreakBefore w:val="0"/>
        <w:wordWrap/>
        <w:overflowPunct/>
        <w:topLinePunct w:val="0"/>
        <w:bidi w:val="0"/>
        <w:spacing w:line="520" w:lineRule="exact"/>
        <w:outlineLvl w:val="9"/>
        <w:rPr>
          <w:rFonts w:hint="eastAsia" w:ascii="宋体" w:hAnsi="宋体"/>
          <w:b/>
          <w:bCs/>
          <w:color w:val="auto"/>
          <w:sz w:val="36"/>
          <w:szCs w:val="36"/>
          <w:highlight w:val="none"/>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5</w:t>
      </w:r>
      <w:r>
        <w:rPr>
          <w:rFonts w:hint="eastAsia" w:ascii="宋体" w:hAnsi="宋体"/>
          <w:b/>
          <w:bCs/>
          <w:color w:val="auto"/>
          <w:szCs w:val="21"/>
          <w:highlight w:val="none"/>
        </w:rPr>
        <w:t>：</w:t>
      </w:r>
      <w:bookmarkEnd w:id="107"/>
      <w:bookmarkEnd w:id="108"/>
      <w:bookmarkEnd w:id="109"/>
    </w:p>
    <w:p w14:paraId="304CFEFC">
      <w:pPr>
        <w:pStyle w:val="16"/>
        <w:pageBreakBefore w:val="0"/>
        <w:wordWrap/>
        <w:overflowPunct/>
        <w:topLinePunct w:val="0"/>
        <w:bidi w:val="0"/>
        <w:adjustRightInd w:val="0"/>
        <w:snapToGrid w:val="0"/>
        <w:spacing w:line="360" w:lineRule="auto"/>
        <w:jc w:val="center"/>
        <w:outlineLvl w:val="9"/>
        <w:rPr>
          <w:rFonts w:hint="eastAsia" w:ascii="宋体" w:hAnsi="宋体" w:eastAsia="宋体" w:cs="宋体"/>
          <w:b/>
          <w:color w:val="auto"/>
          <w:sz w:val="30"/>
          <w:szCs w:val="30"/>
          <w:highlight w:val="none"/>
        </w:rPr>
      </w:pPr>
    </w:p>
    <w:p w14:paraId="63B3EA74">
      <w:pPr>
        <w:pStyle w:val="16"/>
        <w:pageBreakBefore w:val="0"/>
        <w:wordWrap/>
        <w:overflowPunct/>
        <w:topLinePunct w:val="0"/>
        <w:bidi w:val="0"/>
        <w:adjustRightInd w:val="0"/>
        <w:snapToGrid w:val="0"/>
        <w:spacing w:line="360" w:lineRule="auto"/>
        <w:jc w:val="center"/>
        <w:outlineLvl w:val="9"/>
        <w:rPr>
          <w:rFonts w:hint="eastAsia" w:ascii="宋体" w:hAnsi="宋体" w:eastAsia="宋体" w:cs="宋体"/>
          <w:b/>
          <w:color w:val="auto"/>
          <w:sz w:val="30"/>
          <w:szCs w:val="30"/>
          <w:highlight w:val="none"/>
        </w:rPr>
      </w:pPr>
      <w:bookmarkStart w:id="110" w:name="_Toc32439"/>
      <w:bookmarkStart w:id="111" w:name="_Toc3739"/>
      <w:bookmarkStart w:id="112" w:name="_Toc30964"/>
      <w:r>
        <w:rPr>
          <w:rFonts w:hint="eastAsia" w:ascii="宋体" w:hAnsi="宋体" w:eastAsia="宋体" w:cs="宋体"/>
          <w:b/>
          <w:color w:val="auto"/>
          <w:sz w:val="28"/>
          <w:szCs w:val="28"/>
          <w:highlight w:val="none"/>
        </w:rPr>
        <w:t>履行合同所必需的设备和专业技术能力的说明及承诺</w:t>
      </w:r>
      <w:bookmarkEnd w:id="110"/>
      <w:bookmarkEnd w:id="111"/>
      <w:bookmarkEnd w:id="112"/>
    </w:p>
    <w:p w14:paraId="42C305B4">
      <w:pPr>
        <w:keepNext w:val="0"/>
        <w:keepLines w:val="0"/>
        <w:pageBreakBefore w:val="0"/>
        <w:widowControl w:val="0"/>
        <w:kinsoku/>
        <w:wordWrap/>
        <w:overflowPunct/>
        <w:topLinePunct w:val="0"/>
        <w:autoSpaceDE/>
        <w:autoSpaceDN/>
        <w:bidi w:val="0"/>
        <w:adjustRightInd/>
        <w:snapToGrid/>
        <w:spacing w:before="312" w:beforeLines="100" w:after="156" w:afterLines="50" w:line="520" w:lineRule="exact"/>
        <w:ind w:right="0" w:rightChars="0"/>
        <w:jc w:val="both"/>
        <w:textAlignment w:val="auto"/>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8"/>
          <w:szCs w:val="32"/>
          <w:highlight w:val="none"/>
          <w:u w:val="single"/>
        </w:rPr>
        <w:t xml:space="preserve">              </w:t>
      </w:r>
      <w:r>
        <w:rPr>
          <w:rFonts w:hint="eastAsia" w:ascii="宋体" w:hAnsi="宋体" w:cs="宋体"/>
          <w:color w:val="auto"/>
          <w:sz w:val="24"/>
          <w:szCs w:val="28"/>
          <w:highlight w:val="none"/>
        </w:rPr>
        <w:t>（采购人名称）</w:t>
      </w:r>
    </w:p>
    <w:p w14:paraId="7BE2F514">
      <w:pPr>
        <w:keepNext w:val="0"/>
        <w:keepLines w:val="0"/>
        <w:pageBreakBefore w:val="0"/>
        <w:widowControl w:val="0"/>
        <w:kinsoku/>
        <w:wordWrap/>
        <w:overflowPunct/>
        <w:topLinePunct w:val="0"/>
        <w:autoSpaceDE/>
        <w:autoSpaceDN/>
        <w:bidi w:val="0"/>
        <w:adjustRightInd/>
        <w:snapToGrid/>
        <w:spacing w:before="390" w:beforeLines="100" w:after="196" w:afterLines="50" w:line="560" w:lineRule="exact"/>
        <w:ind w:left="0" w:leftChars="0" w:right="0" w:rightChars="0" w:firstLine="645" w:firstLineChars="250"/>
        <w:jc w:val="both"/>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（供应商名称）</w:t>
      </w:r>
      <w:r>
        <w:rPr>
          <w:rFonts w:hint="eastAsia" w:ascii="宋体" w:hAnsi="宋体" w:eastAsia="宋体" w:cs="宋体"/>
          <w:color w:val="auto"/>
          <w:spacing w:val="4"/>
          <w:sz w:val="24"/>
          <w:highlight w:val="none"/>
        </w:rPr>
        <w:t xml:space="preserve"> 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non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日在中华人民共和国境内</w:t>
      </w:r>
      <w:r>
        <w:rPr>
          <w:rFonts w:hint="eastAsia" w:ascii="宋体" w:hAnsi="宋体" w:eastAsia="宋体" w:cs="宋体"/>
          <w:color w:val="auto"/>
          <w:spacing w:val="4"/>
          <w:sz w:val="24"/>
          <w:highlight w:val="none"/>
          <w:u w:val="single"/>
        </w:rPr>
        <w:t xml:space="preserve">            </w:t>
      </w:r>
      <w:r>
        <w:rPr>
          <w:rFonts w:hint="eastAsia" w:ascii="宋体" w:hAnsi="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（详细注册地址）</w:t>
      </w:r>
      <w:r>
        <w:rPr>
          <w:rFonts w:hint="eastAsia" w:ascii="宋体" w:hAnsi="宋体" w:eastAsia="宋体" w:cs="宋体"/>
          <w:color w:val="auto"/>
          <w:spacing w:val="4"/>
          <w:sz w:val="24"/>
          <w:highlight w:val="none"/>
        </w:rPr>
        <w:t>合法注册并经营，公司主营业务为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营业（生产经营）面积为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现有员工数量为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其中与履行本合同相关的专业技术人员有（</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专业能力、</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数量 </w:t>
      </w:r>
      <w:r>
        <w:rPr>
          <w:rFonts w:hint="eastAsia" w:ascii="宋体" w:hAnsi="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），本公司郑重承诺，具有履行本合同所必需的设备和专业技术能力。</w:t>
      </w:r>
    </w:p>
    <w:p w14:paraId="566BF4CE">
      <w:pPr>
        <w:pageBreakBefore w:val="0"/>
        <w:wordWrap/>
        <w:overflowPunct/>
        <w:topLinePunct w:val="0"/>
        <w:bidi w:val="0"/>
        <w:spacing w:before="312" w:beforeLines="100" w:after="156" w:afterLines="50" w:line="360" w:lineRule="auto"/>
        <w:ind w:firstLine="170"/>
        <w:outlineLvl w:val="9"/>
        <w:rPr>
          <w:rFonts w:hint="eastAsia" w:ascii="宋体" w:hAnsi="宋体" w:eastAsia="宋体" w:cs="宋体"/>
          <w:color w:val="auto"/>
          <w:spacing w:val="4"/>
          <w:sz w:val="24"/>
          <w:highlight w:val="none"/>
        </w:rPr>
      </w:pPr>
    </w:p>
    <w:p w14:paraId="156CD4A5">
      <w:pPr>
        <w:pageBreakBefore w:val="0"/>
        <w:wordWrap/>
        <w:overflowPunct/>
        <w:topLinePunct w:val="0"/>
        <w:bidi w:val="0"/>
        <w:spacing w:before="312" w:beforeLines="100" w:after="156" w:afterLines="50" w:line="360" w:lineRule="auto"/>
        <w:ind w:firstLine="170"/>
        <w:outlineLvl w:val="9"/>
        <w:rPr>
          <w:rFonts w:hint="eastAsia" w:ascii="宋体" w:hAnsi="宋体" w:eastAsia="宋体" w:cs="宋体"/>
          <w:color w:val="auto"/>
          <w:spacing w:val="4"/>
          <w:sz w:val="24"/>
          <w:highlight w:val="none"/>
        </w:rPr>
      </w:pPr>
    </w:p>
    <w:p w14:paraId="30E4211A">
      <w:pPr>
        <w:pStyle w:val="2"/>
        <w:pageBreakBefore w:val="0"/>
        <w:wordWrap/>
        <w:overflowPunct/>
        <w:topLinePunct w:val="0"/>
        <w:bidi w:val="0"/>
        <w:outlineLvl w:val="9"/>
        <w:rPr>
          <w:rFonts w:hint="eastAsia" w:ascii="宋体" w:hAnsi="宋体" w:eastAsia="宋体" w:cs="宋体"/>
          <w:color w:val="auto"/>
          <w:sz w:val="24"/>
          <w:szCs w:val="24"/>
          <w:highlight w:val="none"/>
        </w:rPr>
      </w:pPr>
    </w:p>
    <w:p w14:paraId="716DAB48">
      <w:pPr>
        <w:pageBreakBefore w:val="0"/>
        <w:widowControl/>
        <w:wordWrap/>
        <w:overflowPunct/>
        <w:topLinePunct w:val="0"/>
        <w:bidi w:val="0"/>
        <w:snapToGrid w:val="0"/>
        <w:spacing w:line="360" w:lineRule="auto"/>
        <w:ind w:right="560" w:firstLine="3250" w:firstLineChars="1300"/>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供应商名称（</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章</w:t>
      </w:r>
      <w:r>
        <w:rPr>
          <w:rFonts w:hint="eastAsia" w:ascii="宋体" w:hAnsi="宋体" w:cs="宋体"/>
          <w:color w:val="auto"/>
          <w:sz w:val="24"/>
          <w:szCs w:val="28"/>
          <w:highlight w:val="none"/>
        </w:rPr>
        <w:t>）：</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p>
    <w:p w14:paraId="1E71744F">
      <w:pPr>
        <w:pageBreakBefore w:val="0"/>
        <w:widowControl/>
        <w:wordWrap/>
        <w:overflowPunct/>
        <w:topLinePunct w:val="0"/>
        <w:bidi w:val="0"/>
        <w:snapToGrid w:val="0"/>
        <w:spacing w:line="360" w:lineRule="auto"/>
        <w:ind w:firstLine="560"/>
        <w:jc w:val="left"/>
        <w:outlineLvl w:val="9"/>
        <w:rPr>
          <w:rFonts w:ascii="宋体" w:hAnsi="宋体" w:cs="宋体"/>
          <w:color w:val="auto"/>
          <w:sz w:val="24"/>
          <w:szCs w:val="28"/>
          <w:highlight w:val="none"/>
        </w:rPr>
      </w:pPr>
    </w:p>
    <w:p w14:paraId="7D5FE977">
      <w:pPr>
        <w:pageBreakBefore w:val="0"/>
        <w:widowControl/>
        <w:wordWrap/>
        <w:overflowPunct/>
        <w:topLinePunct w:val="0"/>
        <w:bidi w:val="0"/>
        <w:snapToGrid w:val="0"/>
        <w:spacing w:line="360" w:lineRule="auto"/>
        <w:ind w:firstLine="560"/>
        <w:jc w:val="left"/>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法定代表人（签字或</w:t>
      </w:r>
      <w:r>
        <w:rPr>
          <w:rFonts w:hint="eastAsia" w:ascii="宋体" w:hAnsi="宋体" w:cs="宋体"/>
          <w:color w:val="auto"/>
          <w:sz w:val="24"/>
          <w:szCs w:val="28"/>
          <w:highlight w:val="none"/>
          <w:lang w:eastAsia="zh-CN"/>
        </w:rPr>
        <w:t>盖</w:t>
      </w:r>
      <w:r>
        <w:rPr>
          <w:rFonts w:hint="eastAsia" w:ascii="宋体" w:hAnsi="宋体" w:cs="宋体"/>
          <w:color w:val="auto"/>
          <w:sz w:val="24"/>
          <w:szCs w:val="28"/>
          <w:highlight w:val="none"/>
        </w:rPr>
        <w:t>章）：</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p>
    <w:p w14:paraId="0E7D44B7">
      <w:pPr>
        <w:pageBreakBefore w:val="0"/>
        <w:widowControl/>
        <w:wordWrap/>
        <w:overflowPunct/>
        <w:topLinePunct w:val="0"/>
        <w:bidi w:val="0"/>
        <w:snapToGrid w:val="0"/>
        <w:spacing w:line="360" w:lineRule="auto"/>
        <w:ind w:firstLine="560"/>
        <w:jc w:val="left"/>
        <w:outlineLvl w:val="9"/>
        <w:rPr>
          <w:rFonts w:ascii="宋体" w:hAnsi="宋体" w:cs="宋体"/>
          <w:color w:val="auto"/>
          <w:sz w:val="24"/>
          <w:szCs w:val="28"/>
          <w:highlight w:val="none"/>
        </w:rPr>
      </w:pPr>
    </w:p>
    <w:p w14:paraId="792A5FEB">
      <w:pPr>
        <w:pageBreakBefore w:val="0"/>
        <w:wordWrap/>
        <w:overflowPunct/>
        <w:topLinePunct w:val="0"/>
        <w:bidi w:val="0"/>
        <w:outlineLvl w:val="9"/>
        <w:rPr>
          <w:rFonts w:hint="eastAsia"/>
          <w:color w:val="auto"/>
          <w:highlight w:val="none"/>
          <w:lang w:eastAsia="zh-CN"/>
        </w:rPr>
      </w:pP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日    期：</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日</w:t>
      </w:r>
    </w:p>
    <w:p w14:paraId="36420BAB">
      <w:pPr>
        <w:pageBreakBefore w:val="0"/>
        <w:wordWrap/>
        <w:overflowPunct/>
        <w:topLinePunct w:val="0"/>
        <w:bidi w:val="0"/>
        <w:adjustRightInd w:val="0"/>
        <w:spacing w:line="460" w:lineRule="exact"/>
        <w:ind w:firstLine="460" w:firstLineChars="200"/>
        <w:jc w:val="left"/>
        <w:outlineLvl w:val="9"/>
        <w:rPr>
          <w:rFonts w:ascii="宋体" w:hAnsi="宋体" w:cs="宋体"/>
          <w:color w:val="auto"/>
          <w:sz w:val="22"/>
          <w:highlight w:val="none"/>
        </w:rPr>
      </w:pPr>
    </w:p>
    <w:p w14:paraId="7F79B93D">
      <w:pPr>
        <w:pStyle w:val="48"/>
        <w:rPr>
          <w:color w:val="auto"/>
          <w:highlight w:val="none"/>
        </w:rPr>
      </w:pPr>
    </w:p>
    <w:p w14:paraId="720CE7FB">
      <w:pPr>
        <w:pStyle w:val="48"/>
        <w:rPr>
          <w:color w:val="auto"/>
          <w:highlight w:val="none"/>
        </w:rPr>
      </w:pPr>
    </w:p>
    <w:p w14:paraId="44DAE6B6">
      <w:pPr>
        <w:pStyle w:val="48"/>
        <w:rPr>
          <w:color w:val="auto"/>
          <w:highlight w:val="none"/>
        </w:rPr>
      </w:pPr>
    </w:p>
    <w:p w14:paraId="26FAC3C1">
      <w:pPr>
        <w:pStyle w:val="48"/>
        <w:rPr>
          <w:color w:val="auto"/>
          <w:highlight w:val="none"/>
        </w:rPr>
      </w:pPr>
    </w:p>
    <w:p w14:paraId="202F484C">
      <w:pPr>
        <w:pStyle w:val="48"/>
        <w:rPr>
          <w:color w:val="auto"/>
          <w:highlight w:val="none"/>
        </w:rPr>
      </w:pPr>
    </w:p>
    <w:p w14:paraId="2B2895CF">
      <w:pPr>
        <w:pStyle w:val="48"/>
        <w:rPr>
          <w:color w:val="auto"/>
          <w:highlight w:val="none"/>
        </w:rPr>
      </w:pPr>
    </w:p>
    <w:p w14:paraId="10C56DCC">
      <w:pPr>
        <w:pageBreakBefore w:val="0"/>
        <w:wordWrap/>
        <w:overflowPunct/>
        <w:topLinePunct w:val="0"/>
        <w:bidi w:val="0"/>
        <w:spacing w:line="520" w:lineRule="exact"/>
        <w:outlineLvl w:val="9"/>
        <w:rPr>
          <w:rFonts w:hint="eastAsia" w:ascii="宋体" w:hAnsi="宋体"/>
          <w:b/>
          <w:bCs/>
          <w:color w:val="auto"/>
          <w:sz w:val="36"/>
          <w:szCs w:val="36"/>
          <w:highlight w:val="none"/>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6</w:t>
      </w:r>
      <w:r>
        <w:rPr>
          <w:rFonts w:hint="eastAsia" w:ascii="宋体" w:hAnsi="宋体"/>
          <w:b/>
          <w:bCs/>
          <w:color w:val="auto"/>
          <w:szCs w:val="21"/>
          <w:highlight w:val="none"/>
        </w:rPr>
        <w:t>：</w:t>
      </w:r>
    </w:p>
    <w:p w14:paraId="5EEBDFB3">
      <w:pPr>
        <w:pStyle w:val="16"/>
        <w:adjustRightInd w:val="0"/>
        <w:snapToGrid w:val="0"/>
        <w:spacing w:line="360" w:lineRule="auto"/>
        <w:jc w:val="both"/>
        <w:rPr>
          <w:rFonts w:hint="eastAsia" w:hAnsi="宋体" w:cs="宋体"/>
          <w:b/>
          <w:sz w:val="24"/>
          <w:szCs w:val="24"/>
        </w:rPr>
      </w:pPr>
    </w:p>
    <w:p w14:paraId="6FF05A5A">
      <w:pPr>
        <w:pStyle w:val="16"/>
        <w:adjustRightInd w:val="0"/>
        <w:snapToGrid w:val="0"/>
        <w:spacing w:line="360" w:lineRule="auto"/>
        <w:jc w:val="center"/>
        <w:rPr>
          <w:rFonts w:hint="eastAsia" w:cs="宋体"/>
          <w:sz w:val="24"/>
          <w:szCs w:val="24"/>
          <w:highlight w:val="none"/>
        </w:rPr>
      </w:pPr>
      <w:r>
        <w:rPr>
          <w:rFonts w:hint="eastAsia" w:hAnsi="宋体" w:cs="宋体"/>
          <w:b/>
          <w:sz w:val="24"/>
          <w:szCs w:val="24"/>
        </w:rPr>
        <w:t>供应商控股、管理关系</w:t>
      </w:r>
      <w:r>
        <w:rPr>
          <w:rFonts w:hint="eastAsia" w:hAnsi="宋体" w:cs="宋体"/>
          <w:b/>
          <w:sz w:val="24"/>
          <w:szCs w:val="24"/>
          <w:lang w:eastAsia="zh-CN"/>
        </w:rPr>
        <w:t>声明</w:t>
      </w:r>
    </w:p>
    <w:p w14:paraId="71C063C4">
      <w:pPr>
        <w:autoSpaceDE w:val="0"/>
        <w:autoSpaceDN w:val="0"/>
        <w:adjustRightInd w:val="0"/>
        <w:snapToGrid w:val="0"/>
        <w:spacing w:line="360" w:lineRule="auto"/>
        <w:ind w:firstLine="500" w:firstLineChars="200"/>
        <w:rPr>
          <w:rFonts w:hint="eastAsia" w:ascii="宋体" w:hAnsi="宋体" w:cs="宋体"/>
          <w:sz w:val="24"/>
          <w:szCs w:val="24"/>
          <w:highlight w:val="none"/>
        </w:rPr>
      </w:pPr>
      <w:r>
        <w:rPr>
          <w:rFonts w:hint="eastAsia" w:ascii="宋体" w:hAnsi="宋体" w:cs="宋体"/>
          <w:sz w:val="24"/>
          <w:szCs w:val="24"/>
          <w:highlight w:val="none"/>
          <w:lang w:eastAsia="zh-CN"/>
        </w:rPr>
        <w:t>依据《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我方在此</w:t>
      </w:r>
      <w:r>
        <w:rPr>
          <w:rFonts w:hint="eastAsia" w:hAnsi="宋体" w:cs="宋体"/>
          <w:spacing w:val="4"/>
          <w:sz w:val="24"/>
          <w:szCs w:val="24"/>
          <w:highlight w:val="none"/>
        </w:rPr>
        <w:t>郑重</w:t>
      </w:r>
      <w:r>
        <w:rPr>
          <w:rFonts w:hint="eastAsia" w:ascii="宋体" w:hAnsi="宋体" w:cs="宋体"/>
          <w:sz w:val="24"/>
          <w:szCs w:val="24"/>
          <w:highlight w:val="none"/>
          <w:lang w:eastAsia="zh-CN"/>
        </w:rPr>
        <w:t>声明：</w:t>
      </w:r>
    </w:p>
    <w:p w14:paraId="7DC9AF6A">
      <w:pPr>
        <w:snapToGrid w:val="0"/>
        <w:spacing w:line="360" w:lineRule="auto"/>
        <w:ind w:firstLine="500" w:firstLineChars="200"/>
        <w:rPr>
          <w:rFonts w:hint="eastAsia" w:ascii="宋体" w:hAnsi="宋体" w:cs="宋体"/>
          <w:color w:val="auto"/>
          <w:sz w:val="24"/>
          <w:szCs w:val="24"/>
          <w:highlight w:val="none"/>
        </w:rPr>
      </w:pPr>
      <w:bookmarkStart w:id="113" w:name="_Toc18329_WPSOffice_Level1"/>
      <w:r>
        <w:rPr>
          <w:rFonts w:hint="eastAsia" w:ascii="宋体" w:hAnsi="宋体" w:cs="宋体"/>
          <w:color w:val="auto"/>
          <w:sz w:val="24"/>
          <w:szCs w:val="24"/>
          <w:highlight w:val="none"/>
        </w:rPr>
        <w:t>1、管理关系说明：</w:t>
      </w:r>
      <w:bookmarkEnd w:id="113"/>
    </w:p>
    <w:p w14:paraId="206DA45A">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管理的具有独立法人的下属单位有：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6E2B278">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的上级管理单位有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4F88DAB">
      <w:pPr>
        <w:snapToGrid w:val="0"/>
        <w:spacing w:line="360" w:lineRule="auto"/>
        <w:ind w:firstLine="500" w:firstLineChars="200"/>
        <w:rPr>
          <w:rFonts w:hint="eastAsia" w:ascii="宋体" w:hAnsi="宋体" w:cs="宋体"/>
          <w:color w:val="auto"/>
          <w:sz w:val="24"/>
          <w:szCs w:val="24"/>
          <w:highlight w:val="none"/>
        </w:rPr>
      </w:pPr>
      <w:bookmarkStart w:id="114" w:name="_Toc24832_WPSOffice_Level1"/>
      <w:r>
        <w:rPr>
          <w:rFonts w:hint="eastAsia" w:ascii="宋体" w:hAnsi="宋体" w:cs="宋体"/>
          <w:color w:val="auto"/>
          <w:sz w:val="24"/>
          <w:szCs w:val="24"/>
          <w:highlight w:val="none"/>
        </w:rPr>
        <w:t>2、股权关系说明：</w:t>
      </w:r>
      <w:bookmarkEnd w:id="114"/>
    </w:p>
    <w:p w14:paraId="052F0D1B">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控股的单位有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1430C53">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被</w:t>
      </w:r>
      <w:r>
        <w:rPr>
          <w:rFonts w:hint="eastAsia" w:ascii="宋体" w:hAnsi="宋体" w:cs="宋体"/>
          <w:i/>
          <w:color w:val="auto"/>
          <w:sz w:val="24"/>
          <w:szCs w:val="24"/>
          <w:highlight w:val="none"/>
          <w:u w:val="single"/>
        </w:rPr>
        <w:t xml:space="preserve">           </w:t>
      </w:r>
      <w:r>
        <w:rPr>
          <w:rFonts w:hint="eastAsia" w:ascii="宋体" w:hAnsi="宋体" w:cs="宋体"/>
          <w:i/>
          <w:color w:val="auto"/>
          <w:sz w:val="24"/>
          <w:szCs w:val="24"/>
          <w:highlight w:val="none"/>
          <w:u w:val="single"/>
          <w:lang w:val="en-US" w:eastAsia="zh-CN"/>
        </w:rPr>
        <w:t xml:space="preserve">                               </w:t>
      </w:r>
      <w:r>
        <w:rPr>
          <w:rFonts w:hint="eastAsia" w:ascii="宋体" w:hAnsi="宋体" w:cs="宋体"/>
          <w:i/>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单位控股。</w:t>
      </w:r>
    </w:p>
    <w:p w14:paraId="36EEF3D6">
      <w:pPr>
        <w:snapToGrid w:val="0"/>
        <w:spacing w:line="360" w:lineRule="auto"/>
        <w:ind w:firstLine="50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eastAsia="zh-CN"/>
        </w:rPr>
        <w:t>我方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（是或</w:t>
      </w:r>
      <w:r>
        <w:rPr>
          <w:rFonts w:hint="eastAsia" w:ascii="宋体" w:hAnsi="宋体" w:cs="宋体"/>
          <w:color w:val="auto"/>
          <w:sz w:val="24"/>
          <w:szCs w:val="24"/>
          <w:highlight w:val="none"/>
          <w:u w:val="single"/>
          <w:lang w:eastAsia="zh-CN"/>
        </w:rPr>
        <w:t>不是</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为</w:t>
      </w:r>
      <w:r>
        <w:rPr>
          <w:rFonts w:hint="eastAsia" w:ascii="宋体" w:hAnsi="宋体" w:cs="宋体"/>
          <w:color w:val="auto"/>
          <w:sz w:val="24"/>
          <w:szCs w:val="24"/>
          <w:highlight w:val="none"/>
          <w:lang w:eastAsia="zh-CN"/>
        </w:rPr>
        <w:t>本</w:t>
      </w:r>
      <w:r>
        <w:rPr>
          <w:rFonts w:hint="eastAsia" w:ascii="宋体" w:hAnsi="宋体" w:cs="宋体"/>
          <w:color w:val="auto"/>
          <w:sz w:val="24"/>
          <w:szCs w:val="24"/>
          <w:highlight w:val="none"/>
        </w:rPr>
        <w:t>项目提供过整体设计、规范编制或者项目管理、监理、检测等服务的供应商。</w:t>
      </w:r>
    </w:p>
    <w:p w14:paraId="16BDAD02">
      <w:pPr>
        <w:autoSpaceDE w:val="0"/>
        <w:autoSpaceDN w:val="0"/>
        <w:adjustRightInd w:val="0"/>
        <w:snapToGrid w:val="0"/>
        <w:spacing w:line="360" w:lineRule="auto"/>
        <w:ind w:firstLine="50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4、我方单位负责人与其他投标人单位负责人</w:t>
      </w:r>
      <w:r>
        <w:rPr>
          <w:rFonts w:hint="eastAsia" w:ascii="宋体" w:hAnsi="宋体" w:cs="宋体"/>
          <w:color w:val="auto"/>
          <w:sz w:val="24"/>
          <w:szCs w:val="24"/>
          <w:highlight w:val="none"/>
          <w:u w:val="single"/>
          <w:lang w:val="en-US" w:eastAsia="zh-CN"/>
        </w:rPr>
        <w:t xml:space="preserve">   （是或不是）    </w:t>
      </w:r>
      <w:r>
        <w:rPr>
          <w:rFonts w:hint="eastAsia" w:ascii="宋体" w:hAnsi="宋体" w:cs="宋体"/>
          <w:color w:val="auto"/>
          <w:sz w:val="24"/>
          <w:szCs w:val="24"/>
          <w:highlight w:val="none"/>
          <w:lang w:val="en-US" w:eastAsia="zh-CN"/>
        </w:rPr>
        <w:t>为同一人。</w:t>
      </w:r>
    </w:p>
    <w:p w14:paraId="0612191B">
      <w:pPr>
        <w:autoSpaceDE w:val="0"/>
        <w:autoSpaceDN w:val="0"/>
        <w:adjustRightInd w:val="0"/>
        <w:snapToGrid w:val="0"/>
        <w:spacing w:line="360" w:lineRule="auto"/>
        <w:ind w:firstLine="50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其他与本项目有关的利害关系说明：</w:t>
      </w:r>
    </w:p>
    <w:p w14:paraId="60DB27E6">
      <w:pPr>
        <w:autoSpaceDE w:val="0"/>
        <w:autoSpaceDN w:val="0"/>
        <w:adjustRightInd w:val="0"/>
        <w:spacing w:line="360" w:lineRule="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0F3843AF">
      <w:pPr>
        <w:pStyle w:val="27"/>
        <w:wordWrap w:val="0"/>
        <w:spacing w:line="360" w:lineRule="auto"/>
        <w:ind w:firstLine="420"/>
        <w:rPr>
          <w:rFonts w:hint="eastAsia" w:hAnsi="宋体" w:cs="宋体"/>
          <w:b/>
          <w:color w:val="auto"/>
          <w:sz w:val="24"/>
          <w:szCs w:val="24"/>
          <w:highlight w:val="none"/>
        </w:rPr>
      </w:pPr>
      <w:r>
        <w:rPr>
          <w:rFonts w:hint="eastAsia" w:ascii="宋体" w:hAnsi="宋体" w:cs="宋体"/>
          <w:color w:val="auto"/>
          <w:sz w:val="24"/>
          <w:szCs w:val="24"/>
          <w:highlight w:val="none"/>
          <w:shd w:val="clear" w:color="auto" w:fill="FFFFFF"/>
        </w:rPr>
        <w:t>特此声明。</w:t>
      </w:r>
    </w:p>
    <w:p w14:paraId="3A13CAC8">
      <w:pPr>
        <w:keepNext w:val="0"/>
        <w:keepLines w:val="0"/>
        <w:pageBreakBefore w:val="0"/>
        <w:kinsoku/>
        <w:wordWrap/>
        <w:overflowPunct/>
        <w:topLinePunct w:val="0"/>
        <w:autoSpaceDE/>
        <w:autoSpaceDN/>
        <w:bidi w:val="0"/>
        <w:adjustRightInd/>
        <w:snapToGrid/>
        <w:spacing w:line="240" w:lineRule="auto"/>
        <w:ind w:left="0" w:leftChars="0" w:right="0" w:rightChars="0" w:firstLine="3000" w:firstLineChars="1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章）</w:t>
      </w:r>
    </w:p>
    <w:p w14:paraId="025106F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000" w:firstLineChars="1200"/>
        <w:jc w:val="left"/>
        <w:textAlignment w:val="auto"/>
        <w:outlineLvl w:val="9"/>
        <w:rPr>
          <w:rFonts w:hint="eastAsia" w:cs="宋体"/>
          <w:color w:val="auto"/>
          <w:sz w:val="24"/>
          <w:szCs w:val="24"/>
          <w:lang w:eastAsia="zh-CN"/>
        </w:rPr>
      </w:pPr>
      <w:r>
        <w:rPr>
          <w:rFonts w:hint="eastAsia" w:ascii="宋体" w:hAnsi="宋体" w:eastAsia="宋体" w:cs="宋体"/>
          <w:color w:val="auto"/>
          <w:sz w:val="24"/>
          <w:szCs w:val="24"/>
        </w:rPr>
        <w:t>法定代表人</w:t>
      </w:r>
      <w:r>
        <w:rPr>
          <w:rFonts w:hint="eastAsia" w:cs="宋体"/>
          <w:color w:val="auto"/>
          <w:sz w:val="24"/>
          <w:szCs w:val="24"/>
          <w:lang w:eastAsia="zh-CN"/>
        </w:rPr>
        <w:t>或</w:t>
      </w:r>
    </w:p>
    <w:p w14:paraId="66CCE6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000" w:firstLineChars="1200"/>
        <w:jc w:val="left"/>
        <w:textAlignment w:val="auto"/>
        <w:outlineLvl w:val="9"/>
        <w:rPr>
          <w:rFonts w:hint="eastAsia" w:ascii="宋体" w:hAnsi="宋体" w:eastAsia="宋体" w:cs="宋体"/>
          <w:color w:val="auto"/>
          <w:sz w:val="24"/>
          <w:szCs w:val="24"/>
        </w:rPr>
      </w:pPr>
      <w:r>
        <w:rPr>
          <w:rFonts w:hint="eastAsia" w:cs="宋体"/>
          <w:color w:val="auto"/>
          <w:sz w:val="24"/>
          <w:szCs w:val="24"/>
          <w:lang w:eastAsia="zh-CN"/>
        </w:rPr>
        <w:t>被授权人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eastAsia="zh-CN"/>
        </w:rPr>
        <w:t>或盖章</w:t>
      </w:r>
      <w:r>
        <w:rPr>
          <w:rFonts w:hint="eastAsia" w:ascii="宋体" w:hAnsi="宋体" w:eastAsia="宋体" w:cs="宋体"/>
          <w:color w:val="auto"/>
          <w:sz w:val="24"/>
          <w:szCs w:val="24"/>
        </w:rPr>
        <w:t>）</w:t>
      </w:r>
    </w:p>
    <w:p w14:paraId="1FBD8978">
      <w:pPr>
        <w:keepNext w:val="0"/>
        <w:keepLines w:val="0"/>
        <w:pageBreakBefore w:val="0"/>
        <w:kinsoku/>
        <w:wordWrap/>
        <w:overflowPunct/>
        <w:topLinePunct w:val="0"/>
        <w:autoSpaceDE/>
        <w:autoSpaceDN/>
        <w:bidi w:val="0"/>
        <w:adjustRightInd/>
        <w:snapToGrid/>
        <w:spacing w:line="240" w:lineRule="auto"/>
        <w:ind w:left="0" w:leftChars="0" w:right="0" w:rightChars="0"/>
        <w:jc w:val="right"/>
        <w:textAlignment w:val="auto"/>
        <w:outlineLvl w:val="9"/>
        <w:rPr>
          <w:rFonts w:hint="eastAsia" w:ascii="宋体" w:hAnsi="宋体" w:eastAsia="宋体" w:cs="宋体"/>
          <w:color w:val="auto"/>
          <w:sz w:val="24"/>
          <w:szCs w:val="24"/>
        </w:rPr>
      </w:pPr>
    </w:p>
    <w:p w14:paraId="101F0FAC">
      <w:pPr>
        <w:keepNext w:val="0"/>
        <w:keepLines w:val="0"/>
        <w:pageBreakBefore w:val="0"/>
        <w:widowControl w:val="0"/>
        <w:tabs>
          <w:tab w:val="left" w:pos="720"/>
          <w:tab w:val="left" w:pos="900"/>
        </w:tabs>
        <w:kinsoku/>
        <w:wordWrap/>
        <w:overflowPunct/>
        <w:topLinePunct w:val="0"/>
        <w:autoSpaceDE/>
        <w:autoSpaceDN/>
        <w:bidi w:val="0"/>
        <w:adjustRightInd w:val="0"/>
        <w:snapToGrid/>
        <w:spacing w:line="600" w:lineRule="exact"/>
        <w:ind w:right="0" w:rightChars="0" w:firstLine="3000" w:firstLineChars="1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016D1F1">
      <w:pPr>
        <w:pStyle w:val="2"/>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注：后附</w:t>
      </w:r>
      <w:r>
        <w:rPr>
          <w:rFonts w:hint="eastAsia" w:ascii="宋体" w:hAnsi="宋体" w:cs="宋体"/>
          <w:color w:val="auto"/>
          <w:sz w:val="24"/>
          <w:szCs w:val="24"/>
          <w:highlight w:val="none"/>
          <w:lang w:val="en-US" w:eastAsia="zh-CN"/>
        </w:rPr>
        <w:t>国家企业信用信息公示系统网页查询截图（体现股东及出资详细信息）并加盖公章。</w:t>
      </w:r>
    </w:p>
    <w:p w14:paraId="664006A2">
      <w:pPr>
        <w:pStyle w:val="2"/>
        <w:rPr>
          <w:rFonts w:hint="eastAsia" w:ascii="宋体" w:hAnsi="宋体" w:eastAsia="宋体" w:cs="宋体"/>
          <w:color w:val="auto"/>
          <w:sz w:val="24"/>
          <w:szCs w:val="24"/>
        </w:rPr>
      </w:pPr>
    </w:p>
    <w:p w14:paraId="78D3F732">
      <w:pPr>
        <w:pageBreakBefore w:val="0"/>
        <w:wordWrap/>
        <w:overflowPunct/>
        <w:topLinePunct w:val="0"/>
        <w:bidi w:val="0"/>
        <w:spacing w:line="520" w:lineRule="exact"/>
        <w:outlineLvl w:val="9"/>
        <w:rPr>
          <w:rFonts w:ascii="宋体" w:hAnsi="宋体"/>
          <w:b/>
          <w:i w:val="0"/>
          <w:caps w:val="0"/>
          <w:color w:val="auto"/>
          <w:spacing w:val="0"/>
          <w:w w:val="100"/>
          <w:kern w:val="2"/>
          <w:sz w:val="22"/>
          <w:szCs w:val="22"/>
          <w:highlight w:val="none"/>
          <w:lang w:val="en-US" w:eastAsia="zh-CN" w:bidi="ar-SA"/>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7</w:t>
      </w:r>
      <w:r>
        <w:rPr>
          <w:rFonts w:hint="eastAsia" w:ascii="宋体" w:hAnsi="宋体"/>
          <w:b/>
          <w:bCs/>
          <w:color w:val="auto"/>
          <w:szCs w:val="21"/>
          <w:highlight w:val="none"/>
        </w:rPr>
        <w:t>：</w:t>
      </w:r>
    </w:p>
    <w:p w14:paraId="64A63EF5">
      <w:pPr>
        <w:snapToGrid/>
        <w:spacing w:before="120" w:beforeAutospacing="0" w:after="120" w:afterAutospacing="0" w:line="360" w:lineRule="auto"/>
        <w:jc w:val="center"/>
        <w:textAlignment w:val="baseline"/>
        <w:rPr>
          <w:rFonts w:ascii="宋体" w:hAnsi="宋体"/>
          <w:b/>
          <w:i w:val="0"/>
          <w:caps w:val="0"/>
          <w:color w:val="auto"/>
          <w:spacing w:val="0"/>
          <w:w w:val="100"/>
          <w:kern w:val="2"/>
          <w:sz w:val="24"/>
          <w:szCs w:val="24"/>
          <w:highlight w:val="none"/>
          <w:lang w:val="en-US" w:eastAsia="zh-CN" w:bidi="ar-SA"/>
        </w:rPr>
      </w:pPr>
      <w:r>
        <w:rPr>
          <w:rFonts w:ascii="宋体" w:hAnsi="宋体"/>
          <w:b/>
          <w:i w:val="0"/>
          <w:caps w:val="0"/>
          <w:color w:val="auto"/>
          <w:spacing w:val="0"/>
          <w:w w:val="100"/>
          <w:kern w:val="2"/>
          <w:sz w:val="24"/>
          <w:szCs w:val="24"/>
          <w:highlight w:val="none"/>
          <w:lang w:val="en-US" w:eastAsia="zh-CN" w:bidi="ar-SA"/>
        </w:rPr>
        <w:t>政府采购投标担保函 （项目用）</w:t>
      </w:r>
    </w:p>
    <w:p w14:paraId="74D046A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6720"/>
        <w:jc w:val="left"/>
        <w:textAlignment w:val="baseline"/>
        <w:rPr>
          <w:rFonts w:ascii="微软雅黑" w:hAnsi="微软雅黑" w:eastAsia="微软雅黑" w:cs="Times New Roman"/>
          <w:b w:val="0"/>
          <w:i w:val="0"/>
          <w:caps w:val="0"/>
          <w:color w:val="auto"/>
          <w:spacing w:val="0"/>
          <w:w w:val="100"/>
          <w:kern w:val="0"/>
          <w:sz w:val="22"/>
          <w:szCs w:val="22"/>
          <w:highlight w:val="none"/>
          <w:lang w:val="en-US" w:eastAsia="zh-CN" w:bidi="ar-SA"/>
        </w:rPr>
      </w:pPr>
      <w:r>
        <w:rPr>
          <w:rFonts w:ascii="宋体" w:hAnsi="宋体" w:eastAsia="宋体" w:cs="Times New Roman"/>
          <w:b w:val="0"/>
          <w:i w:val="0"/>
          <w:caps w:val="0"/>
          <w:color w:val="auto"/>
          <w:spacing w:val="0"/>
          <w:w w:val="100"/>
          <w:kern w:val="0"/>
          <w:sz w:val="22"/>
          <w:szCs w:val="22"/>
          <w:highlight w:val="none"/>
          <w:lang w:val="en-US" w:eastAsia="zh-CN" w:bidi="ar-SA"/>
        </w:rPr>
        <w:t>编号：</w:t>
      </w:r>
    </w:p>
    <w:p w14:paraId="19C1BF1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20"/>
        <w:jc w:val="left"/>
        <w:textAlignment w:val="baseline"/>
        <w:rPr>
          <w:rFonts w:ascii="微软雅黑" w:hAnsi="微软雅黑" w:eastAsia="微软雅黑" w:cs="Times New Roman"/>
          <w:b w:val="0"/>
          <w:i w:val="0"/>
          <w:caps w:val="0"/>
          <w:color w:val="auto"/>
          <w:spacing w:val="0"/>
          <w:w w:val="100"/>
          <w:kern w:val="0"/>
          <w:sz w:val="24"/>
          <w:szCs w:val="24"/>
          <w:highlight w:val="none"/>
          <w:lang w:val="en-US" w:eastAsia="zh-CN" w:bidi="ar-SA"/>
        </w:rPr>
      </w:pPr>
      <w:r>
        <w:rPr>
          <w:rFonts w:ascii="宋体" w:hAnsi="宋体" w:eastAsia="宋体" w:cs="Times New Roman"/>
          <w:b w:val="0"/>
          <w:i w:val="0"/>
          <w:caps w:val="0"/>
          <w:color w:val="auto"/>
          <w:spacing w:val="0"/>
          <w:w w:val="100"/>
          <w:kern w:val="0"/>
          <w:sz w:val="24"/>
          <w:szCs w:val="24"/>
          <w:highlight w:val="none"/>
          <w:u w:val="single" w:color="000000"/>
          <w:lang w:val="en-US" w:eastAsia="zh-CN" w:bidi="ar-SA"/>
        </w:rPr>
        <w:t>           </w:t>
      </w:r>
      <w:r>
        <w:rPr>
          <w:rFonts w:ascii="宋体" w:hAnsi="宋体" w:eastAsia="宋体" w:cs="Times New Roman"/>
          <w:b w:val="0"/>
          <w:i w:val="0"/>
          <w:caps w:val="0"/>
          <w:color w:val="auto"/>
          <w:spacing w:val="0"/>
          <w:w w:val="100"/>
          <w:kern w:val="0"/>
          <w:sz w:val="24"/>
          <w:szCs w:val="24"/>
          <w:highlight w:val="none"/>
          <w:lang w:val="en-US" w:eastAsia="zh-CN" w:bidi="ar-SA"/>
        </w:rPr>
        <w:t>（采购人或采购代理机构）：</w:t>
      </w:r>
    </w:p>
    <w:p w14:paraId="29EA3030">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鉴于</w:t>
      </w:r>
      <w:r>
        <w:rPr>
          <w:color w:val="auto"/>
          <w:sz w:val="24"/>
          <w:szCs w:val="24"/>
          <w:highlight w:val="none"/>
          <w:u w:val="single"/>
          <w:lang w:val="en-US" w:eastAsia="zh-CN"/>
        </w:rPr>
        <w:t>               </w:t>
      </w:r>
      <w:r>
        <w:rPr>
          <w:color w:val="auto"/>
          <w:sz w:val="24"/>
          <w:szCs w:val="24"/>
          <w:highlight w:val="none"/>
          <w:lang w:val="en-US" w:eastAsia="zh-CN"/>
        </w:rPr>
        <w:t>（以下简称“</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”）拟参加编号为</w:t>
      </w:r>
      <w:r>
        <w:rPr>
          <w:color w:val="auto"/>
          <w:sz w:val="24"/>
          <w:szCs w:val="24"/>
          <w:highlight w:val="none"/>
          <w:u w:val="single"/>
          <w:lang w:val="en-US" w:eastAsia="zh-CN"/>
        </w:rPr>
        <w:t>            </w:t>
      </w:r>
      <w:r>
        <w:rPr>
          <w:color w:val="auto"/>
          <w:sz w:val="24"/>
          <w:szCs w:val="24"/>
          <w:highlight w:val="none"/>
          <w:lang w:val="en-US" w:eastAsia="zh-CN"/>
        </w:rPr>
        <w:t>的</w:t>
      </w:r>
      <w:r>
        <w:rPr>
          <w:color w:val="auto"/>
          <w:sz w:val="24"/>
          <w:szCs w:val="24"/>
          <w:highlight w:val="none"/>
          <w:u w:val="single"/>
          <w:lang w:val="en-US" w:eastAsia="zh-CN"/>
        </w:rPr>
        <w:t>          </w:t>
      </w:r>
      <w:r>
        <w:rPr>
          <w:color w:val="auto"/>
          <w:sz w:val="24"/>
          <w:szCs w:val="24"/>
          <w:highlight w:val="none"/>
          <w:lang w:val="en-US" w:eastAsia="zh-CN"/>
        </w:rPr>
        <w:t>项目（以下简称“本项目”）</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，根据本项目</w:t>
      </w:r>
      <w:r>
        <w:rPr>
          <w:rFonts w:hint="eastAsia" w:ascii="Times New Roman" w:eastAsia="宋体"/>
          <w:color w:val="auto"/>
          <w:sz w:val="24"/>
          <w:szCs w:val="24"/>
          <w:highlight w:val="none"/>
          <w:lang w:val="en-US" w:eastAsia="zh-CN"/>
        </w:rPr>
        <w:t>竞争性谈判</w:t>
      </w:r>
      <w:r>
        <w:rPr>
          <w:color w:val="auto"/>
          <w:sz w:val="24"/>
          <w:szCs w:val="24"/>
          <w:highlight w:val="none"/>
          <w:lang w:val="en-US" w:eastAsia="zh-CN"/>
        </w:rPr>
        <w:t>，供应商参加</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时应向你方交纳</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保证金，且可以投标担保函的形式交纳</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保证金。应供应商的申请，我方以保证的方式向你方提供如下</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保证金担保：</w:t>
      </w:r>
    </w:p>
    <w:p w14:paraId="67A835FD">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一、保证责任的情形及保证金额</w:t>
      </w:r>
    </w:p>
    <w:p w14:paraId="132A0A11">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（一）在</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出现下列情形之一时，我方承担保证责任：</w:t>
      </w:r>
    </w:p>
    <w:p w14:paraId="472FCD38">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w:t>
      </w:r>
      <w:r>
        <w:rPr>
          <w:rFonts w:hint="eastAsia" w:ascii="Times New Roman" w:eastAsia="宋体"/>
          <w:color w:val="auto"/>
          <w:sz w:val="24"/>
          <w:szCs w:val="24"/>
          <w:highlight w:val="none"/>
          <w:lang w:val="en-US" w:eastAsia="zh-CN"/>
        </w:rPr>
        <w:t>成交</w:t>
      </w:r>
      <w:r>
        <w:rPr>
          <w:color w:val="auto"/>
          <w:sz w:val="24"/>
          <w:szCs w:val="24"/>
          <w:highlight w:val="none"/>
          <w:lang w:val="en-US" w:eastAsia="zh-CN"/>
        </w:rPr>
        <w:t>后</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无正当理由不与采购人或者采购代理机构签订《政府采购合同》；</w:t>
      </w:r>
    </w:p>
    <w:p w14:paraId="18DD835B">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w:t>
      </w:r>
      <w:r>
        <w:rPr>
          <w:rFonts w:hint="eastAsia" w:ascii="Times New Roman" w:eastAsia="宋体"/>
          <w:color w:val="auto"/>
          <w:sz w:val="24"/>
          <w:szCs w:val="24"/>
          <w:highlight w:val="none"/>
          <w:lang w:val="en-US" w:eastAsia="zh-CN"/>
        </w:rPr>
        <w:t>竞争性谈判</w:t>
      </w:r>
      <w:r>
        <w:rPr>
          <w:color w:val="auto"/>
          <w:sz w:val="24"/>
          <w:szCs w:val="24"/>
          <w:highlight w:val="none"/>
          <w:lang w:val="en-US" w:eastAsia="zh-CN"/>
        </w:rPr>
        <w:t>规定的</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应当缴纳保证金的其他情形。</w:t>
      </w:r>
    </w:p>
    <w:p w14:paraId="4277F8D6">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rFonts w:ascii="宋体" w:hAnsi="宋体" w:eastAsia="宋体"/>
          <w:b w:val="0"/>
          <w:i w:val="0"/>
          <w:caps w:val="0"/>
          <w:color w:val="auto"/>
          <w:spacing w:val="0"/>
          <w:w w:val="100"/>
          <w:kern w:val="2"/>
          <w:sz w:val="24"/>
          <w:szCs w:val="24"/>
          <w:highlight w:val="none"/>
          <w:lang w:val="en-US" w:eastAsia="zh-CN" w:bidi="ar-SA"/>
        </w:rPr>
        <w:t>（二）我方承担保证责任的最高金额为人民币</w:t>
      </w:r>
      <w:r>
        <w:rPr>
          <w:rFonts w:ascii="宋体" w:hAnsi="宋体" w:eastAsia="宋体"/>
          <w:b w:val="0"/>
          <w:i w:val="0"/>
          <w:caps w:val="0"/>
          <w:color w:val="auto"/>
          <w:spacing w:val="0"/>
          <w:w w:val="100"/>
          <w:kern w:val="2"/>
          <w:sz w:val="24"/>
          <w:szCs w:val="24"/>
          <w:highlight w:val="none"/>
          <w:u w:val="single" w:color="000000"/>
          <w:lang w:val="en-US" w:eastAsia="zh-CN" w:bidi="ar-SA"/>
        </w:rPr>
        <w:t>      </w:t>
      </w:r>
      <w:r>
        <w:rPr>
          <w:rFonts w:ascii="宋体" w:hAnsi="宋体" w:eastAsia="宋体"/>
          <w:b w:val="0"/>
          <w:i w:val="0"/>
          <w:caps w:val="0"/>
          <w:color w:val="auto"/>
          <w:spacing w:val="0"/>
          <w:w w:val="100"/>
          <w:kern w:val="2"/>
          <w:sz w:val="24"/>
          <w:szCs w:val="24"/>
          <w:highlight w:val="none"/>
          <w:lang w:val="en-US" w:eastAsia="zh-CN" w:bidi="ar-SA"/>
        </w:rPr>
        <w:t>元（大写</w:t>
      </w:r>
      <w:r>
        <w:rPr>
          <w:rFonts w:ascii="宋体" w:hAnsi="宋体" w:eastAsia="宋体"/>
          <w:b w:val="0"/>
          <w:i w:val="0"/>
          <w:caps w:val="0"/>
          <w:color w:val="auto"/>
          <w:spacing w:val="0"/>
          <w:w w:val="100"/>
          <w:kern w:val="2"/>
          <w:sz w:val="24"/>
          <w:szCs w:val="24"/>
          <w:highlight w:val="none"/>
          <w:u w:val="single" w:color="000000"/>
          <w:lang w:val="en-US" w:eastAsia="zh-CN" w:bidi="ar-SA"/>
        </w:rPr>
        <w:t>      </w:t>
      </w:r>
      <w:r>
        <w:rPr>
          <w:rFonts w:ascii="宋体" w:hAnsi="宋体" w:eastAsia="宋体"/>
          <w:b w:val="0"/>
          <w:i w:val="0"/>
          <w:caps w:val="0"/>
          <w:color w:val="auto"/>
          <w:spacing w:val="0"/>
          <w:w w:val="100"/>
          <w:kern w:val="2"/>
          <w:sz w:val="24"/>
          <w:szCs w:val="24"/>
          <w:highlight w:val="none"/>
          <w:lang w:val="en-US" w:eastAsia="zh-CN" w:bidi="ar-SA"/>
        </w:rPr>
        <w:t>），即本项</w:t>
      </w:r>
      <w:r>
        <w:rPr>
          <w:color w:val="auto"/>
          <w:sz w:val="24"/>
          <w:szCs w:val="24"/>
          <w:highlight w:val="none"/>
          <w:lang w:val="en-US" w:eastAsia="zh-CN"/>
        </w:rPr>
        <w:t>目的</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保证金金额。</w:t>
      </w:r>
    </w:p>
    <w:p w14:paraId="530741F3">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二、保证的方式及保证期间</w:t>
      </w:r>
    </w:p>
    <w:p w14:paraId="4E364607">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我方保证的方式为：连带责任保证。</w:t>
      </w:r>
    </w:p>
    <w:p w14:paraId="346D4CDA">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我方的保证期间为：自本保函生效之日起</w:t>
      </w:r>
      <w:r>
        <w:rPr>
          <w:color w:val="auto"/>
          <w:sz w:val="24"/>
          <w:szCs w:val="24"/>
          <w:highlight w:val="none"/>
          <w:u w:val="single"/>
          <w:lang w:val="en-US" w:eastAsia="zh-CN"/>
        </w:rPr>
        <w:t>   </w:t>
      </w:r>
      <w:r>
        <w:rPr>
          <w:rFonts w:hint="eastAsia" w:ascii="Times New Roman" w:eastAsia="宋体"/>
          <w:color w:val="auto"/>
          <w:sz w:val="24"/>
          <w:szCs w:val="24"/>
          <w:highlight w:val="none"/>
          <w:u w:val="single"/>
          <w:lang w:val="en-US" w:eastAsia="zh-CN"/>
        </w:rPr>
        <w:t xml:space="preserve"> </w:t>
      </w:r>
      <w:r>
        <w:rPr>
          <w:color w:val="auto"/>
          <w:sz w:val="24"/>
          <w:szCs w:val="24"/>
          <w:highlight w:val="none"/>
          <w:u w:val="single"/>
          <w:lang w:val="en-US" w:eastAsia="zh-CN"/>
        </w:rPr>
        <w:t> </w:t>
      </w:r>
      <w:r>
        <w:rPr>
          <w:color w:val="auto"/>
          <w:sz w:val="24"/>
          <w:szCs w:val="24"/>
          <w:highlight w:val="none"/>
          <w:lang w:val="en-US" w:eastAsia="zh-CN"/>
        </w:rPr>
        <w:t>个月止。</w:t>
      </w:r>
    </w:p>
    <w:p w14:paraId="74AF5A22">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三、承担保证责任的程序</w:t>
      </w:r>
    </w:p>
    <w:p w14:paraId="08119D2D">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1．你方要求我方承担保证责任的，应在本保函保证期间内向我方发出书面索赔通知。索赔通知应写明要求索赔的金额，支付款项应到达的账号，并附有证明</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发生我方应承担保证责任情形的事实材料。</w:t>
      </w:r>
    </w:p>
    <w:p w14:paraId="7481A88D">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2．我方在收到索赔通知及相关证明材料后，在</w:t>
      </w:r>
      <w:r>
        <w:rPr>
          <w:color w:val="auto"/>
          <w:sz w:val="24"/>
          <w:szCs w:val="24"/>
          <w:highlight w:val="none"/>
          <w:u w:val="single"/>
          <w:lang w:val="en-US" w:eastAsia="zh-CN"/>
        </w:rPr>
        <w:t> </w:t>
      </w:r>
      <w:r>
        <w:rPr>
          <w:rFonts w:hint="eastAsia" w:ascii="Times New Roman" w:eastAsia="宋体"/>
          <w:color w:val="auto"/>
          <w:sz w:val="24"/>
          <w:szCs w:val="24"/>
          <w:highlight w:val="none"/>
          <w:u w:val="single"/>
          <w:lang w:val="en-US" w:eastAsia="zh-CN"/>
        </w:rPr>
        <w:t xml:space="preserve"> </w:t>
      </w:r>
      <w:r>
        <w:rPr>
          <w:color w:val="auto"/>
          <w:sz w:val="24"/>
          <w:szCs w:val="24"/>
          <w:highlight w:val="none"/>
          <w:u w:val="single"/>
          <w:lang w:val="en-US" w:eastAsia="zh-CN"/>
        </w:rPr>
        <w:t>  </w:t>
      </w:r>
      <w:r>
        <w:rPr>
          <w:color w:val="auto"/>
          <w:sz w:val="24"/>
          <w:szCs w:val="24"/>
          <w:highlight w:val="none"/>
          <w:lang w:val="en-US" w:eastAsia="zh-CN"/>
        </w:rPr>
        <w:t>个工作日内进行审查，符合应承担保证责任情形的，我方应按照你方的要求代</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向你方支付</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w:t>
      </w:r>
    </w:p>
    <w:p w14:paraId="5ABAAD93">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四、保证责任的终止</w:t>
      </w:r>
    </w:p>
    <w:p w14:paraId="204F89D5">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1．保证期间届满你方未向我方书面主张保证责任的，自保证期间届满次日起，我方保证责任自动终止。</w:t>
      </w:r>
    </w:p>
    <w:p w14:paraId="19FD73D7">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2．我方按照本保函向你方履行了保证责任后，自我方向你方支付款项（支付款项从我方账户划出）之日起，保证责任终止。</w:t>
      </w:r>
    </w:p>
    <w:p w14:paraId="49679BC4">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3．按照法律法规的规定或出现我方保证责任终止的其它情形的，我方在本保函项下的保证责任亦终止。</w:t>
      </w:r>
    </w:p>
    <w:p w14:paraId="6909D2E6">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五、免责条款</w:t>
      </w:r>
    </w:p>
    <w:p w14:paraId="20BD8B3A">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1．依照法律规定或你方与</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的另行约定，全部或者部分免除</w:t>
      </w:r>
      <w:r>
        <w:rPr>
          <w:rFonts w:hint="eastAsia" w:ascii="Times New Roman" w:eastAsia="宋体"/>
          <w:color w:val="auto"/>
          <w:sz w:val="24"/>
          <w:szCs w:val="24"/>
          <w:highlight w:val="none"/>
          <w:lang w:val="en-US" w:eastAsia="zh-CN"/>
        </w:rPr>
        <w:t>供应商谈判</w:t>
      </w:r>
      <w:r>
        <w:rPr>
          <w:color w:val="auto"/>
          <w:sz w:val="24"/>
          <w:szCs w:val="24"/>
          <w:highlight w:val="none"/>
          <w:lang w:val="en-US" w:eastAsia="zh-CN"/>
        </w:rPr>
        <w:t>保证金义务时，我方亦免除相应的保证责任。</w:t>
      </w:r>
    </w:p>
    <w:p w14:paraId="470DB3E8">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2．因你方原因致使</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发生本保函第一条第（一）款约定情形的，我方不承担保证责任。</w:t>
      </w:r>
    </w:p>
    <w:p w14:paraId="68C6EAF0">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3．因不可抗力造成</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发生本保函第一条约定情形的，我方不承担保证责任。</w:t>
      </w:r>
    </w:p>
    <w:p w14:paraId="452000BF">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4．你方或其他有权机关对</w:t>
      </w:r>
      <w:r>
        <w:rPr>
          <w:rFonts w:hint="eastAsia" w:ascii="Times New Roman" w:eastAsia="宋体"/>
          <w:color w:val="auto"/>
          <w:sz w:val="24"/>
          <w:szCs w:val="24"/>
          <w:highlight w:val="none"/>
          <w:lang w:val="en-US" w:eastAsia="zh-CN"/>
        </w:rPr>
        <w:t>竞争性谈判</w:t>
      </w:r>
      <w:r>
        <w:rPr>
          <w:color w:val="auto"/>
          <w:sz w:val="24"/>
          <w:szCs w:val="24"/>
          <w:highlight w:val="none"/>
          <w:lang w:val="en-US" w:eastAsia="zh-CN"/>
        </w:rPr>
        <w:t>进行任何澄清或修改，加重我方保证责任的，我方对加重部分不承担保证责任，但该澄清或修改经我方事先书面同意的除外。</w:t>
      </w:r>
    </w:p>
    <w:p w14:paraId="2ED8C886">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六、争议的解决</w:t>
      </w:r>
    </w:p>
    <w:p w14:paraId="0A26910B">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因本保函发生的纠纷，由你我双方协商解决，协商不成的，通过诉讼程序解决，诉讼管辖地法院为</w:t>
      </w:r>
      <w:r>
        <w:rPr>
          <w:color w:val="auto"/>
          <w:sz w:val="24"/>
          <w:szCs w:val="24"/>
          <w:highlight w:val="none"/>
          <w:u w:val="single"/>
          <w:lang w:val="en-US" w:eastAsia="zh-CN"/>
        </w:rPr>
        <w:t>          </w:t>
      </w:r>
      <w:r>
        <w:rPr>
          <w:color w:val="auto"/>
          <w:sz w:val="24"/>
          <w:szCs w:val="24"/>
          <w:highlight w:val="none"/>
          <w:lang w:val="en-US" w:eastAsia="zh-CN"/>
        </w:rPr>
        <w:t>法院。</w:t>
      </w:r>
    </w:p>
    <w:p w14:paraId="5FDE156B">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七、保函的生效</w:t>
      </w:r>
    </w:p>
    <w:p w14:paraId="5EAF2F3A">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本保函自我方加盖公章之日起生效。</w:t>
      </w:r>
    </w:p>
    <w:p w14:paraId="62B20F83">
      <w:pPr>
        <w:widowControl/>
        <w:pBdr>
          <w:top w:val="none" w:color="auto" w:sz="0" w:space="0"/>
          <w:left w:val="none" w:color="auto" w:sz="0" w:space="0"/>
          <w:bottom w:val="none" w:color="auto" w:sz="0" w:space="0"/>
          <w:right w:val="none" w:color="auto" w:sz="0" w:space="0"/>
        </w:pBdr>
        <w:shd w:val="clear" w:color="auto" w:fill="FFFFFF"/>
        <w:snapToGrid/>
        <w:spacing w:before="100" w:beforeAutospacing="1" w:after="100" w:afterAutospacing="1" w:line="450" w:lineRule="atLeast"/>
        <w:ind w:left="0" w:right="0" w:firstLine="5565"/>
        <w:jc w:val="left"/>
        <w:textAlignment w:val="baseline"/>
        <w:outlineLvl w:val="9"/>
        <w:rPr>
          <w:rFonts w:ascii="宋体" w:hAnsi="宋体" w:eastAsia="宋体" w:cs="Times New Roman"/>
          <w:b w:val="0"/>
          <w:i w:val="0"/>
          <w:caps w:val="0"/>
          <w:color w:val="auto"/>
          <w:spacing w:val="0"/>
          <w:w w:val="100"/>
          <w:kern w:val="0"/>
          <w:sz w:val="24"/>
          <w:szCs w:val="24"/>
          <w:highlight w:val="none"/>
          <w:lang w:val="en-US" w:eastAsia="zh-CN" w:bidi="ar-SA"/>
        </w:rPr>
      </w:pPr>
    </w:p>
    <w:p w14:paraId="5B6BF345">
      <w:pPr>
        <w:widowControl/>
        <w:pBdr>
          <w:top w:val="none" w:color="auto" w:sz="0" w:space="0"/>
          <w:left w:val="none" w:color="auto" w:sz="0" w:space="0"/>
          <w:bottom w:val="none" w:color="auto" w:sz="0" w:space="0"/>
          <w:right w:val="none" w:color="auto" w:sz="0" w:space="0"/>
        </w:pBdr>
        <w:shd w:val="clear" w:color="auto" w:fill="FFFFFF"/>
        <w:snapToGrid/>
        <w:spacing w:before="100" w:beforeAutospacing="1" w:after="100" w:afterAutospacing="1" w:line="450" w:lineRule="atLeast"/>
        <w:ind w:left="0" w:right="0" w:firstLine="5565"/>
        <w:jc w:val="left"/>
        <w:textAlignment w:val="baseline"/>
        <w:outlineLvl w:val="9"/>
        <w:rPr>
          <w:rFonts w:ascii="宋体" w:hAnsi="宋体" w:eastAsia="宋体" w:cs="Times New Roman"/>
          <w:b w:val="0"/>
          <w:i w:val="0"/>
          <w:caps w:val="0"/>
          <w:color w:val="auto"/>
          <w:spacing w:val="0"/>
          <w:w w:val="100"/>
          <w:kern w:val="0"/>
          <w:sz w:val="24"/>
          <w:szCs w:val="24"/>
          <w:highlight w:val="none"/>
          <w:lang w:val="en-US" w:eastAsia="zh-CN" w:bidi="ar-SA"/>
        </w:rPr>
      </w:pPr>
      <w:r>
        <w:rPr>
          <w:rFonts w:ascii="宋体" w:hAnsi="宋体" w:eastAsia="宋体" w:cs="Times New Roman"/>
          <w:b w:val="0"/>
          <w:i w:val="0"/>
          <w:caps w:val="0"/>
          <w:color w:val="auto"/>
          <w:spacing w:val="0"/>
          <w:w w:val="100"/>
          <w:kern w:val="0"/>
          <w:sz w:val="24"/>
          <w:szCs w:val="24"/>
          <w:highlight w:val="none"/>
          <w:lang w:val="en-US" w:eastAsia="zh-CN" w:bidi="ar-SA"/>
        </w:rPr>
        <w:t>保证人：（公章）</w:t>
      </w:r>
    </w:p>
    <w:p w14:paraId="0C1935A1">
      <w:pPr>
        <w:widowControl w:val="0"/>
        <w:spacing w:before="240" w:after="60"/>
        <w:jc w:val="center"/>
        <w:outlineLvl w:val="9"/>
        <w:rPr>
          <w:rFonts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 xml:space="preserve">                                    </w:t>
      </w:r>
      <w:r>
        <w:rPr>
          <w:rFonts w:ascii="宋体" w:hAnsi="宋体" w:eastAsia="宋体" w:cs="Times New Roman"/>
          <w:b w:val="0"/>
          <w:bCs/>
          <w:i w:val="0"/>
          <w:caps w:val="0"/>
          <w:color w:val="auto"/>
          <w:spacing w:val="0"/>
          <w:w w:val="100"/>
          <w:kern w:val="0"/>
          <w:sz w:val="24"/>
          <w:szCs w:val="24"/>
          <w:highlight w:val="none"/>
          <w:lang w:val="en-US" w:eastAsia="zh-CN" w:bidi="ar-SA"/>
        </w:rPr>
        <w:t>年  月   日</w:t>
      </w:r>
    </w:p>
    <w:p w14:paraId="13F0C6B9">
      <w:pPr>
        <w:pStyle w:val="48"/>
        <w:ind w:left="0" w:leftChars="0" w:firstLine="0" w:firstLineChars="0"/>
        <w:rPr>
          <w:color w:val="auto"/>
          <w:sz w:val="24"/>
          <w:szCs w:val="24"/>
          <w:highlight w:val="none"/>
        </w:rPr>
      </w:pPr>
    </w:p>
    <w:p w14:paraId="25FAEEE5">
      <w:pPr>
        <w:pStyle w:val="48"/>
        <w:rPr>
          <w:color w:val="auto"/>
          <w:highlight w:val="none"/>
        </w:rPr>
      </w:pPr>
    </w:p>
    <w:p w14:paraId="3B5F2301">
      <w:pPr>
        <w:pStyle w:val="48"/>
        <w:rPr>
          <w:color w:val="auto"/>
          <w:highlight w:val="none"/>
        </w:rPr>
      </w:pPr>
    </w:p>
    <w:p w14:paraId="7FA36491">
      <w:pPr>
        <w:pStyle w:val="48"/>
        <w:rPr>
          <w:color w:val="auto"/>
          <w:highlight w:val="none"/>
        </w:rPr>
      </w:pPr>
    </w:p>
    <w:p w14:paraId="6CD75B0C">
      <w:pPr>
        <w:pStyle w:val="48"/>
        <w:rPr>
          <w:color w:val="auto"/>
          <w:highlight w:val="none"/>
        </w:rPr>
      </w:pPr>
    </w:p>
    <w:p w14:paraId="627792BB">
      <w:pPr>
        <w:pStyle w:val="48"/>
        <w:rPr>
          <w:color w:val="auto"/>
          <w:highlight w:val="none"/>
        </w:rPr>
      </w:pPr>
    </w:p>
    <w:p w14:paraId="3813D849">
      <w:pPr>
        <w:pStyle w:val="48"/>
        <w:rPr>
          <w:color w:val="auto"/>
          <w:highlight w:val="none"/>
        </w:rPr>
      </w:pPr>
    </w:p>
    <w:p w14:paraId="5C5EC86A">
      <w:pPr>
        <w:pStyle w:val="48"/>
        <w:rPr>
          <w:color w:val="auto"/>
          <w:highlight w:val="none"/>
        </w:rPr>
      </w:pPr>
    </w:p>
    <w:p w14:paraId="465D3E2A">
      <w:pPr>
        <w:pStyle w:val="48"/>
        <w:rPr>
          <w:color w:val="auto"/>
          <w:highlight w:val="none"/>
        </w:rPr>
      </w:pPr>
    </w:p>
    <w:p w14:paraId="2DBAB610">
      <w:pPr>
        <w:pStyle w:val="48"/>
        <w:rPr>
          <w:color w:val="auto"/>
          <w:highlight w:val="none"/>
        </w:rPr>
      </w:pPr>
    </w:p>
    <w:p w14:paraId="461FA839">
      <w:pPr>
        <w:pageBreakBefore w:val="0"/>
        <w:wordWrap/>
        <w:overflowPunct/>
        <w:topLinePunct w:val="0"/>
        <w:bidi w:val="0"/>
        <w:spacing w:line="520" w:lineRule="exact"/>
        <w:outlineLvl w:val="9"/>
        <w:rPr>
          <w:rFonts w:hint="eastAsia" w:ascii="宋体" w:hAnsi="宋体"/>
          <w:b/>
          <w:bCs/>
          <w:color w:val="auto"/>
          <w:sz w:val="36"/>
          <w:szCs w:val="36"/>
          <w:highlight w:val="none"/>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8</w:t>
      </w:r>
      <w:r>
        <w:rPr>
          <w:rFonts w:hint="eastAsia" w:ascii="宋体" w:hAnsi="宋体"/>
          <w:b/>
          <w:bCs/>
          <w:color w:val="auto"/>
          <w:szCs w:val="21"/>
          <w:highlight w:val="none"/>
        </w:rPr>
        <w:t>：</w:t>
      </w:r>
    </w:p>
    <w:p w14:paraId="242F8C83">
      <w:pPr>
        <w:snapToGrid/>
        <w:spacing w:before="120" w:beforeAutospacing="0" w:after="120" w:afterAutospacing="0" w:line="360" w:lineRule="auto"/>
        <w:jc w:val="center"/>
        <w:textAlignment w:val="baseline"/>
        <w:rPr>
          <w:rFonts w:hint="eastAsia" w:ascii="宋体" w:hAnsi="宋体"/>
          <w:b/>
          <w:i w:val="0"/>
          <w:caps w:val="0"/>
          <w:color w:val="auto"/>
          <w:spacing w:val="0"/>
          <w:w w:val="100"/>
          <w:kern w:val="2"/>
          <w:sz w:val="24"/>
          <w:szCs w:val="24"/>
          <w:highlight w:val="none"/>
          <w:lang w:val="en-US" w:eastAsia="zh-CN" w:bidi="ar-SA"/>
        </w:rPr>
      </w:pPr>
      <w:r>
        <w:rPr>
          <w:rFonts w:hint="eastAsia" w:ascii="宋体" w:hAnsi="宋体"/>
          <w:b/>
          <w:i w:val="0"/>
          <w:caps w:val="0"/>
          <w:color w:val="auto"/>
          <w:spacing w:val="0"/>
          <w:w w:val="100"/>
          <w:kern w:val="2"/>
          <w:sz w:val="24"/>
          <w:szCs w:val="24"/>
          <w:highlight w:val="none"/>
          <w:lang w:val="en-US" w:eastAsia="zh-CN" w:bidi="ar-SA"/>
        </w:rPr>
        <w:t>交易保证金信用承诺书</w:t>
      </w:r>
    </w:p>
    <w:p w14:paraId="7979AB6A">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single"/>
          <w:lang w:eastAsia="zh-CN"/>
        </w:rPr>
        <w:t>（招标采购单位名称）：</w:t>
      </w:r>
    </w:p>
    <w:p w14:paraId="6FDFB981">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为维护公平、公正、公开的招标采购市场秩序，树立诚实守信的投标人供应形象，我单位自愿作出以下承诺：</w:t>
      </w:r>
    </w:p>
    <w:p w14:paraId="529E6560">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eastAsia="zh-CN"/>
        </w:rPr>
        <w:t>单位名称：</w:t>
      </w:r>
      <w:r>
        <w:rPr>
          <w:rFonts w:hint="eastAsia" w:ascii="宋体" w:hAnsi="宋体" w:eastAsia="宋体" w:cs="宋体"/>
          <w:b w:val="0"/>
          <w:bCs w:val="0"/>
          <w:sz w:val="24"/>
          <w:szCs w:val="24"/>
          <w:u w:val="single"/>
          <w:lang w:val="en-US" w:eastAsia="zh-CN"/>
        </w:rPr>
        <w:t xml:space="preserve">                                  </w:t>
      </w:r>
    </w:p>
    <w:p w14:paraId="049E6B1F">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lang w:eastAsia="zh-CN"/>
        </w:rPr>
        <w:t>统一社会信用代码：</w:t>
      </w:r>
      <w:r>
        <w:rPr>
          <w:rFonts w:hint="eastAsia" w:ascii="宋体" w:hAnsi="宋体" w:eastAsia="宋体" w:cs="宋体"/>
          <w:b w:val="0"/>
          <w:bCs w:val="0"/>
          <w:sz w:val="24"/>
          <w:szCs w:val="24"/>
          <w:u w:val="single"/>
          <w:lang w:val="en-US" w:eastAsia="zh-CN"/>
        </w:rPr>
        <w:t xml:space="preserve">                          </w:t>
      </w:r>
    </w:p>
    <w:p w14:paraId="173D5F16">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eastAsia="zh-CN"/>
        </w:rPr>
        <w:t>法定代表人：</w:t>
      </w:r>
      <w:r>
        <w:rPr>
          <w:rFonts w:hint="eastAsia" w:ascii="宋体" w:hAnsi="宋体" w:eastAsia="宋体" w:cs="宋体"/>
          <w:b w:val="0"/>
          <w:bCs w:val="0"/>
          <w:sz w:val="24"/>
          <w:szCs w:val="24"/>
          <w:u w:val="single"/>
          <w:lang w:val="en-US" w:eastAsia="zh-CN"/>
        </w:rPr>
        <w:t xml:space="preserve">                                </w:t>
      </w:r>
    </w:p>
    <w:p w14:paraId="6EE44F2A">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eastAsia="zh-CN"/>
        </w:rPr>
        <w:t>地址和联系电话：</w:t>
      </w:r>
      <w:r>
        <w:rPr>
          <w:rFonts w:hint="eastAsia" w:ascii="宋体" w:hAnsi="宋体" w:eastAsia="宋体" w:cs="宋体"/>
          <w:b w:val="0"/>
          <w:bCs w:val="0"/>
          <w:sz w:val="24"/>
          <w:szCs w:val="24"/>
          <w:u w:val="single"/>
          <w:lang w:val="en-US" w:eastAsia="zh-CN"/>
        </w:rPr>
        <w:t xml:space="preserve">                            </w:t>
      </w:r>
    </w:p>
    <w:p w14:paraId="0C108E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一、我单位具备承担招标采购项目的能力，自愿参加</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lang w:eastAsia="zh-CN"/>
        </w:rPr>
        <w:t>项目名称</w:t>
      </w:r>
      <w:r>
        <w:rPr>
          <w:rFonts w:hint="eastAsia" w:ascii="宋体" w:hAnsi="宋体" w:eastAsia="宋体" w:cs="宋体"/>
          <w:b w:val="0"/>
          <w:bCs w:val="0"/>
          <w:sz w:val="24"/>
          <w:szCs w:val="24"/>
          <w:lang w:eastAsia="zh-CN"/>
        </w:rPr>
        <w:t>）招标采购活动，严格遵守《中华人民共和国招标投标法》《中华人民共和国政府采购法》及相关法律法规，依法守信，诚信履约，自觉执行招标采购活动的各项规定。</w:t>
      </w:r>
    </w:p>
    <w:p w14:paraId="695F2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二、按照国家公共信用和行业、地方、第三方信用体系建设实践，我单位属于地方公共信用（行业信用评价、第三方信用评价）（选其一打钩）评价“诚信企业”。以上信用评价结果及政策文件附后。</w:t>
      </w:r>
    </w:p>
    <w:p w14:paraId="43972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我单位如有发生下述任何一种违约行为，自愿承担相关法律责任，5年内自动放弃在宝鸡市项目招标采购中使用《交易保证金信用承诺书》资格。并于收到招标人采购人书面通知7个工作日内，将文件规定的投标保证金足额缴纳至招标人指定账户予以没收，作为处罚。如若拒交，招标人采购人优先选择市公共资源交易中心认可的宝鸡商事纠纷信用调解中心进行调解或仲裁或诉讼。交易中心有权取消失信主体在宝鸡参与招标采购，进场交易等权益。</w:t>
      </w:r>
    </w:p>
    <w:p w14:paraId="0045CF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（一）在招标采购文件中规定的有效期内撤销投标采购文件；</w:t>
      </w:r>
    </w:p>
    <w:p w14:paraId="78AA6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（二）中标后在规定期限内无正当理由不与招标人采购人签订合同，或者未按招标采购文件规定提交履约保证金；</w:t>
      </w:r>
    </w:p>
    <w:p w14:paraId="5FE29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（三）未按照宝鸡市公共资源交易规定，及时足额缴纳进场交易服务费，或仍有拖欠交易服务费；</w:t>
      </w:r>
    </w:p>
    <w:p w14:paraId="35C72A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（四）行政监管机构认定投标采购人有串通投标或弄虚作假等违法违纪行为；</w:t>
      </w:r>
    </w:p>
    <w:p w14:paraId="164604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（五）法律法规规定的其他情形。</w:t>
      </w:r>
    </w:p>
    <w:p w14:paraId="63539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四、同意将承诺和失诺信息纳入宝鸡市公共资源交易领域信用记录并归集至信用中国（陕西宝鸡）等信用平台合规应用。</w:t>
      </w:r>
    </w:p>
    <w:p w14:paraId="3C2B3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特此承诺。</w:t>
      </w:r>
    </w:p>
    <w:p w14:paraId="22DD3CD2">
      <w:pPr>
        <w:keepNext w:val="0"/>
        <w:keepLines w:val="0"/>
        <w:pageBreakBefore w:val="0"/>
        <w:widowControl w:val="0"/>
        <w:numPr>
          <w:ilvl w:val="0"/>
          <w:numId w:val="0"/>
        </w:numPr>
        <w:kinsoku/>
        <w:wordWrap/>
        <w:overflowPunct/>
        <w:topLinePunct w:val="0"/>
        <w:autoSpaceDE/>
        <w:autoSpaceDN/>
        <w:bidi w:val="0"/>
        <w:adjustRightInd/>
        <w:snapToGrid/>
        <w:ind w:leftChars="0" w:firstLine="500" w:firstLineChars="200"/>
        <w:textAlignment w:val="auto"/>
        <w:rPr>
          <w:rFonts w:hint="eastAsia" w:ascii="宋体" w:hAnsi="宋体" w:eastAsia="宋体" w:cs="宋体"/>
          <w:b w:val="0"/>
          <w:bCs w:val="0"/>
          <w:sz w:val="24"/>
          <w:szCs w:val="24"/>
          <w:lang w:val="en-US" w:eastAsia="zh-CN"/>
        </w:rPr>
      </w:pPr>
    </w:p>
    <w:p w14:paraId="18E4F4D0">
      <w:pPr>
        <w:numPr>
          <w:ilvl w:val="0"/>
          <w:numId w:val="0"/>
        </w:numPr>
        <w:spacing w:line="360" w:lineRule="auto"/>
        <w:ind w:leftChars="0"/>
        <w:rPr>
          <w:rFonts w:hint="eastAsia" w:ascii="宋体" w:hAnsi="宋体" w:eastAsia="宋体" w:cs="宋体"/>
          <w:b w:val="0"/>
          <w:bCs w:val="0"/>
          <w:sz w:val="24"/>
          <w:szCs w:val="24"/>
          <w:lang w:val="en-US" w:eastAsia="zh-CN"/>
        </w:rPr>
      </w:pPr>
    </w:p>
    <w:p w14:paraId="2A87621F">
      <w:pPr>
        <w:numPr>
          <w:ilvl w:val="0"/>
          <w:numId w:val="0"/>
        </w:num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供应商名称：（盖章）              </w:t>
      </w:r>
    </w:p>
    <w:p w14:paraId="02445FCC">
      <w:pPr>
        <w:numPr>
          <w:ilvl w:val="0"/>
          <w:numId w:val="0"/>
        </w:num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法定代表人或</w:t>
      </w:r>
    </w:p>
    <w:p w14:paraId="002E6036">
      <w:pPr>
        <w:numPr>
          <w:ilvl w:val="0"/>
          <w:numId w:val="0"/>
        </w:num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授权代表：（签字或签章）</w:t>
      </w:r>
    </w:p>
    <w:p w14:paraId="4880EF74">
      <w:pPr>
        <w:numPr>
          <w:ilvl w:val="0"/>
          <w:numId w:val="0"/>
        </w:numPr>
        <w:jc w:val="right"/>
        <w:rPr>
          <w:rFonts w:hint="eastAsia" w:ascii="宋体" w:hAnsi="宋体" w:eastAsia="宋体" w:cs="宋体"/>
          <w:b w:val="0"/>
          <w:bCs w:val="0"/>
          <w:sz w:val="24"/>
          <w:szCs w:val="24"/>
          <w:lang w:val="en-US" w:eastAsia="zh-CN"/>
        </w:rPr>
      </w:pPr>
    </w:p>
    <w:p w14:paraId="40388185">
      <w:pPr>
        <w:numPr>
          <w:ilvl w:val="0"/>
          <w:numId w:val="0"/>
        </w:numPr>
        <w:rPr>
          <w:rFonts w:hint="eastAsia" w:ascii="宋体" w:hAnsi="宋体" w:eastAsia="宋体" w:cs="宋体"/>
          <w:b w:val="0"/>
          <w:bCs w:val="0"/>
          <w:sz w:val="24"/>
          <w:szCs w:val="24"/>
          <w:lang w:val="en-US" w:eastAsia="zh-CN"/>
        </w:rPr>
      </w:pPr>
    </w:p>
    <w:p w14:paraId="472565D7">
      <w:pPr>
        <w:numPr>
          <w:ilvl w:val="0"/>
          <w:numId w:val="0"/>
        </w:numPr>
        <w:ind w:leftChars="0" w:firstLine="4750" w:firstLineChars="19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年    月    日                  </w:t>
      </w:r>
    </w:p>
    <w:p w14:paraId="1F1778F9">
      <w:pPr>
        <w:numPr>
          <w:ilvl w:val="0"/>
          <w:numId w:val="0"/>
        </w:numPr>
        <w:ind w:leftChars="0"/>
        <w:rPr>
          <w:rFonts w:hint="eastAsia" w:ascii="宋体" w:hAnsi="宋体" w:eastAsia="宋体" w:cs="宋体"/>
          <w:b w:val="0"/>
          <w:bCs w:val="0"/>
          <w:sz w:val="24"/>
          <w:szCs w:val="24"/>
          <w:lang w:val="en-US" w:eastAsia="zh-CN"/>
        </w:rPr>
      </w:pPr>
    </w:p>
    <w:p w14:paraId="3A28929D">
      <w:pPr>
        <w:pStyle w:val="48"/>
        <w:rPr>
          <w:rFonts w:hint="eastAsia" w:ascii="宋体" w:hAnsi="宋体" w:eastAsia="宋体" w:cs="宋体"/>
          <w:b w:val="0"/>
          <w:bCs w:val="0"/>
          <w:color w:val="auto"/>
          <w:highlight w:val="none"/>
        </w:rPr>
      </w:pPr>
    </w:p>
    <w:p w14:paraId="5C824E70">
      <w:pPr>
        <w:pStyle w:val="48"/>
        <w:rPr>
          <w:rFonts w:hint="eastAsia" w:ascii="宋体" w:hAnsi="宋体" w:eastAsia="宋体" w:cs="宋体"/>
          <w:b w:val="0"/>
          <w:bCs w:val="0"/>
          <w:color w:val="auto"/>
          <w:highlight w:val="none"/>
        </w:rPr>
      </w:pPr>
    </w:p>
    <w:p w14:paraId="4A1B8EC5">
      <w:pPr>
        <w:pStyle w:val="48"/>
        <w:rPr>
          <w:rFonts w:hint="eastAsia" w:ascii="宋体" w:hAnsi="宋体" w:eastAsia="宋体" w:cs="宋体"/>
          <w:b w:val="0"/>
          <w:bCs w:val="0"/>
          <w:color w:val="auto"/>
          <w:highlight w:val="none"/>
        </w:rPr>
      </w:pPr>
    </w:p>
    <w:p w14:paraId="18A3E472">
      <w:pPr>
        <w:pStyle w:val="48"/>
        <w:rPr>
          <w:rFonts w:hint="eastAsia" w:ascii="宋体" w:hAnsi="宋体" w:eastAsia="宋体" w:cs="宋体"/>
          <w:b w:val="0"/>
          <w:bCs w:val="0"/>
          <w:color w:val="auto"/>
          <w:highlight w:val="none"/>
        </w:rPr>
      </w:pPr>
    </w:p>
    <w:sectPr>
      <w:headerReference r:id="rId8" w:type="first"/>
      <w:headerReference r:id="rId7" w:type="default"/>
      <w:pgSz w:w="11906" w:h="16838"/>
      <w:pgMar w:top="1440" w:right="1587" w:bottom="1361" w:left="1701" w:header="851" w:footer="1191" w:gutter="0"/>
      <w:pgBorders>
        <w:top w:val="none" w:sz="0" w:space="0"/>
        <w:left w:val="none" w:sz="0" w:space="0"/>
        <w:bottom w:val="none" w:sz="0" w:space="0"/>
        <w:right w:val="none" w:sz="0" w:space="0"/>
      </w:pgBorders>
      <w:pgNumType w:fmt="decimal"/>
      <w:cols w:space="0" w:num="1"/>
      <w:rtlGutter w:val="0"/>
      <w:docGrid w:type="linesAndChars" w:linePitch="39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B080">
    <w:pPr>
      <w:keepNext w:val="0"/>
      <w:keepLines w:val="0"/>
      <w:pageBreakBefore w:val="0"/>
      <w:widowControl w:val="0"/>
      <w:pBdr>
        <w:bottom w:val="single" w:color="auto" w:sz="4" w:space="0"/>
      </w:pBdr>
      <w:kinsoku/>
      <w:wordWrap/>
      <w:overflowPunct/>
      <w:topLinePunct w:val="0"/>
      <w:bidi w:val="0"/>
      <w:adjustRightInd w:val="0"/>
      <w:snapToGrid w:val="0"/>
      <w:spacing w:line="240" w:lineRule="auto"/>
      <w:jc w:val="left"/>
      <w:textAlignment w:val="auto"/>
      <w:rPr>
        <w:rFonts w:hint="default"/>
        <w:strike w:val="0"/>
        <w:dstrike w:val="0"/>
        <w:lang w:val="en-US" w:eastAsia="zh-CN"/>
      </w:rPr>
    </w:pPr>
    <w:r>
      <w:rPr>
        <w:rFonts w:hint="eastAsia"/>
        <w:b/>
        <w:iCs/>
        <w:strike w:val="0"/>
        <w:dstrike w:val="0"/>
        <w:sz w:val="18"/>
        <w:szCs w:val="18"/>
        <w:u w:val="none"/>
        <w:lang w:eastAsia="zh-CN"/>
      </w:rPr>
      <w:t>陕西华信项目管理有限公司</w:t>
    </w:r>
    <w:r>
      <w:rPr>
        <w:rFonts w:hint="eastAsia"/>
        <w:b/>
        <w:iCs/>
        <w:strike w:val="0"/>
        <w:dstrike w:val="0"/>
        <w:sz w:val="18"/>
        <w:szCs w:val="18"/>
        <w:u w:val="none"/>
      </w:rPr>
      <w:t xml:space="preserve">              </w:t>
    </w:r>
    <w:r>
      <w:rPr>
        <w:rFonts w:hint="eastAsia"/>
        <w:strike w:val="0"/>
        <w:dstrike w:val="0"/>
        <w:u w:val="none"/>
      </w:rPr>
      <w:t xml:space="preserve">                </w:t>
    </w:r>
    <w:r>
      <w:rPr>
        <w:rFonts w:hint="eastAsia"/>
        <w:strike w:val="0"/>
        <w:dstrike w:val="0"/>
        <w:u w:val="none"/>
        <w:lang w:val="en-US" w:eastAsia="zh-CN"/>
      </w:rPr>
      <w:t xml:space="preserve">   </w:t>
    </w:r>
    <w:r>
      <w:rPr>
        <w:rFonts w:hint="eastAsia"/>
        <w:strike w:val="0"/>
        <w:dstrike w:val="0"/>
        <w:u w:val="none"/>
      </w:rPr>
      <w:t xml:space="preserve">           </w:t>
    </w:r>
    <w:r>
      <w:rPr>
        <w:rFonts w:hint="eastAsia"/>
        <w:strike w:val="0"/>
        <w:dstrike w:val="0"/>
        <w:u w:val="none"/>
        <w:lang w:val="en-US" w:eastAsia="zh-CN"/>
      </w:rPr>
      <w:t xml:space="preserve"> </w:t>
    </w:r>
    <w:r>
      <w:rPr>
        <w:rFonts w:hint="eastAsia"/>
        <w:b/>
        <w:iCs/>
        <w:sz w:val="18"/>
        <w:szCs w:val="18"/>
        <w:u w:val="none"/>
      </w:rPr>
      <w:t>联系电话：0917-3606086</w:t>
    </w:r>
    <w:r>
      <w:rPr>
        <w:rFonts w:hint="eastAsia"/>
        <w:strike w:val="0"/>
        <w:dstrike w:val="0"/>
        <w:u w:val="single"/>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2C6C">
    <w:pPr>
      <w:keepNext w:val="0"/>
      <w:keepLines w:val="0"/>
      <w:pageBreakBefore w:val="0"/>
      <w:widowControl w:val="0"/>
      <w:pBdr>
        <w:bottom w:val="single" w:color="auto" w:sz="4" w:space="0"/>
      </w:pBdr>
      <w:kinsoku/>
      <w:wordWrap/>
      <w:overflowPunct/>
      <w:topLinePunct w:val="0"/>
      <w:bidi w:val="0"/>
      <w:adjustRightInd w:val="0"/>
      <w:snapToGrid w:val="0"/>
      <w:spacing w:line="240" w:lineRule="auto"/>
      <w:jc w:val="left"/>
      <w:textAlignment w:val="auto"/>
      <w:rPr>
        <w:rFonts w:hint="default"/>
        <w:strike w:val="0"/>
        <w:dstrike w:val="0"/>
        <w:lang w:val="en-US" w:eastAsia="zh-CN"/>
      </w:rPr>
    </w:pPr>
    <w:r>
      <w:rPr>
        <w:rFonts w:hint="eastAsia"/>
        <w:b/>
        <w:iCs/>
        <w:strike w:val="0"/>
        <w:dstrike w:val="0"/>
        <w:sz w:val="18"/>
        <w:szCs w:val="18"/>
        <w:u w:val="none"/>
        <w:lang w:eastAsia="zh-CN"/>
      </w:rPr>
      <w:t>陕西华信项目管理有限公司</w:t>
    </w:r>
    <w:r>
      <w:rPr>
        <w:rFonts w:hint="eastAsia"/>
        <w:b/>
        <w:iCs/>
        <w:strike w:val="0"/>
        <w:dstrike w:val="0"/>
        <w:sz w:val="18"/>
        <w:szCs w:val="18"/>
        <w:u w:val="none"/>
      </w:rPr>
      <w:t xml:space="preserve">              </w:t>
    </w:r>
    <w:r>
      <w:rPr>
        <w:rFonts w:hint="eastAsia"/>
        <w:strike w:val="0"/>
        <w:dstrike w:val="0"/>
        <w:u w:val="none"/>
      </w:rPr>
      <w:t xml:space="preserve">                </w:t>
    </w:r>
    <w:r>
      <w:rPr>
        <w:rFonts w:hint="eastAsia"/>
        <w:strike w:val="0"/>
        <w:dstrike w:val="0"/>
        <w:u w:val="none"/>
        <w:lang w:val="en-US" w:eastAsia="zh-CN"/>
      </w:rPr>
      <w:t xml:space="preserve">   </w:t>
    </w:r>
    <w:r>
      <w:rPr>
        <w:rFonts w:hint="eastAsia"/>
        <w:strike w:val="0"/>
        <w:dstrike w:val="0"/>
        <w:u w:val="none"/>
      </w:rPr>
      <w:t xml:space="preserve">           </w:t>
    </w:r>
    <w:r>
      <w:rPr>
        <w:rFonts w:hint="eastAsia"/>
        <w:strike w:val="0"/>
        <w:dstrike w:val="0"/>
        <w:u w:val="none"/>
        <w:lang w:val="en-US" w:eastAsia="zh-CN"/>
      </w:rPr>
      <w:t xml:space="preserve"> </w:t>
    </w:r>
    <w:r>
      <w:rPr>
        <w:rFonts w:hint="eastAsia"/>
        <w:b/>
        <w:iCs/>
        <w:sz w:val="18"/>
        <w:szCs w:val="18"/>
        <w:u w:val="none"/>
      </w:rPr>
      <w:t>联系电话：0917-3606086</w:t>
    </w:r>
    <w:r>
      <w:rPr>
        <w:rFonts w:hint="eastAsia"/>
        <w:strike w:val="0"/>
        <w:dstrike w:val="0"/>
        <w:u w:val="single"/>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14F5">
    <w:pPr>
      <w:keepNext w:val="0"/>
      <w:keepLines w:val="0"/>
      <w:pageBreakBefore w:val="0"/>
      <w:widowControl w:val="0"/>
      <w:pBdr>
        <w:bottom w:val="single" w:color="auto" w:sz="4" w:space="0"/>
      </w:pBdr>
      <w:kinsoku/>
      <w:wordWrap/>
      <w:overflowPunct/>
      <w:topLinePunct w:val="0"/>
      <w:bidi w:val="0"/>
      <w:adjustRightInd w:val="0"/>
      <w:snapToGrid w:val="0"/>
      <w:spacing w:line="240" w:lineRule="auto"/>
      <w:jc w:val="left"/>
      <w:textAlignment w:val="auto"/>
      <w:rPr>
        <w:rFonts w:hint="default"/>
        <w:strike w:val="0"/>
        <w:dstrike w:val="0"/>
        <w:lang w:val="en-US" w:eastAsia="zh-CN"/>
      </w:rPr>
    </w:pPr>
    <w:r>
      <w:rPr>
        <w:strike w:val="0"/>
        <w:dstrike w:val="0"/>
        <w:sz w:val="18"/>
        <w:u w:val="non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75DCF">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375DCF">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iCs/>
        <w:strike w:val="0"/>
        <w:dstrike w:val="0"/>
        <w:sz w:val="18"/>
        <w:szCs w:val="18"/>
        <w:u w:val="none"/>
        <w:lang w:eastAsia="zh-CN"/>
      </w:rPr>
      <w:t>陕西华信项目管理有限公司</w:t>
    </w:r>
    <w:r>
      <w:rPr>
        <w:rFonts w:hint="eastAsia"/>
        <w:b/>
        <w:iCs/>
        <w:strike w:val="0"/>
        <w:dstrike w:val="0"/>
        <w:sz w:val="18"/>
        <w:szCs w:val="18"/>
        <w:u w:val="none"/>
      </w:rPr>
      <w:t xml:space="preserve">              </w:t>
    </w:r>
    <w:r>
      <w:rPr>
        <w:rFonts w:hint="eastAsia"/>
        <w:strike w:val="0"/>
        <w:dstrike w:val="0"/>
        <w:u w:val="none"/>
      </w:rPr>
      <w:t xml:space="preserve">                </w:t>
    </w:r>
    <w:r>
      <w:rPr>
        <w:rFonts w:hint="eastAsia"/>
        <w:strike w:val="0"/>
        <w:dstrike w:val="0"/>
        <w:u w:val="none"/>
        <w:lang w:val="en-US" w:eastAsia="zh-CN"/>
      </w:rPr>
      <w:t xml:space="preserve">   </w:t>
    </w:r>
    <w:r>
      <w:rPr>
        <w:rFonts w:hint="eastAsia"/>
        <w:strike w:val="0"/>
        <w:dstrike w:val="0"/>
        <w:u w:val="none"/>
      </w:rPr>
      <w:t xml:space="preserve">           </w:t>
    </w:r>
    <w:r>
      <w:rPr>
        <w:rFonts w:hint="eastAsia"/>
        <w:strike w:val="0"/>
        <w:dstrike w:val="0"/>
        <w:u w:val="none"/>
        <w:lang w:val="en-US" w:eastAsia="zh-CN"/>
      </w:rPr>
      <w:t xml:space="preserve"> </w:t>
    </w:r>
    <w:r>
      <w:rPr>
        <w:rFonts w:hint="eastAsia"/>
        <w:b/>
        <w:iCs/>
        <w:sz w:val="18"/>
        <w:szCs w:val="18"/>
        <w:u w:val="none"/>
      </w:rPr>
      <w:t>联系电话：0917-3606086</w:t>
    </w:r>
    <w:r>
      <w:rPr>
        <w:rFonts w:hint="eastAsia"/>
        <w:strike w:val="0"/>
        <w:dstrike w:val="0"/>
        <w:u w:val="single"/>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8329">
    <w:pPr>
      <w:keepNext w:val="0"/>
      <w:keepLines w:val="0"/>
      <w:pageBreakBefore w:val="0"/>
      <w:widowControl w:val="0"/>
      <w:pBdr>
        <w:bottom w:val="single" w:color="auto" w:sz="4" w:space="0"/>
      </w:pBdr>
      <w:kinsoku/>
      <w:wordWrap/>
      <w:overflowPunct/>
      <w:topLinePunct w:val="0"/>
      <w:bidi w:val="0"/>
      <w:adjustRightInd w:val="0"/>
      <w:snapToGrid w:val="0"/>
      <w:spacing w:line="240" w:lineRule="auto"/>
      <w:jc w:val="left"/>
      <w:textAlignment w:val="auto"/>
      <w:rPr>
        <w:rFonts w:hint="default"/>
        <w:lang w:val="en-US"/>
      </w:rPr>
    </w:pPr>
    <w:r>
      <w:rPr>
        <w:rFonts w:hint="eastAsia" w:asciiTheme="minorEastAsia" w:hAnsiTheme="minorEastAsia" w:eastAsiaTheme="minorEastAsia" w:cstheme="minorEastAsia"/>
        <w:b/>
        <w:bCs/>
        <w:color w:val="auto"/>
        <w:sz w:val="18"/>
        <w:szCs w:val="18"/>
        <w:lang w:eastAsia="zh-CN"/>
      </w:rPr>
      <w:t>2025年城关镇村集体经济组织规模化高梁等农作物种植产能提升项目</w:t>
    </w:r>
    <w:r>
      <w:rPr>
        <w:rFonts w:hint="eastAsia" w:ascii="宋体" w:hAnsi="宋体" w:cs="宋体"/>
        <w:b/>
        <w:bCs/>
        <w:sz w:val="18"/>
        <w:szCs w:val="18"/>
        <w:lang w:val="en-US" w:eastAsia="zh-CN"/>
      </w:rPr>
      <w:t xml:space="preserve"> </w:t>
    </w:r>
    <w:r>
      <w:rPr>
        <w:rFonts w:hint="eastAsia" w:ascii="宋体" w:hAnsi="宋体" w:cs="宋体"/>
        <w:b/>
        <w:bCs/>
        <w:sz w:val="16"/>
        <w:szCs w:val="16"/>
        <w:lang w:val="en-US" w:eastAsia="zh-CN"/>
      </w:rPr>
      <w:t xml:space="preserve">   </w:t>
    </w:r>
    <w:r>
      <w:rPr>
        <w:rFonts w:hint="eastAsia" w:ascii="宋体" w:hAnsi="宋体" w:cs="宋体"/>
        <w:b/>
        <w:bCs/>
        <w:sz w:val="18"/>
        <w:szCs w:val="18"/>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22669">
    <w:pPr>
      <w:pBdr>
        <w:bottom w:val="none" w:color="auto" w:sz="0" w:space="0"/>
      </w:pBdr>
      <w:rPr>
        <w:rFonts w:ascii="宋体" w:hAnsi="宋体" w:cs="宋体"/>
        <w:sz w:val="18"/>
        <w:szCs w:val="18"/>
      </w:rPr>
    </w:pPr>
  </w:p>
  <w:p w14:paraId="00161195">
    <w:pPr>
      <w:keepNext w:val="0"/>
      <w:keepLines w:val="0"/>
      <w:pageBreakBefore w:val="0"/>
      <w:widowControl w:val="0"/>
      <w:pBdr>
        <w:bottom w:val="single" w:color="auto" w:sz="4" w:space="0"/>
      </w:pBdr>
      <w:kinsoku/>
      <w:wordWrap/>
      <w:overflowPunct/>
      <w:topLinePunct w:val="0"/>
      <w:bidi w:val="0"/>
      <w:adjustRightInd w:val="0"/>
      <w:snapToGrid w:val="0"/>
      <w:spacing w:line="240" w:lineRule="auto"/>
      <w:jc w:val="left"/>
      <w:textAlignment w:val="auto"/>
    </w:pPr>
    <w:r>
      <w:rPr>
        <w:rFonts w:hint="eastAsia" w:ascii="宋体" w:hAnsi="宋体" w:cs="宋体"/>
        <w:b/>
        <w:bCs/>
        <w:sz w:val="18"/>
        <w:szCs w:val="18"/>
        <w:lang w:eastAsia="zh-CN"/>
      </w:rPr>
      <w:t>2025年城关镇村集体经济组织规模化高梁等农作物种植产能提升项目</w:t>
    </w:r>
    <w:r>
      <w:rPr>
        <w:rFonts w:hint="eastAsia" w:ascii="宋体" w:hAnsi="宋体" w:cs="宋体"/>
        <w:b/>
        <w:bCs/>
        <w:sz w:val="18"/>
        <w:szCs w:val="18"/>
        <w:lang w:val="en-US" w:eastAsia="zh-CN"/>
      </w:rPr>
      <w:t xml:space="preserve">      </w:t>
    </w:r>
    <w:r>
      <w:rPr>
        <w:rFonts w:hint="eastAsia" w:ascii="宋体" w:hAnsi="宋体" w:cs="宋体"/>
        <w:b/>
        <w:bCs/>
        <w:sz w:val="18"/>
        <w:szCs w:val="18"/>
      </w:rPr>
      <w:t xml:space="preserve">        </w:t>
    </w:r>
    <w:r>
      <w:rPr>
        <w:rFonts w:hint="eastAsia" w:ascii="宋体" w:hAnsi="宋体" w:cs="宋体"/>
        <w:b/>
        <w:bCs/>
        <w:sz w:val="18"/>
        <w:szCs w:val="18"/>
        <w:lang w:val="en-US" w:eastAsia="zh-CN"/>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1CF0">
    <w:pPr>
      <w:pStyle w:val="21"/>
    </w:pPr>
    <w:r>
      <w:rPr>
        <w:rFonts w:hint="eastAsia"/>
        <w:sz w:val="18"/>
        <w:szCs w:val="18"/>
        <w:u w:val="single"/>
      </w:rPr>
      <w:t>宝鸡市天然林资源保护工程2018年飞播造林采购项目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5FA37"/>
    <w:multiLevelType w:val="singleLevel"/>
    <w:tmpl w:val="DCA5FA37"/>
    <w:lvl w:ilvl="0" w:tentative="0">
      <w:start w:val="1"/>
      <w:numFmt w:val="decimal"/>
      <w:suff w:val="nothing"/>
      <w:lvlText w:val="（%1）"/>
      <w:lvlJc w:val="left"/>
    </w:lvl>
  </w:abstractNum>
  <w:abstractNum w:abstractNumId="1">
    <w:nsid w:val="F6A20075"/>
    <w:multiLevelType w:val="singleLevel"/>
    <w:tmpl w:val="F6A20075"/>
    <w:lvl w:ilvl="0" w:tentative="0">
      <w:start w:val="1"/>
      <w:numFmt w:val="decimal"/>
      <w:suff w:val="nothing"/>
      <w:lvlText w:val="（%1）"/>
      <w:lvlJc w:val="left"/>
    </w:lvl>
  </w:abstractNum>
  <w:abstractNum w:abstractNumId="2">
    <w:nsid w:val="1A1A4452"/>
    <w:multiLevelType w:val="singleLevel"/>
    <w:tmpl w:val="1A1A4452"/>
    <w:lvl w:ilvl="0" w:tentative="0">
      <w:start w:val="1"/>
      <w:numFmt w:val="decimal"/>
      <w:suff w:val="nothing"/>
      <w:lvlText w:val="（%1）"/>
      <w:lvlJc w:val="left"/>
    </w:lvl>
  </w:abstractNum>
  <w:abstractNum w:abstractNumId="3">
    <w:nsid w:val="31F41672"/>
    <w:multiLevelType w:val="singleLevel"/>
    <w:tmpl w:val="31F41672"/>
    <w:lvl w:ilvl="0" w:tentative="0">
      <w:start w:val="6"/>
      <w:numFmt w:val="chineseCounting"/>
      <w:suff w:val="nothing"/>
      <w:lvlText w:val="%1、"/>
      <w:lvlJc w:val="left"/>
      <w:rPr>
        <w:rFonts w:hint="eastAsia"/>
      </w:rPr>
    </w:lvl>
  </w:abstractNum>
  <w:abstractNum w:abstractNumId="4">
    <w:nsid w:val="5C6A668C"/>
    <w:multiLevelType w:val="singleLevel"/>
    <w:tmpl w:val="5C6A668C"/>
    <w:lvl w:ilvl="0" w:tentative="0">
      <w:start w:val="1"/>
      <w:numFmt w:val="decimal"/>
      <w:suff w:val="nothing"/>
      <w:lvlText w:val="%1、"/>
      <w:lvlJc w:val="left"/>
    </w:lvl>
  </w:abstractNum>
  <w:abstractNum w:abstractNumId="5">
    <w:nsid w:val="5D65E6F8"/>
    <w:multiLevelType w:val="singleLevel"/>
    <w:tmpl w:val="5D65E6F8"/>
    <w:lvl w:ilvl="0" w:tentative="0">
      <w:start w:val="3"/>
      <w:numFmt w:val="chineseCounting"/>
      <w:suff w:val="nothing"/>
      <w:lvlText w:val="%1、"/>
      <w:lvlJc w:val="left"/>
    </w:lvl>
  </w:abstractNum>
  <w:abstractNum w:abstractNumId="6">
    <w:nsid w:val="60EFA6C2"/>
    <w:multiLevelType w:val="singleLevel"/>
    <w:tmpl w:val="60EFA6C2"/>
    <w:lvl w:ilvl="0" w:tentative="0">
      <w:start w:val="9"/>
      <w:numFmt w:val="chineseCounting"/>
      <w:suff w:val="nothing"/>
      <w:lvlText w:val="%1、"/>
      <w:lvlJc w:val="left"/>
    </w:lvl>
  </w:abstractNum>
  <w:abstractNum w:abstractNumId="7">
    <w:nsid w:val="61028254"/>
    <w:multiLevelType w:val="singleLevel"/>
    <w:tmpl w:val="61028254"/>
    <w:lvl w:ilvl="0" w:tentative="0">
      <w:start w:val="1"/>
      <w:numFmt w:val="chineseCounting"/>
      <w:suff w:val="space"/>
      <w:lvlText w:val="%1、"/>
      <w:lvlJc w:val="left"/>
    </w:lvl>
  </w:abstractNum>
  <w:num w:numId="1">
    <w:abstractNumId w:val="2"/>
  </w:num>
  <w:num w:numId="2">
    <w:abstractNumId w:val="3"/>
  </w:num>
  <w:num w:numId="3">
    <w:abstractNumId w:val="5"/>
  </w:num>
  <w:num w:numId="4">
    <w:abstractNumId w:val="6"/>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10"/>
  <w:drawingGridVerticalSpacing w:val="195"/>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ODBlODBlZjUyNzkwN2U2ZTQ3MjcxY2M0ZGE3ZDAifQ=="/>
  </w:docVars>
  <w:rsids>
    <w:rsidRoot w:val="00CC4CAF"/>
    <w:rsid w:val="00006C1A"/>
    <w:rsid w:val="00007408"/>
    <w:rsid w:val="00010460"/>
    <w:rsid w:val="00017D73"/>
    <w:rsid w:val="000239B0"/>
    <w:rsid w:val="000B44D3"/>
    <w:rsid w:val="000E37F7"/>
    <w:rsid w:val="000E3FC3"/>
    <w:rsid w:val="001070F7"/>
    <w:rsid w:val="00125161"/>
    <w:rsid w:val="00177196"/>
    <w:rsid w:val="001E2F3C"/>
    <w:rsid w:val="001F3ADA"/>
    <w:rsid w:val="00274646"/>
    <w:rsid w:val="002B173A"/>
    <w:rsid w:val="002C1FBA"/>
    <w:rsid w:val="002D0171"/>
    <w:rsid w:val="002D618F"/>
    <w:rsid w:val="002E136B"/>
    <w:rsid w:val="002F13F3"/>
    <w:rsid w:val="00301CE7"/>
    <w:rsid w:val="00333A2A"/>
    <w:rsid w:val="0038611F"/>
    <w:rsid w:val="00392DEC"/>
    <w:rsid w:val="003C2BA7"/>
    <w:rsid w:val="00412ED4"/>
    <w:rsid w:val="00421F4B"/>
    <w:rsid w:val="0042343F"/>
    <w:rsid w:val="00450971"/>
    <w:rsid w:val="00463A90"/>
    <w:rsid w:val="00464485"/>
    <w:rsid w:val="00484C5A"/>
    <w:rsid w:val="004B2ADF"/>
    <w:rsid w:val="004D5212"/>
    <w:rsid w:val="004D525A"/>
    <w:rsid w:val="004E4010"/>
    <w:rsid w:val="004E7A49"/>
    <w:rsid w:val="005068CB"/>
    <w:rsid w:val="005214EA"/>
    <w:rsid w:val="005232DC"/>
    <w:rsid w:val="00526576"/>
    <w:rsid w:val="005714C6"/>
    <w:rsid w:val="00592368"/>
    <w:rsid w:val="005B0C16"/>
    <w:rsid w:val="005E23BC"/>
    <w:rsid w:val="005F037B"/>
    <w:rsid w:val="0060610D"/>
    <w:rsid w:val="00614DFE"/>
    <w:rsid w:val="00684980"/>
    <w:rsid w:val="0069280A"/>
    <w:rsid w:val="006D1416"/>
    <w:rsid w:val="006D6AC7"/>
    <w:rsid w:val="00715EBC"/>
    <w:rsid w:val="00764A61"/>
    <w:rsid w:val="00767EA9"/>
    <w:rsid w:val="007763BA"/>
    <w:rsid w:val="007A032A"/>
    <w:rsid w:val="007B711C"/>
    <w:rsid w:val="00806562"/>
    <w:rsid w:val="008B6CBF"/>
    <w:rsid w:val="008F40B6"/>
    <w:rsid w:val="008F6EB2"/>
    <w:rsid w:val="00911B09"/>
    <w:rsid w:val="009527F8"/>
    <w:rsid w:val="009C2786"/>
    <w:rsid w:val="009E414B"/>
    <w:rsid w:val="00A1737F"/>
    <w:rsid w:val="00A30C30"/>
    <w:rsid w:val="00AB35C0"/>
    <w:rsid w:val="00AC36EB"/>
    <w:rsid w:val="00AE7C64"/>
    <w:rsid w:val="00B60DAD"/>
    <w:rsid w:val="00B72845"/>
    <w:rsid w:val="00B81040"/>
    <w:rsid w:val="00B94C65"/>
    <w:rsid w:val="00B96012"/>
    <w:rsid w:val="00BA016B"/>
    <w:rsid w:val="00BE4520"/>
    <w:rsid w:val="00C2176B"/>
    <w:rsid w:val="00C45F79"/>
    <w:rsid w:val="00C61452"/>
    <w:rsid w:val="00CC4CAF"/>
    <w:rsid w:val="00CE2A3B"/>
    <w:rsid w:val="00D22E21"/>
    <w:rsid w:val="00D53B92"/>
    <w:rsid w:val="00D7103D"/>
    <w:rsid w:val="00D9784E"/>
    <w:rsid w:val="00DC29DB"/>
    <w:rsid w:val="00DC4FA6"/>
    <w:rsid w:val="00DD33B4"/>
    <w:rsid w:val="00DF6DDD"/>
    <w:rsid w:val="00E40880"/>
    <w:rsid w:val="00EC1629"/>
    <w:rsid w:val="00F03EDC"/>
    <w:rsid w:val="00F71A3C"/>
    <w:rsid w:val="00F72EAC"/>
    <w:rsid w:val="00FB6B6F"/>
    <w:rsid w:val="00FC1D3D"/>
    <w:rsid w:val="00FC2315"/>
    <w:rsid w:val="01042CD0"/>
    <w:rsid w:val="0108730E"/>
    <w:rsid w:val="011473B7"/>
    <w:rsid w:val="01200AA8"/>
    <w:rsid w:val="012375FA"/>
    <w:rsid w:val="012D2227"/>
    <w:rsid w:val="01407F6E"/>
    <w:rsid w:val="014557C2"/>
    <w:rsid w:val="0158555E"/>
    <w:rsid w:val="01635C49"/>
    <w:rsid w:val="01696926"/>
    <w:rsid w:val="017A0DE2"/>
    <w:rsid w:val="01836CC5"/>
    <w:rsid w:val="01875DDB"/>
    <w:rsid w:val="01A45D5E"/>
    <w:rsid w:val="01A75C15"/>
    <w:rsid w:val="01D255B2"/>
    <w:rsid w:val="01D70720"/>
    <w:rsid w:val="01E40C5C"/>
    <w:rsid w:val="01E7687A"/>
    <w:rsid w:val="01FE5971"/>
    <w:rsid w:val="02032971"/>
    <w:rsid w:val="020557F6"/>
    <w:rsid w:val="02181129"/>
    <w:rsid w:val="021C0CB7"/>
    <w:rsid w:val="022728D1"/>
    <w:rsid w:val="02333023"/>
    <w:rsid w:val="0233386D"/>
    <w:rsid w:val="023A5B99"/>
    <w:rsid w:val="02490F8C"/>
    <w:rsid w:val="026779BA"/>
    <w:rsid w:val="026F11CB"/>
    <w:rsid w:val="02785724"/>
    <w:rsid w:val="02812BE4"/>
    <w:rsid w:val="02892562"/>
    <w:rsid w:val="02B726F0"/>
    <w:rsid w:val="02C95F7F"/>
    <w:rsid w:val="02D50705"/>
    <w:rsid w:val="02DA5FC0"/>
    <w:rsid w:val="02E64D83"/>
    <w:rsid w:val="02F25454"/>
    <w:rsid w:val="030643E6"/>
    <w:rsid w:val="030C0030"/>
    <w:rsid w:val="030E402E"/>
    <w:rsid w:val="030E5D85"/>
    <w:rsid w:val="0312659B"/>
    <w:rsid w:val="03174178"/>
    <w:rsid w:val="0336133D"/>
    <w:rsid w:val="033C2BF5"/>
    <w:rsid w:val="033C766C"/>
    <w:rsid w:val="033F1A97"/>
    <w:rsid w:val="03412D5E"/>
    <w:rsid w:val="034D55B5"/>
    <w:rsid w:val="034F2928"/>
    <w:rsid w:val="037D56E7"/>
    <w:rsid w:val="03936CB9"/>
    <w:rsid w:val="03946D4D"/>
    <w:rsid w:val="039E3642"/>
    <w:rsid w:val="03AA229F"/>
    <w:rsid w:val="03AF5194"/>
    <w:rsid w:val="03B927E6"/>
    <w:rsid w:val="03D8267E"/>
    <w:rsid w:val="03EA47E3"/>
    <w:rsid w:val="03F11C32"/>
    <w:rsid w:val="03F964F5"/>
    <w:rsid w:val="03FF6B44"/>
    <w:rsid w:val="040000C7"/>
    <w:rsid w:val="04003C23"/>
    <w:rsid w:val="041553B6"/>
    <w:rsid w:val="04267B2D"/>
    <w:rsid w:val="04294F27"/>
    <w:rsid w:val="042A6EF2"/>
    <w:rsid w:val="04331CBE"/>
    <w:rsid w:val="044B45F3"/>
    <w:rsid w:val="045227AD"/>
    <w:rsid w:val="045457B0"/>
    <w:rsid w:val="045F22DA"/>
    <w:rsid w:val="046917C8"/>
    <w:rsid w:val="046A699B"/>
    <w:rsid w:val="048605CC"/>
    <w:rsid w:val="04891E6A"/>
    <w:rsid w:val="048C0345"/>
    <w:rsid w:val="048E122E"/>
    <w:rsid w:val="04A60329"/>
    <w:rsid w:val="04A70542"/>
    <w:rsid w:val="04AC3107"/>
    <w:rsid w:val="04AE367F"/>
    <w:rsid w:val="04C354C7"/>
    <w:rsid w:val="04ED224C"/>
    <w:rsid w:val="04FD577C"/>
    <w:rsid w:val="04FD64EF"/>
    <w:rsid w:val="051F632A"/>
    <w:rsid w:val="05250D19"/>
    <w:rsid w:val="05307CA5"/>
    <w:rsid w:val="053973EC"/>
    <w:rsid w:val="053A28F5"/>
    <w:rsid w:val="05420E62"/>
    <w:rsid w:val="05537D0A"/>
    <w:rsid w:val="055A7E4D"/>
    <w:rsid w:val="056D353A"/>
    <w:rsid w:val="056E2C6A"/>
    <w:rsid w:val="05720D5E"/>
    <w:rsid w:val="05776166"/>
    <w:rsid w:val="05966C15"/>
    <w:rsid w:val="05A217DD"/>
    <w:rsid w:val="05AB7BBE"/>
    <w:rsid w:val="05CA5B14"/>
    <w:rsid w:val="05D45367"/>
    <w:rsid w:val="05D67331"/>
    <w:rsid w:val="05D7671D"/>
    <w:rsid w:val="05E732EC"/>
    <w:rsid w:val="05EC445F"/>
    <w:rsid w:val="05F5558A"/>
    <w:rsid w:val="05FC4F8F"/>
    <w:rsid w:val="06247180"/>
    <w:rsid w:val="06284948"/>
    <w:rsid w:val="06291A17"/>
    <w:rsid w:val="062A4F87"/>
    <w:rsid w:val="06316315"/>
    <w:rsid w:val="06377699"/>
    <w:rsid w:val="063929F2"/>
    <w:rsid w:val="06450D30"/>
    <w:rsid w:val="06497B03"/>
    <w:rsid w:val="064E3A90"/>
    <w:rsid w:val="064E7AF0"/>
    <w:rsid w:val="06574303"/>
    <w:rsid w:val="06622973"/>
    <w:rsid w:val="0668208F"/>
    <w:rsid w:val="0676641E"/>
    <w:rsid w:val="067B1C86"/>
    <w:rsid w:val="06992A2E"/>
    <w:rsid w:val="069B2140"/>
    <w:rsid w:val="069B3855"/>
    <w:rsid w:val="069C40D7"/>
    <w:rsid w:val="06AB73BF"/>
    <w:rsid w:val="06AC1E40"/>
    <w:rsid w:val="06B34453"/>
    <w:rsid w:val="06BD2EF1"/>
    <w:rsid w:val="06D632C6"/>
    <w:rsid w:val="06DE0D1E"/>
    <w:rsid w:val="06DF6124"/>
    <w:rsid w:val="06E064E1"/>
    <w:rsid w:val="06E83923"/>
    <w:rsid w:val="06F50DEA"/>
    <w:rsid w:val="06F537E7"/>
    <w:rsid w:val="07015208"/>
    <w:rsid w:val="07042328"/>
    <w:rsid w:val="070A6E20"/>
    <w:rsid w:val="071007FF"/>
    <w:rsid w:val="07241831"/>
    <w:rsid w:val="074D2287"/>
    <w:rsid w:val="074D53D1"/>
    <w:rsid w:val="075E3305"/>
    <w:rsid w:val="07660241"/>
    <w:rsid w:val="076B40F1"/>
    <w:rsid w:val="076D14A3"/>
    <w:rsid w:val="077733B9"/>
    <w:rsid w:val="07807554"/>
    <w:rsid w:val="07972AF0"/>
    <w:rsid w:val="079C7DEE"/>
    <w:rsid w:val="07A22585"/>
    <w:rsid w:val="07B241B1"/>
    <w:rsid w:val="07B90811"/>
    <w:rsid w:val="07BE7355"/>
    <w:rsid w:val="07C17B6D"/>
    <w:rsid w:val="07C530B1"/>
    <w:rsid w:val="07F22F5A"/>
    <w:rsid w:val="07F75933"/>
    <w:rsid w:val="07FB1BA1"/>
    <w:rsid w:val="080A1514"/>
    <w:rsid w:val="080E437A"/>
    <w:rsid w:val="08193D30"/>
    <w:rsid w:val="081C75AA"/>
    <w:rsid w:val="0834274B"/>
    <w:rsid w:val="083C630F"/>
    <w:rsid w:val="08484353"/>
    <w:rsid w:val="084A7B62"/>
    <w:rsid w:val="08536A17"/>
    <w:rsid w:val="08591B53"/>
    <w:rsid w:val="087003AB"/>
    <w:rsid w:val="08790072"/>
    <w:rsid w:val="089D065A"/>
    <w:rsid w:val="08AD1D28"/>
    <w:rsid w:val="08C16076"/>
    <w:rsid w:val="08CF3307"/>
    <w:rsid w:val="08DB1887"/>
    <w:rsid w:val="08F85A29"/>
    <w:rsid w:val="093223D0"/>
    <w:rsid w:val="0934769D"/>
    <w:rsid w:val="09353BD7"/>
    <w:rsid w:val="093C611C"/>
    <w:rsid w:val="09465820"/>
    <w:rsid w:val="095C7B4D"/>
    <w:rsid w:val="09604267"/>
    <w:rsid w:val="09615163"/>
    <w:rsid w:val="09683DD7"/>
    <w:rsid w:val="09722AF2"/>
    <w:rsid w:val="097C01EF"/>
    <w:rsid w:val="09814270"/>
    <w:rsid w:val="09840E52"/>
    <w:rsid w:val="098A2122"/>
    <w:rsid w:val="099C4884"/>
    <w:rsid w:val="099E7038"/>
    <w:rsid w:val="09A80CAA"/>
    <w:rsid w:val="09A9206E"/>
    <w:rsid w:val="09AB0CCE"/>
    <w:rsid w:val="09B01C47"/>
    <w:rsid w:val="09B2734A"/>
    <w:rsid w:val="09C96166"/>
    <w:rsid w:val="09E10052"/>
    <w:rsid w:val="09E54FD9"/>
    <w:rsid w:val="09EA6536"/>
    <w:rsid w:val="09EE7A05"/>
    <w:rsid w:val="0A0334A7"/>
    <w:rsid w:val="0A077070"/>
    <w:rsid w:val="0A181B98"/>
    <w:rsid w:val="0A1E3055"/>
    <w:rsid w:val="0A254A77"/>
    <w:rsid w:val="0A287185"/>
    <w:rsid w:val="0A2D39EA"/>
    <w:rsid w:val="0A3C172F"/>
    <w:rsid w:val="0A5C592B"/>
    <w:rsid w:val="0A6273E5"/>
    <w:rsid w:val="0A636DBC"/>
    <w:rsid w:val="0A79028B"/>
    <w:rsid w:val="0A831DF6"/>
    <w:rsid w:val="0A9E0F73"/>
    <w:rsid w:val="0AA51080"/>
    <w:rsid w:val="0AB00C37"/>
    <w:rsid w:val="0AB319EF"/>
    <w:rsid w:val="0ACA3906"/>
    <w:rsid w:val="0AE47096"/>
    <w:rsid w:val="0AE615B8"/>
    <w:rsid w:val="0AEE0C79"/>
    <w:rsid w:val="0AF9093C"/>
    <w:rsid w:val="0B053490"/>
    <w:rsid w:val="0B1B61BF"/>
    <w:rsid w:val="0B1F1F24"/>
    <w:rsid w:val="0B250E6B"/>
    <w:rsid w:val="0B2B5A29"/>
    <w:rsid w:val="0B2C354F"/>
    <w:rsid w:val="0B34225E"/>
    <w:rsid w:val="0B3E13E6"/>
    <w:rsid w:val="0B427051"/>
    <w:rsid w:val="0B492353"/>
    <w:rsid w:val="0B4973F9"/>
    <w:rsid w:val="0B6A6B34"/>
    <w:rsid w:val="0B860EB1"/>
    <w:rsid w:val="0B9644C6"/>
    <w:rsid w:val="0BA13F3D"/>
    <w:rsid w:val="0BB84B38"/>
    <w:rsid w:val="0BD847CF"/>
    <w:rsid w:val="0BDE2A9B"/>
    <w:rsid w:val="0BE81B6C"/>
    <w:rsid w:val="0BF41C5B"/>
    <w:rsid w:val="0BF47119"/>
    <w:rsid w:val="0C09717E"/>
    <w:rsid w:val="0C0C6C4E"/>
    <w:rsid w:val="0C112E71"/>
    <w:rsid w:val="0C1C2F3E"/>
    <w:rsid w:val="0C200C8C"/>
    <w:rsid w:val="0C2B724F"/>
    <w:rsid w:val="0C34090D"/>
    <w:rsid w:val="0C3A2451"/>
    <w:rsid w:val="0C454A57"/>
    <w:rsid w:val="0C66741B"/>
    <w:rsid w:val="0C734298"/>
    <w:rsid w:val="0C8F3D96"/>
    <w:rsid w:val="0C995DA8"/>
    <w:rsid w:val="0C9E222B"/>
    <w:rsid w:val="0CA66391"/>
    <w:rsid w:val="0CAF4438"/>
    <w:rsid w:val="0CB90E13"/>
    <w:rsid w:val="0CC003F3"/>
    <w:rsid w:val="0CD12600"/>
    <w:rsid w:val="0CD7547E"/>
    <w:rsid w:val="0CE642FD"/>
    <w:rsid w:val="0CE967E8"/>
    <w:rsid w:val="0CF54541"/>
    <w:rsid w:val="0D137D29"/>
    <w:rsid w:val="0D1F2C3E"/>
    <w:rsid w:val="0D1F511A"/>
    <w:rsid w:val="0D284719"/>
    <w:rsid w:val="0D381355"/>
    <w:rsid w:val="0D3C699B"/>
    <w:rsid w:val="0D507361"/>
    <w:rsid w:val="0D570FEC"/>
    <w:rsid w:val="0D5E021D"/>
    <w:rsid w:val="0D611BD6"/>
    <w:rsid w:val="0D6945E7"/>
    <w:rsid w:val="0D696526"/>
    <w:rsid w:val="0D74056D"/>
    <w:rsid w:val="0D8B0A01"/>
    <w:rsid w:val="0D986EDC"/>
    <w:rsid w:val="0DA060E0"/>
    <w:rsid w:val="0DBF0A93"/>
    <w:rsid w:val="0DC65EDD"/>
    <w:rsid w:val="0DC81F65"/>
    <w:rsid w:val="0DCB5A98"/>
    <w:rsid w:val="0DD73C46"/>
    <w:rsid w:val="0DD95A5E"/>
    <w:rsid w:val="0DD979BE"/>
    <w:rsid w:val="0DE011B8"/>
    <w:rsid w:val="0DF03A5E"/>
    <w:rsid w:val="0DF70BE2"/>
    <w:rsid w:val="0E0F1632"/>
    <w:rsid w:val="0E103F1D"/>
    <w:rsid w:val="0E1E7AC7"/>
    <w:rsid w:val="0E271CC8"/>
    <w:rsid w:val="0E3C619F"/>
    <w:rsid w:val="0E41374B"/>
    <w:rsid w:val="0E5C3B8E"/>
    <w:rsid w:val="0E680D42"/>
    <w:rsid w:val="0E741495"/>
    <w:rsid w:val="0E8518F4"/>
    <w:rsid w:val="0E87046A"/>
    <w:rsid w:val="0E8A515C"/>
    <w:rsid w:val="0E9C03F5"/>
    <w:rsid w:val="0EA33B28"/>
    <w:rsid w:val="0EA90EA5"/>
    <w:rsid w:val="0EAD7A01"/>
    <w:rsid w:val="0EB13AC4"/>
    <w:rsid w:val="0EB467D7"/>
    <w:rsid w:val="0EC266A4"/>
    <w:rsid w:val="0ECA521F"/>
    <w:rsid w:val="0ECA5559"/>
    <w:rsid w:val="0ECC2730"/>
    <w:rsid w:val="0ECD1453"/>
    <w:rsid w:val="0ED0649E"/>
    <w:rsid w:val="0ED46A36"/>
    <w:rsid w:val="0EE02FCE"/>
    <w:rsid w:val="0EEB0A9E"/>
    <w:rsid w:val="0EED27D6"/>
    <w:rsid w:val="0EFC14B7"/>
    <w:rsid w:val="0EFD06DF"/>
    <w:rsid w:val="0F03573D"/>
    <w:rsid w:val="0F046CBD"/>
    <w:rsid w:val="0F1879D7"/>
    <w:rsid w:val="0F344EBA"/>
    <w:rsid w:val="0F5A4B2F"/>
    <w:rsid w:val="0F640653"/>
    <w:rsid w:val="0F766A8F"/>
    <w:rsid w:val="0F7A6F7F"/>
    <w:rsid w:val="0F7F4595"/>
    <w:rsid w:val="0F84577B"/>
    <w:rsid w:val="0FAD1102"/>
    <w:rsid w:val="0FAF6E95"/>
    <w:rsid w:val="0FBB57D1"/>
    <w:rsid w:val="0FBD6E6C"/>
    <w:rsid w:val="0FCB77DB"/>
    <w:rsid w:val="0FCE39E1"/>
    <w:rsid w:val="0FDF5A8D"/>
    <w:rsid w:val="0FE77B24"/>
    <w:rsid w:val="0FFC7994"/>
    <w:rsid w:val="100625C1"/>
    <w:rsid w:val="100D38C4"/>
    <w:rsid w:val="10190546"/>
    <w:rsid w:val="101C17D2"/>
    <w:rsid w:val="101C3879"/>
    <w:rsid w:val="102E1B18"/>
    <w:rsid w:val="10374E70"/>
    <w:rsid w:val="103D1528"/>
    <w:rsid w:val="104430E9"/>
    <w:rsid w:val="104A4BA3"/>
    <w:rsid w:val="105172FF"/>
    <w:rsid w:val="105C6DE2"/>
    <w:rsid w:val="105F0391"/>
    <w:rsid w:val="1062398C"/>
    <w:rsid w:val="106642C9"/>
    <w:rsid w:val="10687B56"/>
    <w:rsid w:val="106D567A"/>
    <w:rsid w:val="106E3315"/>
    <w:rsid w:val="107E7BE8"/>
    <w:rsid w:val="10922A8F"/>
    <w:rsid w:val="109354FA"/>
    <w:rsid w:val="10A51DDA"/>
    <w:rsid w:val="10AD4338"/>
    <w:rsid w:val="10B75C87"/>
    <w:rsid w:val="10CF50A9"/>
    <w:rsid w:val="10D0497D"/>
    <w:rsid w:val="10D40911"/>
    <w:rsid w:val="10EB2941"/>
    <w:rsid w:val="10F46961"/>
    <w:rsid w:val="10FD39C4"/>
    <w:rsid w:val="11020FDA"/>
    <w:rsid w:val="11027246"/>
    <w:rsid w:val="11091B32"/>
    <w:rsid w:val="111B6540"/>
    <w:rsid w:val="11204C26"/>
    <w:rsid w:val="1123376C"/>
    <w:rsid w:val="11365128"/>
    <w:rsid w:val="113D4105"/>
    <w:rsid w:val="117155B0"/>
    <w:rsid w:val="118D284B"/>
    <w:rsid w:val="11923B66"/>
    <w:rsid w:val="11965BC6"/>
    <w:rsid w:val="119B411B"/>
    <w:rsid w:val="11A67620"/>
    <w:rsid w:val="11A71B81"/>
    <w:rsid w:val="11AB7A7B"/>
    <w:rsid w:val="11BD6AEA"/>
    <w:rsid w:val="11C1726D"/>
    <w:rsid w:val="11CE710E"/>
    <w:rsid w:val="11D24E50"/>
    <w:rsid w:val="11DC7C15"/>
    <w:rsid w:val="11DD1A47"/>
    <w:rsid w:val="11E20E0C"/>
    <w:rsid w:val="11E676CC"/>
    <w:rsid w:val="11EA5BD7"/>
    <w:rsid w:val="11F56D91"/>
    <w:rsid w:val="11FC3C7B"/>
    <w:rsid w:val="122F0157"/>
    <w:rsid w:val="12303925"/>
    <w:rsid w:val="124675EC"/>
    <w:rsid w:val="12497710"/>
    <w:rsid w:val="124B075F"/>
    <w:rsid w:val="12545909"/>
    <w:rsid w:val="12614B09"/>
    <w:rsid w:val="12647E42"/>
    <w:rsid w:val="12697205"/>
    <w:rsid w:val="127523BF"/>
    <w:rsid w:val="12774467"/>
    <w:rsid w:val="1289033F"/>
    <w:rsid w:val="129A2158"/>
    <w:rsid w:val="12A5526E"/>
    <w:rsid w:val="12A80DE8"/>
    <w:rsid w:val="12AA1929"/>
    <w:rsid w:val="12C50987"/>
    <w:rsid w:val="12CF75E2"/>
    <w:rsid w:val="12D60970"/>
    <w:rsid w:val="12D8352A"/>
    <w:rsid w:val="12DE15D3"/>
    <w:rsid w:val="12DE524F"/>
    <w:rsid w:val="12E2727C"/>
    <w:rsid w:val="12EB1878"/>
    <w:rsid w:val="12FC7876"/>
    <w:rsid w:val="132443A7"/>
    <w:rsid w:val="132711CC"/>
    <w:rsid w:val="13280AA0"/>
    <w:rsid w:val="132F1A98"/>
    <w:rsid w:val="133D5C9F"/>
    <w:rsid w:val="134F572E"/>
    <w:rsid w:val="13517FF7"/>
    <w:rsid w:val="13596EAB"/>
    <w:rsid w:val="135B2C24"/>
    <w:rsid w:val="1367446D"/>
    <w:rsid w:val="136E3246"/>
    <w:rsid w:val="13897791"/>
    <w:rsid w:val="138A0430"/>
    <w:rsid w:val="138A5BED"/>
    <w:rsid w:val="13973653"/>
    <w:rsid w:val="13B16CE7"/>
    <w:rsid w:val="13C70FDC"/>
    <w:rsid w:val="13D06B61"/>
    <w:rsid w:val="13D707EA"/>
    <w:rsid w:val="13E16164"/>
    <w:rsid w:val="13E807D7"/>
    <w:rsid w:val="13EF42E9"/>
    <w:rsid w:val="13F2200E"/>
    <w:rsid w:val="13F6294C"/>
    <w:rsid w:val="13FD1ECE"/>
    <w:rsid w:val="13FF5CA5"/>
    <w:rsid w:val="14096E9F"/>
    <w:rsid w:val="143D767C"/>
    <w:rsid w:val="14447B5C"/>
    <w:rsid w:val="14506500"/>
    <w:rsid w:val="14575AE1"/>
    <w:rsid w:val="145C30F7"/>
    <w:rsid w:val="145C6CA6"/>
    <w:rsid w:val="14627FE2"/>
    <w:rsid w:val="1464669F"/>
    <w:rsid w:val="14667AD2"/>
    <w:rsid w:val="146766F1"/>
    <w:rsid w:val="146940CB"/>
    <w:rsid w:val="147A532B"/>
    <w:rsid w:val="14905601"/>
    <w:rsid w:val="14A15885"/>
    <w:rsid w:val="14A41FC6"/>
    <w:rsid w:val="14A83FDB"/>
    <w:rsid w:val="14C91E0F"/>
    <w:rsid w:val="14D47131"/>
    <w:rsid w:val="14D54BBF"/>
    <w:rsid w:val="14D662AF"/>
    <w:rsid w:val="14E84001"/>
    <w:rsid w:val="14EC447B"/>
    <w:rsid w:val="151511E8"/>
    <w:rsid w:val="151D6CFF"/>
    <w:rsid w:val="15211C4B"/>
    <w:rsid w:val="152B6FE4"/>
    <w:rsid w:val="153D47F9"/>
    <w:rsid w:val="1549013A"/>
    <w:rsid w:val="15526F8E"/>
    <w:rsid w:val="155913E5"/>
    <w:rsid w:val="155D1B37"/>
    <w:rsid w:val="155F3E9D"/>
    <w:rsid w:val="15752385"/>
    <w:rsid w:val="15785D0F"/>
    <w:rsid w:val="15786D2F"/>
    <w:rsid w:val="15832697"/>
    <w:rsid w:val="15990851"/>
    <w:rsid w:val="159B37AB"/>
    <w:rsid w:val="159C3FF8"/>
    <w:rsid w:val="15A9411A"/>
    <w:rsid w:val="15AA1C40"/>
    <w:rsid w:val="15AB6F48"/>
    <w:rsid w:val="15B55150"/>
    <w:rsid w:val="15B671AA"/>
    <w:rsid w:val="15BA6327"/>
    <w:rsid w:val="15DB69F9"/>
    <w:rsid w:val="15E870B5"/>
    <w:rsid w:val="15ED6FA8"/>
    <w:rsid w:val="15F7649F"/>
    <w:rsid w:val="15FB78B0"/>
    <w:rsid w:val="15FC0B98"/>
    <w:rsid w:val="160457F4"/>
    <w:rsid w:val="160C2AF1"/>
    <w:rsid w:val="16296EE5"/>
    <w:rsid w:val="163A1216"/>
    <w:rsid w:val="16416DC3"/>
    <w:rsid w:val="16442095"/>
    <w:rsid w:val="1649733B"/>
    <w:rsid w:val="164C5E0B"/>
    <w:rsid w:val="164C64AC"/>
    <w:rsid w:val="165E3157"/>
    <w:rsid w:val="1660571F"/>
    <w:rsid w:val="1662251B"/>
    <w:rsid w:val="16664F66"/>
    <w:rsid w:val="167A5AB7"/>
    <w:rsid w:val="16840758"/>
    <w:rsid w:val="169C5A39"/>
    <w:rsid w:val="16A27A48"/>
    <w:rsid w:val="16A3500D"/>
    <w:rsid w:val="16A36802"/>
    <w:rsid w:val="16A518B0"/>
    <w:rsid w:val="16B66CD7"/>
    <w:rsid w:val="16BB0D7D"/>
    <w:rsid w:val="16C15493"/>
    <w:rsid w:val="16C44F84"/>
    <w:rsid w:val="16D11809"/>
    <w:rsid w:val="16EF3DAF"/>
    <w:rsid w:val="16F353D9"/>
    <w:rsid w:val="170830C2"/>
    <w:rsid w:val="17097C7A"/>
    <w:rsid w:val="171637FB"/>
    <w:rsid w:val="17236603"/>
    <w:rsid w:val="172B27B8"/>
    <w:rsid w:val="172D4054"/>
    <w:rsid w:val="173008D1"/>
    <w:rsid w:val="17316C46"/>
    <w:rsid w:val="173D76A1"/>
    <w:rsid w:val="174165D4"/>
    <w:rsid w:val="174947AD"/>
    <w:rsid w:val="175005C5"/>
    <w:rsid w:val="17563E2E"/>
    <w:rsid w:val="175A4747"/>
    <w:rsid w:val="175B2228"/>
    <w:rsid w:val="17601A06"/>
    <w:rsid w:val="17663359"/>
    <w:rsid w:val="1777001B"/>
    <w:rsid w:val="17780248"/>
    <w:rsid w:val="17794801"/>
    <w:rsid w:val="17B9260F"/>
    <w:rsid w:val="17BA261C"/>
    <w:rsid w:val="17C739D2"/>
    <w:rsid w:val="17D04B49"/>
    <w:rsid w:val="17D06CA4"/>
    <w:rsid w:val="17D82B21"/>
    <w:rsid w:val="17FC29C5"/>
    <w:rsid w:val="18094EC6"/>
    <w:rsid w:val="18104655"/>
    <w:rsid w:val="18155A97"/>
    <w:rsid w:val="181F78FD"/>
    <w:rsid w:val="18270727"/>
    <w:rsid w:val="18351C95"/>
    <w:rsid w:val="18363C5F"/>
    <w:rsid w:val="183D5637"/>
    <w:rsid w:val="18421E3D"/>
    <w:rsid w:val="184A430E"/>
    <w:rsid w:val="184B770B"/>
    <w:rsid w:val="185E3AC2"/>
    <w:rsid w:val="186368A9"/>
    <w:rsid w:val="186C7681"/>
    <w:rsid w:val="18784278"/>
    <w:rsid w:val="18807C8F"/>
    <w:rsid w:val="18866995"/>
    <w:rsid w:val="188B5D59"/>
    <w:rsid w:val="188F3F48"/>
    <w:rsid w:val="18952734"/>
    <w:rsid w:val="18957C82"/>
    <w:rsid w:val="18AC1971"/>
    <w:rsid w:val="18B232E6"/>
    <w:rsid w:val="18C272A1"/>
    <w:rsid w:val="18D629CF"/>
    <w:rsid w:val="18E11E1D"/>
    <w:rsid w:val="18ED431E"/>
    <w:rsid w:val="18EE0096"/>
    <w:rsid w:val="18F43551"/>
    <w:rsid w:val="18F51424"/>
    <w:rsid w:val="18FE6843"/>
    <w:rsid w:val="19053D5D"/>
    <w:rsid w:val="19377C8F"/>
    <w:rsid w:val="193C35FC"/>
    <w:rsid w:val="19487815"/>
    <w:rsid w:val="19512441"/>
    <w:rsid w:val="19515F00"/>
    <w:rsid w:val="19670574"/>
    <w:rsid w:val="1968302A"/>
    <w:rsid w:val="196A4FDF"/>
    <w:rsid w:val="196E0D0D"/>
    <w:rsid w:val="196E525E"/>
    <w:rsid w:val="198B3B37"/>
    <w:rsid w:val="198F631F"/>
    <w:rsid w:val="19A52363"/>
    <w:rsid w:val="19A60C4A"/>
    <w:rsid w:val="19BC5917"/>
    <w:rsid w:val="19D238D5"/>
    <w:rsid w:val="19E37171"/>
    <w:rsid w:val="19E4167E"/>
    <w:rsid w:val="1A1A55E6"/>
    <w:rsid w:val="1A1F668F"/>
    <w:rsid w:val="1A27612D"/>
    <w:rsid w:val="1A4408B5"/>
    <w:rsid w:val="1A476453"/>
    <w:rsid w:val="1A497C7A"/>
    <w:rsid w:val="1A4C32C6"/>
    <w:rsid w:val="1A512EB2"/>
    <w:rsid w:val="1A53552F"/>
    <w:rsid w:val="1A5B06B3"/>
    <w:rsid w:val="1A611B05"/>
    <w:rsid w:val="1A6B1969"/>
    <w:rsid w:val="1A7A5313"/>
    <w:rsid w:val="1A7D5170"/>
    <w:rsid w:val="1A7F6B4C"/>
    <w:rsid w:val="1A8129DD"/>
    <w:rsid w:val="1A8E1E46"/>
    <w:rsid w:val="1A911621"/>
    <w:rsid w:val="1A953F46"/>
    <w:rsid w:val="1A9A30A0"/>
    <w:rsid w:val="1AAB4490"/>
    <w:rsid w:val="1AAE21D3"/>
    <w:rsid w:val="1AB74C6A"/>
    <w:rsid w:val="1AB8095B"/>
    <w:rsid w:val="1ABA23EB"/>
    <w:rsid w:val="1AC615A0"/>
    <w:rsid w:val="1AE4075D"/>
    <w:rsid w:val="1AEF00FC"/>
    <w:rsid w:val="1AF7290D"/>
    <w:rsid w:val="1AF75928"/>
    <w:rsid w:val="1B0167A6"/>
    <w:rsid w:val="1B0172A6"/>
    <w:rsid w:val="1B026602"/>
    <w:rsid w:val="1B0911B7"/>
    <w:rsid w:val="1B0C34DA"/>
    <w:rsid w:val="1B270F3C"/>
    <w:rsid w:val="1B2A0E5B"/>
    <w:rsid w:val="1B483D25"/>
    <w:rsid w:val="1B654CEF"/>
    <w:rsid w:val="1B8418E9"/>
    <w:rsid w:val="1B870811"/>
    <w:rsid w:val="1B897AA0"/>
    <w:rsid w:val="1B916E81"/>
    <w:rsid w:val="1B943177"/>
    <w:rsid w:val="1B9618C7"/>
    <w:rsid w:val="1B9A3D5D"/>
    <w:rsid w:val="1B9A62B3"/>
    <w:rsid w:val="1BA13B34"/>
    <w:rsid w:val="1BC670A8"/>
    <w:rsid w:val="1BDE2644"/>
    <w:rsid w:val="1BE41AD9"/>
    <w:rsid w:val="1BED0AD9"/>
    <w:rsid w:val="1C0C71B1"/>
    <w:rsid w:val="1C1A561B"/>
    <w:rsid w:val="1C23008C"/>
    <w:rsid w:val="1C2E7C02"/>
    <w:rsid w:val="1C322588"/>
    <w:rsid w:val="1C427076"/>
    <w:rsid w:val="1C657632"/>
    <w:rsid w:val="1C6969ED"/>
    <w:rsid w:val="1C6F65D3"/>
    <w:rsid w:val="1C796D6B"/>
    <w:rsid w:val="1C7C4D6F"/>
    <w:rsid w:val="1C8036FB"/>
    <w:rsid w:val="1C8C02F2"/>
    <w:rsid w:val="1C9246E0"/>
    <w:rsid w:val="1C9F13BF"/>
    <w:rsid w:val="1C9F6277"/>
    <w:rsid w:val="1CB02232"/>
    <w:rsid w:val="1CB95BD9"/>
    <w:rsid w:val="1CBB73DB"/>
    <w:rsid w:val="1CDC31C3"/>
    <w:rsid w:val="1CF27EA6"/>
    <w:rsid w:val="1CFB24BF"/>
    <w:rsid w:val="1D0C4F8F"/>
    <w:rsid w:val="1D0D3755"/>
    <w:rsid w:val="1D271DC8"/>
    <w:rsid w:val="1D306ECF"/>
    <w:rsid w:val="1D3772D2"/>
    <w:rsid w:val="1D3A7D4E"/>
    <w:rsid w:val="1D482C53"/>
    <w:rsid w:val="1D5675C9"/>
    <w:rsid w:val="1D62374A"/>
    <w:rsid w:val="1D62558A"/>
    <w:rsid w:val="1D652909"/>
    <w:rsid w:val="1D660B43"/>
    <w:rsid w:val="1D6E79F7"/>
    <w:rsid w:val="1D7204A6"/>
    <w:rsid w:val="1D790876"/>
    <w:rsid w:val="1D7E7C3A"/>
    <w:rsid w:val="1D8B31B3"/>
    <w:rsid w:val="1DA569DD"/>
    <w:rsid w:val="1DB117AF"/>
    <w:rsid w:val="1DB94D9A"/>
    <w:rsid w:val="1DC22CE4"/>
    <w:rsid w:val="1DC840A8"/>
    <w:rsid w:val="1DCC309C"/>
    <w:rsid w:val="1DCD58D7"/>
    <w:rsid w:val="1DDA2DED"/>
    <w:rsid w:val="1DDB22BA"/>
    <w:rsid w:val="1DDB6C11"/>
    <w:rsid w:val="1DDE1DBD"/>
    <w:rsid w:val="1DE14169"/>
    <w:rsid w:val="1DE57CB9"/>
    <w:rsid w:val="1DED6542"/>
    <w:rsid w:val="1DFB00FB"/>
    <w:rsid w:val="1DFE0D7B"/>
    <w:rsid w:val="1E0208EF"/>
    <w:rsid w:val="1E0A1E8C"/>
    <w:rsid w:val="1E271508"/>
    <w:rsid w:val="1E387C89"/>
    <w:rsid w:val="1E470974"/>
    <w:rsid w:val="1E4E21FD"/>
    <w:rsid w:val="1E57048B"/>
    <w:rsid w:val="1E5B2ED9"/>
    <w:rsid w:val="1E605592"/>
    <w:rsid w:val="1E625FFA"/>
    <w:rsid w:val="1E661B4E"/>
    <w:rsid w:val="1E661CB9"/>
    <w:rsid w:val="1E6F1B86"/>
    <w:rsid w:val="1E6F3A27"/>
    <w:rsid w:val="1E74103D"/>
    <w:rsid w:val="1E7B23CC"/>
    <w:rsid w:val="1E9A0854"/>
    <w:rsid w:val="1EB274F9"/>
    <w:rsid w:val="1EB458DE"/>
    <w:rsid w:val="1EBB6177"/>
    <w:rsid w:val="1EBF050A"/>
    <w:rsid w:val="1ECF501C"/>
    <w:rsid w:val="1ED17B45"/>
    <w:rsid w:val="1ED575C5"/>
    <w:rsid w:val="1EE312C1"/>
    <w:rsid w:val="1EF06916"/>
    <w:rsid w:val="1EF26CF0"/>
    <w:rsid w:val="1EF61864"/>
    <w:rsid w:val="1EFD54D7"/>
    <w:rsid w:val="1F1D49B9"/>
    <w:rsid w:val="1F2962CC"/>
    <w:rsid w:val="1F2B2DFC"/>
    <w:rsid w:val="1F3478BC"/>
    <w:rsid w:val="1F356A1F"/>
    <w:rsid w:val="1F4602B5"/>
    <w:rsid w:val="1F462871"/>
    <w:rsid w:val="1F555936"/>
    <w:rsid w:val="1F745799"/>
    <w:rsid w:val="1F7801DF"/>
    <w:rsid w:val="1F8B39D5"/>
    <w:rsid w:val="1F9B53E2"/>
    <w:rsid w:val="1FAA11BB"/>
    <w:rsid w:val="1FAE6D39"/>
    <w:rsid w:val="1FC318EC"/>
    <w:rsid w:val="1FDE0EEE"/>
    <w:rsid w:val="1FF57F5C"/>
    <w:rsid w:val="1FFB7655"/>
    <w:rsid w:val="1FFF05EB"/>
    <w:rsid w:val="1FFF65DD"/>
    <w:rsid w:val="200A3A07"/>
    <w:rsid w:val="200F363E"/>
    <w:rsid w:val="20166850"/>
    <w:rsid w:val="20190EBF"/>
    <w:rsid w:val="201E6CA8"/>
    <w:rsid w:val="202076CF"/>
    <w:rsid w:val="203C3DDD"/>
    <w:rsid w:val="204010E1"/>
    <w:rsid w:val="2043622E"/>
    <w:rsid w:val="20447395"/>
    <w:rsid w:val="20511636"/>
    <w:rsid w:val="2063580D"/>
    <w:rsid w:val="206F18F4"/>
    <w:rsid w:val="20784E15"/>
    <w:rsid w:val="209F56B6"/>
    <w:rsid w:val="20A6371A"/>
    <w:rsid w:val="20BC1973"/>
    <w:rsid w:val="20D109C9"/>
    <w:rsid w:val="20D44015"/>
    <w:rsid w:val="20DD32CE"/>
    <w:rsid w:val="20DD5E47"/>
    <w:rsid w:val="20DE6C42"/>
    <w:rsid w:val="20E2136C"/>
    <w:rsid w:val="20F01DC5"/>
    <w:rsid w:val="20FA3A7C"/>
    <w:rsid w:val="20FC52CF"/>
    <w:rsid w:val="20FF4477"/>
    <w:rsid w:val="21090163"/>
    <w:rsid w:val="211B3642"/>
    <w:rsid w:val="211C39D6"/>
    <w:rsid w:val="212154AC"/>
    <w:rsid w:val="21224D81"/>
    <w:rsid w:val="213A031C"/>
    <w:rsid w:val="21447C5E"/>
    <w:rsid w:val="21527AB8"/>
    <w:rsid w:val="21584C46"/>
    <w:rsid w:val="216F1EEC"/>
    <w:rsid w:val="219A0DBB"/>
    <w:rsid w:val="219B38DA"/>
    <w:rsid w:val="21D306A0"/>
    <w:rsid w:val="21EA756D"/>
    <w:rsid w:val="21ED538F"/>
    <w:rsid w:val="21F229A5"/>
    <w:rsid w:val="220158CE"/>
    <w:rsid w:val="22026C30"/>
    <w:rsid w:val="22123047"/>
    <w:rsid w:val="2216220D"/>
    <w:rsid w:val="222917F5"/>
    <w:rsid w:val="222A508E"/>
    <w:rsid w:val="22302234"/>
    <w:rsid w:val="22474108"/>
    <w:rsid w:val="225278E7"/>
    <w:rsid w:val="22556256"/>
    <w:rsid w:val="2278376B"/>
    <w:rsid w:val="22A90FBC"/>
    <w:rsid w:val="22AB3D91"/>
    <w:rsid w:val="22C205C9"/>
    <w:rsid w:val="22C84FC9"/>
    <w:rsid w:val="22CE3412"/>
    <w:rsid w:val="22DA1DB7"/>
    <w:rsid w:val="22E75D72"/>
    <w:rsid w:val="22E973A0"/>
    <w:rsid w:val="22ED755A"/>
    <w:rsid w:val="22EF7DBB"/>
    <w:rsid w:val="23091052"/>
    <w:rsid w:val="23125B08"/>
    <w:rsid w:val="23244DE0"/>
    <w:rsid w:val="232C758D"/>
    <w:rsid w:val="2343319B"/>
    <w:rsid w:val="23470D96"/>
    <w:rsid w:val="23492A98"/>
    <w:rsid w:val="23571FCB"/>
    <w:rsid w:val="235B641F"/>
    <w:rsid w:val="236B53A0"/>
    <w:rsid w:val="23782621"/>
    <w:rsid w:val="237A70F6"/>
    <w:rsid w:val="239115E0"/>
    <w:rsid w:val="23955CDE"/>
    <w:rsid w:val="239F2F21"/>
    <w:rsid w:val="23A203FB"/>
    <w:rsid w:val="23BD6FE3"/>
    <w:rsid w:val="23C55DD7"/>
    <w:rsid w:val="23C6233B"/>
    <w:rsid w:val="23D208E0"/>
    <w:rsid w:val="23DD57D6"/>
    <w:rsid w:val="23E04C09"/>
    <w:rsid w:val="24057F9F"/>
    <w:rsid w:val="2406098A"/>
    <w:rsid w:val="24071097"/>
    <w:rsid w:val="2418246B"/>
    <w:rsid w:val="241D678C"/>
    <w:rsid w:val="241D7111"/>
    <w:rsid w:val="241F37F9"/>
    <w:rsid w:val="24217571"/>
    <w:rsid w:val="24281CA6"/>
    <w:rsid w:val="24316A9D"/>
    <w:rsid w:val="24332BA3"/>
    <w:rsid w:val="243C25FD"/>
    <w:rsid w:val="243F258D"/>
    <w:rsid w:val="245F009A"/>
    <w:rsid w:val="246E5FFB"/>
    <w:rsid w:val="24735F47"/>
    <w:rsid w:val="24736C9D"/>
    <w:rsid w:val="24744FA9"/>
    <w:rsid w:val="24762860"/>
    <w:rsid w:val="24781E26"/>
    <w:rsid w:val="248136B6"/>
    <w:rsid w:val="248452D3"/>
    <w:rsid w:val="24864E85"/>
    <w:rsid w:val="24A41103"/>
    <w:rsid w:val="24A651C9"/>
    <w:rsid w:val="24A77735"/>
    <w:rsid w:val="24BE60EE"/>
    <w:rsid w:val="24C04FDC"/>
    <w:rsid w:val="24CF6FCD"/>
    <w:rsid w:val="24D75606"/>
    <w:rsid w:val="24D80578"/>
    <w:rsid w:val="24D97E4C"/>
    <w:rsid w:val="24DD5B8E"/>
    <w:rsid w:val="24E65979"/>
    <w:rsid w:val="24EB3F9D"/>
    <w:rsid w:val="24EE7669"/>
    <w:rsid w:val="24F609FE"/>
    <w:rsid w:val="25056E93"/>
    <w:rsid w:val="250A697E"/>
    <w:rsid w:val="250F2B5C"/>
    <w:rsid w:val="251A0B90"/>
    <w:rsid w:val="2521744F"/>
    <w:rsid w:val="252B3B3E"/>
    <w:rsid w:val="253367DC"/>
    <w:rsid w:val="25362B41"/>
    <w:rsid w:val="25383C35"/>
    <w:rsid w:val="254074DE"/>
    <w:rsid w:val="25513E86"/>
    <w:rsid w:val="25533F44"/>
    <w:rsid w:val="25587955"/>
    <w:rsid w:val="255B08F3"/>
    <w:rsid w:val="255B7C64"/>
    <w:rsid w:val="257948FD"/>
    <w:rsid w:val="257D4C7B"/>
    <w:rsid w:val="258B72C9"/>
    <w:rsid w:val="259B3D60"/>
    <w:rsid w:val="259D531E"/>
    <w:rsid w:val="25A93CC2"/>
    <w:rsid w:val="25B13044"/>
    <w:rsid w:val="25B46194"/>
    <w:rsid w:val="25B508B9"/>
    <w:rsid w:val="25B61F3B"/>
    <w:rsid w:val="25BB4204"/>
    <w:rsid w:val="25BB779D"/>
    <w:rsid w:val="25D01861"/>
    <w:rsid w:val="25E42F4C"/>
    <w:rsid w:val="25E944BB"/>
    <w:rsid w:val="25ED0053"/>
    <w:rsid w:val="25F662A4"/>
    <w:rsid w:val="25FF38E2"/>
    <w:rsid w:val="260169A8"/>
    <w:rsid w:val="26076E44"/>
    <w:rsid w:val="26086C3B"/>
    <w:rsid w:val="260B6A7A"/>
    <w:rsid w:val="26105AEF"/>
    <w:rsid w:val="26190DE7"/>
    <w:rsid w:val="26323CB8"/>
    <w:rsid w:val="263821A8"/>
    <w:rsid w:val="263A3662"/>
    <w:rsid w:val="264F70DC"/>
    <w:rsid w:val="2652435A"/>
    <w:rsid w:val="26526108"/>
    <w:rsid w:val="26553451"/>
    <w:rsid w:val="266876DA"/>
    <w:rsid w:val="26747E2C"/>
    <w:rsid w:val="268843DA"/>
    <w:rsid w:val="268F4AE1"/>
    <w:rsid w:val="26A74B12"/>
    <w:rsid w:val="26A85D28"/>
    <w:rsid w:val="26AC78F0"/>
    <w:rsid w:val="26AD11F3"/>
    <w:rsid w:val="26C51097"/>
    <w:rsid w:val="26C64400"/>
    <w:rsid w:val="26CE4C7A"/>
    <w:rsid w:val="26D1527F"/>
    <w:rsid w:val="26E213C8"/>
    <w:rsid w:val="26E548EE"/>
    <w:rsid w:val="26FD2A18"/>
    <w:rsid w:val="27070CA1"/>
    <w:rsid w:val="27076DEA"/>
    <w:rsid w:val="271E248E"/>
    <w:rsid w:val="27207FB4"/>
    <w:rsid w:val="272279E4"/>
    <w:rsid w:val="27351CB2"/>
    <w:rsid w:val="27444731"/>
    <w:rsid w:val="27464DB6"/>
    <w:rsid w:val="274D3E6B"/>
    <w:rsid w:val="27595274"/>
    <w:rsid w:val="27612030"/>
    <w:rsid w:val="276674C4"/>
    <w:rsid w:val="276807C8"/>
    <w:rsid w:val="277327DA"/>
    <w:rsid w:val="277B579B"/>
    <w:rsid w:val="277E3271"/>
    <w:rsid w:val="27800EB5"/>
    <w:rsid w:val="278C6FD3"/>
    <w:rsid w:val="27907E09"/>
    <w:rsid w:val="27932534"/>
    <w:rsid w:val="27983A91"/>
    <w:rsid w:val="27B01BE5"/>
    <w:rsid w:val="27B6199A"/>
    <w:rsid w:val="27B6759B"/>
    <w:rsid w:val="27C13545"/>
    <w:rsid w:val="27C951EA"/>
    <w:rsid w:val="27D012B2"/>
    <w:rsid w:val="27D04E9A"/>
    <w:rsid w:val="27D91CB5"/>
    <w:rsid w:val="27E273D4"/>
    <w:rsid w:val="27E56B08"/>
    <w:rsid w:val="27E700F7"/>
    <w:rsid w:val="27EE071B"/>
    <w:rsid w:val="28002F15"/>
    <w:rsid w:val="28043432"/>
    <w:rsid w:val="280D678A"/>
    <w:rsid w:val="2826784C"/>
    <w:rsid w:val="28291287"/>
    <w:rsid w:val="28323B00"/>
    <w:rsid w:val="28425D08"/>
    <w:rsid w:val="2846332C"/>
    <w:rsid w:val="285223EF"/>
    <w:rsid w:val="2864476D"/>
    <w:rsid w:val="286B15D4"/>
    <w:rsid w:val="2883361C"/>
    <w:rsid w:val="28867BDE"/>
    <w:rsid w:val="288D5AE2"/>
    <w:rsid w:val="289F2D43"/>
    <w:rsid w:val="28A22115"/>
    <w:rsid w:val="28A6273B"/>
    <w:rsid w:val="28A70EDF"/>
    <w:rsid w:val="28A92A5D"/>
    <w:rsid w:val="28B10152"/>
    <w:rsid w:val="28B9246E"/>
    <w:rsid w:val="28B9294A"/>
    <w:rsid w:val="28BE0CC5"/>
    <w:rsid w:val="28D03941"/>
    <w:rsid w:val="28D7340C"/>
    <w:rsid w:val="28E82D54"/>
    <w:rsid w:val="290B0DAB"/>
    <w:rsid w:val="291A7E33"/>
    <w:rsid w:val="292D4878"/>
    <w:rsid w:val="29325D7D"/>
    <w:rsid w:val="293E1B7B"/>
    <w:rsid w:val="29522622"/>
    <w:rsid w:val="295E53E0"/>
    <w:rsid w:val="29687B15"/>
    <w:rsid w:val="29695475"/>
    <w:rsid w:val="29731BE0"/>
    <w:rsid w:val="297C48CC"/>
    <w:rsid w:val="29845C3D"/>
    <w:rsid w:val="29853F68"/>
    <w:rsid w:val="299E66FA"/>
    <w:rsid w:val="29A053DC"/>
    <w:rsid w:val="29B726F0"/>
    <w:rsid w:val="29BB0CC8"/>
    <w:rsid w:val="29CB5F17"/>
    <w:rsid w:val="29CE1F49"/>
    <w:rsid w:val="29D320C8"/>
    <w:rsid w:val="29E05310"/>
    <w:rsid w:val="29F90E19"/>
    <w:rsid w:val="2A032424"/>
    <w:rsid w:val="2A043BBD"/>
    <w:rsid w:val="2A1C7FFC"/>
    <w:rsid w:val="2A1F27A5"/>
    <w:rsid w:val="2A240CB0"/>
    <w:rsid w:val="2A2B2EF8"/>
    <w:rsid w:val="2A351FC9"/>
    <w:rsid w:val="2A49742A"/>
    <w:rsid w:val="2A4A5234"/>
    <w:rsid w:val="2A4D402C"/>
    <w:rsid w:val="2A50485B"/>
    <w:rsid w:val="2A530D85"/>
    <w:rsid w:val="2A551849"/>
    <w:rsid w:val="2A810D8D"/>
    <w:rsid w:val="2A840A3B"/>
    <w:rsid w:val="2AAB4039"/>
    <w:rsid w:val="2AAD1B5F"/>
    <w:rsid w:val="2AAD7DB1"/>
    <w:rsid w:val="2AB33022"/>
    <w:rsid w:val="2AC1059A"/>
    <w:rsid w:val="2AC31382"/>
    <w:rsid w:val="2AC375D4"/>
    <w:rsid w:val="2AC60DAA"/>
    <w:rsid w:val="2AC754C9"/>
    <w:rsid w:val="2ACD090D"/>
    <w:rsid w:val="2ACE33E0"/>
    <w:rsid w:val="2AE12DFE"/>
    <w:rsid w:val="2AF32945"/>
    <w:rsid w:val="2AF379F1"/>
    <w:rsid w:val="2B161BD2"/>
    <w:rsid w:val="2B246999"/>
    <w:rsid w:val="2B2636BF"/>
    <w:rsid w:val="2B2E6A55"/>
    <w:rsid w:val="2B3109E2"/>
    <w:rsid w:val="2B392383"/>
    <w:rsid w:val="2B3F32EB"/>
    <w:rsid w:val="2B4B3FF4"/>
    <w:rsid w:val="2B541D00"/>
    <w:rsid w:val="2B5841C1"/>
    <w:rsid w:val="2B713C76"/>
    <w:rsid w:val="2B8248D0"/>
    <w:rsid w:val="2B904042"/>
    <w:rsid w:val="2B9274BC"/>
    <w:rsid w:val="2B990335"/>
    <w:rsid w:val="2B9B40AD"/>
    <w:rsid w:val="2BA016C4"/>
    <w:rsid w:val="2BA41B71"/>
    <w:rsid w:val="2BA72E22"/>
    <w:rsid w:val="2BA94DE0"/>
    <w:rsid w:val="2BB532F3"/>
    <w:rsid w:val="2BBB474F"/>
    <w:rsid w:val="2BD30028"/>
    <w:rsid w:val="2BDB5215"/>
    <w:rsid w:val="2BE35DED"/>
    <w:rsid w:val="2BEE3AF0"/>
    <w:rsid w:val="2C0B2AAE"/>
    <w:rsid w:val="2C165AE7"/>
    <w:rsid w:val="2C1D2D14"/>
    <w:rsid w:val="2C2440A3"/>
    <w:rsid w:val="2C271DE5"/>
    <w:rsid w:val="2C35005E"/>
    <w:rsid w:val="2C3F712F"/>
    <w:rsid w:val="2C554319"/>
    <w:rsid w:val="2C610D48"/>
    <w:rsid w:val="2C62044C"/>
    <w:rsid w:val="2C624BCB"/>
    <w:rsid w:val="2C69423F"/>
    <w:rsid w:val="2C6E69A3"/>
    <w:rsid w:val="2C6F7D95"/>
    <w:rsid w:val="2C7566AC"/>
    <w:rsid w:val="2C7E4871"/>
    <w:rsid w:val="2C8645C2"/>
    <w:rsid w:val="2C8A0DD9"/>
    <w:rsid w:val="2CB90C8F"/>
    <w:rsid w:val="2CBE44F7"/>
    <w:rsid w:val="2CC16D52"/>
    <w:rsid w:val="2CC55CCD"/>
    <w:rsid w:val="2CC633AC"/>
    <w:rsid w:val="2CC72403"/>
    <w:rsid w:val="2CCB6C14"/>
    <w:rsid w:val="2CD45325"/>
    <w:rsid w:val="2CD535EF"/>
    <w:rsid w:val="2CDA29B3"/>
    <w:rsid w:val="2CE86B73"/>
    <w:rsid w:val="2CF3386C"/>
    <w:rsid w:val="2CF72DFA"/>
    <w:rsid w:val="2D031F0A"/>
    <w:rsid w:val="2D0443FA"/>
    <w:rsid w:val="2D07780E"/>
    <w:rsid w:val="2D0A26EE"/>
    <w:rsid w:val="2D1A7195"/>
    <w:rsid w:val="2D2A59B4"/>
    <w:rsid w:val="2D2F0F51"/>
    <w:rsid w:val="2D3622E0"/>
    <w:rsid w:val="2D632999"/>
    <w:rsid w:val="2D8A291B"/>
    <w:rsid w:val="2D9D2FCF"/>
    <w:rsid w:val="2DCF110D"/>
    <w:rsid w:val="2DD2692A"/>
    <w:rsid w:val="2DDC31F3"/>
    <w:rsid w:val="2DE55AB4"/>
    <w:rsid w:val="2DE77045"/>
    <w:rsid w:val="2DEE4C5C"/>
    <w:rsid w:val="2DF46D62"/>
    <w:rsid w:val="2E06372E"/>
    <w:rsid w:val="2E293BF2"/>
    <w:rsid w:val="2E2A0629"/>
    <w:rsid w:val="2E2A1718"/>
    <w:rsid w:val="2E2E1209"/>
    <w:rsid w:val="2E2E2FB7"/>
    <w:rsid w:val="2E3031D3"/>
    <w:rsid w:val="2E31325D"/>
    <w:rsid w:val="2E33681F"/>
    <w:rsid w:val="2E351A6C"/>
    <w:rsid w:val="2E383E35"/>
    <w:rsid w:val="2E3B674B"/>
    <w:rsid w:val="2E3F3DC3"/>
    <w:rsid w:val="2E460657"/>
    <w:rsid w:val="2E4C5E93"/>
    <w:rsid w:val="2E536AEB"/>
    <w:rsid w:val="2E553329"/>
    <w:rsid w:val="2E581D26"/>
    <w:rsid w:val="2E5D19FC"/>
    <w:rsid w:val="2E644697"/>
    <w:rsid w:val="2E690493"/>
    <w:rsid w:val="2E8529E3"/>
    <w:rsid w:val="2E8C5636"/>
    <w:rsid w:val="2EA374B6"/>
    <w:rsid w:val="2EAD05A4"/>
    <w:rsid w:val="2EB01C1E"/>
    <w:rsid w:val="2EB6227D"/>
    <w:rsid w:val="2EB83F3E"/>
    <w:rsid w:val="2ED26038"/>
    <w:rsid w:val="2EEE00F1"/>
    <w:rsid w:val="2EF20488"/>
    <w:rsid w:val="2EF22236"/>
    <w:rsid w:val="2EFA2A27"/>
    <w:rsid w:val="2F000A19"/>
    <w:rsid w:val="2F0361F1"/>
    <w:rsid w:val="2F081A5A"/>
    <w:rsid w:val="2F143AA7"/>
    <w:rsid w:val="2F1E75E5"/>
    <w:rsid w:val="2F3228FD"/>
    <w:rsid w:val="2F3F643D"/>
    <w:rsid w:val="2F401A78"/>
    <w:rsid w:val="2F416D1A"/>
    <w:rsid w:val="2F554C0B"/>
    <w:rsid w:val="2F68074A"/>
    <w:rsid w:val="2F705BD5"/>
    <w:rsid w:val="2F7470EF"/>
    <w:rsid w:val="2F7B222C"/>
    <w:rsid w:val="2F813402"/>
    <w:rsid w:val="2F837F37"/>
    <w:rsid w:val="2F9C03F4"/>
    <w:rsid w:val="2FA7396C"/>
    <w:rsid w:val="2FAE2B60"/>
    <w:rsid w:val="2FD83B6E"/>
    <w:rsid w:val="2FE14059"/>
    <w:rsid w:val="2FFB5849"/>
    <w:rsid w:val="2FFE2E5D"/>
    <w:rsid w:val="30040135"/>
    <w:rsid w:val="300F0BC6"/>
    <w:rsid w:val="3013580A"/>
    <w:rsid w:val="301778C0"/>
    <w:rsid w:val="301E54B1"/>
    <w:rsid w:val="302C42F4"/>
    <w:rsid w:val="303F76FD"/>
    <w:rsid w:val="304276FE"/>
    <w:rsid w:val="304A0131"/>
    <w:rsid w:val="30516D96"/>
    <w:rsid w:val="305F401C"/>
    <w:rsid w:val="308333A6"/>
    <w:rsid w:val="30A457B2"/>
    <w:rsid w:val="30A94E34"/>
    <w:rsid w:val="30B5176D"/>
    <w:rsid w:val="30C05CA6"/>
    <w:rsid w:val="30D70A3C"/>
    <w:rsid w:val="30EE1123"/>
    <w:rsid w:val="30F46739"/>
    <w:rsid w:val="310A6E13"/>
    <w:rsid w:val="31104BF6"/>
    <w:rsid w:val="311346E6"/>
    <w:rsid w:val="31175F84"/>
    <w:rsid w:val="311A2F05"/>
    <w:rsid w:val="311F6D58"/>
    <w:rsid w:val="31251EA8"/>
    <w:rsid w:val="312A28E8"/>
    <w:rsid w:val="312A46C0"/>
    <w:rsid w:val="313703D4"/>
    <w:rsid w:val="313A1C72"/>
    <w:rsid w:val="314D3BF0"/>
    <w:rsid w:val="31684A32"/>
    <w:rsid w:val="317C672F"/>
    <w:rsid w:val="31975B1D"/>
    <w:rsid w:val="31A737AC"/>
    <w:rsid w:val="31AA6DF8"/>
    <w:rsid w:val="31AE01D2"/>
    <w:rsid w:val="31AE6391"/>
    <w:rsid w:val="31D07B9E"/>
    <w:rsid w:val="32024E86"/>
    <w:rsid w:val="320C4368"/>
    <w:rsid w:val="322A618B"/>
    <w:rsid w:val="322C5A5F"/>
    <w:rsid w:val="32430FFB"/>
    <w:rsid w:val="3249423F"/>
    <w:rsid w:val="324B2762"/>
    <w:rsid w:val="324C4353"/>
    <w:rsid w:val="325B4596"/>
    <w:rsid w:val="325D6B90"/>
    <w:rsid w:val="326A1758"/>
    <w:rsid w:val="32781E72"/>
    <w:rsid w:val="32786EF6"/>
    <w:rsid w:val="327F64D7"/>
    <w:rsid w:val="32A35736"/>
    <w:rsid w:val="32B00BC3"/>
    <w:rsid w:val="32C719F2"/>
    <w:rsid w:val="32CA3BA5"/>
    <w:rsid w:val="32DD4FAB"/>
    <w:rsid w:val="32E36C79"/>
    <w:rsid w:val="32F12805"/>
    <w:rsid w:val="32F50547"/>
    <w:rsid w:val="32FE76CE"/>
    <w:rsid w:val="330821EE"/>
    <w:rsid w:val="331B765D"/>
    <w:rsid w:val="331C1F78"/>
    <w:rsid w:val="331F7505"/>
    <w:rsid w:val="33217AC8"/>
    <w:rsid w:val="332262AA"/>
    <w:rsid w:val="332628FC"/>
    <w:rsid w:val="3330332D"/>
    <w:rsid w:val="33414803"/>
    <w:rsid w:val="334A08F2"/>
    <w:rsid w:val="334A4B35"/>
    <w:rsid w:val="334D2131"/>
    <w:rsid w:val="33547E6E"/>
    <w:rsid w:val="335D0E43"/>
    <w:rsid w:val="336244FF"/>
    <w:rsid w:val="3373005D"/>
    <w:rsid w:val="33752C9E"/>
    <w:rsid w:val="33806762"/>
    <w:rsid w:val="338F4493"/>
    <w:rsid w:val="33A21E94"/>
    <w:rsid w:val="33C70135"/>
    <w:rsid w:val="33C8047F"/>
    <w:rsid w:val="33DE722D"/>
    <w:rsid w:val="33E05C30"/>
    <w:rsid w:val="33E10ACB"/>
    <w:rsid w:val="33EA5BD2"/>
    <w:rsid w:val="33F151B2"/>
    <w:rsid w:val="33FB7298"/>
    <w:rsid w:val="34036C94"/>
    <w:rsid w:val="340944AF"/>
    <w:rsid w:val="340C598E"/>
    <w:rsid w:val="340D6BC9"/>
    <w:rsid w:val="3422536C"/>
    <w:rsid w:val="343E3B73"/>
    <w:rsid w:val="345A019D"/>
    <w:rsid w:val="34675474"/>
    <w:rsid w:val="346911EC"/>
    <w:rsid w:val="346959F8"/>
    <w:rsid w:val="34733E19"/>
    <w:rsid w:val="34741D73"/>
    <w:rsid w:val="34827F78"/>
    <w:rsid w:val="348C361F"/>
    <w:rsid w:val="34951FE2"/>
    <w:rsid w:val="3498084D"/>
    <w:rsid w:val="34A84049"/>
    <w:rsid w:val="34B57032"/>
    <w:rsid w:val="34C75F13"/>
    <w:rsid w:val="34D67F04"/>
    <w:rsid w:val="34DB6652"/>
    <w:rsid w:val="34E97C37"/>
    <w:rsid w:val="34EC72AD"/>
    <w:rsid w:val="34EE524E"/>
    <w:rsid w:val="34F45CA2"/>
    <w:rsid w:val="34F63E7E"/>
    <w:rsid w:val="350C3926"/>
    <w:rsid w:val="35150A2C"/>
    <w:rsid w:val="35243365"/>
    <w:rsid w:val="352A6441"/>
    <w:rsid w:val="35494B7A"/>
    <w:rsid w:val="35507CB7"/>
    <w:rsid w:val="355709D0"/>
    <w:rsid w:val="357245CD"/>
    <w:rsid w:val="35753BC1"/>
    <w:rsid w:val="35774C7B"/>
    <w:rsid w:val="357D4142"/>
    <w:rsid w:val="35895362"/>
    <w:rsid w:val="35973E3A"/>
    <w:rsid w:val="359F29EC"/>
    <w:rsid w:val="35BA377C"/>
    <w:rsid w:val="35C50AFC"/>
    <w:rsid w:val="35C67AEF"/>
    <w:rsid w:val="35C9771B"/>
    <w:rsid w:val="35CC7116"/>
    <w:rsid w:val="35D004FB"/>
    <w:rsid w:val="35D97CAC"/>
    <w:rsid w:val="35F76384"/>
    <w:rsid w:val="35FA7C22"/>
    <w:rsid w:val="35FD055A"/>
    <w:rsid w:val="3604125B"/>
    <w:rsid w:val="361B6516"/>
    <w:rsid w:val="361D6955"/>
    <w:rsid w:val="362B1461"/>
    <w:rsid w:val="3644733C"/>
    <w:rsid w:val="36491EE7"/>
    <w:rsid w:val="365415BC"/>
    <w:rsid w:val="3655075B"/>
    <w:rsid w:val="365E6C9B"/>
    <w:rsid w:val="365F1B75"/>
    <w:rsid w:val="36784946"/>
    <w:rsid w:val="367E2601"/>
    <w:rsid w:val="36AA33F6"/>
    <w:rsid w:val="36AB7737"/>
    <w:rsid w:val="36CC5A63"/>
    <w:rsid w:val="36CE14BB"/>
    <w:rsid w:val="36D76648"/>
    <w:rsid w:val="36E30961"/>
    <w:rsid w:val="370451FC"/>
    <w:rsid w:val="3728267F"/>
    <w:rsid w:val="373250B7"/>
    <w:rsid w:val="37331F9F"/>
    <w:rsid w:val="37337890"/>
    <w:rsid w:val="37353608"/>
    <w:rsid w:val="37490E61"/>
    <w:rsid w:val="374C5617"/>
    <w:rsid w:val="37527E8E"/>
    <w:rsid w:val="375373C3"/>
    <w:rsid w:val="375904C7"/>
    <w:rsid w:val="37620175"/>
    <w:rsid w:val="377C5F9D"/>
    <w:rsid w:val="37863748"/>
    <w:rsid w:val="378F2A4A"/>
    <w:rsid w:val="37954F56"/>
    <w:rsid w:val="37955E55"/>
    <w:rsid w:val="37A10C9D"/>
    <w:rsid w:val="37A159A5"/>
    <w:rsid w:val="37A20571"/>
    <w:rsid w:val="37A670DB"/>
    <w:rsid w:val="37A83DDA"/>
    <w:rsid w:val="37B3452D"/>
    <w:rsid w:val="37B409D1"/>
    <w:rsid w:val="37C91FA2"/>
    <w:rsid w:val="37D27BE0"/>
    <w:rsid w:val="37D57FE8"/>
    <w:rsid w:val="37E776C2"/>
    <w:rsid w:val="38080D1C"/>
    <w:rsid w:val="3842519F"/>
    <w:rsid w:val="38477A9B"/>
    <w:rsid w:val="384E47B8"/>
    <w:rsid w:val="385B0E4C"/>
    <w:rsid w:val="386944F1"/>
    <w:rsid w:val="3878144E"/>
    <w:rsid w:val="387C7B59"/>
    <w:rsid w:val="387F3F4B"/>
    <w:rsid w:val="388B76C5"/>
    <w:rsid w:val="389009B8"/>
    <w:rsid w:val="38925A62"/>
    <w:rsid w:val="389B749B"/>
    <w:rsid w:val="38BE762D"/>
    <w:rsid w:val="38C05153"/>
    <w:rsid w:val="38D01235"/>
    <w:rsid w:val="38DF1B57"/>
    <w:rsid w:val="38E24714"/>
    <w:rsid w:val="38EA6674"/>
    <w:rsid w:val="38FE11AE"/>
    <w:rsid w:val="39050DB8"/>
    <w:rsid w:val="390B1D66"/>
    <w:rsid w:val="390F457D"/>
    <w:rsid w:val="3910135E"/>
    <w:rsid w:val="39111E53"/>
    <w:rsid w:val="39194863"/>
    <w:rsid w:val="393F3840"/>
    <w:rsid w:val="393F6CC7"/>
    <w:rsid w:val="394B266A"/>
    <w:rsid w:val="394C4C39"/>
    <w:rsid w:val="395064D7"/>
    <w:rsid w:val="395450B7"/>
    <w:rsid w:val="395913AA"/>
    <w:rsid w:val="39630D50"/>
    <w:rsid w:val="3965182D"/>
    <w:rsid w:val="396935AB"/>
    <w:rsid w:val="398C4C7D"/>
    <w:rsid w:val="398D0EA8"/>
    <w:rsid w:val="39A03105"/>
    <w:rsid w:val="39A516E9"/>
    <w:rsid w:val="39BC1DBE"/>
    <w:rsid w:val="39BC591B"/>
    <w:rsid w:val="39BF365D"/>
    <w:rsid w:val="39C331D0"/>
    <w:rsid w:val="39C46AC8"/>
    <w:rsid w:val="39CD36E7"/>
    <w:rsid w:val="39CE564E"/>
    <w:rsid w:val="39DC420F"/>
    <w:rsid w:val="39DE3826"/>
    <w:rsid w:val="39E41315"/>
    <w:rsid w:val="39F919A2"/>
    <w:rsid w:val="39FE671F"/>
    <w:rsid w:val="3A013C75"/>
    <w:rsid w:val="3A0379ED"/>
    <w:rsid w:val="3A052B1D"/>
    <w:rsid w:val="3A0C7B2A"/>
    <w:rsid w:val="3A2160C5"/>
    <w:rsid w:val="3A274171"/>
    <w:rsid w:val="3A357A2A"/>
    <w:rsid w:val="3A477A25"/>
    <w:rsid w:val="3A6164C2"/>
    <w:rsid w:val="3A631E3C"/>
    <w:rsid w:val="3A632880"/>
    <w:rsid w:val="3A6A2926"/>
    <w:rsid w:val="3A836438"/>
    <w:rsid w:val="3A836AA6"/>
    <w:rsid w:val="3A89540D"/>
    <w:rsid w:val="3A8B2678"/>
    <w:rsid w:val="3A9103A0"/>
    <w:rsid w:val="3AA22920"/>
    <w:rsid w:val="3AB20569"/>
    <w:rsid w:val="3AB946D1"/>
    <w:rsid w:val="3ABB2076"/>
    <w:rsid w:val="3AC25509"/>
    <w:rsid w:val="3ACC6972"/>
    <w:rsid w:val="3AD9074E"/>
    <w:rsid w:val="3ADB6274"/>
    <w:rsid w:val="3AE12D69"/>
    <w:rsid w:val="3AE42A31"/>
    <w:rsid w:val="3AE8273F"/>
    <w:rsid w:val="3AEC0481"/>
    <w:rsid w:val="3B06051E"/>
    <w:rsid w:val="3B0A4DAB"/>
    <w:rsid w:val="3B12224B"/>
    <w:rsid w:val="3B1672AC"/>
    <w:rsid w:val="3B1B00EC"/>
    <w:rsid w:val="3B1F2605"/>
    <w:rsid w:val="3B2925F8"/>
    <w:rsid w:val="3B2C0E71"/>
    <w:rsid w:val="3B3346EF"/>
    <w:rsid w:val="3B3D0CDD"/>
    <w:rsid w:val="3B3F2CB9"/>
    <w:rsid w:val="3B443E1A"/>
    <w:rsid w:val="3B5A188F"/>
    <w:rsid w:val="3B64270E"/>
    <w:rsid w:val="3B816DFE"/>
    <w:rsid w:val="3B912340"/>
    <w:rsid w:val="3B914B85"/>
    <w:rsid w:val="3B974891"/>
    <w:rsid w:val="3B9C1EA7"/>
    <w:rsid w:val="3BA743A8"/>
    <w:rsid w:val="3BB23479"/>
    <w:rsid w:val="3BB67459"/>
    <w:rsid w:val="3BC1249E"/>
    <w:rsid w:val="3BC853B9"/>
    <w:rsid w:val="3BD80A06"/>
    <w:rsid w:val="3BE02A19"/>
    <w:rsid w:val="3BE23632"/>
    <w:rsid w:val="3BE41159"/>
    <w:rsid w:val="3BFF46C2"/>
    <w:rsid w:val="3C064C52"/>
    <w:rsid w:val="3C0D4B53"/>
    <w:rsid w:val="3C1140D6"/>
    <w:rsid w:val="3C211F85"/>
    <w:rsid w:val="3C406CD7"/>
    <w:rsid w:val="3C442605"/>
    <w:rsid w:val="3C4D4F50"/>
    <w:rsid w:val="3C575DCE"/>
    <w:rsid w:val="3C5E53AF"/>
    <w:rsid w:val="3C6A5B02"/>
    <w:rsid w:val="3C7A1ABD"/>
    <w:rsid w:val="3C7B0053"/>
    <w:rsid w:val="3C90134F"/>
    <w:rsid w:val="3C9A329B"/>
    <w:rsid w:val="3C9E29F3"/>
    <w:rsid w:val="3CAD3347"/>
    <w:rsid w:val="3CBB5E66"/>
    <w:rsid w:val="3CBF5793"/>
    <w:rsid w:val="3CC316B6"/>
    <w:rsid w:val="3CC44440"/>
    <w:rsid w:val="3CC64D02"/>
    <w:rsid w:val="3CC82828"/>
    <w:rsid w:val="3CC86CCC"/>
    <w:rsid w:val="3CE31410"/>
    <w:rsid w:val="3CE623E8"/>
    <w:rsid w:val="3CEE7DA8"/>
    <w:rsid w:val="3CF20388"/>
    <w:rsid w:val="3D0D46DF"/>
    <w:rsid w:val="3D1242D3"/>
    <w:rsid w:val="3D1C4922"/>
    <w:rsid w:val="3D232155"/>
    <w:rsid w:val="3D267967"/>
    <w:rsid w:val="3D29359D"/>
    <w:rsid w:val="3D34306A"/>
    <w:rsid w:val="3D385A70"/>
    <w:rsid w:val="3D3B124C"/>
    <w:rsid w:val="3D3C5A85"/>
    <w:rsid w:val="3D3D07C4"/>
    <w:rsid w:val="3D430101"/>
    <w:rsid w:val="3D5207D6"/>
    <w:rsid w:val="3D583BAC"/>
    <w:rsid w:val="3D65451B"/>
    <w:rsid w:val="3D6B6C7D"/>
    <w:rsid w:val="3D7038AA"/>
    <w:rsid w:val="3D797693"/>
    <w:rsid w:val="3D7C5783"/>
    <w:rsid w:val="3D8338C9"/>
    <w:rsid w:val="3D8F1598"/>
    <w:rsid w:val="3D91044A"/>
    <w:rsid w:val="3D96543E"/>
    <w:rsid w:val="3D9D5A63"/>
    <w:rsid w:val="3DB8289D"/>
    <w:rsid w:val="3DBD0553"/>
    <w:rsid w:val="3DD87F94"/>
    <w:rsid w:val="3DDA0A65"/>
    <w:rsid w:val="3DDE607F"/>
    <w:rsid w:val="3DE6565C"/>
    <w:rsid w:val="3DE71FB5"/>
    <w:rsid w:val="3DF91843"/>
    <w:rsid w:val="3E1D467A"/>
    <w:rsid w:val="3E1F6665"/>
    <w:rsid w:val="3E1F7D81"/>
    <w:rsid w:val="3E205457"/>
    <w:rsid w:val="3E286A08"/>
    <w:rsid w:val="3E522CF1"/>
    <w:rsid w:val="3E6D7B2B"/>
    <w:rsid w:val="3E720C9E"/>
    <w:rsid w:val="3E7E3AE6"/>
    <w:rsid w:val="3E8C2EA8"/>
    <w:rsid w:val="3E9A1FA2"/>
    <w:rsid w:val="3EA03A5D"/>
    <w:rsid w:val="3EA64DEB"/>
    <w:rsid w:val="3EB96F38"/>
    <w:rsid w:val="3EC55271"/>
    <w:rsid w:val="3ECB6600"/>
    <w:rsid w:val="3ED30C29"/>
    <w:rsid w:val="3EDA6843"/>
    <w:rsid w:val="3EDF5FAC"/>
    <w:rsid w:val="3EED6576"/>
    <w:rsid w:val="3EF6762C"/>
    <w:rsid w:val="3EFC2F2E"/>
    <w:rsid w:val="3F03223E"/>
    <w:rsid w:val="3F0A46BC"/>
    <w:rsid w:val="3F1E2BD3"/>
    <w:rsid w:val="3F270535"/>
    <w:rsid w:val="3F2F3033"/>
    <w:rsid w:val="3F2F5239"/>
    <w:rsid w:val="3F32042D"/>
    <w:rsid w:val="3F593C0C"/>
    <w:rsid w:val="3F64271E"/>
    <w:rsid w:val="3F67457A"/>
    <w:rsid w:val="3F6F0E21"/>
    <w:rsid w:val="3F707630"/>
    <w:rsid w:val="3F7B317A"/>
    <w:rsid w:val="3F80563C"/>
    <w:rsid w:val="3F8821D9"/>
    <w:rsid w:val="3F921271"/>
    <w:rsid w:val="3F95429A"/>
    <w:rsid w:val="3FA03D8D"/>
    <w:rsid w:val="3FB27A85"/>
    <w:rsid w:val="3FB81E97"/>
    <w:rsid w:val="3FC05DF6"/>
    <w:rsid w:val="3FD108D2"/>
    <w:rsid w:val="3FDE52DA"/>
    <w:rsid w:val="3FDF2363"/>
    <w:rsid w:val="3FEB6F5A"/>
    <w:rsid w:val="3FF027C2"/>
    <w:rsid w:val="3FF12096"/>
    <w:rsid w:val="3FF35E0E"/>
    <w:rsid w:val="3FF4499C"/>
    <w:rsid w:val="40055B41"/>
    <w:rsid w:val="400C635F"/>
    <w:rsid w:val="40152228"/>
    <w:rsid w:val="40153FD6"/>
    <w:rsid w:val="40183AC7"/>
    <w:rsid w:val="401E255A"/>
    <w:rsid w:val="402661E4"/>
    <w:rsid w:val="40436D96"/>
    <w:rsid w:val="4057639D"/>
    <w:rsid w:val="405A7C3B"/>
    <w:rsid w:val="406C3FD2"/>
    <w:rsid w:val="40722880"/>
    <w:rsid w:val="407309A6"/>
    <w:rsid w:val="40743012"/>
    <w:rsid w:val="40764061"/>
    <w:rsid w:val="40787DF5"/>
    <w:rsid w:val="407D392A"/>
    <w:rsid w:val="40801A13"/>
    <w:rsid w:val="40836795"/>
    <w:rsid w:val="40866C82"/>
    <w:rsid w:val="40886F9C"/>
    <w:rsid w:val="40907AE3"/>
    <w:rsid w:val="40925627"/>
    <w:rsid w:val="40A56901"/>
    <w:rsid w:val="40B84762"/>
    <w:rsid w:val="40C01B43"/>
    <w:rsid w:val="40C27584"/>
    <w:rsid w:val="40DA0D7C"/>
    <w:rsid w:val="40E417AA"/>
    <w:rsid w:val="40E770A3"/>
    <w:rsid w:val="40F110AB"/>
    <w:rsid w:val="41140BF4"/>
    <w:rsid w:val="411816AA"/>
    <w:rsid w:val="411E7194"/>
    <w:rsid w:val="41436921"/>
    <w:rsid w:val="41444F9A"/>
    <w:rsid w:val="41563B79"/>
    <w:rsid w:val="416238F5"/>
    <w:rsid w:val="416E7E42"/>
    <w:rsid w:val="41735459"/>
    <w:rsid w:val="41790595"/>
    <w:rsid w:val="41872CB2"/>
    <w:rsid w:val="41A6630B"/>
    <w:rsid w:val="41AA074E"/>
    <w:rsid w:val="41B15F81"/>
    <w:rsid w:val="41B601CE"/>
    <w:rsid w:val="41C757A4"/>
    <w:rsid w:val="41DA7286"/>
    <w:rsid w:val="41DB27E3"/>
    <w:rsid w:val="41F315BD"/>
    <w:rsid w:val="42022339"/>
    <w:rsid w:val="42024A2E"/>
    <w:rsid w:val="421A3B26"/>
    <w:rsid w:val="421B33FA"/>
    <w:rsid w:val="42223A78"/>
    <w:rsid w:val="42306630"/>
    <w:rsid w:val="425C70A3"/>
    <w:rsid w:val="425F3C2F"/>
    <w:rsid w:val="426B3DAA"/>
    <w:rsid w:val="427951E7"/>
    <w:rsid w:val="427F4D6A"/>
    <w:rsid w:val="428B4190"/>
    <w:rsid w:val="42900A73"/>
    <w:rsid w:val="42905B96"/>
    <w:rsid w:val="429A7D5D"/>
    <w:rsid w:val="42B12CEF"/>
    <w:rsid w:val="42B71375"/>
    <w:rsid w:val="42D1107C"/>
    <w:rsid w:val="42D27F5D"/>
    <w:rsid w:val="42D3298E"/>
    <w:rsid w:val="42D53EF1"/>
    <w:rsid w:val="42E509C0"/>
    <w:rsid w:val="42ED4682"/>
    <w:rsid w:val="430000BC"/>
    <w:rsid w:val="430E70E7"/>
    <w:rsid w:val="43342619"/>
    <w:rsid w:val="433910EF"/>
    <w:rsid w:val="43487189"/>
    <w:rsid w:val="434B5F61"/>
    <w:rsid w:val="435E3EE6"/>
    <w:rsid w:val="43601A0D"/>
    <w:rsid w:val="43635059"/>
    <w:rsid w:val="436C2C68"/>
    <w:rsid w:val="436C4E6B"/>
    <w:rsid w:val="43744567"/>
    <w:rsid w:val="437650CD"/>
    <w:rsid w:val="438C5FBE"/>
    <w:rsid w:val="439E0787"/>
    <w:rsid w:val="43A23DD3"/>
    <w:rsid w:val="43A32FDD"/>
    <w:rsid w:val="43A55671"/>
    <w:rsid w:val="43A80903"/>
    <w:rsid w:val="43A833B4"/>
    <w:rsid w:val="43AA3BF4"/>
    <w:rsid w:val="43B27D8E"/>
    <w:rsid w:val="43B458B4"/>
    <w:rsid w:val="43C31B79"/>
    <w:rsid w:val="43C62ABB"/>
    <w:rsid w:val="43CA3C9D"/>
    <w:rsid w:val="43D9531B"/>
    <w:rsid w:val="43E3409E"/>
    <w:rsid w:val="43E71543"/>
    <w:rsid w:val="43F46EF9"/>
    <w:rsid w:val="43FD7808"/>
    <w:rsid w:val="44065D43"/>
    <w:rsid w:val="440D33DE"/>
    <w:rsid w:val="441118C9"/>
    <w:rsid w:val="441306EE"/>
    <w:rsid w:val="4416656F"/>
    <w:rsid w:val="441A73DC"/>
    <w:rsid w:val="441B7FB2"/>
    <w:rsid w:val="442B596F"/>
    <w:rsid w:val="44333333"/>
    <w:rsid w:val="443658B0"/>
    <w:rsid w:val="44435C51"/>
    <w:rsid w:val="444C27A6"/>
    <w:rsid w:val="44597F94"/>
    <w:rsid w:val="44640F6A"/>
    <w:rsid w:val="44641089"/>
    <w:rsid w:val="44695CE3"/>
    <w:rsid w:val="44742AC8"/>
    <w:rsid w:val="44743E8F"/>
    <w:rsid w:val="4474540B"/>
    <w:rsid w:val="448221BC"/>
    <w:rsid w:val="448B2728"/>
    <w:rsid w:val="448D4A83"/>
    <w:rsid w:val="44A21CDC"/>
    <w:rsid w:val="44B42F21"/>
    <w:rsid w:val="44BA11D1"/>
    <w:rsid w:val="44C17642"/>
    <w:rsid w:val="44C4354C"/>
    <w:rsid w:val="44C91833"/>
    <w:rsid w:val="44CB55AC"/>
    <w:rsid w:val="44D21C58"/>
    <w:rsid w:val="44D512AE"/>
    <w:rsid w:val="44EA59EF"/>
    <w:rsid w:val="44F57952"/>
    <w:rsid w:val="44F835F1"/>
    <w:rsid w:val="45097E82"/>
    <w:rsid w:val="451E7613"/>
    <w:rsid w:val="451F3E67"/>
    <w:rsid w:val="45230A92"/>
    <w:rsid w:val="452B04C6"/>
    <w:rsid w:val="452F0FDD"/>
    <w:rsid w:val="4530540F"/>
    <w:rsid w:val="45321187"/>
    <w:rsid w:val="454B3FF6"/>
    <w:rsid w:val="45605CF4"/>
    <w:rsid w:val="45823292"/>
    <w:rsid w:val="458E55DD"/>
    <w:rsid w:val="458F359B"/>
    <w:rsid w:val="45905987"/>
    <w:rsid w:val="45984A28"/>
    <w:rsid w:val="459F6D66"/>
    <w:rsid w:val="45A06EDE"/>
    <w:rsid w:val="45A100BA"/>
    <w:rsid w:val="45A33E32"/>
    <w:rsid w:val="45A831F7"/>
    <w:rsid w:val="45AF5BBE"/>
    <w:rsid w:val="45B85B30"/>
    <w:rsid w:val="45C86169"/>
    <w:rsid w:val="45CC4CD7"/>
    <w:rsid w:val="45CF6515"/>
    <w:rsid w:val="45DB181E"/>
    <w:rsid w:val="45DB35CC"/>
    <w:rsid w:val="45EA6924"/>
    <w:rsid w:val="45F76BB5"/>
    <w:rsid w:val="45FC6E50"/>
    <w:rsid w:val="45FF10B5"/>
    <w:rsid w:val="46071F53"/>
    <w:rsid w:val="46141992"/>
    <w:rsid w:val="462A6302"/>
    <w:rsid w:val="462B0024"/>
    <w:rsid w:val="46303B51"/>
    <w:rsid w:val="46445615"/>
    <w:rsid w:val="464473C4"/>
    <w:rsid w:val="464651B0"/>
    <w:rsid w:val="465171C7"/>
    <w:rsid w:val="46562B64"/>
    <w:rsid w:val="4662784A"/>
    <w:rsid w:val="46662F45"/>
    <w:rsid w:val="466664B7"/>
    <w:rsid w:val="466C2476"/>
    <w:rsid w:val="466D77E5"/>
    <w:rsid w:val="468A0097"/>
    <w:rsid w:val="468E2711"/>
    <w:rsid w:val="469041C1"/>
    <w:rsid w:val="4691012F"/>
    <w:rsid w:val="469400D7"/>
    <w:rsid w:val="46A460B4"/>
    <w:rsid w:val="46AB7443"/>
    <w:rsid w:val="46B05CDA"/>
    <w:rsid w:val="46BB04B2"/>
    <w:rsid w:val="46C978C9"/>
    <w:rsid w:val="46D1225E"/>
    <w:rsid w:val="46D40254"/>
    <w:rsid w:val="46DD49A3"/>
    <w:rsid w:val="46E43C13"/>
    <w:rsid w:val="46EA47B6"/>
    <w:rsid w:val="46F012F9"/>
    <w:rsid w:val="4707219F"/>
    <w:rsid w:val="47152B0E"/>
    <w:rsid w:val="471A27DF"/>
    <w:rsid w:val="471E1CBC"/>
    <w:rsid w:val="47217705"/>
    <w:rsid w:val="474A0A94"/>
    <w:rsid w:val="474E5670"/>
    <w:rsid w:val="47634C7E"/>
    <w:rsid w:val="477A5EA1"/>
    <w:rsid w:val="478E2120"/>
    <w:rsid w:val="47980241"/>
    <w:rsid w:val="47997B3E"/>
    <w:rsid w:val="47A77371"/>
    <w:rsid w:val="47A90827"/>
    <w:rsid w:val="47C167F2"/>
    <w:rsid w:val="47D14C87"/>
    <w:rsid w:val="47D33732"/>
    <w:rsid w:val="47F2579E"/>
    <w:rsid w:val="48084421"/>
    <w:rsid w:val="48103857"/>
    <w:rsid w:val="48174664"/>
    <w:rsid w:val="481D17A2"/>
    <w:rsid w:val="481F2CD4"/>
    <w:rsid w:val="482640F1"/>
    <w:rsid w:val="483957D0"/>
    <w:rsid w:val="484511D1"/>
    <w:rsid w:val="48477E3E"/>
    <w:rsid w:val="484C2852"/>
    <w:rsid w:val="484F7ECF"/>
    <w:rsid w:val="4860600B"/>
    <w:rsid w:val="48677399"/>
    <w:rsid w:val="487150D7"/>
    <w:rsid w:val="4873231E"/>
    <w:rsid w:val="487C4E70"/>
    <w:rsid w:val="48847F4B"/>
    <w:rsid w:val="488822A0"/>
    <w:rsid w:val="48886221"/>
    <w:rsid w:val="48963F35"/>
    <w:rsid w:val="48AD464D"/>
    <w:rsid w:val="48C20C8E"/>
    <w:rsid w:val="48CF271E"/>
    <w:rsid w:val="48E7016C"/>
    <w:rsid w:val="48E755AC"/>
    <w:rsid w:val="48EE7ABB"/>
    <w:rsid w:val="491F1A22"/>
    <w:rsid w:val="491F7C74"/>
    <w:rsid w:val="4921579A"/>
    <w:rsid w:val="49280780"/>
    <w:rsid w:val="49370910"/>
    <w:rsid w:val="49380D36"/>
    <w:rsid w:val="494B21A5"/>
    <w:rsid w:val="494E0559"/>
    <w:rsid w:val="49672CEE"/>
    <w:rsid w:val="496B506B"/>
    <w:rsid w:val="497E0E3E"/>
    <w:rsid w:val="49865F45"/>
    <w:rsid w:val="49972EA8"/>
    <w:rsid w:val="49DC3DB7"/>
    <w:rsid w:val="4A0574E0"/>
    <w:rsid w:val="4A0634BE"/>
    <w:rsid w:val="4A0F1A96"/>
    <w:rsid w:val="4A10240E"/>
    <w:rsid w:val="4A164E3C"/>
    <w:rsid w:val="4A21084E"/>
    <w:rsid w:val="4A222079"/>
    <w:rsid w:val="4A3A67A3"/>
    <w:rsid w:val="4A3B69AB"/>
    <w:rsid w:val="4A3D4856"/>
    <w:rsid w:val="4A4A6119"/>
    <w:rsid w:val="4A535C0A"/>
    <w:rsid w:val="4A617B4C"/>
    <w:rsid w:val="4A651B80"/>
    <w:rsid w:val="4A77763C"/>
    <w:rsid w:val="4A7E7F90"/>
    <w:rsid w:val="4A994CC4"/>
    <w:rsid w:val="4A9959A0"/>
    <w:rsid w:val="4A9B4062"/>
    <w:rsid w:val="4AA30A56"/>
    <w:rsid w:val="4AA77F21"/>
    <w:rsid w:val="4AB4373D"/>
    <w:rsid w:val="4ABA4C55"/>
    <w:rsid w:val="4ABD5996"/>
    <w:rsid w:val="4AC27C60"/>
    <w:rsid w:val="4AC97E97"/>
    <w:rsid w:val="4AE42F23"/>
    <w:rsid w:val="4AE526E3"/>
    <w:rsid w:val="4AE5785A"/>
    <w:rsid w:val="4AFB6758"/>
    <w:rsid w:val="4AFF7C8C"/>
    <w:rsid w:val="4B0233A9"/>
    <w:rsid w:val="4B072155"/>
    <w:rsid w:val="4B106B52"/>
    <w:rsid w:val="4B4A3E61"/>
    <w:rsid w:val="4B5662AC"/>
    <w:rsid w:val="4B583FFE"/>
    <w:rsid w:val="4B591B09"/>
    <w:rsid w:val="4B653495"/>
    <w:rsid w:val="4B681087"/>
    <w:rsid w:val="4B6B6112"/>
    <w:rsid w:val="4B730441"/>
    <w:rsid w:val="4B742092"/>
    <w:rsid w:val="4B756271"/>
    <w:rsid w:val="4B881E1A"/>
    <w:rsid w:val="4B8D182D"/>
    <w:rsid w:val="4B92472D"/>
    <w:rsid w:val="4BA803F5"/>
    <w:rsid w:val="4BAD3C64"/>
    <w:rsid w:val="4BB27155"/>
    <w:rsid w:val="4BBA0128"/>
    <w:rsid w:val="4BC879AB"/>
    <w:rsid w:val="4BCD39B7"/>
    <w:rsid w:val="4BCE772F"/>
    <w:rsid w:val="4BCF3A93"/>
    <w:rsid w:val="4BD411EA"/>
    <w:rsid w:val="4C0E29B5"/>
    <w:rsid w:val="4C120892"/>
    <w:rsid w:val="4C366097"/>
    <w:rsid w:val="4C390085"/>
    <w:rsid w:val="4C455C43"/>
    <w:rsid w:val="4C6D6F48"/>
    <w:rsid w:val="4C7416EF"/>
    <w:rsid w:val="4C771B75"/>
    <w:rsid w:val="4C7F7AA0"/>
    <w:rsid w:val="4C8449BE"/>
    <w:rsid w:val="4C871DB8"/>
    <w:rsid w:val="4C880541"/>
    <w:rsid w:val="4CB16E35"/>
    <w:rsid w:val="4CB24455"/>
    <w:rsid w:val="4CDF7BAA"/>
    <w:rsid w:val="4CE26322"/>
    <w:rsid w:val="4CED24B4"/>
    <w:rsid w:val="4CF92F34"/>
    <w:rsid w:val="4CFE5DF2"/>
    <w:rsid w:val="4D00261D"/>
    <w:rsid w:val="4D13667F"/>
    <w:rsid w:val="4D16138E"/>
    <w:rsid w:val="4D1E67FE"/>
    <w:rsid w:val="4D24075D"/>
    <w:rsid w:val="4D275349"/>
    <w:rsid w:val="4D2C295F"/>
    <w:rsid w:val="4D2C6C74"/>
    <w:rsid w:val="4D3254B2"/>
    <w:rsid w:val="4D382ECC"/>
    <w:rsid w:val="4D3D18C9"/>
    <w:rsid w:val="4D423F31"/>
    <w:rsid w:val="4D476BE6"/>
    <w:rsid w:val="4D4E159F"/>
    <w:rsid w:val="4D565DAC"/>
    <w:rsid w:val="4D5819A6"/>
    <w:rsid w:val="4D654F3D"/>
    <w:rsid w:val="4D6F3D62"/>
    <w:rsid w:val="4D93556F"/>
    <w:rsid w:val="4D994B3D"/>
    <w:rsid w:val="4D9B5D22"/>
    <w:rsid w:val="4D9C7AE5"/>
    <w:rsid w:val="4D9E4303"/>
    <w:rsid w:val="4DA17EA2"/>
    <w:rsid w:val="4DAC0642"/>
    <w:rsid w:val="4DB74E30"/>
    <w:rsid w:val="4DBC44B0"/>
    <w:rsid w:val="4DC263F8"/>
    <w:rsid w:val="4DD0778F"/>
    <w:rsid w:val="4E030C83"/>
    <w:rsid w:val="4E136909"/>
    <w:rsid w:val="4E1834F6"/>
    <w:rsid w:val="4E1E04FA"/>
    <w:rsid w:val="4E1F4272"/>
    <w:rsid w:val="4E277BA4"/>
    <w:rsid w:val="4E296F52"/>
    <w:rsid w:val="4E2B202B"/>
    <w:rsid w:val="4E2B70BB"/>
    <w:rsid w:val="4E2D7658"/>
    <w:rsid w:val="4E3C3BC2"/>
    <w:rsid w:val="4E48525F"/>
    <w:rsid w:val="4E546498"/>
    <w:rsid w:val="4E5F5281"/>
    <w:rsid w:val="4E61488B"/>
    <w:rsid w:val="4E7740AE"/>
    <w:rsid w:val="4E8C5DAC"/>
    <w:rsid w:val="4E8F608C"/>
    <w:rsid w:val="4E9523FF"/>
    <w:rsid w:val="4EA317FA"/>
    <w:rsid w:val="4EC24DC3"/>
    <w:rsid w:val="4ED41501"/>
    <w:rsid w:val="4EDD03B5"/>
    <w:rsid w:val="4EDF1191"/>
    <w:rsid w:val="4EEC23A6"/>
    <w:rsid w:val="4EEE3BC3"/>
    <w:rsid w:val="4EFA66A5"/>
    <w:rsid w:val="4F035942"/>
    <w:rsid w:val="4F11377E"/>
    <w:rsid w:val="4F210993"/>
    <w:rsid w:val="4F3B15C7"/>
    <w:rsid w:val="4F3B7B0F"/>
    <w:rsid w:val="4F4F66B3"/>
    <w:rsid w:val="4F5148FF"/>
    <w:rsid w:val="4F5A37B4"/>
    <w:rsid w:val="4F680B3E"/>
    <w:rsid w:val="4F7E624E"/>
    <w:rsid w:val="4F7E7F24"/>
    <w:rsid w:val="4F882033"/>
    <w:rsid w:val="4F8B6063"/>
    <w:rsid w:val="4F952A3E"/>
    <w:rsid w:val="4F9C0BB7"/>
    <w:rsid w:val="4F9F5278"/>
    <w:rsid w:val="4FA9473B"/>
    <w:rsid w:val="4FC77813"/>
    <w:rsid w:val="4FC9093A"/>
    <w:rsid w:val="4FCB46B2"/>
    <w:rsid w:val="4FCD0624"/>
    <w:rsid w:val="4FCF656A"/>
    <w:rsid w:val="4FD441EB"/>
    <w:rsid w:val="4FD76431"/>
    <w:rsid w:val="4FDC68BF"/>
    <w:rsid w:val="4FEB23B1"/>
    <w:rsid w:val="4FED7E19"/>
    <w:rsid w:val="4FF400D6"/>
    <w:rsid w:val="50085726"/>
    <w:rsid w:val="50117FDB"/>
    <w:rsid w:val="5014648E"/>
    <w:rsid w:val="502961E7"/>
    <w:rsid w:val="502F5667"/>
    <w:rsid w:val="503A5393"/>
    <w:rsid w:val="503F1C88"/>
    <w:rsid w:val="5058203A"/>
    <w:rsid w:val="505F0C0E"/>
    <w:rsid w:val="506A5C79"/>
    <w:rsid w:val="50734669"/>
    <w:rsid w:val="507408A5"/>
    <w:rsid w:val="507B041F"/>
    <w:rsid w:val="507C3BFE"/>
    <w:rsid w:val="508D1967"/>
    <w:rsid w:val="509217B9"/>
    <w:rsid w:val="509A32B8"/>
    <w:rsid w:val="50A7185F"/>
    <w:rsid w:val="50CC6933"/>
    <w:rsid w:val="50D60111"/>
    <w:rsid w:val="50EC0D83"/>
    <w:rsid w:val="50F5765E"/>
    <w:rsid w:val="50F9524E"/>
    <w:rsid w:val="51015F44"/>
    <w:rsid w:val="5101794A"/>
    <w:rsid w:val="510D2081"/>
    <w:rsid w:val="510D2588"/>
    <w:rsid w:val="511A58F1"/>
    <w:rsid w:val="511B6F73"/>
    <w:rsid w:val="5121403D"/>
    <w:rsid w:val="512C64BA"/>
    <w:rsid w:val="51313F38"/>
    <w:rsid w:val="513D4941"/>
    <w:rsid w:val="51484635"/>
    <w:rsid w:val="51554CEC"/>
    <w:rsid w:val="515561D0"/>
    <w:rsid w:val="515A365A"/>
    <w:rsid w:val="515D3A2F"/>
    <w:rsid w:val="51610E18"/>
    <w:rsid w:val="516553F4"/>
    <w:rsid w:val="516959A7"/>
    <w:rsid w:val="517A013D"/>
    <w:rsid w:val="517D3614"/>
    <w:rsid w:val="517F7502"/>
    <w:rsid w:val="51865905"/>
    <w:rsid w:val="519611B1"/>
    <w:rsid w:val="51B66C9C"/>
    <w:rsid w:val="51B82E3C"/>
    <w:rsid w:val="51BA678C"/>
    <w:rsid w:val="51D35EFC"/>
    <w:rsid w:val="51E301C4"/>
    <w:rsid w:val="51EC090F"/>
    <w:rsid w:val="52004104"/>
    <w:rsid w:val="521155F9"/>
    <w:rsid w:val="522A10C7"/>
    <w:rsid w:val="52323AC7"/>
    <w:rsid w:val="5237602E"/>
    <w:rsid w:val="523A34B8"/>
    <w:rsid w:val="5244074B"/>
    <w:rsid w:val="52466271"/>
    <w:rsid w:val="524B6014"/>
    <w:rsid w:val="524D073F"/>
    <w:rsid w:val="525317C1"/>
    <w:rsid w:val="52551D53"/>
    <w:rsid w:val="52667A5B"/>
    <w:rsid w:val="5268540F"/>
    <w:rsid w:val="526A78DC"/>
    <w:rsid w:val="526F368F"/>
    <w:rsid w:val="52707792"/>
    <w:rsid w:val="52720E14"/>
    <w:rsid w:val="527840D0"/>
    <w:rsid w:val="52BC0CDF"/>
    <w:rsid w:val="52BC29D7"/>
    <w:rsid w:val="52D27B05"/>
    <w:rsid w:val="52EA7D7E"/>
    <w:rsid w:val="52EB7A54"/>
    <w:rsid w:val="52F263F9"/>
    <w:rsid w:val="52FB63DB"/>
    <w:rsid w:val="53071EA5"/>
    <w:rsid w:val="531E5887"/>
    <w:rsid w:val="532540D9"/>
    <w:rsid w:val="53453670"/>
    <w:rsid w:val="535567FE"/>
    <w:rsid w:val="53597BB2"/>
    <w:rsid w:val="537A2677"/>
    <w:rsid w:val="53A4547B"/>
    <w:rsid w:val="53A771E4"/>
    <w:rsid w:val="53AE0572"/>
    <w:rsid w:val="53B56389"/>
    <w:rsid w:val="53C35376"/>
    <w:rsid w:val="53D004E8"/>
    <w:rsid w:val="53DE27BD"/>
    <w:rsid w:val="53F03EEE"/>
    <w:rsid w:val="53F50CC8"/>
    <w:rsid w:val="53FA6108"/>
    <w:rsid w:val="53FD0BB2"/>
    <w:rsid w:val="541859EC"/>
    <w:rsid w:val="541B1240"/>
    <w:rsid w:val="541D00B7"/>
    <w:rsid w:val="541F4271"/>
    <w:rsid w:val="54224844"/>
    <w:rsid w:val="54224EAD"/>
    <w:rsid w:val="54356DA6"/>
    <w:rsid w:val="5440167C"/>
    <w:rsid w:val="54561F7B"/>
    <w:rsid w:val="545B6278"/>
    <w:rsid w:val="546602C6"/>
    <w:rsid w:val="54662BFB"/>
    <w:rsid w:val="54703817"/>
    <w:rsid w:val="54713EA0"/>
    <w:rsid w:val="547143A9"/>
    <w:rsid w:val="547D408D"/>
    <w:rsid w:val="5496431B"/>
    <w:rsid w:val="549904BF"/>
    <w:rsid w:val="549D2D3D"/>
    <w:rsid w:val="549D6FA4"/>
    <w:rsid w:val="54A279A6"/>
    <w:rsid w:val="54A67AB4"/>
    <w:rsid w:val="54AF700B"/>
    <w:rsid w:val="54B01D2F"/>
    <w:rsid w:val="54CB6F02"/>
    <w:rsid w:val="54DF3807"/>
    <w:rsid w:val="54E37444"/>
    <w:rsid w:val="54E909F1"/>
    <w:rsid w:val="54F527D0"/>
    <w:rsid w:val="54F63F7F"/>
    <w:rsid w:val="54FC355F"/>
    <w:rsid w:val="55114DB8"/>
    <w:rsid w:val="55183F10"/>
    <w:rsid w:val="55185914"/>
    <w:rsid w:val="55314FB7"/>
    <w:rsid w:val="557133BF"/>
    <w:rsid w:val="558B3CD7"/>
    <w:rsid w:val="55911EF9"/>
    <w:rsid w:val="559D089E"/>
    <w:rsid w:val="559D43FA"/>
    <w:rsid w:val="559E0172"/>
    <w:rsid w:val="55A51501"/>
    <w:rsid w:val="55A57753"/>
    <w:rsid w:val="55B17EA6"/>
    <w:rsid w:val="55B654BC"/>
    <w:rsid w:val="55E24503"/>
    <w:rsid w:val="55E77190"/>
    <w:rsid w:val="55F85AD5"/>
    <w:rsid w:val="560003E0"/>
    <w:rsid w:val="56032137"/>
    <w:rsid w:val="56073F6A"/>
    <w:rsid w:val="56091982"/>
    <w:rsid w:val="562107AD"/>
    <w:rsid w:val="562504E6"/>
    <w:rsid w:val="564175F1"/>
    <w:rsid w:val="56560C80"/>
    <w:rsid w:val="566B62A7"/>
    <w:rsid w:val="566D3E3D"/>
    <w:rsid w:val="56755377"/>
    <w:rsid w:val="567B1497"/>
    <w:rsid w:val="567D422C"/>
    <w:rsid w:val="56876E58"/>
    <w:rsid w:val="568B4B14"/>
    <w:rsid w:val="56963F44"/>
    <w:rsid w:val="569B21FF"/>
    <w:rsid w:val="56AF0889"/>
    <w:rsid w:val="56CD4670"/>
    <w:rsid w:val="56D007FF"/>
    <w:rsid w:val="56D75305"/>
    <w:rsid w:val="56DA16A7"/>
    <w:rsid w:val="56E950F1"/>
    <w:rsid w:val="56FB2419"/>
    <w:rsid w:val="56FC4431"/>
    <w:rsid w:val="57160908"/>
    <w:rsid w:val="572648C3"/>
    <w:rsid w:val="57274B79"/>
    <w:rsid w:val="57315CFB"/>
    <w:rsid w:val="57392246"/>
    <w:rsid w:val="57465E01"/>
    <w:rsid w:val="574B60D8"/>
    <w:rsid w:val="575A7BA9"/>
    <w:rsid w:val="57631674"/>
    <w:rsid w:val="578810DA"/>
    <w:rsid w:val="57A012E6"/>
    <w:rsid w:val="57A349D6"/>
    <w:rsid w:val="57AD4D6A"/>
    <w:rsid w:val="57B2710C"/>
    <w:rsid w:val="57B733F2"/>
    <w:rsid w:val="57BD5228"/>
    <w:rsid w:val="57BF71EB"/>
    <w:rsid w:val="57CD320D"/>
    <w:rsid w:val="57DD5A1F"/>
    <w:rsid w:val="57F25E11"/>
    <w:rsid w:val="57FC4C18"/>
    <w:rsid w:val="58030761"/>
    <w:rsid w:val="582C415B"/>
    <w:rsid w:val="582D0AE3"/>
    <w:rsid w:val="583026D2"/>
    <w:rsid w:val="58360B36"/>
    <w:rsid w:val="583B614D"/>
    <w:rsid w:val="584079A5"/>
    <w:rsid w:val="5848403A"/>
    <w:rsid w:val="586438F5"/>
    <w:rsid w:val="5877248A"/>
    <w:rsid w:val="58780674"/>
    <w:rsid w:val="58873140"/>
    <w:rsid w:val="588E0972"/>
    <w:rsid w:val="58A10FFF"/>
    <w:rsid w:val="58D027DA"/>
    <w:rsid w:val="58DF2F7C"/>
    <w:rsid w:val="58EA3962"/>
    <w:rsid w:val="58EB5E3D"/>
    <w:rsid w:val="58F8612F"/>
    <w:rsid w:val="59017396"/>
    <w:rsid w:val="59044790"/>
    <w:rsid w:val="590654B7"/>
    <w:rsid w:val="590F403E"/>
    <w:rsid w:val="59152614"/>
    <w:rsid w:val="59160E0A"/>
    <w:rsid w:val="59226D18"/>
    <w:rsid w:val="59306158"/>
    <w:rsid w:val="593B4656"/>
    <w:rsid w:val="593E7CA2"/>
    <w:rsid w:val="59493BC3"/>
    <w:rsid w:val="59506CC9"/>
    <w:rsid w:val="59537AC6"/>
    <w:rsid w:val="595879A2"/>
    <w:rsid w:val="595B0854"/>
    <w:rsid w:val="595F5A47"/>
    <w:rsid w:val="59777658"/>
    <w:rsid w:val="59A10231"/>
    <w:rsid w:val="59A37467"/>
    <w:rsid w:val="59AA6DF1"/>
    <w:rsid w:val="59B03207"/>
    <w:rsid w:val="59B05DB3"/>
    <w:rsid w:val="59B740DE"/>
    <w:rsid w:val="59B96C7F"/>
    <w:rsid w:val="59CA59DA"/>
    <w:rsid w:val="59CF2FF0"/>
    <w:rsid w:val="59E545C2"/>
    <w:rsid w:val="5A1D32C5"/>
    <w:rsid w:val="5A25754B"/>
    <w:rsid w:val="5A392A90"/>
    <w:rsid w:val="5A403EEE"/>
    <w:rsid w:val="5A405001"/>
    <w:rsid w:val="5A490422"/>
    <w:rsid w:val="5A490530"/>
    <w:rsid w:val="5A4F6E3E"/>
    <w:rsid w:val="5A663955"/>
    <w:rsid w:val="5A736072"/>
    <w:rsid w:val="5A7F4A16"/>
    <w:rsid w:val="5A8236BC"/>
    <w:rsid w:val="5A9046CE"/>
    <w:rsid w:val="5A971D60"/>
    <w:rsid w:val="5AA96DDE"/>
    <w:rsid w:val="5AAB1367"/>
    <w:rsid w:val="5AAF12FD"/>
    <w:rsid w:val="5AB20948"/>
    <w:rsid w:val="5AB84533"/>
    <w:rsid w:val="5ACD2276"/>
    <w:rsid w:val="5AD23072"/>
    <w:rsid w:val="5ADD58FA"/>
    <w:rsid w:val="5AF62098"/>
    <w:rsid w:val="5AFC7E15"/>
    <w:rsid w:val="5B000360"/>
    <w:rsid w:val="5B085C69"/>
    <w:rsid w:val="5B0D2022"/>
    <w:rsid w:val="5B19469E"/>
    <w:rsid w:val="5B1A0A05"/>
    <w:rsid w:val="5B596D8F"/>
    <w:rsid w:val="5B5E3549"/>
    <w:rsid w:val="5B5E462C"/>
    <w:rsid w:val="5B6A7475"/>
    <w:rsid w:val="5B6F70A8"/>
    <w:rsid w:val="5B7B3430"/>
    <w:rsid w:val="5B807582"/>
    <w:rsid w:val="5B850431"/>
    <w:rsid w:val="5B85605C"/>
    <w:rsid w:val="5B8816A9"/>
    <w:rsid w:val="5B991B08"/>
    <w:rsid w:val="5B9A1907"/>
    <w:rsid w:val="5B9F42F7"/>
    <w:rsid w:val="5BA04C44"/>
    <w:rsid w:val="5BA17B64"/>
    <w:rsid w:val="5BA5225B"/>
    <w:rsid w:val="5BA7342B"/>
    <w:rsid w:val="5BA76A90"/>
    <w:rsid w:val="5BAD7361"/>
    <w:rsid w:val="5BAE4BEB"/>
    <w:rsid w:val="5BE23858"/>
    <w:rsid w:val="5BE6065B"/>
    <w:rsid w:val="5BE87EEB"/>
    <w:rsid w:val="5BF8383A"/>
    <w:rsid w:val="5C001082"/>
    <w:rsid w:val="5C0A4223"/>
    <w:rsid w:val="5C0F3B78"/>
    <w:rsid w:val="5C1D6295"/>
    <w:rsid w:val="5C2559C1"/>
    <w:rsid w:val="5C2771CB"/>
    <w:rsid w:val="5C2F104A"/>
    <w:rsid w:val="5C395AF6"/>
    <w:rsid w:val="5C403D31"/>
    <w:rsid w:val="5C433822"/>
    <w:rsid w:val="5C544946"/>
    <w:rsid w:val="5C645C72"/>
    <w:rsid w:val="5C773B92"/>
    <w:rsid w:val="5C7D31A5"/>
    <w:rsid w:val="5C8207EE"/>
    <w:rsid w:val="5C853E3A"/>
    <w:rsid w:val="5C8774B6"/>
    <w:rsid w:val="5C902F0B"/>
    <w:rsid w:val="5C9554CE"/>
    <w:rsid w:val="5C9D1777"/>
    <w:rsid w:val="5CB71F09"/>
    <w:rsid w:val="5CBD699C"/>
    <w:rsid w:val="5CC74453"/>
    <w:rsid w:val="5CCA2903"/>
    <w:rsid w:val="5CDA6D2F"/>
    <w:rsid w:val="5CE46DB3"/>
    <w:rsid w:val="5CEC5C67"/>
    <w:rsid w:val="5CEE19DF"/>
    <w:rsid w:val="5CF57313"/>
    <w:rsid w:val="5CF60894"/>
    <w:rsid w:val="5CF74D38"/>
    <w:rsid w:val="5CFB0C86"/>
    <w:rsid w:val="5D004E59"/>
    <w:rsid w:val="5D064F7B"/>
    <w:rsid w:val="5D095C42"/>
    <w:rsid w:val="5D0D6309"/>
    <w:rsid w:val="5D131446"/>
    <w:rsid w:val="5D2C71A4"/>
    <w:rsid w:val="5D3F2A65"/>
    <w:rsid w:val="5D445AA3"/>
    <w:rsid w:val="5D5757D7"/>
    <w:rsid w:val="5D59082E"/>
    <w:rsid w:val="5D6121B1"/>
    <w:rsid w:val="5D622A3D"/>
    <w:rsid w:val="5D645DC6"/>
    <w:rsid w:val="5D683540"/>
    <w:rsid w:val="5D6879E4"/>
    <w:rsid w:val="5D6D40C7"/>
    <w:rsid w:val="5D724EEE"/>
    <w:rsid w:val="5D7C523D"/>
    <w:rsid w:val="5D885990"/>
    <w:rsid w:val="5D885B02"/>
    <w:rsid w:val="5D8B6B47"/>
    <w:rsid w:val="5D8C1025"/>
    <w:rsid w:val="5D972AB6"/>
    <w:rsid w:val="5DA32CB5"/>
    <w:rsid w:val="5DAF73C1"/>
    <w:rsid w:val="5DB669A1"/>
    <w:rsid w:val="5DC55B45"/>
    <w:rsid w:val="5DDC7A8A"/>
    <w:rsid w:val="5DE81BE6"/>
    <w:rsid w:val="5DEE7186"/>
    <w:rsid w:val="5DF642BB"/>
    <w:rsid w:val="5DF80D95"/>
    <w:rsid w:val="5E032599"/>
    <w:rsid w:val="5E057E09"/>
    <w:rsid w:val="5E08087F"/>
    <w:rsid w:val="5E0D40E7"/>
    <w:rsid w:val="5E364C03"/>
    <w:rsid w:val="5E36685D"/>
    <w:rsid w:val="5E3C557C"/>
    <w:rsid w:val="5E420235"/>
    <w:rsid w:val="5E4D0988"/>
    <w:rsid w:val="5E543AC4"/>
    <w:rsid w:val="5E6006BB"/>
    <w:rsid w:val="5E68756F"/>
    <w:rsid w:val="5E693A13"/>
    <w:rsid w:val="5E843C16"/>
    <w:rsid w:val="5E8633D0"/>
    <w:rsid w:val="5EA1278A"/>
    <w:rsid w:val="5EB012FF"/>
    <w:rsid w:val="5EBD3D5F"/>
    <w:rsid w:val="5EC01E35"/>
    <w:rsid w:val="5EC40C8B"/>
    <w:rsid w:val="5EEC01A1"/>
    <w:rsid w:val="5EF03AC3"/>
    <w:rsid w:val="5F0B4ACB"/>
    <w:rsid w:val="5F116014"/>
    <w:rsid w:val="5F164E84"/>
    <w:rsid w:val="5F197CC4"/>
    <w:rsid w:val="5F267D94"/>
    <w:rsid w:val="5F2B6F1B"/>
    <w:rsid w:val="5F533C9F"/>
    <w:rsid w:val="5F61039C"/>
    <w:rsid w:val="5F6C3386"/>
    <w:rsid w:val="5F70492E"/>
    <w:rsid w:val="5F7051D5"/>
    <w:rsid w:val="5F7822C5"/>
    <w:rsid w:val="5F7B33D2"/>
    <w:rsid w:val="5F7D7F1C"/>
    <w:rsid w:val="5F8C5663"/>
    <w:rsid w:val="5F8D54E0"/>
    <w:rsid w:val="5F971162"/>
    <w:rsid w:val="5F9A6462"/>
    <w:rsid w:val="5F9C1BC7"/>
    <w:rsid w:val="5FA364F5"/>
    <w:rsid w:val="5FA840C8"/>
    <w:rsid w:val="5FB6431D"/>
    <w:rsid w:val="5FBA6515"/>
    <w:rsid w:val="5FD01870"/>
    <w:rsid w:val="5FD64980"/>
    <w:rsid w:val="5FE44697"/>
    <w:rsid w:val="601259E5"/>
    <w:rsid w:val="602045A6"/>
    <w:rsid w:val="602A0F80"/>
    <w:rsid w:val="602C2F4B"/>
    <w:rsid w:val="604C539B"/>
    <w:rsid w:val="60506680"/>
    <w:rsid w:val="605B55DE"/>
    <w:rsid w:val="6065645C"/>
    <w:rsid w:val="60681AA9"/>
    <w:rsid w:val="607A6A02"/>
    <w:rsid w:val="608621E5"/>
    <w:rsid w:val="609A7614"/>
    <w:rsid w:val="60A54AAB"/>
    <w:rsid w:val="60AE1BB1"/>
    <w:rsid w:val="60B8658C"/>
    <w:rsid w:val="60BD0047"/>
    <w:rsid w:val="60C137A7"/>
    <w:rsid w:val="60C860FC"/>
    <w:rsid w:val="60CE2410"/>
    <w:rsid w:val="60D84E80"/>
    <w:rsid w:val="60E76BE7"/>
    <w:rsid w:val="60EF2AC8"/>
    <w:rsid w:val="60FA10EF"/>
    <w:rsid w:val="60FE28E7"/>
    <w:rsid w:val="61016185"/>
    <w:rsid w:val="61081859"/>
    <w:rsid w:val="612D0AE9"/>
    <w:rsid w:val="6131633F"/>
    <w:rsid w:val="613773D4"/>
    <w:rsid w:val="613876CD"/>
    <w:rsid w:val="61412A26"/>
    <w:rsid w:val="614853BC"/>
    <w:rsid w:val="614909B6"/>
    <w:rsid w:val="614912FF"/>
    <w:rsid w:val="61593820"/>
    <w:rsid w:val="615A7643"/>
    <w:rsid w:val="61626A84"/>
    <w:rsid w:val="61701080"/>
    <w:rsid w:val="617C3A5E"/>
    <w:rsid w:val="61811074"/>
    <w:rsid w:val="61815613"/>
    <w:rsid w:val="618E081D"/>
    <w:rsid w:val="618E08DE"/>
    <w:rsid w:val="61A82735"/>
    <w:rsid w:val="61AE21E0"/>
    <w:rsid w:val="61D31A05"/>
    <w:rsid w:val="61D578C6"/>
    <w:rsid w:val="61DA0784"/>
    <w:rsid w:val="61EA43F4"/>
    <w:rsid w:val="620E2132"/>
    <w:rsid w:val="62196D16"/>
    <w:rsid w:val="621F0DBA"/>
    <w:rsid w:val="622E0C09"/>
    <w:rsid w:val="623573AA"/>
    <w:rsid w:val="62383709"/>
    <w:rsid w:val="62481B92"/>
    <w:rsid w:val="624B51DE"/>
    <w:rsid w:val="62533FDE"/>
    <w:rsid w:val="625631A4"/>
    <w:rsid w:val="626562A0"/>
    <w:rsid w:val="62682234"/>
    <w:rsid w:val="626C5880"/>
    <w:rsid w:val="628A3F58"/>
    <w:rsid w:val="62A300B5"/>
    <w:rsid w:val="62A42343"/>
    <w:rsid w:val="62A52B40"/>
    <w:rsid w:val="62AE5E99"/>
    <w:rsid w:val="62B334AF"/>
    <w:rsid w:val="62C955F2"/>
    <w:rsid w:val="62CC4571"/>
    <w:rsid w:val="62D3203E"/>
    <w:rsid w:val="62D614CA"/>
    <w:rsid w:val="62D75BCF"/>
    <w:rsid w:val="62E862E4"/>
    <w:rsid w:val="62F12229"/>
    <w:rsid w:val="63051831"/>
    <w:rsid w:val="63091321"/>
    <w:rsid w:val="630B0B17"/>
    <w:rsid w:val="631A1780"/>
    <w:rsid w:val="631B4BC7"/>
    <w:rsid w:val="631B5E65"/>
    <w:rsid w:val="63224191"/>
    <w:rsid w:val="63312626"/>
    <w:rsid w:val="6332300E"/>
    <w:rsid w:val="633345F0"/>
    <w:rsid w:val="63474D9C"/>
    <w:rsid w:val="6347772F"/>
    <w:rsid w:val="63556314"/>
    <w:rsid w:val="636C077E"/>
    <w:rsid w:val="636C18B0"/>
    <w:rsid w:val="637378F1"/>
    <w:rsid w:val="637864A7"/>
    <w:rsid w:val="637A30DE"/>
    <w:rsid w:val="637D586B"/>
    <w:rsid w:val="637E78D3"/>
    <w:rsid w:val="63827325"/>
    <w:rsid w:val="638667FA"/>
    <w:rsid w:val="639E415F"/>
    <w:rsid w:val="63A948B2"/>
    <w:rsid w:val="63AD2615"/>
    <w:rsid w:val="63B1353D"/>
    <w:rsid w:val="63CC0DEE"/>
    <w:rsid w:val="63D46F56"/>
    <w:rsid w:val="63D731CD"/>
    <w:rsid w:val="63DB0061"/>
    <w:rsid w:val="63EA2DFF"/>
    <w:rsid w:val="63EF49BB"/>
    <w:rsid w:val="63FE69AC"/>
    <w:rsid w:val="63FF1864"/>
    <w:rsid w:val="64032B1F"/>
    <w:rsid w:val="640C11FB"/>
    <w:rsid w:val="640D4E41"/>
    <w:rsid w:val="641B7864"/>
    <w:rsid w:val="641C5512"/>
    <w:rsid w:val="642301C1"/>
    <w:rsid w:val="64262541"/>
    <w:rsid w:val="642D0685"/>
    <w:rsid w:val="64373C6C"/>
    <w:rsid w:val="643D3D7F"/>
    <w:rsid w:val="6441014C"/>
    <w:rsid w:val="64487AEA"/>
    <w:rsid w:val="644D0E9F"/>
    <w:rsid w:val="64575A22"/>
    <w:rsid w:val="645760BC"/>
    <w:rsid w:val="646031C3"/>
    <w:rsid w:val="64613005"/>
    <w:rsid w:val="64665DA0"/>
    <w:rsid w:val="646E05BB"/>
    <w:rsid w:val="647366D2"/>
    <w:rsid w:val="6488214C"/>
    <w:rsid w:val="648B075A"/>
    <w:rsid w:val="649B4D9E"/>
    <w:rsid w:val="64AF5DE8"/>
    <w:rsid w:val="64D67929"/>
    <w:rsid w:val="64DC353E"/>
    <w:rsid w:val="64E831B8"/>
    <w:rsid w:val="64E932B4"/>
    <w:rsid w:val="64FB1384"/>
    <w:rsid w:val="64FE478A"/>
    <w:rsid w:val="65094ABB"/>
    <w:rsid w:val="651A6E4E"/>
    <w:rsid w:val="651B43AF"/>
    <w:rsid w:val="6525725C"/>
    <w:rsid w:val="6529778E"/>
    <w:rsid w:val="6534676F"/>
    <w:rsid w:val="65401246"/>
    <w:rsid w:val="6555080E"/>
    <w:rsid w:val="655B398A"/>
    <w:rsid w:val="655F34E4"/>
    <w:rsid w:val="65785AF0"/>
    <w:rsid w:val="657D1B52"/>
    <w:rsid w:val="657E09FF"/>
    <w:rsid w:val="659155FE"/>
    <w:rsid w:val="65995367"/>
    <w:rsid w:val="65A5065C"/>
    <w:rsid w:val="65B478DD"/>
    <w:rsid w:val="65B772F5"/>
    <w:rsid w:val="65BF03BD"/>
    <w:rsid w:val="65C6174B"/>
    <w:rsid w:val="65C821F8"/>
    <w:rsid w:val="65CF0C3B"/>
    <w:rsid w:val="65F0612E"/>
    <w:rsid w:val="66057F9E"/>
    <w:rsid w:val="662F11ED"/>
    <w:rsid w:val="6634599D"/>
    <w:rsid w:val="663A7A43"/>
    <w:rsid w:val="663E074F"/>
    <w:rsid w:val="66430FEE"/>
    <w:rsid w:val="664438F7"/>
    <w:rsid w:val="664857D1"/>
    <w:rsid w:val="666E6599"/>
    <w:rsid w:val="66847AD9"/>
    <w:rsid w:val="66940BED"/>
    <w:rsid w:val="66A060C2"/>
    <w:rsid w:val="66A32E5A"/>
    <w:rsid w:val="66A84D09"/>
    <w:rsid w:val="66C8504F"/>
    <w:rsid w:val="66CD452C"/>
    <w:rsid w:val="66D04EC3"/>
    <w:rsid w:val="66DC6D4D"/>
    <w:rsid w:val="672213F1"/>
    <w:rsid w:val="673B6F12"/>
    <w:rsid w:val="67425DBD"/>
    <w:rsid w:val="67486190"/>
    <w:rsid w:val="674C133A"/>
    <w:rsid w:val="674E6D9C"/>
    <w:rsid w:val="67504D09"/>
    <w:rsid w:val="67656D42"/>
    <w:rsid w:val="676C6322"/>
    <w:rsid w:val="677B6476"/>
    <w:rsid w:val="678512B7"/>
    <w:rsid w:val="678D1A9B"/>
    <w:rsid w:val="679D5205"/>
    <w:rsid w:val="67A20627"/>
    <w:rsid w:val="67A76AF9"/>
    <w:rsid w:val="67AF788F"/>
    <w:rsid w:val="67B93CC5"/>
    <w:rsid w:val="67BE25B5"/>
    <w:rsid w:val="67C31A41"/>
    <w:rsid w:val="67C43A69"/>
    <w:rsid w:val="67CB02D7"/>
    <w:rsid w:val="67D53EC8"/>
    <w:rsid w:val="67DA7596"/>
    <w:rsid w:val="67DB0DB2"/>
    <w:rsid w:val="67E77DF9"/>
    <w:rsid w:val="68062AFE"/>
    <w:rsid w:val="680E6086"/>
    <w:rsid w:val="68110C7B"/>
    <w:rsid w:val="68161EA5"/>
    <w:rsid w:val="6826051D"/>
    <w:rsid w:val="68333C3E"/>
    <w:rsid w:val="683E1A6D"/>
    <w:rsid w:val="683E7CBF"/>
    <w:rsid w:val="684567F6"/>
    <w:rsid w:val="684F592A"/>
    <w:rsid w:val="68534F68"/>
    <w:rsid w:val="6861575B"/>
    <w:rsid w:val="68646FFA"/>
    <w:rsid w:val="68707784"/>
    <w:rsid w:val="68917941"/>
    <w:rsid w:val="689465A4"/>
    <w:rsid w:val="689A2B1D"/>
    <w:rsid w:val="68A5091F"/>
    <w:rsid w:val="68B8214D"/>
    <w:rsid w:val="68C76F15"/>
    <w:rsid w:val="68E678B8"/>
    <w:rsid w:val="68EB36BB"/>
    <w:rsid w:val="68F115C1"/>
    <w:rsid w:val="68F62348"/>
    <w:rsid w:val="691579CB"/>
    <w:rsid w:val="6916723A"/>
    <w:rsid w:val="691813E2"/>
    <w:rsid w:val="69216C99"/>
    <w:rsid w:val="692C3FBB"/>
    <w:rsid w:val="6941748B"/>
    <w:rsid w:val="694C3976"/>
    <w:rsid w:val="695A0B28"/>
    <w:rsid w:val="69740DF6"/>
    <w:rsid w:val="698115B5"/>
    <w:rsid w:val="698D0A4F"/>
    <w:rsid w:val="699E2CB8"/>
    <w:rsid w:val="69AF07DF"/>
    <w:rsid w:val="69C15DD3"/>
    <w:rsid w:val="69C37EA1"/>
    <w:rsid w:val="69CE6E20"/>
    <w:rsid w:val="69D22FDA"/>
    <w:rsid w:val="69EA1511"/>
    <w:rsid w:val="69F34AD9"/>
    <w:rsid w:val="69FA24DD"/>
    <w:rsid w:val="69FC1BE0"/>
    <w:rsid w:val="6A01722F"/>
    <w:rsid w:val="6A0B75B9"/>
    <w:rsid w:val="6A1011E7"/>
    <w:rsid w:val="6A153B47"/>
    <w:rsid w:val="6A20375A"/>
    <w:rsid w:val="6A22716C"/>
    <w:rsid w:val="6A253D0C"/>
    <w:rsid w:val="6A2A17E0"/>
    <w:rsid w:val="6A31115D"/>
    <w:rsid w:val="6A356179"/>
    <w:rsid w:val="6A395CB7"/>
    <w:rsid w:val="6A494E5F"/>
    <w:rsid w:val="6A572089"/>
    <w:rsid w:val="6A611A43"/>
    <w:rsid w:val="6A684C1D"/>
    <w:rsid w:val="6A6D03E7"/>
    <w:rsid w:val="6A717FEA"/>
    <w:rsid w:val="6A813E93"/>
    <w:rsid w:val="6A837C0B"/>
    <w:rsid w:val="6A843983"/>
    <w:rsid w:val="6A8E581F"/>
    <w:rsid w:val="6A900014"/>
    <w:rsid w:val="6A9718E1"/>
    <w:rsid w:val="6A9C6F1F"/>
    <w:rsid w:val="6A9D2766"/>
    <w:rsid w:val="6AAE53DC"/>
    <w:rsid w:val="6AB6231D"/>
    <w:rsid w:val="6ABC5E2E"/>
    <w:rsid w:val="6AC10733"/>
    <w:rsid w:val="6AC24EB3"/>
    <w:rsid w:val="6AD25B4B"/>
    <w:rsid w:val="6AD93CCF"/>
    <w:rsid w:val="6AE86979"/>
    <w:rsid w:val="6AF64BE0"/>
    <w:rsid w:val="6B0931D0"/>
    <w:rsid w:val="6B09500D"/>
    <w:rsid w:val="6B1E54F9"/>
    <w:rsid w:val="6B2A0087"/>
    <w:rsid w:val="6B32518D"/>
    <w:rsid w:val="6B362ECF"/>
    <w:rsid w:val="6B376C47"/>
    <w:rsid w:val="6B393B8A"/>
    <w:rsid w:val="6B4A697B"/>
    <w:rsid w:val="6B6D2A72"/>
    <w:rsid w:val="6B6F018F"/>
    <w:rsid w:val="6B74611D"/>
    <w:rsid w:val="6B992D86"/>
    <w:rsid w:val="6B9B16D8"/>
    <w:rsid w:val="6BAD7EB1"/>
    <w:rsid w:val="6BAF26B4"/>
    <w:rsid w:val="6BB362CE"/>
    <w:rsid w:val="6BB666C4"/>
    <w:rsid w:val="6BB93925"/>
    <w:rsid w:val="6BC0020B"/>
    <w:rsid w:val="6BC93D43"/>
    <w:rsid w:val="6BDC3657"/>
    <w:rsid w:val="6BE55913"/>
    <w:rsid w:val="6BE566A3"/>
    <w:rsid w:val="6BE61EB9"/>
    <w:rsid w:val="6BE725CE"/>
    <w:rsid w:val="6BF506A7"/>
    <w:rsid w:val="6BF57173"/>
    <w:rsid w:val="6BFE3CEE"/>
    <w:rsid w:val="6C33740F"/>
    <w:rsid w:val="6C3D64DF"/>
    <w:rsid w:val="6C461C90"/>
    <w:rsid w:val="6C502119"/>
    <w:rsid w:val="6C5C6966"/>
    <w:rsid w:val="6C6121CE"/>
    <w:rsid w:val="6C671314"/>
    <w:rsid w:val="6C69212A"/>
    <w:rsid w:val="6C7144CF"/>
    <w:rsid w:val="6C727F37"/>
    <w:rsid w:val="6C7517D5"/>
    <w:rsid w:val="6C81017A"/>
    <w:rsid w:val="6CB3027D"/>
    <w:rsid w:val="6CB56076"/>
    <w:rsid w:val="6CBC5656"/>
    <w:rsid w:val="6CBF64CB"/>
    <w:rsid w:val="6CCD5647"/>
    <w:rsid w:val="6CDE657A"/>
    <w:rsid w:val="6CDE737B"/>
    <w:rsid w:val="6CE722BE"/>
    <w:rsid w:val="6CEB1A97"/>
    <w:rsid w:val="6CF03DB6"/>
    <w:rsid w:val="6D126BDF"/>
    <w:rsid w:val="6D1A7C0C"/>
    <w:rsid w:val="6D20190C"/>
    <w:rsid w:val="6D4A0EB4"/>
    <w:rsid w:val="6D545FBD"/>
    <w:rsid w:val="6D572E2F"/>
    <w:rsid w:val="6D594C53"/>
    <w:rsid w:val="6D7411C9"/>
    <w:rsid w:val="6D765805"/>
    <w:rsid w:val="6D77332B"/>
    <w:rsid w:val="6D815F81"/>
    <w:rsid w:val="6D8F2077"/>
    <w:rsid w:val="6D9738BB"/>
    <w:rsid w:val="6DAE1443"/>
    <w:rsid w:val="6DAF1727"/>
    <w:rsid w:val="6DC01176"/>
    <w:rsid w:val="6DCE5641"/>
    <w:rsid w:val="6DCF664F"/>
    <w:rsid w:val="6DD37865"/>
    <w:rsid w:val="6DF22019"/>
    <w:rsid w:val="6E06524E"/>
    <w:rsid w:val="6E0D4A12"/>
    <w:rsid w:val="6E122120"/>
    <w:rsid w:val="6E2E7E8E"/>
    <w:rsid w:val="6E396833"/>
    <w:rsid w:val="6E49116B"/>
    <w:rsid w:val="6E677844"/>
    <w:rsid w:val="6E69536A"/>
    <w:rsid w:val="6E6A0184"/>
    <w:rsid w:val="6E6F5C6F"/>
    <w:rsid w:val="6E6F6F6C"/>
    <w:rsid w:val="6E700F4D"/>
    <w:rsid w:val="6E726EF6"/>
    <w:rsid w:val="6E7936C1"/>
    <w:rsid w:val="6E7E4DF3"/>
    <w:rsid w:val="6E8D057F"/>
    <w:rsid w:val="6E9E3D45"/>
    <w:rsid w:val="6EA0446F"/>
    <w:rsid w:val="6EA0448C"/>
    <w:rsid w:val="6EA63EC8"/>
    <w:rsid w:val="6EAD16FA"/>
    <w:rsid w:val="6EAE7221"/>
    <w:rsid w:val="6EAF68FD"/>
    <w:rsid w:val="6EB23121"/>
    <w:rsid w:val="6EB3554C"/>
    <w:rsid w:val="6ECD58F9"/>
    <w:rsid w:val="6ECF252F"/>
    <w:rsid w:val="6ED60EA8"/>
    <w:rsid w:val="6EE175F6"/>
    <w:rsid w:val="6EE56679"/>
    <w:rsid w:val="6EEB7B21"/>
    <w:rsid w:val="6F152DFC"/>
    <w:rsid w:val="6F192BB7"/>
    <w:rsid w:val="6F1E6154"/>
    <w:rsid w:val="6F2B261F"/>
    <w:rsid w:val="6F2B56B7"/>
    <w:rsid w:val="6F2F210F"/>
    <w:rsid w:val="6F3531CC"/>
    <w:rsid w:val="6F382D90"/>
    <w:rsid w:val="6F4D37EC"/>
    <w:rsid w:val="6F533573"/>
    <w:rsid w:val="6F54260F"/>
    <w:rsid w:val="6F5867BA"/>
    <w:rsid w:val="6F775864"/>
    <w:rsid w:val="6F7A1C90"/>
    <w:rsid w:val="6F871F4B"/>
    <w:rsid w:val="6F8F0CA2"/>
    <w:rsid w:val="6F9251B8"/>
    <w:rsid w:val="6FA55D8C"/>
    <w:rsid w:val="6FAC0CA8"/>
    <w:rsid w:val="6FB90004"/>
    <w:rsid w:val="6FBE16E5"/>
    <w:rsid w:val="6FD75642"/>
    <w:rsid w:val="6FDC07CF"/>
    <w:rsid w:val="6FE86762"/>
    <w:rsid w:val="6FEC1DAE"/>
    <w:rsid w:val="6FEF5D43"/>
    <w:rsid w:val="70034760"/>
    <w:rsid w:val="70095D9A"/>
    <w:rsid w:val="700A604D"/>
    <w:rsid w:val="70154F16"/>
    <w:rsid w:val="701A2DBF"/>
    <w:rsid w:val="701B2694"/>
    <w:rsid w:val="703C5AEF"/>
    <w:rsid w:val="70476728"/>
    <w:rsid w:val="70497284"/>
    <w:rsid w:val="704C6251"/>
    <w:rsid w:val="704F3058"/>
    <w:rsid w:val="70506568"/>
    <w:rsid w:val="7055204A"/>
    <w:rsid w:val="70553066"/>
    <w:rsid w:val="705636CC"/>
    <w:rsid w:val="706A35C0"/>
    <w:rsid w:val="707F287D"/>
    <w:rsid w:val="70897852"/>
    <w:rsid w:val="70903135"/>
    <w:rsid w:val="709C09E2"/>
    <w:rsid w:val="709C1E6B"/>
    <w:rsid w:val="70B27A2E"/>
    <w:rsid w:val="70B84386"/>
    <w:rsid w:val="70C25205"/>
    <w:rsid w:val="70DC0075"/>
    <w:rsid w:val="70F21646"/>
    <w:rsid w:val="70F54FA6"/>
    <w:rsid w:val="70F557F2"/>
    <w:rsid w:val="710C7A14"/>
    <w:rsid w:val="71124D7E"/>
    <w:rsid w:val="7112583B"/>
    <w:rsid w:val="711723B5"/>
    <w:rsid w:val="71193077"/>
    <w:rsid w:val="71211E57"/>
    <w:rsid w:val="712A2879"/>
    <w:rsid w:val="71402523"/>
    <w:rsid w:val="715075E1"/>
    <w:rsid w:val="715250DA"/>
    <w:rsid w:val="71594B1A"/>
    <w:rsid w:val="717D0A91"/>
    <w:rsid w:val="71847DA7"/>
    <w:rsid w:val="71864485"/>
    <w:rsid w:val="71866CF7"/>
    <w:rsid w:val="718970BB"/>
    <w:rsid w:val="71900938"/>
    <w:rsid w:val="71A477F6"/>
    <w:rsid w:val="71C03DC9"/>
    <w:rsid w:val="71C9204B"/>
    <w:rsid w:val="71CD04C7"/>
    <w:rsid w:val="71D62D16"/>
    <w:rsid w:val="71D63D64"/>
    <w:rsid w:val="71DA3C4A"/>
    <w:rsid w:val="71E13831"/>
    <w:rsid w:val="71F17B50"/>
    <w:rsid w:val="71FC02A3"/>
    <w:rsid w:val="720553A9"/>
    <w:rsid w:val="72114659"/>
    <w:rsid w:val="72191323"/>
    <w:rsid w:val="721B50BA"/>
    <w:rsid w:val="722842CA"/>
    <w:rsid w:val="72337769"/>
    <w:rsid w:val="723E118C"/>
    <w:rsid w:val="725132DC"/>
    <w:rsid w:val="72606A84"/>
    <w:rsid w:val="72607257"/>
    <w:rsid w:val="72655E48"/>
    <w:rsid w:val="726814B0"/>
    <w:rsid w:val="7275252F"/>
    <w:rsid w:val="72753A46"/>
    <w:rsid w:val="728065B3"/>
    <w:rsid w:val="728F7281"/>
    <w:rsid w:val="72940F4E"/>
    <w:rsid w:val="72987FCC"/>
    <w:rsid w:val="72B312A9"/>
    <w:rsid w:val="72CC4119"/>
    <w:rsid w:val="72D52FCE"/>
    <w:rsid w:val="72E105B2"/>
    <w:rsid w:val="72E651DB"/>
    <w:rsid w:val="72E83351"/>
    <w:rsid w:val="72EA3982"/>
    <w:rsid w:val="72EB395C"/>
    <w:rsid w:val="72EC6569"/>
    <w:rsid w:val="73075151"/>
    <w:rsid w:val="730B2E93"/>
    <w:rsid w:val="730D43BA"/>
    <w:rsid w:val="7314402C"/>
    <w:rsid w:val="732E6B82"/>
    <w:rsid w:val="73340A33"/>
    <w:rsid w:val="73382C41"/>
    <w:rsid w:val="7338355D"/>
    <w:rsid w:val="733C129F"/>
    <w:rsid w:val="73426081"/>
    <w:rsid w:val="73471D8B"/>
    <w:rsid w:val="735A6894"/>
    <w:rsid w:val="7364026D"/>
    <w:rsid w:val="736600CA"/>
    <w:rsid w:val="736F11F2"/>
    <w:rsid w:val="73774085"/>
    <w:rsid w:val="737C169B"/>
    <w:rsid w:val="737E5413"/>
    <w:rsid w:val="738437CC"/>
    <w:rsid w:val="73AE76E0"/>
    <w:rsid w:val="73BB0416"/>
    <w:rsid w:val="73DC4E1A"/>
    <w:rsid w:val="73DD0F17"/>
    <w:rsid w:val="73ED07EB"/>
    <w:rsid w:val="73EF00BF"/>
    <w:rsid w:val="73F456D6"/>
    <w:rsid w:val="73F73418"/>
    <w:rsid w:val="73F9660C"/>
    <w:rsid w:val="74082F2F"/>
    <w:rsid w:val="74176FCB"/>
    <w:rsid w:val="741B4447"/>
    <w:rsid w:val="74253E6F"/>
    <w:rsid w:val="74273D21"/>
    <w:rsid w:val="74314D12"/>
    <w:rsid w:val="7432675A"/>
    <w:rsid w:val="74331A9D"/>
    <w:rsid w:val="74406DCA"/>
    <w:rsid w:val="744F7A10"/>
    <w:rsid w:val="74506029"/>
    <w:rsid w:val="74596C53"/>
    <w:rsid w:val="74610C71"/>
    <w:rsid w:val="746E23E4"/>
    <w:rsid w:val="747024DD"/>
    <w:rsid w:val="74775DD6"/>
    <w:rsid w:val="74830741"/>
    <w:rsid w:val="748B05FB"/>
    <w:rsid w:val="748B2BBC"/>
    <w:rsid w:val="749054CE"/>
    <w:rsid w:val="74B66881"/>
    <w:rsid w:val="74C20DE8"/>
    <w:rsid w:val="74C90910"/>
    <w:rsid w:val="74CC0400"/>
    <w:rsid w:val="74CC6652"/>
    <w:rsid w:val="74D379E1"/>
    <w:rsid w:val="74D80649"/>
    <w:rsid w:val="74D84FF7"/>
    <w:rsid w:val="74E23447"/>
    <w:rsid w:val="74FD2095"/>
    <w:rsid w:val="74FE5E9E"/>
    <w:rsid w:val="74FE758F"/>
    <w:rsid w:val="750162FC"/>
    <w:rsid w:val="75045150"/>
    <w:rsid w:val="750E0A19"/>
    <w:rsid w:val="7519750B"/>
    <w:rsid w:val="752B15CB"/>
    <w:rsid w:val="75387844"/>
    <w:rsid w:val="753921CB"/>
    <w:rsid w:val="75412B9C"/>
    <w:rsid w:val="754D1541"/>
    <w:rsid w:val="75502EA8"/>
    <w:rsid w:val="755A1EB0"/>
    <w:rsid w:val="756D573F"/>
    <w:rsid w:val="756D7B65"/>
    <w:rsid w:val="757B68F7"/>
    <w:rsid w:val="757F1917"/>
    <w:rsid w:val="75A31924"/>
    <w:rsid w:val="75A55931"/>
    <w:rsid w:val="75AB7C69"/>
    <w:rsid w:val="75AC4238"/>
    <w:rsid w:val="75B44542"/>
    <w:rsid w:val="75B8128C"/>
    <w:rsid w:val="75BC1375"/>
    <w:rsid w:val="75BF1D13"/>
    <w:rsid w:val="75C8506C"/>
    <w:rsid w:val="75CA0CCD"/>
    <w:rsid w:val="75E874BC"/>
    <w:rsid w:val="75F61BD9"/>
    <w:rsid w:val="76067942"/>
    <w:rsid w:val="760B6D06"/>
    <w:rsid w:val="76182EF5"/>
    <w:rsid w:val="761E6A3A"/>
    <w:rsid w:val="76377A11"/>
    <w:rsid w:val="763D037D"/>
    <w:rsid w:val="763E5ECE"/>
    <w:rsid w:val="76426BCC"/>
    <w:rsid w:val="764346F2"/>
    <w:rsid w:val="76452218"/>
    <w:rsid w:val="764566BC"/>
    <w:rsid w:val="764D37C3"/>
    <w:rsid w:val="765A6FB0"/>
    <w:rsid w:val="766762A2"/>
    <w:rsid w:val="7677439C"/>
    <w:rsid w:val="768C6099"/>
    <w:rsid w:val="768C7E47"/>
    <w:rsid w:val="76914B30"/>
    <w:rsid w:val="76926135"/>
    <w:rsid w:val="76934353"/>
    <w:rsid w:val="76A2218F"/>
    <w:rsid w:val="76A60744"/>
    <w:rsid w:val="76B43911"/>
    <w:rsid w:val="76BE1FCB"/>
    <w:rsid w:val="76C05D43"/>
    <w:rsid w:val="76C7236D"/>
    <w:rsid w:val="76CF41D8"/>
    <w:rsid w:val="76E2201B"/>
    <w:rsid w:val="76E3555D"/>
    <w:rsid w:val="76F414F6"/>
    <w:rsid w:val="770A361D"/>
    <w:rsid w:val="77273E4B"/>
    <w:rsid w:val="77306FF7"/>
    <w:rsid w:val="77366005"/>
    <w:rsid w:val="773724A9"/>
    <w:rsid w:val="77435AB2"/>
    <w:rsid w:val="776808B4"/>
    <w:rsid w:val="776D1116"/>
    <w:rsid w:val="77752EB4"/>
    <w:rsid w:val="777623C8"/>
    <w:rsid w:val="77767917"/>
    <w:rsid w:val="77895A72"/>
    <w:rsid w:val="77963BFD"/>
    <w:rsid w:val="779A4735"/>
    <w:rsid w:val="779B1FD9"/>
    <w:rsid w:val="779D7E32"/>
    <w:rsid w:val="77A219EE"/>
    <w:rsid w:val="77BD46F0"/>
    <w:rsid w:val="77C63819"/>
    <w:rsid w:val="77D01FB6"/>
    <w:rsid w:val="77D35C48"/>
    <w:rsid w:val="77E975D5"/>
    <w:rsid w:val="77F25274"/>
    <w:rsid w:val="78106856"/>
    <w:rsid w:val="78280CF7"/>
    <w:rsid w:val="782C7576"/>
    <w:rsid w:val="783469E8"/>
    <w:rsid w:val="78362761"/>
    <w:rsid w:val="783E5301"/>
    <w:rsid w:val="784327AD"/>
    <w:rsid w:val="78547948"/>
    <w:rsid w:val="78556207"/>
    <w:rsid w:val="78577CC9"/>
    <w:rsid w:val="78591FAB"/>
    <w:rsid w:val="787F7A15"/>
    <w:rsid w:val="78827754"/>
    <w:rsid w:val="78962D1D"/>
    <w:rsid w:val="78972AD3"/>
    <w:rsid w:val="78A804E6"/>
    <w:rsid w:val="78B66174"/>
    <w:rsid w:val="78BE2756"/>
    <w:rsid w:val="78CA4586"/>
    <w:rsid w:val="78D735E5"/>
    <w:rsid w:val="78D87374"/>
    <w:rsid w:val="78E2280D"/>
    <w:rsid w:val="78F46F97"/>
    <w:rsid w:val="792627D5"/>
    <w:rsid w:val="79286D0A"/>
    <w:rsid w:val="79291E47"/>
    <w:rsid w:val="792F6A07"/>
    <w:rsid w:val="79335040"/>
    <w:rsid w:val="79421168"/>
    <w:rsid w:val="794D3C77"/>
    <w:rsid w:val="795310F0"/>
    <w:rsid w:val="795C61F7"/>
    <w:rsid w:val="79701338"/>
    <w:rsid w:val="79747C31"/>
    <w:rsid w:val="797572B9"/>
    <w:rsid w:val="79766B8D"/>
    <w:rsid w:val="79782905"/>
    <w:rsid w:val="797E3E84"/>
    <w:rsid w:val="797F0137"/>
    <w:rsid w:val="79B53B59"/>
    <w:rsid w:val="79BF6786"/>
    <w:rsid w:val="79CE555D"/>
    <w:rsid w:val="79D33FDF"/>
    <w:rsid w:val="79F65A4A"/>
    <w:rsid w:val="79F93A46"/>
    <w:rsid w:val="79FA156C"/>
    <w:rsid w:val="7A00024C"/>
    <w:rsid w:val="7A0628BA"/>
    <w:rsid w:val="7A0650F3"/>
    <w:rsid w:val="7A1978C8"/>
    <w:rsid w:val="7A1A7578"/>
    <w:rsid w:val="7A1E69AD"/>
    <w:rsid w:val="7A2D1941"/>
    <w:rsid w:val="7A38744E"/>
    <w:rsid w:val="7A3B0312"/>
    <w:rsid w:val="7A425A0D"/>
    <w:rsid w:val="7A462A03"/>
    <w:rsid w:val="7A5B1F99"/>
    <w:rsid w:val="7A6304DA"/>
    <w:rsid w:val="7A702D65"/>
    <w:rsid w:val="7A7607F4"/>
    <w:rsid w:val="7A792DD8"/>
    <w:rsid w:val="7A9B4B05"/>
    <w:rsid w:val="7AAA0D22"/>
    <w:rsid w:val="7AB4097C"/>
    <w:rsid w:val="7AB4796D"/>
    <w:rsid w:val="7ABE5F26"/>
    <w:rsid w:val="7AC6336D"/>
    <w:rsid w:val="7AD7044B"/>
    <w:rsid w:val="7AE41523"/>
    <w:rsid w:val="7AF33D44"/>
    <w:rsid w:val="7B3064EE"/>
    <w:rsid w:val="7B494559"/>
    <w:rsid w:val="7B4A07A5"/>
    <w:rsid w:val="7B4A5E18"/>
    <w:rsid w:val="7B5F1947"/>
    <w:rsid w:val="7B624910"/>
    <w:rsid w:val="7B6F1AE6"/>
    <w:rsid w:val="7B77341B"/>
    <w:rsid w:val="7B803CF3"/>
    <w:rsid w:val="7B886D4A"/>
    <w:rsid w:val="7B8C6B3B"/>
    <w:rsid w:val="7B9E687C"/>
    <w:rsid w:val="7BA7127F"/>
    <w:rsid w:val="7BAC73DE"/>
    <w:rsid w:val="7BB67714"/>
    <w:rsid w:val="7BC12E2F"/>
    <w:rsid w:val="7BD77DB7"/>
    <w:rsid w:val="7BDA25EC"/>
    <w:rsid w:val="7BDA6870"/>
    <w:rsid w:val="7BE2533C"/>
    <w:rsid w:val="7BF85F7F"/>
    <w:rsid w:val="7C0767C6"/>
    <w:rsid w:val="7C14587C"/>
    <w:rsid w:val="7C1470E0"/>
    <w:rsid w:val="7C181E8D"/>
    <w:rsid w:val="7C26489A"/>
    <w:rsid w:val="7C2D79D7"/>
    <w:rsid w:val="7C2E374F"/>
    <w:rsid w:val="7C3E7E36"/>
    <w:rsid w:val="7C3F3BAE"/>
    <w:rsid w:val="7C4A7BB4"/>
    <w:rsid w:val="7C53370A"/>
    <w:rsid w:val="7C5C751F"/>
    <w:rsid w:val="7C5F5139"/>
    <w:rsid w:val="7C607B1D"/>
    <w:rsid w:val="7C63789C"/>
    <w:rsid w:val="7C720CA0"/>
    <w:rsid w:val="7C9C3DE9"/>
    <w:rsid w:val="7C9E6992"/>
    <w:rsid w:val="7CAC146D"/>
    <w:rsid w:val="7CB228BE"/>
    <w:rsid w:val="7CB52D2C"/>
    <w:rsid w:val="7CB93960"/>
    <w:rsid w:val="7CC308E3"/>
    <w:rsid w:val="7CDB38D7"/>
    <w:rsid w:val="7CEC38C6"/>
    <w:rsid w:val="7CF14EA8"/>
    <w:rsid w:val="7D0821F2"/>
    <w:rsid w:val="7D1058D6"/>
    <w:rsid w:val="7D142945"/>
    <w:rsid w:val="7D2F777E"/>
    <w:rsid w:val="7D494CE4"/>
    <w:rsid w:val="7D535567"/>
    <w:rsid w:val="7D702795"/>
    <w:rsid w:val="7D727D71"/>
    <w:rsid w:val="7D7C4181"/>
    <w:rsid w:val="7D7C77D9"/>
    <w:rsid w:val="7D847ACA"/>
    <w:rsid w:val="7D99010C"/>
    <w:rsid w:val="7D9A1279"/>
    <w:rsid w:val="7DA4016C"/>
    <w:rsid w:val="7DCC7AD0"/>
    <w:rsid w:val="7DDB1ED2"/>
    <w:rsid w:val="7DF13E73"/>
    <w:rsid w:val="7DF21DA0"/>
    <w:rsid w:val="7DF801C9"/>
    <w:rsid w:val="7DFA21C4"/>
    <w:rsid w:val="7E044CC8"/>
    <w:rsid w:val="7E087A5A"/>
    <w:rsid w:val="7E0966A2"/>
    <w:rsid w:val="7E282B4B"/>
    <w:rsid w:val="7E290672"/>
    <w:rsid w:val="7E3077B5"/>
    <w:rsid w:val="7E327526"/>
    <w:rsid w:val="7E364A52"/>
    <w:rsid w:val="7E386B07"/>
    <w:rsid w:val="7E3C2153"/>
    <w:rsid w:val="7E417769"/>
    <w:rsid w:val="7E4D6F58"/>
    <w:rsid w:val="7E4E4224"/>
    <w:rsid w:val="7E5178E1"/>
    <w:rsid w:val="7E541DFA"/>
    <w:rsid w:val="7E57781D"/>
    <w:rsid w:val="7E71273C"/>
    <w:rsid w:val="7E775881"/>
    <w:rsid w:val="7E854D8F"/>
    <w:rsid w:val="7E99763E"/>
    <w:rsid w:val="7EA516D0"/>
    <w:rsid w:val="7EA73B12"/>
    <w:rsid w:val="7EB048EF"/>
    <w:rsid w:val="7EBF1AAA"/>
    <w:rsid w:val="7ECF519A"/>
    <w:rsid w:val="7ED40246"/>
    <w:rsid w:val="7ED87FC7"/>
    <w:rsid w:val="7EE24310"/>
    <w:rsid w:val="7EF66B71"/>
    <w:rsid w:val="7EFC3506"/>
    <w:rsid w:val="7F1326C2"/>
    <w:rsid w:val="7F196A4E"/>
    <w:rsid w:val="7F3004A7"/>
    <w:rsid w:val="7F3472CE"/>
    <w:rsid w:val="7F390D88"/>
    <w:rsid w:val="7F447640"/>
    <w:rsid w:val="7F4D79DA"/>
    <w:rsid w:val="7F572FBC"/>
    <w:rsid w:val="7F637BB3"/>
    <w:rsid w:val="7F67399C"/>
    <w:rsid w:val="7F6C769E"/>
    <w:rsid w:val="7F6E433A"/>
    <w:rsid w:val="7F76500E"/>
    <w:rsid w:val="7F7B5E1A"/>
    <w:rsid w:val="7F7D7FCA"/>
    <w:rsid w:val="7F872246"/>
    <w:rsid w:val="7F9164CE"/>
    <w:rsid w:val="7F9843A7"/>
    <w:rsid w:val="7FA2248A"/>
    <w:rsid w:val="7FA266A9"/>
    <w:rsid w:val="7FB45981"/>
    <w:rsid w:val="7FB75C0F"/>
    <w:rsid w:val="7FDE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keepNext/>
      <w:keepLines/>
      <w:spacing w:line="576" w:lineRule="auto"/>
      <w:outlineLvl w:val="0"/>
    </w:pPr>
    <w:rPr>
      <w:b/>
      <w:kern w:val="44"/>
      <w:sz w:val="44"/>
    </w:rPr>
  </w:style>
  <w:style w:type="paragraph" w:styleId="4">
    <w:name w:val="heading 2"/>
    <w:basedOn w:val="1"/>
    <w:next w:val="1"/>
    <w:autoRedefine/>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autoRedefine/>
    <w:unhideWhenUsed/>
    <w:qFormat/>
    <w:uiPriority w:val="9"/>
    <w:pPr>
      <w:spacing w:before="100" w:beforeAutospacing="1" w:after="100" w:afterAutospacing="1"/>
      <w:jc w:val="left"/>
      <w:outlineLvl w:val="2"/>
    </w:pPr>
    <w:rPr>
      <w:rFonts w:ascii="宋体" w:hAnsi="宋体"/>
      <w:b/>
      <w:kern w:val="0"/>
      <w:sz w:val="27"/>
      <w:szCs w:val="27"/>
    </w:rPr>
  </w:style>
  <w:style w:type="character" w:default="1" w:styleId="33">
    <w:name w:val="Default Paragraph Font"/>
    <w:autoRedefine/>
    <w:unhideWhenUsed/>
    <w:qFormat/>
    <w:uiPriority w:val="1"/>
  </w:style>
  <w:style w:type="table" w:default="1" w:styleId="31">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6">
    <w:name w:val="Normal Indent"/>
    <w:basedOn w:val="1"/>
    <w:next w:val="7"/>
    <w:autoRedefine/>
    <w:qFormat/>
    <w:uiPriority w:val="0"/>
    <w:pPr>
      <w:ind w:firstLine="420" w:firstLineChars="200"/>
    </w:pPr>
  </w:style>
  <w:style w:type="paragraph" w:styleId="7">
    <w:name w:val="toc 4"/>
    <w:basedOn w:val="1"/>
    <w:next w:val="1"/>
    <w:qFormat/>
    <w:uiPriority w:val="0"/>
    <w:pPr>
      <w:ind w:left="1260" w:leftChars="600"/>
    </w:pPr>
  </w:style>
  <w:style w:type="paragraph" w:styleId="8">
    <w:name w:val="annotation text"/>
    <w:basedOn w:val="1"/>
    <w:link w:val="71"/>
    <w:autoRedefine/>
    <w:unhideWhenUsed/>
    <w:qFormat/>
    <w:uiPriority w:val="99"/>
    <w:pPr>
      <w:jc w:val="left"/>
    </w:pPr>
  </w:style>
  <w:style w:type="paragraph" w:styleId="9">
    <w:name w:val="Salutation"/>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Body Text 3"/>
    <w:basedOn w:val="1"/>
    <w:autoRedefine/>
    <w:unhideWhenUsed/>
    <w:qFormat/>
    <w:uiPriority w:val="99"/>
    <w:rPr>
      <w:rFonts w:ascii="宋体"/>
      <w:sz w:val="24"/>
      <w:szCs w:val="20"/>
    </w:rPr>
  </w:style>
  <w:style w:type="paragraph" w:styleId="11">
    <w:name w:val="Body Text"/>
    <w:basedOn w:val="1"/>
    <w:next w:val="12"/>
    <w:link w:val="63"/>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2">
    <w:name w:val="Body Text Indent"/>
    <w:basedOn w:val="1"/>
    <w:next w:val="13"/>
    <w:link w:val="58"/>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3">
    <w:name w:val="annotation subject"/>
    <w:basedOn w:val="8"/>
    <w:next w:val="8"/>
    <w:link w:val="72"/>
    <w:autoRedefine/>
    <w:unhideWhenUsed/>
    <w:qFormat/>
    <w:uiPriority w:val="99"/>
    <w:rPr>
      <w:b/>
      <w:bCs/>
    </w:rPr>
  </w:style>
  <w:style w:type="paragraph" w:styleId="14">
    <w:name w:val="Block Text"/>
    <w:basedOn w:val="1"/>
    <w:qFormat/>
    <w:uiPriority w:val="0"/>
    <w:pPr>
      <w:widowControl/>
      <w:ind w:left="226" w:leftChars="94" w:right="103" w:rightChars="43"/>
      <w:jc w:val="left"/>
    </w:pPr>
    <w:rPr>
      <w:rFonts w:ascii="宋体" w:hAnsi="宋体"/>
      <w:color w:val="FF0000"/>
      <w:kern w:val="0"/>
      <w:sz w:val="24"/>
      <w:szCs w:val="24"/>
    </w:rPr>
  </w:style>
  <w:style w:type="paragraph" w:styleId="15">
    <w:name w:val="toc 3"/>
    <w:basedOn w:val="1"/>
    <w:next w:val="1"/>
    <w:autoRedefine/>
    <w:unhideWhenUsed/>
    <w:qFormat/>
    <w:uiPriority w:val="39"/>
    <w:pPr>
      <w:ind w:left="840" w:leftChars="400"/>
    </w:pPr>
  </w:style>
  <w:style w:type="paragraph" w:styleId="16">
    <w:name w:val="Plain Text"/>
    <w:basedOn w:val="1"/>
    <w:next w:val="1"/>
    <w:autoRedefine/>
    <w:qFormat/>
    <w:uiPriority w:val="0"/>
    <w:rPr>
      <w:rFonts w:ascii="宋体" w:hAnsi="Courier New"/>
      <w:szCs w:val="20"/>
    </w:rPr>
  </w:style>
  <w:style w:type="paragraph" w:styleId="17">
    <w:name w:val="Date"/>
    <w:basedOn w:val="1"/>
    <w:next w:val="1"/>
    <w:link w:val="62"/>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8">
    <w:name w:val="Body Text Indent 2"/>
    <w:basedOn w:val="1"/>
    <w:next w:val="19"/>
    <w:autoRedefine/>
    <w:qFormat/>
    <w:uiPriority w:val="0"/>
    <w:pPr>
      <w:spacing w:line="360" w:lineRule="auto"/>
      <w:ind w:firstLine="480" w:firstLineChars="200"/>
    </w:pPr>
    <w:rPr>
      <w:rFonts w:ascii="幼圆" w:hAnsi="宋体" w:eastAsia="幼圆"/>
      <w:color w:val="FF0000"/>
      <w:sz w:val="24"/>
    </w:rPr>
  </w:style>
  <w:style w:type="paragraph" w:customStyle="1" w:styleId="19">
    <w:name w:val="目录 71"/>
    <w:basedOn w:val="1"/>
    <w:next w:val="1"/>
    <w:qFormat/>
    <w:uiPriority w:val="0"/>
    <w:pPr>
      <w:ind w:left="2520"/>
    </w:pPr>
    <w:rPr>
      <w:rFonts w:ascii="Calibri" w:hAnsi="宋体" w:cs="宋体"/>
      <w:szCs w:val="20"/>
    </w:rPr>
  </w:style>
  <w:style w:type="paragraph" w:styleId="20">
    <w:name w:val="Balloon Text"/>
    <w:basedOn w:val="1"/>
    <w:link w:val="73"/>
    <w:autoRedefine/>
    <w:unhideWhenUsed/>
    <w:qFormat/>
    <w:uiPriority w:val="99"/>
    <w:rPr>
      <w:sz w:val="18"/>
      <w:szCs w:val="18"/>
    </w:rPr>
  </w:style>
  <w:style w:type="paragraph" w:styleId="21">
    <w:name w:val="header"/>
    <w:basedOn w:val="1"/>
    <w:link w:val="61"/>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22">
    <w:name w:val="toc 1"/>
    <w:basedOn w:val="1"/>
    <w:next w:val="1"/>
    <w:autoRedefine/>
    <w:unhideWhenUsed/>
    <w:qFormat/>
    <w:uiPriority w:val="39"/>
  </w:style>
  <w:style w:type="paragraph" w:styleId="23">
    <w:name w:val="Body Text Indent 3"/>
    <w:basedOn w:val="1"/>
    <w:link w:val="60"/>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24">
    <w:name w:val="table of figures"/>
    <w:basedOn w:val="1"/>
    <w:next w:val="1"/>
    <w:autoRedefine/>
    <w:unhideWhenUsed/>
    <w:qFormat/>
    <w:uiPriority w:val="99"/>
    <w:pPr>
      <w:ind w:left="200" w:leftChars="200" w:hanging="200" w:hangingChars="200"/>
    </w:pPr>
  </w:style>
  <w:style w:type="paragraph" w:styleId="25">
    <w:name w:val="toc 2"/>
    <w:basedOn w:val="1"/>
    <w:next w:val="1"/>
    <w:autoRedefine/>
    <w:unhideWhenUsed/>
    <w:qFormat/>
    <w:uiPriority w:val="39"/>
    <w:pPr>
      <w:ind w:left="420" w:leftChars="200"/>
    </w:pPr>
  </w:style>
  <w:style w:type="paragraph" w:styleId="26">
    <w:name w:val="Body Text 2"/>
    <w:basedOn w:val="1"/>
    <w:link w:val="50"/>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27">
    <w:name w:val="Normal (Web)"/>
    <w:basedOn w:val="1"/>
    <w:autoRedefine/>
    <w:unhideWhenUsed/>
    <w:qFormat/>
    <w:uiPriority w:val="99"/>
    <w:pPr>
      <w:spacing w:before="100" w:beforeAutospacing="1" w:after="100" w:afterAutospacing="1"/>
      <w:jc w:val="left"/>
    </w:pPr>
    <w:rPr>
      <w:kern w:val="0"/>
      <w:sz w:val="24"/>
    </w:rPr>
  </w:style>
  <w:style w:type="paragraph" w:styleId="28">
    <w:name w:val="Title"/>
    <w:basedOn w:val="1"/>
    <w:next w:val="1"/>
    <w:autoRedefine/>
    <w:qFormat/>
    <w:uiPriority w:val="0"/>
    <w:pPr>
      <w:widowControl/>
      <w:spacing w:before="240" w:after="60"/>
      <w:jc w:val="center"/>
      <w:outlineLvl w:val="0"/>
    </w:pPr>
    <w:rPr>
      <w:rFonts w:ascii="Cambria" w:hAnsi="Cambria" w:cs="Times New Roman"/>
      <w:b/>
      <w:bCs/>
      <w:kern w:val="28"/>
      <w:sz w:val="32"/>
      <w:szCs w:val="32"/>
    </w:rPr>
  </w:style>
  <w:style w:type="paragraph" w:styleId="29">
    <w:name w:val="Body Text First Indent"/>
    <w:basedOn w:val="11"/>
    <w:next w:val="30"/>
    <w:autoRedefine/>
    <w:unhideWhenUsed/>
    <w:qFormat/>
    <w:uiPriority w:val="99"/>
    <w:pPr>
      <w:ind w:firstLine="420" w:firstLineChars="100"/>
    </w:pPr>
  </w:style>
  <w:style w:type="paragraph" w:styleId="30">
    <w:name w:val="Body Text First Indent 2"/>
    <w:basedOn w:val="12"/>
    <w:next w:val="1"/>
    <w:autoRedefine/>
    <w:unhideWhenUsed/>
    <w:qFormat/>
    <w:uiPriority w:val="99"/>
    <w:pPr>
      <w:spacing w:after="120"/>
      <w:ind w:left="420" w:leftChars="200" w:firstLine="420" w:firstLineChars="200"/>
    </w:pPr>
    <w:rPr>
      <w:rFonts w:ascii="Times New Roman" w:hAnsi="Times New Roman"/>
      <w:sz w:val="21"/>
    </w:rPr>
  </w:style>
  <w:style w:type="table" w:styleId="32">
    <w:name w:val="Table Grid"/>
    <w:basedOn w:val="3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22"/>
    <w:rPr>
      <w:b/>
      <w:bCs/>
    </w:rPr>
  </w:style>
  <w:style w:type="character" w:styleId="35">
    <w:name w:val="page number"/>
    <w:basedOn w:val="33"/>
    <w:autoRedefine/>
    <w:qFormat/>
    <w:uiPriority w:val="0"/>
  </w:style>
  <w:style w:type="character" w:styleId="36">
    <w:name w:val="FollowedHyperlink"/>
    <w:basedOn w:val="33"/>
    <w:autoRedefine/>
    <w:unhideWhenUsed/>
    <w:qFormat/>
    <w:uiPriority w:val="99"/>
    <w:rPr>
      <w:color w:val="333333"/>
      <w:u w:val="none"/>
    </w:rPr>
  </w:style>
  <w:style w:type="character" w:styleId="37">
    <w:name w:val="Emphasis"/>
    <w:basedOn w:val="33"/>
    <w:autoRedefine/>
    <w:qFormat/>
    <w:uiPriority w:val="20"/>
  </w:style>
  <w:style w:type="character" w:styleId="38">
    <w:name w:val="HTML Definition"/>
    <w:basedOn w:val="33"/>
    <w:autoRedefine/>
    <w:unhideWhenUsed/>
    <w:qFormat/>
    <w:uiPriority w:val="99"/>
    <w:rPr>
      <w:color w:val="FFFFFF"/>
      <w:sz w:val="20"/>
      <w:szCs w:val="20"/>
      <w:shd w:val="clear" w:fill="048FD2"/>
    </w:rPr>
  </w:style>
  <w:style w:type="character" w:styleId="39">
    <w:name w:val="HTML Typewriter"/>
    <w:basedOn w:val="33"/>
    <w:autoRedefine/>
    <w:unhideWhenUsed/>
    <w:qFormat/>
    <w:uiPriority w:val="99"/>
    <w:rPr>
      <w:rFonts w:hint="default" w:ascii="monospace" w:hAnsi="monospace" w:eastAsia="monospace" w:cs="monospace"/>
      <w:sz w:val="20"/>
    </w:rPr>
  </w:style>
  <w:style w:type="character" w:styleId="40">
    <w:name w:val="HTML Acronym"/>
    <w:basedOn w:val="33"/>
    <w:autoRedefine/>
    <w:unhideWhenUsed/>
    <w:qFormat/>
    <w:uiPriority w:val="99"/>
  </w:style>
  <w:style w:type="character" w:styleId="41">
    <w:name w:val="HTML Variable"/>
    <w:basedOn w:val="33"/>
    <w:autoRedefine/>
    <w:unhideWhenUsed/>
    <w:qFormat/>
    <w:uiPriority w:val="99"/>
  </w:style>
  <w:style w:type="character" w:styleId="42">
    <w:name w:val="Hyperlink"/>
    <w:basedOn w:val="33"/>
    <w:autoRedefine/>
    <w:unhideWhenUsed/>
    <w:qFormat/>
    <w:uiPriority w:val="99"/>
    <w:rPr>
      <w:color w:val="333333"/>
      <w:u w:val="none"/>
    </w:rPr>
  </w:style>
  <w:style w:type="character" w:styleId="43">
    <w:name w:val="HTML Code"/>
    <w:basedOn w:val="33"/>
    <w:autoRedefine/>
    <w:unhideWhenUsed/>
    <w:qFormat/>
    <w:uiPriority w:val="99"/>
    <w:rPr>
      <w:rFonts w:hint="default" w:ascii="Menlo" w:hAnsi="Menlo" w:eastAsia="Menlo" w:cs="Menlo"/>
      <w:color w:val="C7254E"/>
      <w:sz w:val="21"/>
      <w:szCs w:val="21"/>
      <w:shd w:val="clear" w:color="auto" w:fill="F9F2F4"/>
    </w:rPr>
  </w:style>
  <w:style w:type="character" w:styleId="44">
    <w:name w:val="annotation reference"/>
    <w:basedOn w:val="33"/>
    <w:autoRedefine/>
    <w:unhideWhenUsed/>
    <w:qFormat/>
    <w:uiPriority w:val="99"/>
    <w:rPr>
      <w:sz w:val="21"/>
      <w:szCs w:val="21"/>
    </w:rPr>
  </w:style>
  <w:style w:type="character" w:styleId="45">
    <w:name w:val="HTML Cite"/>
    <w:basedOn w:val="33"/>
    <w:autoRedefine/>
    <w:unhideWhenUsed/>
    <w:qFormat/>
    <w:uiPriority w:val="99"/>
  </w:style>
  <w:style w:type="character" w:styleId="46">
    <w:name w:val="HTML Keyboard"/>
    <w:basedOn w:val="33"/>
    <w:autoRedefine/>
    <w:unhideWhenUsed/>
    <w:qFormat/>
    <w:uiPriority w:val="99"/>
    <w:rPr>
      <w:rFonts w:hint="default" w:ascii="Menlo" w:hAnsi="Menlo" w:eastAsia="Menlo" w:cs="Menlo"/>
      <w:color w:val="FFFFFF"/>
      <w:sz w:val="21"/>
      <w:szCs w:val="21"/>
      <w:shd w:val="clear" w:color="auto" w:fill="333333"/>
    </w:rPr>
  </w:style>
  <w:style w:type="character" w:styleId="47">
    <w:name w:val="HTML Sample"/>
    <w:basedOn w:val="33"/>
    <w:autoRedefine/>
    <w:unhideWhenUsed/>
    <w:qFormat/>
    <w:uiPriority w:val="99"/>
    <w:rPr>
      <w:rFonts w:ascii="Menlo" w:hAnsi="Menlo" w:eastAsia="Menlo" w:cs="Menlo"/>
      <w:sz w:val="21"/>
      <w:szCs w:val="21"/>
    </w:rPr>
  </w:style>
  <w:style w:type="paragraph" w:customStyle="1" w:styleId="48">
    <w:name w:val="正文缩进1"/>
    <w:basedOn w:val="1"/>
    <w:autoRedefine/>
    <w:qFormat/>
    <w:uiPriority w:val="0"/>
    <w:pPr>
      <w:ind w:firstLine="420" w:firstLineChars="200"/>
    </w:pPr>
  </w:style>
  <w:style w:type="paragraph" w:customStyle="1" w:styleId="49">
    <w:name w:val="列出段落1"/>
    <w:basedOn w:val="1"/>
    <w:autoRedefine/>
    <w:qFormat/>
    <w:uiPriority w:val="34"/>
    <w:pPr>
      <w:ind w:firstLine="420" w:firstLineChars="200"/>
    </w:pPr>
    <w:rPr>
      <w:szCs w:val="20"/>
    </w:rPr>
  </w:style>
  <w:style w:type="character" w:customStyle="1" w:styleId="50">
    <w:name w:val="正文文本 2 Char"/>
    <w:basedOn w:val="33"/>
    <w:link w:val="26"/>
    <w:autoRedefine/>
    <w:semiHidden/>
    <w:qFormat/>
    <w:uiPriority w:val="99"/>
    <w:rPr>
      <w:rFonts w:ascii="宋体" w:hAnsi="宋体" w:eastAsia="宋体" w:cs="宋体"/>
      <w:color w:val="000000"/>
      <w:kern w:val="0"/>
      <w:sz w:val="16"/>
      <w:szCs w:val="16"/>
    </w:rPr>
  </w:style>
  <w:style w:type="character" w:customStyle="1" w:styleId="51">
    <w:name w:val="hour_am"/>
    <w:basedOn w:val="33"/>
    <w:autoRedefine/>
    <w:qFormat/>
    <w:uiPriority w:val="0"/>
  </w:style>
  <w:style w:type="character" w:customStyle="1" w:styleId="52">
    <w:name w:val="tmpztreemove_arrow"/>
    <w:basedOn w:val="33"/>
    <w:autoRedefine/>
    <w:qFormat/>
    <w:uiPriority w:val="0"/>
    <w:rPr>
      <w:shd w:val="clear" w:color="auto" w:fill="FFFFFF"/>
    </w:rPr>
  </w:style>
  <w:style w:type="character" w:customStyle="1" w:styleId="53">
    <w:name w:val="button"/>
    <w:basedOn w:val="33"/>
    <w:autoRedefine/>
    <w:qFormat/>
    <w:uiPriority w:val="0"/>
  </w:style>
  <w:style w:type="character" w:customStyle="1" w:styleId="54">
    <w:name w:val="hover3"/>
    <w:basedOn w:val="33"/>
    <w:autoRedefine/>
    <w:qFormat/>
    <w:uiPriority w:val="0"/>
    <w:rPr>
      <w:shd w:val="clear" w:color="auto" w:fill="EEEEEE"/>
    </w:rPr>
  </w:style>
  <w:style w:type="character" w:customStyle="1" w:styleId="55">
    <w:name w:val="glyphicon4"/>
    <w:basedOn w:val="33"/>
    <w:autoRedefine/>
    <w:qFormat/>
    <w:uiPriority w:val="0"/>
  </w:style>
  <w:style w:type="character" w:customStyle="1" w:styleId="56">
    <w:name w:val="hour_pm"/>
    <w:basedOn w:val="33"/>
    <w:autoRedefine/>
    <w:qFormat/>
    <w:uiPriority w:val="0"/>
  </w:style>
  <w:style w:type="character" w:customStyle="1" w:styleId="57">
    <w:name w:val="old"/>
    <w:basedOn w:val="33"/>
    <w:autoRedefine/>
    <w:qFormat/>
    <w:uiPriority w:val="0"/>
    <w:rPr>
      <w:color w:val="999999"/>
    </w:rPr>
  </w:style>
  <w:style w:type="character" w:customStyle="1" w:styleId="58">
    <w:name w:val="正文文本缩进 Char"/>
    <w:basedOn w:val="33"/>
    <w:link w:val="12"/>
    <w:autoRedefine/>
    <w:semiHidden/>
    <w:qFormat/>
    <w:uiPriority w:val="99"/>
    <w:rPr>
      <w:rFonts w:ascii="宋体" w:hAnsi="宋体" w:eastAsia="宋体" w:cs="宋体"/>
      <w:color w:val="000000"/>
      <w:kern w:val="0"/>
      <w:sz w:val="16"/>
      <w:szCs w:val="16"/>
    </w:rPr>
  </w:style>
  <w:style w:type="character" w:customStyle="1" w:styleId="59">
    <w:name w:val="indent"/>
    <w:basedOn w:val="33"/>
    <w:autoRedefine/>
    <w:qFormat/>
    <w:uiPriority w:val="0"/>
  </w:style>
  <w:style w:type="character" w:customStyle="1" w:styleId="60">
    <w:name w:val="正文文本缩进 3 Char"/>
    <w:basedOn w:val="33"/>
    <w:link w:val="23"/>
    <w:autoRedefine/>
    <w:semiHidden/>
    <w:qFormat/>
    <w:uiPriority w:val="99"/>
    <w:rPr>
      <w:rFonts w:ascii="宋体" w:hAnsi="宋体" w:eastAsia="宋体" w:cs="宋体"/>
      <w:color w:val="000000"/>
      <w:kern w:val="0"/>
      <w:sz w:val="16"/>
      <w:szCs w:val="16"/>
    </w:rPr>
  </w:style>
  <w:style w:type="character" w:customStyle="1" w:styleId="61">
    <w:name w:val="页眉 Char"/>
    <w:basedOn w:val="33"/>
    <w:link w:val="21"/>
    <w:autoRedefine/>
    <w:semiHidden/>
    <w:qFormat/>
    <w:uiPriority w:val="99"/>
    <w:rPr>
      <w:rFonts w:ascii="宋体" w:hAnsi="宋体" w:eastAsia="宋体" w:cs="宋体"/>
      <w:color w:val="000000"/>
      <w:kern w:val="0"/>
      <w:sz w:val="16"/>
      <w:szCs w:val="16"/>
    </w:rPr>
  </w:style>
  <w:style w:type="character" w:customStyle="1" w:styleId="62">
    <w:name w:val="日期 Char"/>
    <w:basedOn w:val="33"/>
    <w:link w:val="17"/>
    <w:autoRedefine/>
    <w:semiHidden/>
    <w:qFormat/>
    <w:uiPriority w:val="99"/>
    <w:rPr>
      <w:rFonts w:ascii="宋体" w:hAnsi="宋体" w:eastAsia="宋体" w:cs="宋体"/>
      <w:color w:val="000000"/>
      <w:kern w:val="0"/>
      <w:sz w:val="16"/>
      <w:szCs w:val="16"/>
    </w:rPr>
  </w:style>
  <w:style w:type="character" w:customStyle="1" w:styleId="63">
    <w:name w:val="正文文本 Char"/>
    <w:basedOn w:val="33"/>
    <w:link w:val="11"/>
    <w:autoRedefine/>
    <w:semiHidden/>
    <w:qFormat/>
    <w:uiPriority w:val="99"/>
    <w:rPr>
      <w:rFonts w:ascii="宋体" w:hAnsi="宋体" w:eastAsia="宋体" w:cs="宋体"/>
      <w:color w:val="000000"/>
      <w:kern w:val="0"/>
      <w:sz w:val="16"/>
      <w:szCs w:val="16"/>
    </w:rPr>
  </w:style>
  <w:style w:type="paragraph" w:customStyle="1" w:styleId="64">
    <w:name w:val="WPSOffice手动目录 1"/>
    <w:autoRedefine/>
    <w:qFormat/>
    <w:uiPriority w:val="0"/>
    <w:rPr>
      <w:rFonts w:ascii="Calibri Light" w:hAnsi="Calibri Light" w:eastAsia="华文仿宋" w:cs="Times New Roman"/>
      <w:lang w:val="en-US" w:eastAsia="zh-CN" w:bidi="ar-SA"/>
    </w:rPr>
  </w:style>
  <w:style w:type="paragraph" w:customStyle="1" w:styleId="65">
    <w:name w:val="表头"/>
    <w:basedOn w:val="1"/>
    <w:autoRedefine/>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66">
    <w:name w:val="正文（缩进 2 字符）"/>
    <w:basedOn w:val="1"/>
    <w:autoRedefine/>
    <w:qFormat/>
    <w:uiPriority w:val="0"/>
    <w:pPr>
      <w:ind w:firstLine="200" w:firstLineChars="200"/>
    </w:pPr>
  </w:style>
  <w:style w:type="paragraph" w:customStyle="1" w:styleId="67">
    <w:name w:val="Table Paragraph"/>
    <w:basedOn w:val="1"/>
    <w:autoRedefine/>
    <w:qFormat/>
    <w:uiPriority w:val="1"/>
    <w:rPr>
      <w:rFonts w:ascii="Noto Sans Mono CJK JP Regular" w:hAnsi="Noto Sans Mono CJK JP Regular" w:eastAsia="Noto Sans Mono CJK JP Regular" w:cs="Noto Sans Mono CJK JP Regular"/>
    </w:rPr>
  </w:style>
  <w:style w:type="paragraph" w:customStyle="1" w:styleId="68">
    <w:name w:val="xl36"/>
    <w:basedOn w:val="1"/>
    <w:autoRedefine/>
    <w:qFormat/>
    <w:uiPriority w:val="0"/>
    <w:pPr>
      <w:widowControl/>
      <w:spacing w:before="100" w:after="100"/>
      <w:jc w:val="center"/>
    </w:pPr>
    <w:rPr>
      <w:rFonts w:hint="eastAsia" w:ascii="宋体" w:hAnsi="宋体"/>
      <w:kern w:val="0"/>
      <w:sz w:val="24"/>
    </w:rPr>
  </w:style>
  <w:style w:type="paragraph" w:customStyle="1" w:styleId="69">
    <w:name w:val="正文 New"/>
    <w:autoRedefine/>
    <w:qFormat/>
    <w:uiPriority w:val="99"/>
    <w:pPr>
      <w:widowControl w:val="0"/>
      <w:jc w:val="both"/>
    </w:pPr>
    <w:rPr>
      <w:rFonts w:ascii="Calibri" w:hAnsi="Calibri" w:eastAsia="宋体" w:cs="Times New Roman"/>
      <w:lang w:val="en-US" w:eastAsia="zh-CN" w:bidi="ar-SA"/>
    </w:rPr>
  </w:style>
  <w:style w:type="paragraph" w:customStyle="1" w:styleId="70">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71">
    <w:name w:val="批注文字 Char"/>
    <w:basedOn w:val="33"/>
    <w:link w:val="8"/>
    <w:autoRedefine/>
    <w:semiHidden/>
    <w:qFormat/>
    <w:uiPriority w:val="99"/>
    <w:rPr>
      <w:rFonts w:ascii="Calibri" w:hAnsi="Calibri"/>
      <w:kern w:val="2"/>
      <w:sz w:val="21"/>
      <w:szCs w:val="22"/>
    </w:rPr>
  </w:style>
  <w:style w:type="character" w:customStyle="1" w:styleId="72">
    <w:name w:val="批注主题 Char"/>
    <w:basedOn w:val="71"/>
    <w:link w:val="13"/>
    <w:autoRedefine/>
    <w:semiHidden/>
    <w:qFormat/>
    <w:uiPriority w:val="99"/>
    <w:rPr>
      <w:rFonts w:ascii="Calibri" w:hAnsi="Calibri"/>
      <w:b/>
      <w:bCs/>
      <w:kern w:val="2"/>
      <w:sz w:val="21"/>
      <w:szCs w:val="22"/>
    </w:rPr>
  </w:style>
  <w:style w:type="character" w:customStyle="1" w:styleId="73">
    <w:name w:val="批注框文本 Char"/>
    <w:basedOn w:val="33"/>
    <w:link w:val="20"/>
    <w:autoRedefine/>
    <w:semiHidden/>
    <w:qFormat/>
    <w:uiPriority w:val="99"/>
    <w:rPr>
      <w:rFonts w:ascii="Calibri" w:hAnsi="Calibri"/>
      <w:kern w:val="2"/>
      <w:sz w:val="18"/>
      <w:szCs w:val="18"/>
    </w:rPr>
  </w:style>
  <w:style w:type="paragraph" w:customStyle="1" w:styleId="74">
    <w:name w:val="*正文"/>
    <w:basedOn w:val="1"/>
    <w:autoRedefine/>
    <w:qFormat/>
    <w:uiPriority w:val="0"/>
    <w:pPr>
      <w:widowControl/>
      <w:spacing w:line="360" w:lineRule="auto"/>
      <w:ind w:firstLine="200" w:firstLineChars="200"/>
      <w:jc w:val="left"/>
    </w:pPr>
    <w:rPr>
      <w:rFonts w:ascii="仿宋_GB2312"/>
      <w:kern w:val="0"/>
      <w:sz w:val="24"/>
      <w:szCs w:val="28"/>
    </w:rPr>
  </w:style>
  <w:style w:type="paragraph" w:customStyle="1" w:styleId="75">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76">
    <w:name w:val="Char111"/>
    <w:basedOn w:val="1"/>
    <w:autoRedefine/>
    <w:qFormat/>
    <w:uiPriority w:val="0"/>
    <w:pPr>
      <w:widowControl/>
      <w:spacing w:after="160" w:line="240" w:lineRule="exact"/>
      <w:jc w:val="left"/>
    </w:pPr>
    <w:rPr>
      <w:rFonts w:ascii="Tahoma" w:hAnsi="Tahoma"/>
      <w:kern w:val="0"/>
      <w:sz w:val="24"/>
      <w:lang w:eastAsia="en-US"/>
    </w:rPr>
  </w:style>
  <w:style w:type="paragraph" w:styleId="77">
    <w:name w:val="List Paragraph"/>
    <w:basedOn w:val="1"/>
    <w:autoRedefine/>
    <w:qFormat/>
    <w:uiPriority w:val="99"/>
    <w:pPr>
      <w:ind w:firstLine="420" w:firstLineChars="200"/>
    </w:pPr>
  </w:style>
  <w:style w:type="paragraph" w:customStyle="1" w:styleId="78">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9">
    <w:name w:val="font81"/>
    <w:basedOn w:val="33"/>
    <w:autoRedefine/>
    <w:qFormat/>
    <w:uiPriority w:val="0"/>
    <w:rPr>
      <w:rFonts w:hint="eastAsia" w:ascii="宋体" w:hAnsi="宋体" w:eastAsia="宋体" w:cs="宋体"/>
      <w:color w:val="000000"/>
      <w:sz w:val="20"/>
      <w:szCs w:val="20"/>
      <w:u w:val="none"/>
      <w:vertAlign w:val="superscript"/>
    </w:rPr>
  </w:style>
  <w:style w:type="character" w:customStyle="1" w:styleId="80">
    <w:name w:val="font51"/>
    <w:basedOn w:val="33"/>
    <w:autoRedefine/>
    <w:qFormat/>
    <w:uiPriority w:val="0"/>
    <w:rPr>
      <w:rFonts w:hint="eastAsia" w:ascii="宋体" w:hAnsi="宋体" w:eastAsia="宋体" w:cs="宋体"/>
      <w:color w:val="000000"/>
      <w:sz w:val="20"/>
      <w:szCs w:val="20"/>
      <w:u w:val="none"/>
      <w:vertAlign w:val="superscript"/>
    </w:rPr>
  </w:style>
  <w:style w:type="character" w:customStyle="1" w:styleId="81">
    <w:name w:val="font61"/>
    <w:basedOn w:val="33"/>
    <w:autoRedefine/>
    <w:qFormat/>
    <w:uiPriority w:val="0"/>
    <w:rPr>
      <w:rFonts w:hint="eastAsia" w:ascii="宋体" w:hAnsi="宋体" w:eastAsia="宋体" w:cs="宋体"/>
      <w:color w:val="000000"/>
      <w:sz w:val="20"/>
      <w:szCs w:val="20"/>
      <w:u w:val="none"/>
    </w:rPr>
  </w:style>
  <w:style w:type="paragraph" w:customStyle="1" w:styleId="82">
    <w:name w:val="普通正文"/>
    <w:basedOn w:val="1"/>
    <w:autoRedefine/>
    <w:qFormat/>
    <w:uiPriority w:val="0"/>
    <w:pPr>
      <w:adjustRightInd w:val="0"/>
      <w:spacing w:before="120" w:after="120" w:line="360" w:lineRule="auto"/>
      <w:ind w:firstLine="480"/>
      <w:jc w:val="left"/>
    </w:pPr>
    <w:rPr>
      <w:rFonts w:ascii="Arial" w:hAnsi="Arial"/>
      <w:kern w:val="0"/>
      <w:sz w:val="28"/>
      <w:szCs w:val="24"/>
    </w:rPr>
  </w:style>
  <w:style w:type="paragraph" w:customStyle="1" w:styleId="83">
    <w:name w:val="目录"/>
    <w:basedOn w:val="1"/>
    <w:autoRedefine/>
    <w:qFormat/>
    <w:uiPriority w:val="0"/>
    <w:pPr>
      <w:widowControl/>
      <w:spacing w:line="240" w:lineRule="auto"/>
      <w:jc w:val="center"/>
    </w:pPr>
    <w:rPr>
      <w:rFonts w:ascii="宋体"/>
      <w:b/>
      <w:kern w:val="0"/>
      <w:sz w:val="36"/>
      <w:szCs w:val="20"/>
    </w:rPr>
  </w:style>
  <w:style w:type="paragraph" w:customStyle="1" w:styleId="84">
    <w:name w:val="BlockQuote"/>
    <w:basedOn w:val="1"/>
    <w:next w:val="85"/>
    <w:autoRedefine/>
    <w:qFormat/>
    <w:uiPriority w:val="0"/>
    <w:pPr>
      <w:ind w:left="1440" w:leftChars="700" w:right="700" w:rightChars="700"/>
      <w:jc w:val="both"/>
      <w:textAlignment w:val="baseline"/>
    </w:pPr>
  </w:style>
  <w:style w:type="paragraph" w:customStyle="1" w:styleId="85">
    <w:name w:val="PlainText"/>
    <w:basedOn w:val="1"/>
    <w:autoRedefine/>
    <w:qFormat/>
    <w:uiPriority w:val="0"/>
    <w:pPr>
      <w:jc w:val="both"/>
      <w:textAlignment w:val="baseline"/>
    </w:pPr>
    <w:rPr>
      <w:rFonts w:ascii="宋体" w:hAnsi="Courier New"/>
      <w:kern w:val="2"/>
      <w:sz w:val="21"/>
      <w:szCs w:val="24"/>
      <w:lang w:val="en-US" w:eastAsia="zh-CN" w:bidi="ar-SA"/>
    </w:rPr>
  </w:style>
  <w:style w:type="paragraph" w:customStyle="1" w:styleId="86">
    <w:name w:val="样式 样式 正文缩进 + 首行缩进:  1.81 字符 字距调整四号 非加宽量 / 紧缩量 + 首行缩进:  2 字符"/>
    <w:basedOn w:val="1"/>
    <w:autoRedefine/>
    <w:qFormat/>
    <w:uiPriority w:val="0"/>
    <w:pPr>
      <w:tabs>
        <w:tab w:val="left" w:pos="4117"/>
      </w:tabs>
      <w:overflowPunct w:val="0"/>
      <w:autoSpaceDE w:val="0"/>
      <w:autoSpaceDN w:val="0"/>
      <w:adjustRightInd w:val="0"/>
      <w:ind w:firstLine="200" w:firstLineChars="200"/>
    </w:pPr>
    <w:rPr>
      <w:rFonts w:eastAsia="仿宋_GB2312" w:cs="宋体"/>
      <w:kern w:val="28"/>
      <w:sz w:val="28"/>
      <w:szCs w:val="20"/>
    </w:rPr>
  </w:style>
  <w:style w:type="character" w:customStyle="1" w:styleId="87">
    <w:name w:val="font21"/>
    <w:basedOn w:val="33"/>
    <w:autoRedefine/>
    <w:qFormat/>
    <w:uiPriority w:val="0"/>
    <w:rPr>
      <w:rFonts w:hint="eastAsia" w:ascii="宋体" w:hAnsi="宋体" w:eastAsia="宋体" w:cs="宋体"/>
      <w:b/>
      <w:bCs/>
      <w:color w:val="000000"/>
      <w:sz w:val="16"/>
      <w:szCs w:val="16"/>
      <w:u w:val="none"/>
    </w:rPr>
  </w:style>
  <w:style w:type="character" w:customStyle="1" w:styleId="88">
    <w:name w:val="font31"/>
    <w:basedOn w:val="33"/>
    <w:autoRedefine/>
    <w:qFormat/>
    <w:uiPriority w:val="0"/>
    <w:rPr>
      <w:rFonts w:hint="default" w:ascii="Times New Roman" w:hAnsi="Times New Roman" w:cs="Times New Roman"/>
      <w:color w:val="000000"/>
      <w:sz w:val="18"/>
      <w:szCs w:val="18"/>
      <w:u w:val="none"/>
    </w:rPr>
  </w:style>
  <w:style w:type="character" w:customStyle="1" w:styleId="89">
    <w:name w:val="font11"/>
    <w:basedOn w:val="33"/>
    <w:autoRedefine/>
    <w:qFormat/>
    <w:uiPriority w:val="0"/>
    <w:rPr>
      <w:rFonts w:hint="eastAsia" w:ascii="宋体" w:hAnsi="宋体" w:eastAsia="宋体" w:cs="宋体"/>
      <w:color w:val="000000"/>
      <w:sz w:val="16"/>
      <w:szCs w:val="16"/>
      <w:u w:val="none"/>
    </w:rPr>
  </w:style>
  <w:style w:type="paragraph" w:customStyle="1" w:styleId="90">
    <w:name w:val="样式1"/>
    <w:qFormat/>
    <w:uiPriority w:val="0"/>
    <w:pPr>
      <w:widowControl w:val="0"/>
      <w:spacing w:line="560" w:lineRule="exact"/>
      <w:ind w:firstLine="200" w:firstLineChars="200"/>
      <w:jc w:val="both"/>
    </w:pPr>
    <w:rPr>
      <w:rFonts w:ascii="仿宋_GB2312" w:hAnsi="Times New Roman" w:eastAsia="仿宋_GB2312" w:cs="Arial"/>
      <w:color w:val="000000"/>
      <w:kern w:val="2"/>
      <w:sz w:val="28"/>
      <w:szCs w:val="28"/>
      <w:lang w:val="en-US" w:eastAsia="zh-CN" w:bidi="ar-SA"/>
    </w:rPr>
  </w:style>
  <w:style w:type="character" w:customStyle="1" w:styleId="91">
    <w:name w:val="NormalCharacter"/>
    <w:qFormat/>
    <w:uiPriority w:val="0"/>
    <w:rPr>
      <w:kern w:val="2"/>
      <w:sz w:val="21"/>
      <w:szCs w:val="22"/>
      <w:lang w:val="en-US" w:eastAsia="zh-CN" w:bidi="ar-SA"/>
    </w:rPr>
  </w:style>
  <w:style w:type="paragraph" w:customStyle="1" w:styleId="92">
    <w:name w:val="Table Text"/>
    <w:basedOn w:val="1"/>
    <w:semiHidden/>
    <w:qFormat/>
    <w:uiPriority w:val="0"/>
    <w:rPr>
      <w:rFonts w:ascii="宋体" w:hAnsi="宋体" w:eastAsia="宋体" w:cs="宋体"/>
      <w:sz w:val="24"/>
      <w:szCs w:val="24"/>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75</Pages>
  <Words>5496</Words>
  <Characters>6029</Characters>
  <Lines>236</Lines>
  <Paragraphs>66</Paragraphs>
  <TotalTime>2</TotalTime>
  <ScaleCrop>false</ScaleCrop>
  <LinksUpToDate>false</LinksUpToDate>
  <CharactersWithSpaces>6154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2019-06-06T07:09:00Z</dcterms:created>
  <dc:creator>USER</dc:creator>
  <cp:lastModifiedBy>微信用户</cp:lastModifiedBy>
  <cp:lastPrinted>2025-10-17T01:05:00Z</cp:lastPrinted>
  <dcterms:modified xsi:type="dcterms:W3CDTF">2025-10-24T02:39:51Z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5292D917CC1B429289E88AA08EC1BC01_13</vt:lpwstr>
  </property>
  <property fmtid="{D5CDD505-2E9C-101B-9397-08002B2CF9AE}" pid="4" name="KSOTemplateDocerSaveRecord">
    <vt:lpwstr>eyJoZGlkIjoiMGZlYzEyZGZiZGQ2ZTRjOWZkZDE4ZGMyYTY2ZmNkNWQiLCJ1c2VySWQiOiIxMjEzNjgwNTI4In0=</vt:lpwstr>
  </property>
</Properties>
</file>