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4DB2">
      <w:pPr>
        <w:pStyle w:val="3"/>
        <w:numPr>
          <w:ilvl w:val="0"/>
          <w:numId w:val="1"/>
        </w:numPr>
        <w:spacing w:line="360" w:lineRule="auto"/>
        <w:jc w:val="center"/>
        <w:rPr>
          <w:rFonts w:hint="eastAsia" w:ascii="仿宋" w:hAnsi="仿宋" w:eastAsia="仿宋" w:cs="仿宋"/>
          <w:color w:val="auto"/>
          <w:sz w:val="36"/>
          <w:szCs w:val="22"/>
        </w:rPr>
      </w:pPr>
      <w:bookmarkStart w:id="0" w:name="_Toc28107"/>
      <w:r>
        <w:rPr>
          <w:rFonts w:hint="eastAsia" w:ascii="仿宋" w:hAnsi="仿宋" w:eastAsia="仿宋" w:cs="仿宋"/>
          <w:color w:val="auto"/>
          <w:sz w:val="36"/>
          <w:szCs w:val="22"/>
        </w:rPr>
        <w:t>采购内容及要求</w:t>
      </w:r>
      <w:bookmarkEnd w:id="0"/>
    </w:p>
    <w:p w14:paraId="77EED45C">
      <w:pPr>
        <w:numPr>
          <w:ilvl w:val="0"/>
          <w:numId w:val="2"/>
        </w:numPr>
        <w:rPr>
          <w:rFonts w:hint="eastAsia" w:ascii="仿宋" w:hAnsi="仿宋" w:cs="仿宋"/>
          <w:color w:val="auto"/>
          <w:szCs w:val="24"/>
          <w:lang w:val="en-US" w:eastAsia="zh-CN"/>
        </w:rPr>
      </w:pPr>
      <w:r>
        <w:rPr>
          <w:rFonts w:hint="eastAsia" w:ascii="仿宋" w:hAnsi="仿宋" w:cs="仿宋"/>
          <w:color w:val="auto"/>
          <w:szCs w:val="24"/>
          <w:lang w:val="en-US" w:eastAsia="zh-CN"/>
        </w:rPr>
        <w:t>服务内容：</w:t>
      </w:r>
    </w:p>
    <w:p w14:paraId="562DA15F">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对MBA学位论文进行送审服务，按照学院相关要求，在指定时间段，完成送审、结果反馈、评审费结算等服务。</w:t>
      </w:r>
    </w:p>
    <w:p w14:paraId="3A8D0E49">
      <w:pPr>
        <w:numPr>
          <w:ilvl w:val="0"/>
          <w:numId w:val="2"/>
        </w:numPr>
        <w:ind w:left="0" w:leftChars="0" w:firstLine="0" w:firstLineChars="0"/>
        <w:rPr>
          <w:rFonts w:hint="eastAsia" w:ascii="仿宋" w:hAnsi="仿宋" w:cs="仿宋"/>
          <w:color w:val="auto"/>
          <w:szCs w:val="24"/>
          <w:lang w:val="en-US" w:eastAsia="zh-CN"/>
        </w:rPr>
      </w:pPr>
      <w:r>
        <w:rPr>
          <w:rFonts w:hint="eastAsia" w:ascii="仿宋" w:hAnsi="仿宋" w:cs="仿宋"/>
          <w:color w:val="auto"/>
          <w:szCs w:val="24"/>
          <w:lang w:val="en-US" w:eastAsia="zh-CN"/>
        </w:rPr>
        <w:t>送审要求</w:t>
      </w:r>
      <w:r>
        <w:rPr>
          <w:rFonts w:hint="default" w:ascii="仿宋" w:hAnsi="仿宋" w:cs="仿宋"/>
          <w:color w:val="auto"/>
          <w:szCs w:val="24"/>
          <w:lang w:eastAsia="zh-CN"/>
        </w:rPr>
        <w:t>及专业领域</w:t>
      </w:r>
    </w:p>
    <w:p w14:paraId="38E38F73">
      <w:pPr>
        <w:numPr>
          <w:ilvl w:val="0"/>
          <w:numId w:val="0"/>
        </w:numPr>
        <w:ind w:leftChars="200"/>
        <w:rPr>
          <w:rFonts w:hint="eastAsia" w:ascii="仿宋" w:hAnsi="仿宋" w:cs="仿宋"/>
          <w:color w:val="auto"/>
          <w:szCs w:val="24"/>
          <w:highlight w:val="none"/>
          <w:lang w:val="en-US" w:eastAsia="zh-CN"/>
        </w:rPr>
      </w:pPr>
      <w:r>
        <w:rPr>
          <w:rFonts w:hint="eastAsia" w:ascii="仿宋" w:hAnsi="仿宋" w:cs="仿宋"/>
          <w:b/>
          <w:bCs/>
          <w:color w:val="auto"/>
          <w:szCs w:val="24"/>
          <w:highlight w:val="none"/>
          <w:lang w:val="en-US" w:eastAsia="zh-CN"/>
        </w:rPr>
        <w:t>平台功能与技术要求（以下参数有备注按备注提供证明材料，无备注提供系统截图，承诺无效）</w:t>
      </w:r>
    </w:p>
    <w:p w14:paraId="03B918BC">
      <w:pPr>
        <w:numPr>
          <w:ilvl w:val="0"/>
          <w:numId w:val="0"/>
        </w:numPr>
        <w:ind w:firstLine="480" w:firstLineChars="200"/>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1.支持送审高校独立的登录界面和专属域名。</w:t>
      </w:r>
    </w:p>
    <w:p w14:paraId="79A3E1A2">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2.系统可设立研究生院账户、学院账户、专家账户和学生账户的角色。各角色都有独立丰富的权限配置。</w:t>
      </w:r>
    </w:p>
    <w:p w14:paraId="3D600554">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3.研究生处可以通过平台对学院送审情况进行实时监督与管理。</w:t>
      </w:r>
    </w:p>
    <w:p w14:paraId="6E15775A">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4.可根据学校情况灵活定制评阅书模板。</w:t>
      </w:r>
    </w:p>
    <w:p w14:paraId="77819069">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5.支持专家电子签名，支持直接扫码签名。</w:t>
      </w:r>
    </w:p>
    <w:p w14:paraId="1F9FEC6D">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6.支持按自定义三级学科送审。</w:t>
      </w:r>
    </w:p>
    <w:p w14:paraId="71CEB07B">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7.支持为送审单位提供在线抽检功能。</w:t>
      </w:r>
    </w:p>
    <w:p w14:paraId="60FA9C08">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8.支持盲审敏感信息检测（检测论文内容中是否包含学生姓名、导师姓名、学号等敏感信息）</w:t>
      </w:r>
    </w:p>
    <w:p w14:paraId="69D5C168">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9.支持定制论文汇总表模板和动态解析论文文件名。</w:t>
      </w:r>
    </w:p>
    <w:p w14:paraId="3747BA1D">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10.平台提供短信、邮件等及时消息提醒功能，包含：送审提醒、催评、评审费提取提醒。</w:t>
      </w:r>
    </w:p>
    <w:p w14:paraId="2B5F9309">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11.支持专家在线填写平台使用反馈，并支持回复。</w:t>
      </w:r>
    </w:p>
    <w:p w14:paraId="20AE3817">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12.支持在线推荐行业专家评审。</w:t>
      </w:r>
    </w:p>
    <w:p w14:paraId="09CFE34C">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13.支持客户档案管理，记录客户历史送审需求、配置和存在问题。</w:t>
      </w:r>
    </w:p>
    <w:p w14:paraId="257118FE">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14.支持根据学校的送审要求，在线定制送审方案。支持按全局、按篇次、按学科、按学科篇次等维度灵活定制送审方案，支持行业专家送审，支持在线调整送审方案，支持动态设置学校类别优先级，支持一键导出送审方案，功能丰富满足送审方要求。</w:t>
      </w:r>
      <w:r>
        <w:rPr>
          <w:rFonts w:hint="eastAsia" w:ascii="仿宋" w:hAnsi="仿宋" w:cs="仿宋"/>
          <w:b/>
          <w:bCs/>
          <w:color w:val="auto"/>
          <w:szCs w:val="24"/>
          <w:lang w:val="en-US" w:eastAsia="zh-CN"/>
        </w:rPr>
        <w:t>（该服务需提供演示视频（以U盘形式递交））</w:t>
      </w:r>
    </w:p>
    <w:p w14:paraId="18C9CB35">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15.支持生成在线分析统计报表功能，报表种类丰富，包括用大语言AI模型对专家意见进行智能分析、对任意分数段论文进行分项统计和自动生成动态综合评价，可在线调整报表顺序和修改各报表名称，并一键导出报表。</w:t>
      </w:r>
      <w:r>
        <w:rPr>
          <w:rFonts w:hint="eastAsia" w:ascii="仿宋" w:hAnsi="仿宋" w:cs="仿宋"/>
          <w:b/>
          <w:bCs/>
          <w:color w:val="auto"/>
          <w:szCs w:val="24"/>
          <w:lang w:val="en-US" w:eastAsia="zh-CN"/>
        </w:rPr>
        <w:t>（该服务需提供演示视频（以U盘形式递交））</w:t>
      </w:r>
    </w:p>
    <w:p w14:paraId="05A82A75">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16.支持在线筛查专家评阅结果，自动进行预警，预警异常种类丰富，确保专家评审质量。</w:t>
      </w:r>
      <w:r>
        <w:rPr>
          <w:rFonts w:hint="eastAsia" w:ascii="仿宋" w:hAnsi="仿宋" w:cs="仿宋"/>
          <w:b/>
          <w:bCs/>
          <w:color w:val="auto"/>
          <w:szCs w:val="24"/>
          <w:lang w:val="en-US" w:eastAsia="zh-CN"/>
        </w:rPr>
        <w:t>（该服务需提供演示视频（以U盘形式递交））</w:t>
      </w:r>
    </w:p>
    <w:p w14:paraId="353DF5A2">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17.支持论文格式检测，格式检测范围包括但不限于：页面设置、封面、目录、摘要、正文、引文标注与注释、参考文献、附录等，同时生成详细的检测结果报告。</w:t>
      </w:r>
      <w:r>
        <w:rPr>
          <w:rFonts w:hint="eastAsia" w:ascii="仿宋" w:hAnsi="仿宋" w:cs="仿宋"/>
          <w:b/>
          <w:bCs/>
          <w:color w:val="auto"/>
          <w:szCs w:val="24"/>
          <w:lang w:val="en-US" w:eastAsia="zh-CN"/>
        </w:rPr>
        <w:t>（该服务需提供演示视频（以U盘形式递交））</w:t>
      </w:r>
    </w:p>
    <w:p w14:paraId="209185C3">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18.需提供专家画像功能，从评审专家的专业背景、评审经验、评审质量、严格程度等方面进行多维度画像，确保遴选最优质的专家进行评审。</w:t>
      </w:r>
      <w:r>
        <w:rPr>
          <w:rFonts w:hint="eastAsia" w:ascii="仿宋" w:hAnsi="仿宋" w:cs="仿宋"/>
          <w:b/>
          <w:bCs/>
          <w:color w:val="auto"/>
          <w:szCs w:val="24"/>
          <w:lang w:val="en-US" w:eastAsia="zh-CN"/>
        </w:rPr>
        <w:t>（该服务需提供演示视频（以U盘形式递交））</w:t>
      </w:r>
    </w:p>
    <w:p w14:paraId="5A892ECD">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19.拥有自主开发的论文催审平台，提供论文催审系统相关的著作权登记证书。</w:t>
      </w:r>
      <w:r>
        <w:rPr>
          <w:rFonts w:hint="eastAsia" w:ascii="仿宋" w:hAnsi="仿宋" w:cs="仿宋"/>
          <w:b/>
          <w:bCs/>
          <w:color w:val="auto"/>
          <w:szCs w:val="24"/>
          <w:lang w:val="en-US" w:eastAsia="zh-CN"/>
        </w:rPr>
        <w:t>（提供相符的著作权登记证书扫描件。提供承诺或不相符的著作权登记证书扫描件无效）</w:t>
      </w:r>
    </w:p>
    <w:p w14:paraId="2F33C970">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20.拥有自主开发的专家画像平台，提供专家画像系统相关的著作权登记证书。</w:t>
      </w:r>
      <w:r>
        <w:rPr>
          <w:rFonts w:hint="eastAsia" w:ascii="仿宋" w:hAnsi="仿宋" w:cs="仿宋"/>
          <w:b/>
          <w:bCs/>
          <w:color w:val="auto"/>
          <w:szCs w:val="24"/>
          <w:lang w:val="en-US" w:eastAsia="zh-CN"/>
        </w:rPr>
        <w:t>（提供相符的著作权登记证书扫描件。提供承诺或不相符的著作权登记证书扫描件无效）</w:t>
      </w:r>
    </w:p>
    <w:p w14:paraId="2A0F00AC">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21.支持提供视频在线会议进行论文抽检的增值服务，系统能实现网页版视频功能，支持资料审核、人员验证、设立等候室，拉人入会，视频录像本地存储等功能。</w:t>
      </w:r>
      <w:r>
        <w:rPr>
          <w:rFonts w:hint="eastAsia" w:ascii="仿宋" w:hAnsi="仿宋" w:cs="仿宋"/>
          <w:b/>
          <w:bCs/>
          <w:color w:val="auto"/>
          <w:szCs w:val="24"/>
          <w:lang w:val="en-US" w:eastAsia="zh-CN"/>
        </w:rPr>
        <w:t>（该服务需提供演示视频（以U盘形式递交））</w:t>
      </w:r>
    </w:p>
    <w:p w14:paraId="5B89BB1D">
      <w:pPr>
        <w:numPr>
          <w:ilvl w:val="0"/>
          <w:numId w:val="2"/>
        </w:numPr>
        <w:ind w:left="0" w:leftChars="0" w:firstLine="0" w:firstLineChars="0"/>
        <w:rPr>
          <w:rFonts w:hint="default" w:ascii="仿宋" w:hAnsi="仿宋" w:cs="仿宋"/>
          <w:color w:val="auto"/>
          <w:szCs w:val="24"/>
          <w:lang w:eastAsia="zh-CN"/>
        </w:rPr>
      </w:pPr>
      <w:r>
        <w:rPr>
          <w:rFonts w:hint="default" w:ascii="仿宋" w:hAnsi="仿宋" w:cs="仿宋"/>
          <w:color w:val="auto"/>
          <w:szCs w:val="24"/>
          <w:lang w:eastAsia="zh-CN"/>
        </w:rPr>
        <w:t>服务时间要求：</w:t>
      </w:r>
    </w:p>
    <w:p w14:paraId="56FAFAF2">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1、平台提供7*24小时在线技术支持与服务，如因软件自身问题导致无法正常使用，服务商应在10分钟之内给予响应，12小时之内解决问题。</w:t>
      </w:r>
    </w:p>
    <w:p w14:paraId="10B2F0E5">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2、每篇论文的送审周期不超过21个自然日，复审论文不超过7个自然日。</w:t>
      </w:r>
    </w:p>
    <w:p w14:paraId="5CAD2122">
      <w:pPr>
        <w:numPr>
          <w:ilvl w:val="0"/>
          <w:numId w:val="2"/>
        </w:numPr>
        <w:ind w:left="0" w:leftChars="0" w:firstLine="0" w:firstLineChars="0"/>
        <w:rPr>
          <w:rFonts w:hint="eastAsia" w:ascii="仿宋" w:hAnsi="仿宋" w:cs="仿宋"/>
          <w:color w:val="auto"/>
          <w:szCs w:val="24"/>
          <w:lang w:val="en-US" w:eastAsia="zh-CN"/>
        </w:rPr>
      </w:pPr>
      <w:r>
        <w:rPr>
          <w:rFonts w:hint="default" w:ascii="仿宋" w:hAnsi="仿宋" w:cs="仿宋"/>
          <w:color w:val="auto"/>
          <w:szCs w:val="24"/>
          <w:lang w:eastAsia="zh-CN"/>
        </w:rPr>
        <w:t>评审专家要求：</w:t>
      </w:r>
    </w:p>
    <w:p w14:paraId="7F3CF207">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1. 根据教育部学科评估排名，结合我校送审要求，将学位论文送审到全国范围内指定级别高校的专家，并按时返回评阅结果。</w:t>
      </w:r>
    </w:p>
    <w:p w14:paraId="6A2DDA44">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2.保证评审专家资质的真实性。论文评审专家所属学校不低于我校层次，评审专家的学科专业须与论文作者的学科专业一致，研究方向一致或相关；硕士论文评审专家必须具有副高级及以上职称的硕士研究生导师。</w:t>
      </w:r>
    </w:p>
    <w:p w14:paraId="344431D2">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3.同一篇论文的多名评审专家必须为不同学校的专家，每位专家同批次评审的论文上限为4篇。</w:t>
      </w:r>
    </w:p>
    <w:p w14:paraId="4CA4D17E">
      <w:pPr>
        <w:numPr>
          <w:ilvl w:val="0"/>
          <w:numId w:val="0"/>
        </w:numPr>
        <w:rPr>
          <w:rFonts w:hint="default" w:ascii="仿宋" w:hAnsi="仿宋" w:cs="仿宋"/>
          <w:color w:val="auto"/>
          <w:szCs w:val="24"/>
          <w:lang w:eastAsia="zh-CN"/>
        </w:rPr>
      </w:pPr>
      <w:r>
        <w:rPr>
          <w:rFonts w:hint="default" w:ascii="仿宋" w:hAnsi="仿宋" w:cs="仿宋"/>
          <w:color w:val="auto"/>
          <w:szCs w:val="24"/>
          <w:lang w:eastAsia="zh-CN"/>
        </w:rPr>
        <w:t>五、其他要求：</w:t>
      </w:r>
    </w:p>
    <w:p w14:paraId="29C9245B">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1.正式送审之前平台需把具体的送审方案报给我校，经我校检查确认后方可送审。</w:t>
      </w:r>
    </w:p>
    <w:p w14:paraId="294F8103">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2.平台须对我校在平台上的学生信息、论文信息、评阅结果进行保密和负责。</w:t>
      </w:r>
    </w:p>
    <w:p w14:paraId="5A485AC7">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3.平台能够提供与我校管理系统对接服务，实现评审数据一键输入输出。</w:t>
      </w:r>
    </w:p>
    <w:p w14:paraId="631D1FE0">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4.承接</w:t>
      </w:r>
      <w:r>
        <w:rPr>
          <w:rFonts w:hint="default" w:ascii="仿宋" w:hAnsi="仿宋" w:cs="仿宋"/>
          <w:color w:val="auto"/>
          <w:szCs w:val="24"/>
          <w:highlight w:val="none"/>
          <w:lang w:eastAsia="zh-CN"/>
        </w:rPr>
        <w:t>项目团队经理具有PMP项目管理师证书（提供PMP项目管理师证书扫描件及连续三个月的社保缴纳证明。</w:t>
      </w:r>
    </w:p>
    <w:p w14:paraId="755CE8E2">
      <w:r>
        <w:rPr>
          <w:rFonts w:hint="default" w:ascii="仿宋" w:hAnsi="仿宋" w:cs="仿宋"/>
          <w:color w:val="auto"/>
          <w:szCs w:val="24"/>
          <w:lang w:eastAsia="zh-CN"/>
        </w:rPr>
        <w:t>5.</w:t>
      </w:r>
      <w:r>
        <w:rPr>
          <w:rFonts w:hint="default" w:ascii="仿宋" w:hAnsi="仿宋" w:cs="仿宋"/>
          <w:color w:val="auto"/>
          <w:szCs w:val="24"/>
          <w:highlight w:val="none"/>
          <w:lang w:eastAsia="zh-CN"/>
        </w:rPr>
        <w:t>承接项目团队成员具有工业和信息化部教育与考试中心颁发“数据安全工程师（高级）”（提供人员证书复印件、工业和信息化部教育与考试中心官网证书查询截图及供应商为其缴纳的连续三个月的社保缴纳证明）</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B203A"/>
    <w:multiLevelType w:val="singleLevel"/>
    <w:tmpl w:val="4C3B203A"/>
    <w:lvl w:ilvl="0" w:tentative="0">
      <w:start w:val="1"/>
      <w:numFmt w:val="chineseCounting"/>
      <w:suff w:val="nothing"/>
      <w:lvlText w:val="%1、"/>
      <w:lvlJc w:val="left"/>
      <w:rPr>
        <w:rFonts w:hint="eastAsia"/>
      </w:rPr>
    </w:lvl>
  </w:abstractNum>
  <w:abstractNum w:abstractNumId="1">
    <w:nsid w:val="5D336FE8"/>
    <w:multiLevelType w:val="singleLevel"/>
    <w:tmpl w:val="5D336FE8"/>
    <w:lvl w:ilvl="0" w:tentative="0">
      <w:start w:val="6"/>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45472"/>
    <w:rsid w:val="25745472"/>
    <w:rsid w:val="42C2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仿宋" w:cs="Times New Roman"/>
      <w:kern w:val="2"/>
      <w:sz w:val="24"/>
      <w:lang w:val="en-US" w:eastAsia="zh-CN" w:bidi="ar-SA"/>
    </w:rPr>
  </w:style>
  <w:style w:type="paragraph" w:styleId="3">
    <w:name w:val="heading 1"/>
    <w:basedOn w:val="1"/>
    <w:next w:val="1"/>
    <w:qFormat/>
    <w:uiPriority w:val="0"/>
    <w:pPr>
      <w:keepNext/>
      <w:keepLines/>
      <w:widowControl w:val="0"/>
      <w:spacing w:before="340" w:after="330" w:line="576" w:lineRule="auto"/>
      <w:ind w:left="0" w:right="0"/>
      <w:jc w:val="both"/>
      <w:outlineLvl w:val="0"/>
    </w:pPr>
    <w:rPr>
      <w:rFonts w:ascii="Times New Roman" w:hAnsi="Times New Roman" w:eastAsia="宋体" w:cs="Times New Roman"/>
      <w:b/>
      <w:bCs/>
      <w:kern w:val="44"/>
      <w:sz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iPriority w:val="0"/>
    <w:pPr>
      <w:widowControl w:val="0"/>
      <w:spacing w:after="0" w:line="360" w:lineRule="auto"/>
      <w:jc w:val="both"/>
    </w:pPr>
    <w:rPr>
      <w:rFonts w:ascii="幼圆" w:hAnsi="Times New Roman" w:eastAsia="幼圆" w:cs="Times New Roman"/>
      <w:kern w:val="2"/>
      <w:sz w:val="24"/>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2025-11-04T06:35:00Z</dcterms:created>
  <dc:creator>陕西中技</dc:creator>
  <cp:lastModifiedBy>陕西中技</cp:lastModifiedBy>
  <dcterms:modified xsi:type="dcterms:W3CDTF">2025-11-04T06:35:48Z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B7E3BB1D9169488791FA8C386AFDDFC7_11</vt:lpwstr>
  </property>
  <property fmtid="{D5CDD505-2E9C-101B-9397-08002B2CF9AE}" pid="4" name="KSOTemplateDocerSaveRecord">
    <vt:lpwstr>eyJoZGlkIjoiMTY5OGYwNzI3M2U0MDZjZTIzODUzMTIxYWQ1YmM3MmQiLCJ1c2VySWQiOiI0ODM0NjExNDgifQ==</vt:lpwstr>
  </property>
</Properties>
</file>