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bookmarkStart w:id="21" w:name="_GoBack"/>
      <w:bookmarkEnd w:id="21"/>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3"/>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pPr>
        <w:widowControl w:val="0"/>
        <w:topLinePunct/>
        <w:spacing w:line="360" w:lineRule="auto"/>
        <w:jc w:val="center"/>
        <w:rPr>
          <w:rFonts w:eastAsia="宋体" w:cs="Tahoma"/>
          <w:sz w:val="36"/>
          <w:szCs w:val="36"/>
        </w:rPr>
      </w:pPr>
    </w:p>
    <w:p>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2025年度西安市人民政府办公厅站群平台运维项目</w:t>
      </w:r>
    </w:p>
    <w:p>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XCZX2025-0151</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2025年11月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"_Toc209943445" </w:instrText>
      </w:r>
      <w:r>
        <w:fldChar w:fldCharType="separate"/>
      </w:r>
      <w:r>
        <w:rPr>
          <w:rStyle w:val="31"/>
          <w:rFonts w:hint="eastAsia"/>
        </w:rPr>
        <w:t>第一章　投标邀请函</w:t>
      </w:r>
      <w:r>
        <w:tab/>
      </w:r>
      <w:r>
        <w:fldChar w:fldCharType="begin"/>
      </w:r>
      <w:r>
        <w:instrText xml:space="preserve"> PAGEREF _Toc209943445 \h </w:instrText>
      </w:r>
      <w:r>
        <w:fldChar w:fldCharType="separate"/>
      </w:r>
      <w:r>
        <w:t>1</w:t>
      </w:r>
      <w:r>
        <w:fldChar w:fldCharType="end"/>
      </w:r>
      <w:r>
        <w:fldChar w:fldCharType="end"/>
      </w:r>
    </w:p>
    <w:p>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"_Toc209943446" </w:instrText>
      </w:r>
      <w:r>
        <w:fldChar w:fldCharType="separate"/>
      </w:r>
      <w:r>
        <w:rPr>
          <w:rStyle w:val="31"/>
          <w:rFonts w:hint="eastAsia"/>
        </w:rPr>
        <w:t>第二章　供应商须知</w:t>
      </w:r>
      <w:r>
        <w:tab/>
      </w:r>
      <w:r>
        <w:fldChar w:fldCharType="begin"/>
      </w:r>
      <w:r>
        <w:instrText xml:space="preserve"> PAGEREF _Toc209943446 \h </w:instrText>
      </w:r>
      <w:r>
        <w:fldChar w:fldCharType="separate"/>
      </w:r>
      <w:r>
        <w:t>4</w:t>
      </w:r>
      <w:r>
        <w:fldChar w:fldCharType="end"/>
      </w:r>
      <w:r>
        <w:fldChar w:fldCharType="end"/>
      </w:r>
    </w:p>
    <w:p>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"_Toc209943447" </w:instrText>
      </w:r>
      <w:r>
        <w:fldChar w:fldCharType="separate"/>
      </w:r>
      <w:r>
        <w:rPr>
          <w:rStyle w:val="31"/>
          <w:rFonts w:hint="eastAsia"/>
        </w:rPr>
        <w:t>第三章　招标内容及要求</w:t>
      </w:r>
      <w:r>
        <w:tab/>
      </w:r>
      <w:r>
        <w:fldChar w:fldCharType="begin"/>
      </w:r>
      <w:r>
        <w:instrText xml:space="preserve"> PAGEREF _Toc209943447 \h </w:instrText>
      </w:r>
      <w:r>
        <w:fldChar w:fldCharType="separate"/>
      </w:r>
      <w:r>
        <w:t>34</w:t>
      </w:r>
      <w:r>
        <w:fldChar w:fldCharType="end"/>
      </w:r>
      <w:r>
        <w:fldChar w:fldCharType="end"/>
      </w:r>
    </w:p>
    <w:p>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"_Toc209943448" </w:instrText>
      </w:r>
      <w:r>
        <w:fldChar w:fldCharType="separate"/>
      </w:r>
      <w:r>
        <w:rPr>
          <w:rStyle w:val="31"/>
          <w:rFonts w:hint="eastAsia"/>
        </w:rPr>
        <w:t>第四章　合同文本</w:t>
      </w:r>
      <w:r>
        <w:tab/>
      </w:r>
      <w:r>
        <w:fldChar w:fldCharType="begin"/>
      </w:r>
      <w:r>
        <w:instrText xml:space="preserve"> PAGEREF _Toc209943448 \h </w:instrText>
      </w:r>
      <w:r>
        <w:fldChar w:fldCharType="separate"/>
      </w:r>
      <w:r>
        <w:t>44</w:t>
      </w:r>
      <w:r>
        <w:fldChar w:fldCharType="end"/>
      </w:r>
      <w:r>
        <w:fldChar w:fldCharType="end"/>
      </w:r>
    </w:p>
    <w:p>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"_Toc209943449" </w:instrText>
      </w:r>
      <w:r>
        <w:fldChar w:fldCharType="separate"/>
      </w:r>
      <w:r>
        <w:rPr>
          <w:rStyle w:val="31"/>
          <w:rFonts w:hint="eastAsia"/>
        </w:rPr>
        <w:t>第五章　投标文件构成及格式</w:t>
      </w:r>
      <w:r>
        <w:tab/>
      </w:r>
      <w:r>
        <w:fldChar w:fldCharType="begin"/>
      </w:r>
      <w:r>
        <w:instrText xml:space="preserve"> PAGEREF _Toc209943449 \h </w:instrText>
      </w:r>
      <w:r>
        <w:fldChar w:fldCharType="separate"/>
      </w:r>
      <w:r>
        <w:t>49</w:t>
      </w:r>
      <w:r>
        <w:fldChar w:fldCharType="end"/>
      </w:r>
      <w:r>
        <w:fldChar w:fldCharType="end"/>
      </w:r>
    </w:p>
    <w:p>
      <w:pPr>
        <w:pStyle w:val="19"/>
        <w:tabs>
          <w:tab w:val="right" w:leader="dot" w:pos="8890"/>
        </w:tabs>
        <w:spacing w:before="460" w:after="460"/>
        <w:rPr>
          <w:rFonts w:cstheme="minorHAnsi"/>
          <w:sz w:val="36"/>
          <w:szCs w:val="36"/>
        </w:rPr>
      </w:pP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AndChars" w:linePitch="460" w:charSpace="0"/>
        </w:sectPr>
      </w:pPr>
    </w:p>
    <w:p>
      <w:pPr>
        <w:pStyle w:val="2"/>
        <w:spacing w:beforeLines="0" w:afterLines="0"/>
      </w:pPr>
      <w:bookmarkStart w:id="0" w:name="_Toc209943445"/>
      <w:r>
        <w:rPr>
          <w:rFonts w:hint="eastAsia"/>
        </w:rPr>
        <w:t>第一章　投标邀请函</w:t>
      </w:r>
      <w:bookmarkEnd w:id="0"/>
    </w:p>
    <w:p>
      <w:pPr>
        <w:widowControl w:val="0"/>
        <w:topLinePunct/>
        <w:ind w:firstLine="480" w:firstLineChars="200"/>
        <w:jc w:val="both"/>
      </w:pPr>
      <w:r>
        <w:rPr>
          <w:rFonts w:hint="eastAsia"/>
        </w:rPr>
        <w:t>西安市市级单位政府采购中心受</w:t>
      </w:r>
      <w:r>
        <w:rPr>
          <w:rFonts w:hint="eastAsia"/>
          <w:color w:val="C00000"/>
        </w:rPr>
        <w:t>西安市人民政府办公厅</w:t>
      </w:r>
      <w:r>
        <w:rPr>
          <w:rFonts w:hint="eastAsia"/>
        </w:rPr>
        <w:t>的委托，经政府采购监管部门批准，按照政府采购程序，对</w:t>
      </w:r>
      <w:r>
        <w:rPr>
          <w:rFonts w:hint="eastAsia"/>
          <w:color w:val="C00000"/>
        </w:rPr>
        <w:t>2025年度西安市人民政府办公厅站群平台运维项目</w:t>
      </w:r>
      <w:r>
        <w:rPr>
          <w:rFonts w:hint="eastAsia"/>
        </w:rPr>
        <w:t>项目进行公开招标，欢迎符合资格条件的、有能力提供本项目所需货物和服务的供应商参加投标。</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r>
        <w:rPr>
          <w:rFonts w:hint="eastAsia"/>
          <w:color w:val="C00000"/>
        </w:rPr>
        <w:t>2025年度西安市人民政府办公厅站群平台运维项目</w:t>
      </w:r>
    </w:p>
    <w:p>
      <w:pPr>
        <w:widowControl w:val="0"/>
        <w:topLinePunct/>
        <w:ind w:firstLine="480" w:firstLineChars="200"/>
        <w:jc w:val="both"/>
      </w:pPr>
      <w:r>
        <w:rPr>
          <w:rFonts w:hint="eastAsia"/>
        </w:rPr>
        <w:t>项目编号：</w:t>
      </w:r>
      <w:r>
        <w:rPr>
          <w:rFonts w:hint="eastAsia"/>
          <w:color w:val="C00000"/>
        </w:rPr>
        <w:t>XCZX2025-0151</w:t>
      </w:r>
    </w:p>
    <w:p>
      <w:pPr>
        <w:widowControl w:val="0"/>
        <w:topLinePunct/>
        <w:ind w:firstLine="480" w:firstLineChars="200"/>
        <w:jc w:val="both"/>
        <w:rPr>
          <w:color w:val="C00000"/>
        </w:rPr>
      </w:pPr>
      <w:r>
        <w:t>备案编号：</w:t>
      </w:r>
      <w:r>
        <w:rPr>
          <w:rFonts w:hint="eastAsia"/>
          <w:color w:val="C00000"/>
        </w:rPr>
        <w:t>ZCBN-西安市-2025-04691</w:t>
      </w:r>
    </w:p>
    <w:p>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pPr>
        <w:widowControl w:val="0"/>
        <w:topLinePunct/>
        <w:ind w:firstLine="480" w:firstLineChars="200"/>
        <w:jc w:val="both"/>
        <w:rPr>
          <w:color w:val="C00000"/>
        </w:rPr>
      </w:pPr>
      <w:r>
        <w:rPr>
          <w:rFonts w:hint="eastAsia"/>
          <w:b/>
        </w:rPr>
        <w:t>三、采购预算：</w:t>
      </w:r>
      <w:r>
        <w:rPr>
          <w:rFonts w:hint="eastAsia"/>
          <w:color w:val="C00000"/>
        </w:rPr>
        <w:t>2</w:t>
      </w:r>
      <w:r>
        <w:rPr>
          <w:color w:val="C00000"/>
        </w:rPr>
        <w:t>803800.00</w:t>
      </w:r>
      <w:r>
        <w:rPr>
          <w:rFonts w:hint="eastAsia"/>
          <w:color w:val="C00000"/>
        </w:rPr>
        <w:t>元（最高限价〈2</w:t>
      </w:r>
      <w:r>
        <w:rPr>
          <w:color w:val="C00000"/>
        </w:rPr>
        <w:t>803800.00</w:t>
      </w:r>
      <w:r>
        <w:rPr>
          <w:rFonts w:hint="eastAsia"/>
          <w:color w:val="C00000"/>
        </w:rPr>
        <w:t>元〉）</w:t>
      </w:r>
    </w:p>
    <w:p>
      <w:pPr>
        <w:widowControl w:val="0"/>
        <w:topLinePunct/>
        <w:ind w:firstLine="480" w:firstLineChars="200"/>
        <w:jc w:val="both"/>
      </w:pPr>
      <w:r>
        <w:rPr>
          <w:b/>
        </w:rPr>
        <w:t>四、采购</w:t>
      </w:r>
      <w:r>
        <w:rPr>
          <w:rFonts w:hint="eastAsia"/>
          <w:b/>
        </w:rPr>
        <w:t>内容和要求：</w:t>
      </w:r>
    </w:p>
    <w:p>
      <w:pPr>
        <w:widowControl w:val="0"/>
        <w:topLinePunct/>
        <w:ind w:firstLine="480" w:firstLineChars="200"/>
        <w:jc w:val="both"/>
        <w:rPr>
          <w:color w:val="C00000"/>
        </w:rPr>
      </w:pPr>
      <w:r>
        <w:rPr>
          <w:rFonts w:hint="eastAsia"/>
          <w:color w:val="C00000"/>
        </w:rPr>
        <w:t>西安市人民政府</w:t>
      </w:r>
      <w:r>
        <w:rPr>
          <w:color w:val="C00000"/>
        </w:rPr>
        <w:t>办公厅站群平台运维。</w:t>
      </w:r>
    </w:p>
    <w:p>
      <w:pPr>
        <w:widowControl w:val="0"/>
        <w:topLinePunct/>
        <w:ind w:firstLine="480" w:firstLineChars="200"/>
        <w:jc w:val="both"/>
      </w:pPr>
      <w:r>
        <w:rPr>
          <w:rFonts w:hint="eastAsia"/>
        </w:rPr>
        <w:t>详见第三章「招标内容及要求」。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七、获取招标文件的时间及方式：</w:t>
      </w:r>
    </w:p>
    <w:p>
      <w:pPr>
        <w:widowControl w:val="0"/>
        <w:topLinePunct/>
        <w:ind w:firstLine="480" w:firstLineChars="200"/>
        <w:jc w:val="both"/>
      </w:pPr>
      <w:r>
        <w:rPr>
          <w:rFonts w:hint="eastAsia"/>
        </w:rPr>
        <w:t>1．获取时间：自招标公告发布之日起5个工作日内。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pPr>
        <w:widowControl w:val="0"/>
        <w:topLinePunct/>
        <w:ind w:firstLine="480" w:firstLineChars="200"/>
        <w:jc w:val="both"/>
        <w:rPr>
          <w:b/>
        </w:rPr>
      </w:pPr>
      <w:r>
        <w:rPr>
          <w:rFonts w:hint="eastAsia"/>
          <w:b/>
        </w:rPr>
        <w:t>八、提交投标文件截止时间及方式：</w:t>
      </w:r>
    </w:p>
    <w:p>
      <w:pPr>
        <w:widowControl w:val="0"/>
        <w:topLinePunct/>
        <w:ind w:firstLine="480" w:firstLineChars="200"/>
        <w:jc w:val="both"/>
      </w:pPr>
      <w:r>
        <w:rPr>
          <w:rFonts w:hint="eastAsia"/>
        </w:rPr>
        <w:t>1．提交投标文件截止时间：</w:t>
      </w:r>
      <w:r>
        <w:rPr>
          <w:rFonts w:hint="eastAsia"/>
          <w:u w:val="single"/>
        </w:rPr>
        <w:t>2</w:t>
      </w:r>
      <w:r>
        <w:rPr>
          <w:u w:val="single"/>
        </w:rPr>
        <w:t>025</w:t>
      </w:r>
      <w:r>
        <w:rPr>
          <w:rFonts w:hint="eastAsia"/>
        </w:rPr>
        <w:t>年</w:t>
      </w:r>
      <w:r>
        <w:rPr>
          <w:u w:val="single"/>
        </w:rPr>
        <w:t>10</w:t>
      </w:r>
      <w:r>
        <w:rPr>
          <w:rFonts w:hint="eastAsia"/>
        </w:rPr>
        <w:t>月</w:t>
      </w:r>
      <w:r>
        <w:rPr>
          <w:u w:val="single"/>
        </w:rPr>
        <w:t>30</w:t>
      </w:r>
      <w:r>
        <w:rPr>
          <w:rFonts w:hint="eastAsia"/>
        </w:rPr>
        <w:t>日10:30，逾期提交的，系统将拒绝接收。</w:t>
      </w:r>
    </w:p>
    <w:p>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pPr>
        <w:widowControl w:val="0"/>
        <w:topLinePunct/>
        <w:ind w:firstLine="480" w:firstLineChars="200"/>
        <w:jc w:val="both"/>
      </w:pPr>
      <w:r>
        <w:rPr>
          <w:rFonts w:hint="eastAsia"/>
          <w:b/>
        </w:rPr>
        <w:t>九、开标时间、地点及形式：</w:t>
      </w:r>
    </w:p>
    <w:p>
      <w:pPr>
        <w:widowControl w:val="0"/>
        <w:topLinePunct/>
        <w:ind w:firstLine="480" w:firstLineChars="200"/>
        <w:jc w:val="both"/>
      </w:pPr>
      <w:r>
        <w:t>1</w:t>
      </w:r>
      <w:r>
        <w:rPr>
          <w:rFonts w:hint="eastAsia"/>
        </w:rPr>
        <w:t>．开标时间：</w:t>
      </w:r>
      <w:r>
        <w:rPr>
          <w:rFonts w:hint="eastAsia"/>
          <w:u w:val="single"/>
        </w:rPr>
        <w:t>2</w:t>
      </w:r>
      <w:r>
        <w:rPr>
          <w:u w:val="single"/>
        </w:rPr>
        <w:t>025</w:t>
      </w:r>
      <w:r>
        <w:rPr>
          <w:rFonts w:hint="eastAsia"/>
        </w:rPr>
        <w:t>年</w:t>
      </w:r>
      <w:r>
        <w:rPr>
          <w:u w:val="single"/>
        </w:rPr>
        <w:t>10</w:t>
      </w:r>
      <w:r>
        <w:rPr>
          <w:rFonts w:hint="eastAsia"/>
        </w:rPr>
        <w:t>月</w:t>
      </w:r>
      <w:r>
        <w:rPr>
          <w:u w:val="single"/>
        </w:rPr>
        <w:t>30</w:t>
      </w:r>
      <w:r>
        <w:rPr>
          <w:rFonts w:hint="eastAsia"/>
        </w:rPr>
        <w:t>日10:30</w:t>
      </w:r>
    </w:p>
    <w:p>
      <w:pPr>
        <w:widowControl w:val="0"/>
        <w:topLinePunct/>
        <w:ind w:firstLine="480" w:firstLineChars="200"/>
        <w:jc w:val="both"/>
      </w:pPr>
      <w:r>
        <w:rPr>
          <w:rFonts w:hint="eastAsia"/>
        </w:rPr>
        <w:t>2．</w:t>
      </w:r>
      <w:r>
        <w:t>开标</w:t>
      </w:r>
      <w:r>
        <w:rPr>
          <w:rFonts w:hint="eastAsia"/>
        </w:rPr>
        <w:t>地点：本集采机构虚拟开标室</w:t>
      </w:r>
      <w:r>
        <w:rPr>
          <w:u w:val="single"/>
        </w:rPr>
        <w:t>5</w:t>
      </w:r>
      <w:r>
        <w:rPr>
          <w:rFonts w:hint="eastAsia"/>
        </w:rPr>
        <w:t>。</w:t>
      </w:r>
    </w:p>
    <w:p>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1．采购人：西安市人民政府办公厅</w:t>
      </w:r>
    </w:p>
    <w:p>
      <w:pPr>
        <w:widowControl w:val="0"/>
        <w:topLinePunct/>
        <w:ind w:firstLine="480" w:firstLineChars="200"/>
        <w:jc w:val="both"/>
      </w:pPr>
      <w:r>
        <w:rPr>
          <w:rFonts w:hint="eastAsia"/>
        </w:rPr>
        <w:t>地址：西安市未央区凤城八路109号</w:t>
      </w:r>
    </w:p>
    <w:p>
      <w:pPr>
        <w:widowControl w:val="0"/>
        <w:topLinePunct/>
        <w:ind w:firstLine="480" w:firstLineChars="200"/>
        <w:jc w:val="both"/>
      </w:pPr>
      <w:r>
        <w:rPr>
          <w:rFonts w:hint="eastAsia"/>
        </w:rPr>
        <w:t>联系人：高老师</w:t>
      </w:r>
    </w:p>
    <w:p>
      <w:pPr>
        <w:widowControl w:val="0"/>
        <w:topLinePunct/>
        <w:ind w:firstLine="480" w:firstLineChars="200"/>
        <w:jc w:val="both"/>
      </w:pPr>
      <w:r>
        <w:rPr>
          <w:rFonts w:hint="eastAsia"/>
        </w:rPr>
        <w:t>联系电话：029-86783022</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标书联系人及分机号：王老师（</w:t>
      </w:r>
      <w:r>
        <w:t>80848</w:t>
      </w:r>
      <w:r>
        <w:rPr>
          <w:rFonts w:hint="eastAsia"/>
        </w:rPr>
        <w:t>）</w:t>
      </w:r>
    </w:p>
    <w:p>
      <w:pPr>
        <w:widowControl w:val="0"/>
        <w:topLinePunct/>
        <w:ind w:firstLine="480" w:firstLineChars="200"/>
        <w:jc w:val="both"/>
      </w:pPr>
      <w:r>
        <w:rPr>
          <w:rFonts w:hint="eastAsia"/>
        </w:rPr>
        <w:t>开标联系人及分机号：王老师（80</w:t>
      </w:r>
      <w:r>
        <w:t>807</w:t>
      </w:r>
      <w:r>
        <w:rPr>
          <w:rFonts w:hint="eastAsia"/>
        </w:rPr>
        <w:t>）</w:t>
      </w:r>
    </w:p>
    <w:p>
      <w:pPr>
        <w:widowControl w:val="0"/>
        <w:topLinePunct/>
        <w:jc w:val="both"/>
      </w:pPr>
    </w:p>
    <w:p>
      <w:pPr>
        <w:widowControl w:val="0"/>
        <w:topLinePunct/>
        <w:jc w:val="both"/>
        <w:sectPr>
          <w:headerReference r:id="rId9" w:type="default"/>
          <w:footerReference r:id="rId11" w:type="default"/>
          <w:headerReference r:id="rId10" w:type="even"/>
          <w:footerReference r:id="rId12" w:type="even"/>
          <w:pgSz w:w="11906" w:h="16838"/>
          <w:pgMar w:top="1418" w:right="1418" w:bottom="1418" w:left="1418" w:header="851" w:footer="851" w:gutter="0"/>
          <w:pgNumType w:start="1"/>
          <w:cols w:space="425" w:num="1"/>
          <w:docGrid w:type="linesAndChars" w:linePitch="460" w:charSpace="0"/>
        </w:sectPr>
      </w:pPr>
    </w:p>
    <w:p>
      <w:pPr>
        <w:pStyle w:val="2"/>
        <w:spacing w:before="230" w:after="230"/>
      </w:pPr>
      <w:bookmarkStart w:id="1" w:name="_Toc533363235"/>
      <w:bookmarkStart w:id="2" w:name="_Toc534656414"/>
      <w:bookmarkStart w:id="3" w:name="_Toc534656409"/>
      <w:bookmarkStart w:id="4" w:name="_Toc209943446"/>
      <w:bookmarkStart w:id="5" w:name="_Toc97563329"/>
      <w:bookmarkStart w:id="6" w:name="_Toc533363262"/>
      <w:bookmarkStart w:id="7" w:name="_Toc498349068"/>
      <w:bookmarkStart w:id="8" w:name="_Toc445407251"/>
      <w:r>
        <w:t>第二章</w:t>
      </w:r>
      <w:r>
        <w:rPr>
          <w:rFonts w:hint="eastAsia"/>
        </w:rPr>
        <w:t>　</w:t>
      </w:r>
      <w:r>
        <w:t>供应商须知</w:t>
      </w:r>
      <w:bookmarkEnd w:id="1"/>
      <w:bookmarkEnd w:id="2"/>
      <w:bookmarkEnd w:id="3"/>
      <w:bookmarkEnd w:id="4"/>
      <w:bookmarkEnd w:id="5"/>
      <w:bookmarkEnd w:id="6"/>
      <w:bookmarkEnd w:id="7"/>
      <w:bookmarkEnd w:id="8"/>
    </w:p>
    <w:p>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2025年度西安市人民政府办公厅站群平台运维项目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XCZX2025-0151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rPr>
              <w:t>〈2</w:t>
            </w:r>
            <w:r>
              <w:rPr>
                <w:rFonts w:ascii="Calibri" w:hAnsi="宋体" w:eastAsia="宋体" w:cstheme="minorHAnsi"/>
                <w:sz w:val="21"/>
              </w:rPr>
              <w:t>803800.00</w:t>
            </w:r>
            <w:r>
              <w:rPr>
                <w:rFonts w:hint="eastAsia" w:ascii="Calibri" w:hAnsi="宋体" w:eastAsia="宋体" w:cstheme="minorHAnsi"/>
                <w:sz w:val="21"/>
              </w:rPr>
              <w:t>元〉（最高限价2</w:t>
            </w:r>
            <w:r>
              <w:rPr>
                <w:rFonts w:ascii="Calibri" w:hAnsi="宋体" w:eastAsia="宋体" w:cstheme="minorHAnsi"/>
                <w:sz w:val="21"/>
              </w:rPr>
              <w:t>803800.00</w:t>
            </w:r>
            <w:r>
              <w:rPr>
                <w:rFonts w:hint="eastAsia" w:ascii="Calibri" w:hAnsi="宋体" w:eastAsia="宋体" w:cstheme="minorHAnsi"/>
                <w:sz w:val="21"/>
              </w:rPr>
              <w:t>元元）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w:t>
            </w:r>
            <w:r>
              <w:rPr>
                <w:rFonts w:hint="eastAsia" w:cstheme="minorHAnsi"/>
                <w:color w:val="595959" w:themeColor="text1" w:themeTint="A6"/>
                <w:sz w:val="21"/>
                <w:szCs w:val="21"/>
                <w14:textFill>
                  <w14:solidFill>
                    <w14:schemeClr w14:val="tx1">
                      <w14:lumMod w14:val="65000"/>
                      <w14:lumOff w14:val="35000"/>
                    </w14:schemeClr>
                  </w14:solidFill>
                </w14:textFill>
              </w:rPr>
              <w:t>投标</w:t>
            </w:r>
            <w:r>
              <w:rPr>
                <w:rFonts w:cstheme="minorHAnsi"/>
                <w:color w:val="595959" w:themeColor="text1" w:themeTint="A6"/>
                <w:sz w:val="21"/>
                <w:szCs w:val="21"/>
                <w14:textFill>
                  <w14:solidFill>
                    <w14:schemeClr w14:val="tx1">
                      <w14:lumMod w14:val="65000"/>
                      <w14:lumOff w14:val="35000"/>
                    </w14:schemeClr>
                  </w14:solidFill>
                </w14:textFill>
              </w:rPr>
              <w:t>文件截止时间前抵达开标现场，并签到确认。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软件和信息技术服务业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18255168"/>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617142635"/>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r>
        <w:br w:type="page"/>
      </w:r>
    </w:p>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w:t>
      </w:r>
      <w:r>
        <w:rPr>
          <w:rFonts w:hint="eastAsia"/>
          <w:w w:val="1"/>
        </w:rPr>
        <w:t xml:space="preserve"> </w:t>
      </w:r>
      <w:r>
        <w:rPr>
          <w:rFonts w:hint="eastAsia"/>
        </w:rPr>
        <w:t>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ind w:firstLine="482"/>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pPr>
        <w:wordWrap w:val="0"/>
        <w:ind w:firstLine="480" w:firstLineChars="200"/>
        <w:jc w:val="both"/>
        <w:rPr>
          <w:rStyle w:val="31"/>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cstheme="minorHAnsi"/>
          <w:color w:val="0070C0"/>
        </w:rPr>
        <w:t>http://www.ccgp-shaanxi.gov.cn/zcdservice/zcd/shanxi/</w:t>
      </w:r>
    </w:p>
    <w:p>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1"/>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ind w:firstLine="482"/>
      </w:pPr>
      <w:r>
        <w:rPr>
          <w:rFonts w:hint="eastAsia"/>
        </w:rPr>
        <w:t>（六）</w:t>
      </w:r>
      <w:r>
        <w:t>关于同一品牌产品的处理</w:t>
      </w:r>
    </w:p>
    <w:p>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pPr>
        <w:pStyle w:val="4"/>
        <w:ind w:firstLine="482"/>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ind w:firstLine="482"/>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pPr>
        <w:pStyle w:val="4"/>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7．联合体出现下列情形之一的，投标无效：</w:t>
      </w:r>
    </w:p>
    <w:p>
      <w:pPr>
        <w:ind w:firstLine="480" w:firstLineChars="200"/>
        <w:jc w:val="both"/>
      </w:pPr>
      <w:r>
        <w:rPr>
          <w:rFonts w:hint="eastAsia"/>
        </w:rPr>
        <w:t>（1）联合体没有提交有效的联合协议的；</w:t>
      </w:r>
    </w:p>
    <w:p>
      <w:pPr>
        <w:ind w:firstLine="480" w:firstLineChars="200"/>
        <w:jc w:val="both"/>
      </w:pPr>
      <w:r>
        <w:rPr>
          <w:rFonts w:hint="eastAsia"/>
        </w:rPr>
        <w:t>（2）进行资格预审的项目，资格预审后联合体增减、更换成员的；</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pPr>
      <w:r>
        <w:t>三、招标文件</w:t>
      </w:r>
    </w:p>
    <w:p>
      <w:pPr>
        <w:pStyle w:val="4"/>
        <w:ind w:firstLine="482"/>
      </w:pPr>
      <w:r>
        <w:t>（一）招标</w:t>
      </w:r>
      <w:r>
        <w:rPr>
          <w:rFonts w:hint="eastAsia"/>
        </w:rPr>
        <w:t>文件的解释权</w:t>
      </w:r>
    </w:p>
    <w:p>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pPr>
        <w:pStyle w:val="4"/>
        <w:ind w:firstLine="482"/>
      </w:pPr>
      <w:r>
        <w:t>（二）招标文件主要内容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pPr>
        <w:pStyle w:val="4"/>
        <w:ind w:firstLine="482"/>
      </w:pPr>
      <w:r>
        <w:t>（三）招标文件的检查及阅读</w:t>
      </w:r>
    </w:p>
    <w:p>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pPr>
        <w:pStyle w:val="4"/>
        <w:ind w:firstLine="482"/>
      </w:pPr>
      <w:r>
        <w:t>（四）招标文件的修改、澄清</w:t>
      </w:r>
    </w:p>
    <w:p>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pPr>
        <w:pStyle w:val="3"/>
      </w:pPr>
      <w:r>
        <w:t>四、投标文件</w:t>
      </w:r>
    </w:p>
    <w:p>
      <w:pPr>
        <w:pStyle w:val="4"/>
        <w:ind w:firstLine="482"/>
      </w:pPr>
      <w:r>
        <w:rPr>
          <w:rFonts w:hint="eastAsia"/>
        </w:rPr>
        <w:t>（四）电子投标文件</w:t>
      </w:r>
      <w:r>
        <w:t>的</w:t>
      </w:r>
      <w:r>
        <w:rPr>
          <w:rFonts w:hint="eastAsia"/>
        </w:rPr>
        <w:t>制作、</w:t>
      </w:r>
      <w:r>
        <w:t>签章及加密</w:t>
      </w:r>
    </w:p>
    <w:p>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pPr>
        <w:pStyle w:val="4"/>
        <w:ind w:firstLine="482"/>
      </w:pPr>
      <w:r>
        <w:rPr>
          <w:rFonts w:hint="eastAsia"/>
        </w:rPr>
        <w:t>（一）投标文件</w:t>
      </w:r>
      <w:r>
        <w:t>的式样</w:t>
      </w:r>
    </w:p>
    <w:p>
      <w:pPr>
        <w:pStyle w:val="81"/>
        <w:ind w:firstLine="480"/>
      </w:pPr>
      <w:r>
        <w:t>1</w:t>
      </w:r>
      <w:r>
        <w:rPr>
          <w:rFonts w:hint="eastAsia"/>
          <w:color w:val="auto"/>
        </w:rPr>
        <w:t>．</w:t>
      </w:r>
      <w:r>
        <w:rPr>
          <w:rFonts w:hint="eastAsia"/>
        </w:rPr>
        <w:t>组成</w:t>
      </w:r>
      <w:r>
        <w:t>及格式</w:t>
      </w:r>
    </w:p>
    <w:p>
      <w:pPr>
        <w:pStyle w:val="81"/>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pPr>
        <w:pStyle w:val="81"/>
        <w:ind w:firstLine="480"/>
      </w:pPr>
      <w:r>
        <w:rPr>
          <w:rFonts w:hint="eastAsia"/>
        </w:rPr>
        <w:t>2</w:t>
      </w:r>
      <w:r>
        <w:rPr>
          <w:rFonts w:hint="eastAsia"/>
          <w:color w:val="auto"/>
        </w:rPr>
        <w:t>．</w:t>
      </w:r>
      <w:r>
        <w:rPr>
          <w:rFonts w:hint="eastAsia"/>
        </w:rPr>
        <w:t>语言</w:t>
      </w:r>
    </w:p>
    <w:p>
      <w:pPr>
        <w:pStyle w:val="81"/>
        <w:ind w:firstLine="480"/>
      </w:pPr>
      <w:r>
        <w:rPr>
          <w:rFonts w:hint="eastAsia"/>
        </w:rPr>
        <w:t>招标活动的所有文件、资料、函电文字均使用简体中文，确需提交用其他语言形成的资料，必须翻译成简体中文，如有差异，以简体中文为准。</w:t>
      </w:r>
    </w:p>
    <w:p>
      <w:pPr>
        <w:pStyle w:val="81"/>
        <w:ind w:firstLine="480"/>
      </w:pPr>
      <w:r>
        <w:rPr>
          <w:rFonts w:hint="eastAsia"/>
        </w:rPr>
        <w:t>3</w:t>
      </w:r>
      <w:r>
        <w:rPr>
          <w:rFonts w:hint="eastAsia"/>
          <w:color w:val="auto"/>
        </w:rPr>
        <w:t>．</w:t>
      </w:r>
      <w:r>
        <w:t>计量单位</w:t>
      </w:r>
    </w:p>
    <w:p>
      <w:pPr>
        <w:pStyle w:val="81"/>
        <w:ind w:firstLine="480"/>
      </w:pPr>
      <w:r>
        <w:rPr>
          <w:rFonts w:hint="eastAsia"/>
        </w:rPr>
        <w:t>投标文件的计量单位应使用中华人民共和国法定计量单位，但招标文件另有规定的除外。</w:t>
      </w:r>
    </w:p>
    <w:p>
      <w:pPr>
        <w:pStyle w:val="4"/>
        <w:ind w:firstLine="482"/>
      </w:pPr>
      <w:r>
        <w:rPr>
          <w:rFonts w:hint="eastAsia"/>
        </w:rPr>
        <w:t>（二）投标文件</w:t>
      </w:r>
      <w:r>
        <w:t>的有效期</w:t>
      </w:r>
    </w:p>
    <w:p>
      <w:pPr>
        <w:pStyle w:val="81"/>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pPr>
        <w:pStyle w:val="4"/>
        <w:ind w:firstLine="482"/>
      </w:pPr>
      <w:r>
        <w:rPr>
          <w:rFonts w:hint="eastAsia"/>
        </w:rPr>
        <w:t>（三）投标</w:t>
      </w:r>
      <w:r>
        <w:t>报价</w:t>
      </w:r>
    </w:p>
    <w:p>
      <w:pPr>
        <w:pStyle w:val="81"/>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1"/>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pPr>
        <w:pStyle w:val="81"/>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pPr>
        <w:pStyle w:val="81"/>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pPr>
        <w:pStyle w:val="81"/>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pPr>
        <w:pStyle w:val="4"/>
        <w:ind w:firstLine="482"/>
      </w:pPr>
      <w:r>
        <w:rPr>
          <w:rFonts w:hint="eastAsia"/>
        </w:rPr>
        <w:t>（四）电子投标文件</w:t>
      </w:r>
      <w:r>
        <w:t>的</w:t>
      </w:r>
      <w:r>
        <w:rPr>
          <w:rFonts w:hint="eastAsia"/>
        </w:rPr>
        <w:t>制作、</w:t>
      </w:r>
      <w:r>
        <w:t>签章及加密</w:t>
      </w:r>
    </w:p>
    <w:p>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pPr>
        <w:pStyle w:val="4"/>
        <w:ind w:firstLine="482"/>
      </w:pPr>
      <w:r>
        <w:rPr>
          <w:rFonts w:hint="eastAsia"/>
        </w:rPr>
        <w:t>（五）电子投标文件</w:t>
      </w:r>
      <w:r>
        <w:t>的提交</w:t>
      </w:r>
    </w:p>
    <w:p>
      <w:pPr>
        <w:pStyle w:val="81"/>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pPr>
        <w:pStyle w:val="81"/>
        <w:ind w:firstLine="480"/>
      </w:pPr>
      <w:r>
        <w:t>出现下述情形的，电子投标文件将被系统拒收：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逾期提交电子投标文件的；</w:t>
      </w:r>
    </w:p>
    <w:p>
      <w:pPr>
        <w:pStyle w:val="81"/>
        <w:ind w:firstLine="480"/>
      </w:pPr>
      <w:r>
        <w:t>3</w:t>
      </w:r>
      <w:r>
        <w:rPr>
          <w:rFonts w:hint="eastAsia"/>
        </w:rPr>
        <w:t>．使用旧版电子招标文件制作电子投标文件的。</w:t>
      </w:r>
    </w:p>
    <w:p>
      <w:pPr>
        <w:pStyle w:val="4"/>
        <w:ind w:firstLine="482"/>
      </w:pPr>
      <w:r>
        <w:t>（</w:t>
      </w:r>
      <w:r>
        <w:rPr>
          <w:rFonts w:hint="eastAsia"/>
        </w:rPr>
        <w:t>六</w:t>
      </w:r>
      <w:r>
        <w:t>）电子</w:t>
      </w:r>
      <w:r>
        <w:rPr>
          <w:rFonts w:hint="eastAsia"/>
        </w:rPr>
        <w:t>投标</w:t>
      </w:r>
      <w:r>
        <w:t>文件的撤回、补充及修改</w:t>
      </w:r>
    </w:p>
    <w:p>
      <w:pPr>
        <w:pStyle w:val="81"/>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pPr>
        <w:pStyle w:val="81"/>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pPr>
        <w:pStyle w:val="4"/>
        <w:ind w:firstLine="482"/>
      </w:pPr>
      <w:r>
        <w:rPr>
          <w:rFonts w:hint="eastAsia"/>
        </w:rPr>
        <w:t>（七）关于电子投标文件的雷同性分析</w:t>
      </w:r>
    </w:p>
    <w:p>
      <w:pPr>
        <w:pStyle w:val="81"/>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pPr>
        <w:pStyle w:val="81"/>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1"/>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pPr>
        <w:pStyle w:val="81"/>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pPr>
        <w:pStyle w:val="4"/>
        <w:ind w:firstLine="482"/>
      </w:pPr>
      <w:r>
        <w:rPr>
          <w:rFonts w:hint="eastAsia"/>
        </w:rPr>
        <w:t>（八）投标文件出现下列情形时，视同供应商串通投标，其投标无效：</w:t>
      </w:r>
    </w:p>
    <w:p>
      <w:pPr>
        <w:pStyle w:val="81"/>
        <w:ind w:firstLine="480"/>
      </w:pPr>
      <w:r>
        <w:rPr>
          <w:rFonts w:hint="eastAsia"/>
        </w:rPr>
        <w:t>1．不同供应商的投标文件由同一单位或者个人编制的；</w:t>
      </w:r>
    </w:p>
    <w:p>
      <w:pPr>
        <w:pStyle w:val="81"/>
        <w:ind w:firstLine="480"/>
      </w:pPr>
      <w:r>
        <w:rPr>
          <w:rFonts w:hint="eastAsia"/>
        </w:rPr>
        <w:t>2．不同供应商委托同一单位或者个人办理投标事宜的；</w:t>
      </w:r>
    </w:p>
    <w:p>
      <w:pPr>
        <w:pStyle w:val="81"/>
        <w:ind w:firstLine="480"/>
      </w:pPr>
      <w:r>
        <w:rPr>
          <w:rFonts w:hint="eastAsia"/>
        </w:rPr>
        <w:t>3．不同供应商的投标文件载明的项目管理成员或者联系人员为同一人的；</w:t>
      </w:r>
    </w:p>
    <w:p>
      <w:pPr>
        <w:pStyle w:val="81"/>
        <w:ind w:firstLine="480"/>
      </w:pPr>
      <w:r>
        <w:rPr>
          <w:rFonts w:hint="eastAsia"/>
        </w:rPr>
        <w:t>4．不同供应商的投标文件异常一致或者投标报价呈规律性差异的。</w:t>
      </w:r>
    </w:p>
    <w:p>
      <w:pPr>
        <w:pStyle w:val="81"/>
        <w:ind w:firstLine="480"/>
      </w:pPr>
      <w:r>
        <w:rPr>
          <w:rFonts w:hint="eastAsia"/>
        </w:rPr>
        <w:t>5．不同供应商的投标文件相互混编或混装的。</w:t>
      </w:r>
    </w:p>
    <w:p>
      <w:pPr>
        <w:pStyle w:val="3"/>
      </w:pPr>
      <w:r>
        <w:rPr>
          <w:rFonts w:hint="eastAsia"/>
        </w:rPr>
        <w:t>五</w:t>
      </w:r>
      <w:r>
        <w:t>、开标</w:t>
      </w:r>
      <w:r>
        <w:rPr>
          <w:rFonts w:hint="eastAsia"/>
        </w:rPr>
        <w:t>程序</w:t>
      </w:r>
    </w:p>
    <w:p>
      <w:pPr>
        <w:pStyle w:val="81"/>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pPr>
        <w:pStyle w:val="81"/>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1"/>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pPr>
        <w:pStyle w:val="4"/>
        <w:ind w:firstLine="482"/>
      </w:pPr>
      <w:r>
        <w:rPr>
          <w:rFonts w:hint="eastAsia"/>
        </w:rPr>
        <w:t>（一）基本流程</w:t>
      </w:r>
    </w:p>
    <w:p>
      <w:pPr>
        <w:pStyle w:val="81"/>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pPr>
        <w:pStyle w:val="81"/>
        <w:ind w:firstLine="480"/>
      </w:pPr>
      <w:r>
        <w:rPr>
          <w:rFonts w:hint="eastAsia"/>
        </w:rPr>
        <w:t>2</w:t>
      </w:r>
      <w:r>
        <w:rPr>
          <w:rFonts w:hint="eastAsia"/>
          <w:color w:val="auto"/>
        </w:rPr>
        <w:t>．</w:t>
      </w:r>
      <w:r>
        <w:rPr>
          <w:rFonts w:hint="eastAsia"/>
        </w:rPr>
        <w:t>主持人宣布开标：提交投标文件截止时间过后，系统将不再接收任何投标文件。</w:t>
      </w:r>
    </w:p>
    <w:p>
      <w:pPr>
        <w:pStyle w:val="81"/>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pPr>
        <w:pStyle w:val="81"/>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pPr>
        <w:pStyle w:val="81"/>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pPr>
        <w:pStyle w:val="4"/>
        <w:ind w:firstLine="480" w:firstLineChars="200"/>
      </w:pPr>
      <w:r>
        <w:rPr>
          <w:rFonts w:hint="eastAsia"/>
        </w:rPr>
        <w:t>（二）开标环节出现以下情形之一的，投标文件将被视为无效：</w:t>
      </w:r>
    </w:p>
    <w:p>
      <w:pPr>
        <w:pStyle w:val="81"/>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pPr>
        <w:pStyle w:val="81"/>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pPr>
        <w:pStyle w:val="81"/>
        <w:ind w:firstLine="480"/>
        <w:rPr>
          <w:color w:val="auto"/>
        </w:rPr>
      </w:pPr>
      <w:r>
        <w:rPr>
          <w:rFonts w:hint="eastAsia"/>
          <w:color w:val="auto"/>
        </w:rPr>
        <w:t>3．上传</w:t>
      </w:r>
      <w:r>
        <w:rPr>
          <w:color w:val="auto"/>
        </w:rPr>
        <w:t>的电子投标文件无法正常打开的；</w:t>
      </w:r>
    </w:p>
    <w:p>
      <w:pPr>
        <w:pStyle w:val="81"/>
        <w:ind w:firstLine="480"/>
        <w:rPr>
          <w:color w:val="auto"/>
        </w:rPr>
      </w:pPr>
      <w:r>
        <w:rPr>
          <w:rFonts w:hint="eastAsia"/>
          <w:color w:val="auto"/>
        </w:rPr>
        <w:t>4．</w:t>
      </w:r>
      <w:r>
        <w:rPr>
          <w:color w:val="auto"/>
        </w:rPr>
        <w:t>政府采购法律法规规定的其他无效情形。</w:t>
      </w:r>
    </w:p>
    <w:p>
      <w:pPr>
        <w:pStyle w:val="4"/>
        <w:ind w:firstLine="482"/>
      </w:pPr>
      <w:r>
        <w:rPr>
          <w:rFonts w:hint="eastAsia"/>
        </w:rPr>
        <w:t>（</w:t>
      </w:r>
      <w:r>
        <w:t>三</w:t>
      </w:r>
      <w:r>
        <w:rPr>
          <w:rFonts w:hint="eastAsia"/>
        </w:rPr>
        <w:t>）突发状况的应急处置</w:t>
      </w:r>
    </w:p>
    <w:p>
      <w:pPr>
        <w:pStyle w:val="81"/>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pPr>
        <w:pStyle w:val="3"/>
      </w:pPr>
      <w:r>
        <w:t>六、资格审查</w:t>
      </w:r>
    </w:p>
    <w:p>
      <w:pPr>
        <w:pStyle w:val="81"/>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pPr>
        <w:pStyle w:val="81"/>
        <w:ind w:firstLine="480"/>
      </w:pPr>
      <w:r>
        <w:rPr>
          <w:rFonts w:hint="eastAsia"/>
        </w:rPr>
        <w:t>（1）不具备招标文件中规定的资格要求的；</w:t>
      </w:r>
    </w:p>
    <w:p>
      <w:pPr>
        <w:pStyle w:val="81"/>
        <w:ind w:firstLine="480"/>
      </w:pPr>
      <w:r>
        <w:rPr>
          <w:rFonts w:hint="eastAsia"/>
        </w:rPr>
        <w:t>（2）未按招标文件要求提供资格证明文件，或资格证明文件未按招标文件要求签字、盖章的；</w:t>
      </w:r>
    </w:p>
    <w:p>
      <w:pPr>
        <w:pStyle w:val="81"/>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pPr>
        <w:pStyle w:val="81"/>
        <w:ind w:firstLine="480"/>
      </w:pPr>
      <w:r>
        <w:rPr>
          <w:rFonts w:hint="eastAsia"/>
        </w:rPr>
        <w:t>（4）法律法规规定的其他无效情形。</w:t>
      </w:r>
    </w:p>
    <w:p>
      <w:pPr>
        <w:pStyle w:val="81"/>
        <w:ind w:firstLine="480"/>
      </w:pPr>
      <w:r>
        <w:t>资格审查结束后，资格审查小组成员应当对审查结果进行签字确认；</w:t>
      </w:r>
      <w:r>
        <w:rPr>
          <w:rFonts w:hint="eastAsia"/>
        </w:rPr>
        <w:t>对未通过资格审查的供应商，资格审查小组应</w:t>
      </w:r>
      <w:r>
        <w:t>当场告知其未通过的原因。</w:t>
      </w:r>
    </w:p>
    <w:p>
      <w:pPr>
        <w:pStyle w:val="81"/>
        <w:ind w:firstLine="480"/>
      </w:pPr>
      <w:r>
        <w:t>合格供应商不足3家的，</w:t>
      </w:r>
      <w:r>
        <w:rPr>
          <w:rFonts w:hint="eastAsia"/>
        </w:rPr>
        <w:t>应予以废标。</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FF0000"/>
                <w:sz w:val="21"/>
              </w:rPr>
            </w:pPr>
            <w:r>
              <w:rPr>
                <w:rFonts w:hint="eastAsia" w:ascii="Calibri" w:hAnsi="宋体" w:eastAsia="宋体" w:cstheme="minorHAnsi"/>
                <w:bCs/>
                <w:color w:val="FF0000"/>
                <w:sz w:val="21"/>
              </w:rPr>
              <w:t>无</w:t>
            </w:r>
          </w:p>
        </w:tc>
        <w:tc>
          <w:tcPr>
            <w:tcW w:w="5846" w:type="dxa"/>
            <w:vAlign w:val="center"/>
          </w:tcPr>
          <w:p>
            <w:pPr>
              <w:spacing w:line="400" w:lineRule="exact"/>
              <w:jc w:val="both"/>
              <w:rPr>
                <w:rFonts w:ascii="Calibri" w:hAnsi="宋体" w:eastAsia="宋体" w:cstheme="minorHAnsi"/>
                <w:bCs/>
                <w:color w:val="FF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无</w:t>
            </w:r>
          </w:p>
        </w:tc>
        <w:tc>
          <w:tcPr>
            <w:tcW w:w="5846" w:type="dxa"/>
            <w:vAlign w:val="center"/>
          </w:tcPr>
          <w:p>
            <w:pPr>
              <w:spacing w:line="400" w:lineRule="exact"/>
              <w:jc w:val="both"/>
              <w:rPr>
                <w:rFonts w:ascii="Calibri" w:hAnsi="宋体" w:eastAsia="宋体" w:cstheme="minorHAnsi"/>
                <w:bCs/>
                <w:color w:val="C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pPr>
        <w:pStyle w:val="3"/>
      </w:pPr>
      <w:r>
        <w:t>七、评审方法和程序</w:t>
      </w:r>
    </w:p>
    <w:p>
      <w:pPr>
        <w:pStyle w:val="4"/>
        <w:ind w:firstLine="482"/>
      </w:pPr>
      <w:r>
        <w:t>（一）评标方法</w:t>
      </w:r>
    </w:p>
    <w:p>
      <w:pPr>
        <w:pStyle w:val="81"/>
        <w:ind w:firstLine="480"/>
      </w:pPr>
      <w:r>
        <w:t>本项目采用</w:t>
      </w:r>
      <w:r>
        <w:rPr>
          <w:color w:val="C00000"/>
        </w:rPr>
        <w:t>综合评分法</w:t>
      </w:r>
      <w:r>
        <w:rPr>
          <w:rFonts w:hint="eastAsia"/>
          <w:color w:val="C00000"/>
        </w:rPr>
        <w:t>。</w:t>
      </w:r>
    </w:p>
    <w:p>
      <w:pPr>
        <w:pStyle w:val="81"/>
        <w:ind w:firstLine="480"/>
      </w:pPr>
      <w:r>
        <w:rPr>
          <w:rFonts w:hint="eastAsia"/>
        </w:rPr>
        <w:t>评标方法分为最低评标价法和综合评分法。</w:t>
      </w:r>
    </w:p>
    <w:p>
      <w:pPr>
        <w:pStyle w:val="81"/>
        <w:ind w:firstLine="480"/>
      </w:pPr>
      <w:r>
        <w:rPr>
          <w:rFonts w:hint="eastAsia"/>
        </w:rPr>
        <w:t>1、最低评标价法，是指投标文件满足招标文件全部实质性要求，且投标报价最低的供应商为中标候选人的评标方法。</w:t>
      </w:r>
    </w:p>
    <w:p>
      <w:pPr>
        <w:pStyle w:val="81"/>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pPr>
        <w:pStyle w:val="4"/>
        <w:ind w:firstLine="482"/>
      </w:pPr>
      <w:r>
        <w:t>（二）评标形式</w:t>
      </w:r>
    </w:p>
    <w:p>
      <w:pPr>
        <w:pStyle w:val="81"/>
        <w:ind w:firstLine="480"/>
      </w:pPr>
      <w:r>
        <w:rPr>
          <w:rFonts w:hint="eastAsia"/>
        </w:rPr>
        <w:t>1．关于技术标“暗标盲评”</w:t>
      </w:r>
    </w:p>
    <w:p>
      <w:pPr>
        <w:pStyle w:val="81"/>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pPr>
        <w:pStyle w:val="81"/>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pPr>
        <w:pStyle w:val="81"/>
        <w:ind w:firstLine="480"/>
      </w:pPr>
      <w:r>
        <w:rPr>
          <w:rFonts w:hint="eastAsia"/>
        </w:rPr>
        <w:t>2．“暗标盲评部分”编制要求</w:t>
      </w:r>
    </w:p>
    <w:p>
      <w:pPr>
        <w:pStyle w:val="81"/>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pPr>
        <w:pStyle w:val="81"/>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pPr>
        <w:pStyle w:val="81"/>
        <w:ind w:firstLine="480"/>
        <w:rPr>
          <w:color w:val="C00000"/>
        </w:rPr>
      </w:pPr>
      <w:r>
        <w:rPr>
          <w:rFonts w:hint="eastAsia"/>
          <w:color w:val="C00000"/>
        </w:rPr>
        <w:t>（2）签章要求：暗标部分不得进行签章。</w:t>
      </w:r>
    </w:p>
    <w:p>
      <w:pPr>
        <w:pStyle w:val="81"/>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pPr>
        <w:pStyle w:val="4"/>
        <w:ind w:firstLine="482"/>
      </w:pPr>
      <w:r>
        <w:t>（三）评标程序</w:t>
      </w:r>
    </w:p>
    <w:p>
      <w:pPr>
        <w:pStyle w:val="81"/>
        <w:ind w:firstLine="482"/>
        <w:rPr>
          <w:b/>
        </w:rPr>
      </w:pPr>
      <w:r>
        <w:rPr>
          <w:rFonts w:hint="eastAsia"/>
          <w:b/>
        </w:rPr>
        <w:t>1</w:t>
      </w:r>
      <w:r>
        <w:rPr>
          <w:rFonts w:hint="eastAsia"/>
          <w:b/>
          <w:color w:val="auto"/>
        </w:rPr>
        <w:t>．</w:t>
      </w:r>
      <w:r>
        <w:rPr>
          <w:rFonts w:hint="eastAsia"/>
          <w:b/>
        </w:rPr>
        <w:t>组建评标委员会</w:t>
      </w:r>
    </w:p>
    <w:p>
      <w:pPr>
        <w:pStyle w:val="81"/>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pPr>
        <w:pStyle w:val="81"/>
        <w:ind w:firstLine="480"/>
      </w:pPr>
      <w:r>
        <w:rPr>
          <w:rFonts w:hint="eastAsia"/>
        </w:rPr>
        <w:t>由采购代理机构组织评标委员会推选评标组长，采购人代表不得担任组长。</w:t>
      </w:r>
    </w:p>
    <w:p>
      <w:pPr>
        <w:pStyle w:val="81"/>
        <w:ind w:firstLine="482"/>
        <w:rPr>
          <w:b/>
        </w:rPr>
      </w:pPr>
      <w:r>
        <w:rPr>
          <w:rFonts w:hint="eastAsia"/>
          <w:b/>
        </w:rPr>
        <w:t>2</w:t>
      </w:r>
      <w:r>
        <w:rPr>
          <w:rFonts w:hint="eastAsia"/>
          <w:b/>
          <w:color w:val="auto"/>
        </w:rPr>
        <w:t>．</w:t>
      </w:r>
      <w:r>
        <w:rPr>
          <w:b/>
        </w:rPr>
        <w:t>投标文件的符合性审查</w:t>
      </w:r>
    </w:p>
    <w:p>
      <w:pPr>
        <w:pStyle w:val="81"/>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pPr>
        <w:pStyle w:val="81"/>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81"/>
        <w:ind w:firstLine="482"/>
        <w:rPr>
          <w:b/>
        </w:rPr>
      </w:pPr>
      <w:r>
        <w:rPr>
          <w:b/>
        </w:rPr>
        <w:t>3</w:t>
      </w:r>
      <w:r>
        <w:rPr>
          <w:rFonts w:hint="eastAsia"/>
          <w:b/>
          <w:color w:val="auto"/>
        </w:rPr>
        <w:t>．投标</w:t>
      </w:r>
      <w:r>
        <w:rPr>
          <w:rFonts w:hint="eastAsia"/>
          <w:b/>
        </w:rPr>
        <w:t>文件的澄清</w:t>
      </w:r>
    </w:p>
    <w:p>
      <w:pPr>
        <w:pStyle w:val="81"/>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pPr>
        <w:pStyle w:val="81"/>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pPr>
        <w:pStyle w:val="81"/>
        <w:ind w:firstLine="482"/>
        <w:rPr>
          <w:b/>
        </w:rPr>
      </w:pPr>
      <w:r>
        <w:rPr>
          <w:rFonts w:hint="eastAsia"/>
          <w:b/>
        </w:rPr>
        <w:t>4．</w:t>
      </w:r>
      <w:r>
        <w:rPr>
          <w:b/>
        </w:rPr>
        <w:t>综合比较与评价</w:t>
      </w:r>
    </w:p>
    <w:p>
      <w:pPr>
        <w:pStyle w:val="81"/>
        <w:ind w:firstLine="480"/>
      </w:pPr>
      <w:r>
        <w:rPr>
          <w:rFonts w:hint="eastAsia"/>
        </w:rPr>
        <w:t>采用最低评标价法的，评标委员会对通过符合性审查的投标文件的投标报价由低到高顺序排列。</w:t>
      </w:r>
    </w:p>
    <w:p>
      <w:pPr>
        <w:pStyle w:val="81"/>
        <w:ind w:firstLine="480"/>
      </w:pPr>
      <w:r>
        <w:rPr>
          <w:rFonts w:hint="eastAsia"/>
        </w:rPr>
        <w:t>采用综合评分法的，</w:t>
      </w:r>
      <w:r>
        <w:t>评标委员会按「评审要素及分值一览表」中规定的评标方法和标准，对通过符合性审查的投标文件进行商务和技术评估，综合比较与评价。</w:t>
      </w:r>
    </w:p>
    <w:p>
      <w:pPr>
        <w:pStyle w:val="81"/>
        <w:ind w:firstLine="480"/>
        <w:rPr>
          <w:color w:val="C00000"/>
        </w:rPr>
      </w:pPr>
      <w:r>
        <w:rPr>
          <w:color w:val="C00000"/>
        </w:rPr>
        <w:t>出现下列情形的，供应商投标无效：</w:t>
      </w:r>
    </w:p>
    <w:p>
      <w:pPr>
        <w:pStyle w:val="81"/>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hint="eastAsia" w:ascii="华文仿宋" w:hAnsi="华文仿宋" w:cs="华文仿宋"/>
          <w:color w:val="C00000"/>
        </w:rPr>
        <w:t>通过电子交易平台或电子邮件等形式</w:t>
      </w:r>
      <w:r>
        <w:rPr>
          <w:color w:val="C00000"/>
        </w:rPr>
        <w:t>提供书面说明</w:t>
      </w:r>
      <w:r>
        <w:rPr>
          <w:rFonts w:hint="eastAsia" w:ascii="华文仿宋" w:hAnsi="华文仿宋" w:cs="华文仿宋"/>
          <w:color w:val="C00000"/>
        </w:rPr>
        <w:t>（必要时提交相关证明材料）</w:t>
      </w:r>
      <w:r>
        <w:rPr>
          <w:color w:val="C00000"/>
        </w:rPr>
        <w:t>，供应商不能证明其报价合理性的。</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06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869"/>
        <w:gridCol w:w="88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color w:val="000000" w:themeColor="text1"/>
                <w:sz w:val="21"/>
                <w:szCs w:val="21"/>
                <w14:textFill>
                  <w14:solidFill>
                    <w14:schemeClr w14:val="tx1"/>
                  </w14:solidFill>
                </w14:textFill>
              </w:rPr>
            </w:pPr>
            <w:r>
              <w:rPr>
                <w:rFonts w:ascii="Calibri" w:hAnsi="宋体" w:eastAsia="宋体"/>
                <w:b/>
                <w:bCs/>
                <w:color w:val="000000" w:themeColor="text1"/>
                <w:sz w:val="21"/>
                <w:szCs w:val="21"/>
                <w14:textFill>
                  <w14:solidFill>
                    <w14:schemeClr w14:val="tx1"/>
                  </w14:solidFill>
                </w14:textFill>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color w:val="000000" w:themeColor="text1"/>
                <w:sz w:val="21"/>
                <w:szCs w:val="21"/>
                <w14:textFill>
                  <w14:solidFill>
                    <w14:schemeClr w14:val="tx1"/>
                  </w14:solidFill>
                </w14:textFill>
              </w:rPr>
            </w:pPr>
            <w:r>
              <w:rPr>
                <w:rFonts w:ascii="Calibri" w:hAnsi="宋体" w:eastAsia="宋体"/>
                <w:b/>
                <w:bCs/>
                <w:color w:val="000000" w:themeColor="text1"/>
                <w:sz w:val="21"/>
                <w:szCs w:val="21"/>
                <w14:textFill>
                  <w14:solidFill>
                    <w14:schemeClr w14:val="tx1"/>
                  </w14:solidFill>
                </w14:textFill>
              </w:rPr>
              <w:t>总分值</w:t>
            </w:r>
          </w:p>
        </w:tc>
        <w:tc>
          <w:tcPr>
            <w:tcW w:w="5869"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color w:val="000000" w:themeColor="text1"/>
                <w:sz w:val="21"/>
                <w:szCs w:val="21"/>
                <w14:textFill>
                  <w14:solidFill>
                    <w14:schemeClr w14:val="tx1"/>
                  </w14:solidFill>
                </w14:textFill>
              </w:rPr>
            </w:pPr>
            <w:r>
              <w:rPr>
                <w:rFonts w:ascii="Calibri" w:hAnsi="宋体" w:eastAsia="宋体"/>
                <w:b/>
                <w:bCs/>
                <w:color w:val="000000" w:themeColor="text1"/>
                <w:sz w:val="21"/>
                <w:szCs w:val="21"/>
                <w14:textFill>
                  <w14:solidFill>
                    <w14:schemeClr w14:val="tx1"/>
                  </w14:solidFill>
                </w14:textFill>
              </w:rPr>
              <w:t>评审要素</w:t>
            </w:r>
          </w:p>
        </w:tc>
        <w:tc>
          <w:tcPr>
            <w:tcW w:w="888"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color w:val="000000" w:themeColor="text1"/>
                <w:sz w:val="21"/>
                <w:szCs w:val="21"/>
                <w14:textFill>
                  <w14:solidFill>
                    <w14:schemeClr w14:val="tx1"/>
                  </w14:solidFill>
                </w14:textFill>
              </w:rPr>
            </w:pPr>
            <w:r>
              <w:rPr>
                <w:rFonts w:ascii="Calibri" w:hAnsi="宋体" w:eastAsia="宋体"/>
                <w:b/>
                <w:bCs/>
                <w:color w:val="000000" w:themeColor="text1"/>
                <w:sz w:val="21"/>
                <w:szCs w:val="2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rPr>
                <w:rFonts w:ascii="Calibri" w:hAnsi="宋体" w:eastAsia="宋体"/>
                <w:bCs/>
                <w:color w:val="000000" w:themeColor="text1"/>
                <w:sz w:val="21"/>
                <w:szCs w:val="21"/>
                <w14:textFill>
                  <w14:solidFill>
                    <w14:schemeClr w14:val="tx1"/>
                  </w14:solidFill>
                </w14:textFill>
              </w:rPr>
            </w:pPr>
          </w:p>
        </w:tc>
        <w:tc>
          <w:tcPr>
            <w:tcW w:w="63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color w:val="000000" w:themeColor="text1"/>
                <w:sz w:val="21"/>
                <w:szCs w:val="21"/>
                <w14:textFill>
                  <w14:solidFill>
                    <w14:schemeClr w14:val="tx1"/>
                  </w14:solidFill>
                </w14:textFill>
              </w:rPr>
            </w:pPr>
            <w:r>
              <w:rPr>
                <w:rFonts w:ascii="Calibri" w:hAnsi="宋体" w:eastAsia="宋体"/>
                <w:b/>
                <w:bCs/>
                <w:color w:val="000000" w:themeColor="text1"/>
                <w:sz w:val="21"/>
                <w:szCs w:val="21"/>
                <w14:textFill>
                  <w14:solidFill>
                    <w14:schemeClr w14:val="tx1"/>
                  </w14:solidFill>
                </w14:textFill>
              </w:rPr>
              <w:t>100</w:t>
            </w:r>
          </w:p>
        </w:tc>
        <w:tc>
          <w:tcPr>
            <w:tcW w:w="945"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color w:val="000000" w:themeColor="text1"/>
                <w:sz w:val="21"/>
                <w:szCs w:val="21"/>
                <w14:textFill>
                  <w14:solidFill>
                    <w14:schemeClr w14:val="tx1"/>
                  </w14:solidFill>
                </w14:textFill>
              </w:rPr>
            </w:pPr>
            <w:r>
              <w:rPr>
                <w:rFonts w:ascii="Calibri" w:hAnsi="宋体" w:eastAsia="宋体"/>
                <w:b/>
                <w:bCs/>
                <w:color w:val="000000" w:themeColor="text1"/>
                <w:sz w:val="21"/>
                <w:szCs w:val="21"/>
                <w14:textFill>
                  <w14:solidFill>
                    <w14:schemeClr w14:val="tx1"/>
                  </w14:solidFill>
                </w14:textFill>
              </w:rPr>
              <w:t>分项最高分值</w:t>
            </w:r>
          </w:p>
        </w:tc>
        <w:tc>
          <w:tcPr>
            <w:tcW w:w="5869"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ind w:firstLine="420" w:firstLineChars="200"/>
              <w:rPr>
                <w:rFonts w:ascii="Calibri" w:hAnsi="宋体" w:eastAsia="宋体"/>
                <w:bCs/>
                <w:color w:val="000000" w:themeColor="text1"/>
                <w:sz w:val="21"/>
                <w:szCs w:val="21"/>
                <w14:textFill>
                  <w14:solidFill>
                    <w14:schemeClr w14:val="tx1"/>
                  </w14:solidFill>
                </w14:textFill>
              </w:rPr>
            </w:pPr>
          </w:p>
        </w:tc>
        <w:tc>
          <w:tcPr>
            <w:tcW w:w="888"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ind w:firstLine="420" w:firstLineChars="200"/>
              <w:rPr>
                <w:rFonts w:ascii="Calibri" w:hAnsi="宋体" w:eastAsia="宋体"/>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5" w:type="dxa"/>
            <w:tcBorders>
              <w:top w:val="single" w:color="auto" w:sz="2" w:space="0"/>
            </w:tcBorders>
            <w:shd w:val="clear" w:color="auto" w:fill="auto"/>
            <w:vAlign w:val="center"/>
          </w:tcPr>
          <w:p>
            <w:pPr>
              <w:spacing w:line="320" w:lineRule="exact"/>
              <w:rPr>
                <w:rFonts w:ascii="Calibri" w:hAnsi="宋体" w:eastAsia="宋体"/>
                <w:bCs/>
                <w:color w:val="000000" w:themeColor="text1"/>
                <w:sz w:val="21"/>
                <w:szCs w:val="21"/>
                <w14:textFill>
                  <w14:solidFill>
                    <w14:schemeClr w14:val="tx1"/>
                  </w14:solidFill>
                </w14:textFill>
              </w:rPr>
            </w:pPr>
            <w:r>
              <w:rPr>
                <w:rFonts w:ascii="Calibri" w:hAnsi="宋体" w:eastAsia="宋体"/>
                <w:bCs/>
                <w:color w:val="000000" w:themeColor="text1"/>
                <w:sz w:val="21"/>
                <w:szCs w:val="21"/>
                <w14:textFill>
                  <w14:solidFill>
                    <w14:schemeClr w14:val="tx1"/>
                  </w14:solidFill>
                </w14:textFill>
              </w:rPr>
              <w:t>价格</w:t>
            </w:r>
          </w:p>
        </w:tc>
        <w:tc>
          <w:tcPr>
            <w:tcW w:w="630" w:type="dxa"/>
            <w:tcBorders>
              <w:top w:val="single" w:color="auto" w:sz="2" w:space="0"/>
            </w:tcBorders>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r>
              <w:rPr>
                <w:rFonts w:ascii="Calibri" w:hAnsi="宋体" w:eastAsia="宋体"/>
                <w:bCs/>
                <w:color w:val="000000" w:themeColor="text1"/>
                <w:sz w:val="21"/>
                <w:szCs w:val="21"/>
                <w14:textFill>
                  <w14:solidFill>
                    <w14:schemeClr w14:val="tx1"/>
                  </w14:solidFill>
                </w14:textFill>
              </w:rPr>
              <w:t>10</w:t>
            </w:r>
          </w:p>
        </w:tc>
        <w:tc>
          <w:tcPr>
            <w:tcW w:w="945" w:type="dxa"/>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p>
        </w:tc>
        <w:tc>
          <w:tcPr>
            <w:tcW w:w="5869" w:type="dxa"/>
            <w:tcBorders>
              <w:top w:val="single" w:color="auto" w:sz="2" w:space="0"/>
            </w:tcBorders>
            <w:shd w:val="clear" w:color="auto" w:fill="auto"/>
            <w:vAlign w:val="center"/>
          </w:tcPr>
          <w:p>
            <w:pPr>
              <w:tabs>
                <w:tab w:val="left" w:pos="547"/>
              </w:tabs>
              <w:spacing w:line="320" w:lineRule="exact"/>
              <w:ind w:firstLine="420" w:firstLineChars="200"/>
              <w:rPr>
                <w:rFonts w:ascii="Calibri" w:hAnsi="宋体" w:eastAsia="宋体"/>
                <w:color w:val="000000" w:themeColor="text1"/>
                <w:sz w:val="21"/>
                <w:szCs w:val="21"/>
                <w14:textFill>
                  <w14:solidFill>
                    <w14:schemeClr w14:val="tx1"/>
                  </w14:solidFill>
                </w14:textFill>
              </w:rPr>
            </w:pPr>
            <w:r>
              <w:rPr>
                <w:rFonts w:hint="eastAsia" w:ascii="Calibri" w:hAnsi="宋体" w:eastAsia="宋体"/>
                <w:color w:val="000000" w:themeColor="text1"/>
                <w:sz w:val="21"/>
                <w:szCs w:val="21"/>
                <w14:textFill>
                  <w14:solidFill>
                    <w14:schemeClr w14:val="tx1"/>
                  </w14:solidFill>
                </w14:textFill>
              </w:rPr>
              <w:t>有效供应商最低报价作为基准价得10分，各供应商的报价得分按下列公式计算：（基准价</w:t>
            </w:r>
            <w:r>
              <w:rPr>
                <w:rFonts w:ascii="Calibri" w:hAnsi="宋体" w:eastAsia="宋体"/>
                <w:color w:val="000000" w:themeColor="text1"/>
                <w:sz w:val="21"/>
                <w:szCs w:val="21"/>
                <w14:textFill>
                  <w14:solidFill>
                    <w14:schemeClr w14:val="tx1"/>
                  </w14:solidFill>
                </w14:textFill>
              </w:rPr>
              <w:t>/投标报价）×10%×100分</w:t>
            </w:r>
          </w:p>
        </w:tc>
        <w:tc>
          <w:tcPr>
            <w:tcW w:w="888" w:type="dxa"/>
            <w:tcBorders>
              <w:top w:val="single" w:color="auto" w:sz="2" w:space="0"/>
            </w:tcBorders>
            <w:shd w:val="clear" w:color="auto" w:fill="auto"/>
            <w:vAlign w:val="center"/>
          </w:tcPr>
          <w:p>
            <w:pPr>
              <w:spacing w:line="320" w:lineRule="exact"/>
              <w:ind w:firstLine="420" w:firstLineChars="200"/>
              <w:rPr>
                <w:rFonts w:ascii="Calibri" w:hAnsi="宋体" w:eastAsia="宋体"/>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41" w:hRule="atLeast"/>
        </w:trPr>
        <w:tc>
          <w:tcPr>
            <w:tcW w:w="735" w:type="dxa"/>
            <w:vMerge w:val="restart"/>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r>
              <w:rPr>
                <w:rFonts w:hint="eastAsia" w:ascii="Calibri" w:hAnsi="宋体" w:eastAsia="宋体"/>
                <w:color w:val="000000" w:themeColor="text1"/>
                <w:sz w:val="21"/>
                <w:szCs w:val="21"/>
                <w14:textFill>
                  <w14:solidFill>
                    <w14:schemeClr w14:val="tx1"/>
                  </w14:solidFill>
                </w14:textFill>
              </w:rPr>
              <w:t>技术（服务</w:t>
            </w:r>
            <w:r>
              <w:rPr>
                <w:rFonts w:ascii="Calibri" w:hAnsi="宋体" w:eastAsia="宋体"/>
                <w:color w:val="000000" w:themeColor="text1"/>
                <w:sz w:val="21"/>
                <w:szCs w:val="21"/>
                <w14:textFill>
                  <w14:solidFill>
                    <w14:schemeClr w14:val="tx1"/>
                  </w14:solidFill>
                </w14:textFill>
              </w:rPr>
              <w:t>）</w:t>
            </w:r>
            <w:r>
              <w:rPr>
                <w:rFonts w:hint="eastAsia" w:ascii="Calibri" w:hAnsi="宋体" w:eastAsia="宋体"/>
                <w:color w:val="000000" w:themeColor="text1"/>
                <w:sz w:val="21"/>
                <w:szCs w:val="21"/>
                <w14:textFill>
                  <w14:solidFill>
                    <w14:schemeClr w14:val="tx1"/>
                  </w14:solidFill>
                </w14:textFill>
              </w:rPr>
              <w:t>暗标盲评部分</w:t>
            </w:r>
          </w:p>
        </w:tc>
        <w:tc>
          <w:tcPr>
            <w:tcW w:w="630" w:type="dxa"/>
            <w:vMerge w:val="restart"/>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r>
              <w:rPr>
                <w:rFonts w:ascii="Calibri" w:hAnsi="宋体" w:eastAsia="宋体"/>
                <w:bCs/>
                <w:color w:val="000000" w:themeColor="text1"/>
                <w:sz w:val="21"/>
                <w:szCs w:val="21"/>
                <w14:textFill>
                  <w14:solidFill>
                    <w14:schemeClr w14:val="tx1"/>
                  </w14:solidFill>
                </w14:textFill>
              </w:rPr>
              <w:t>48</w:t>
            </w:r>
          </w:p>
        </w:tc>
        <w:tc>
          <w:tcPr>
            <w:tcW w:w="945" w:type="dxa"/>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r>
              <w:rPr>
                <w:rFonts w:ascii="宋体" w:hAnsi="宋体" w:eastAsia="宋体" w:cs="Calibri Light"/>
                <w:bCs/>
                <w:sz w:val="21"/>
                <w:szCs w:val="21"/>
              </w:rPr>
              <w:t>12</w:t>
            </w:r>
          </w:p>
        </w:tc>
        <w:tc>
          <w:tcPr>
            <w:tcW w:w="5869" w:type="dxa"/>
            <w:shd w:val="clear" w:color="auto" w:fill="auto"/>
            <w:vAlign w:val="center"/>
          </w:tcPr>
          <w:p>
            <w:pPr>
              <w:spacing w:line="320" w:lineRule="exact"/>
              <w:ind w:firstLine="420" w:firstLineChars="200"/>
              <w:jc w:val="both"/>
              <w:rPr>
                <w:rFonts w:ascii="Calibri" w:hAnsi="宋体" w:eastAsia="宋体" w:cs="Calibri Light"/>
                <w:b/>
                <w:bCs/>
                <w:kern w:val="2"/>
                <w:sz w:val="21"/>
                <w:szCs w:val="21"/>
              </w:rPr>
            </w:pPr>
            <w:r>
              <w:rPr>
                <w:rFonts w:hint="eastAsia" w:ascii="Calibri" w:hAnsi="宋体" w:eastAsia="宋体" w:cs="Calibri Light"/>
                <w:b/>
                <w:bCs/>
                <w:kern w:val="2"/>
                <w:sz w:val="21"/>
                <w:szCs w:val="21"/>
              </w:rPr>
              <w:t>总体方案：</w:t>
            </w:r>
          </w:p>
          <w:p>
            <w:pPr>
              <w:autoSpaceDE w:val="0"/>
              <w:autoSpaceDN w:val="0"/>
              <w:adjustRightInd w:val="0"/>
              <w:spacing w:line="280" w:lineRule="exact"/>
              <w:ind w:firstLine="420" w:firstLineChars="200"/>
              <w:rPr>
                <w:rFonts w:ascii="宋体" w:hAnsi="宋体" w:eastAsia="宋体" w:cs="Calibri Light"/>
                <w:b/>
                <w:sz w:val="21"/>
                <w:szCs w:val="21"/>
              </w:rPr>
            </w:pPr>
            <w:r>
              <w:rPr>
                <w:rFonts w:hint="eastAsia" w:ascii="宋体" w:hAnsi="宋体" w:eastAsia="宋体" w:cs="Calibri Light"/>
                <w:b/>
                <w:sz w:val="21"/>
                <w:szCs w:val="21"/>
              </w:rPr>
              <w:t>1、评审内容</w:t>
            </w:r>
            <w:r>
              <w:rPr>
                <w:rFonts w:ascii="宋体" w:hAnsi="宋体" w:eastAsia="宋体" w:cs="Calibri Light"/>
                <w:b/>
                <w:sz w:val="21"/>
                <w:szCs w:val="21"/>
              </w:rPr>
              <w:t>：</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①</w:t>
            </w:r>
            <w:r>
              <w:rPr>
                <w:rFonts w:hint="eastAsia" w:cs="宋体" w:asciiTheme="minorEastAsia" w:hAnsiTheme="minorEastAsia"/>
                <w:color w:val="000000" w:themeColor="text1"/>
                <w:sz w:val="21"/>
                <w:szCs w:val="21"/>
                <w14:textFill>
                  <w14:solidFill>
                    <w14:schemeClr w14:val="tx1"/>
                  </w14:solidFill>
                </w14:textFill>
              </w:rPr>
              <w:t>对本项目</w:t>
            </w:r>
            <w:r>
              <w:rPr>
                <w:rFonts w:cs="宋体" w:asciiTheme="minorEastAsia" w:hAnsiTheme="minorEastAsia"/>
                <w:color w:val="000000" w:themeColor="text1"/>
                <w:sz w:val="21"/>
                <w:szCs w:val="21"/>
                <w14:textFill>
                  <w14:solidFill>
                    <w14:schemeClr w14:val="tx1"/>
                  </w14:solidFill>
                </w14:textFill>
              </w:rPr>
              <w:t>的总体认识</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②</w:t>
            </w:r>
            <w:r>
              <w:rPr>
                <w:rFonts w:hint="eastAsia" w:cs="宋体" w:asciiTheme="minorEastAsia" w:hAnsiTheme="minorEastAsia"/>
                <w:color w:val="000000" w:themeColor="text1"/>
                <w:sz w:val="21"/>
                <w:szCs w:val="21"/>
                <w14:textFill>
                  <w14:solidFill>
                    <w14:schemeClr w14:val="tx1"/>
                  </w14:solidFill>
                </w14:textFill>
              </w:rPr>
              <w:t>站群平台运维服务的整体思路</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③</w:t>
            </w:r>
            <w:r>
              <w:rPr>
                <w:rFonts w:hint="eastAsia" w:ascii="宋体" w:hAnsi="宋体" w:eastAsia="宋体" w:cs="Calibri Light"/>
                <w:bCs/>
                <w:sz w:val="21"/>
                <w:szCs w:val="21"/>
              </w:rPr>
              <w:t>站群平台服务目标及计划安排</w:t>
            </w:r>
          </w:p>
          <w:p>
            <w:pPr>
              <w:autoSpaceDE w:val="0"/>
              <w:autoSpaceDN w:val="0"/>
              <w:adjustRightInd w:val="0"/>
              <w:spacing w:line="28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2、评审标准</w:t>
            </w:r>
            <w:r>
              <w:rPr>
                <w:rFonts w:ascii="宋体" w:hAnsi="宋体" w:eastAsia="宋体" w:cs="Calibri Light"/>
                <w:b/>
                <w:sz w:val="21"/>
                <w:szCs w:val="21"/>
              </w:rPr>
              <w:t>：</w:t>
            </w:r>
          </w:p>
          <w:p>
            <w:pPr>
              <w:autoSpaceDE w:val="0"/>
              <w:autoSpaceDN w:val="0"/>
              <w:adjustRightInd w:val="0"/>
              <w:spacing w:line="280" w:lineRule="exact"/>
              <w:ind w:firstLine="420" w:firstLineChars="200"/>
              <w:jc w:val="both"/>
              <w:rPr>
                <w:rFonts w:ascii="Calibri" w:hAnsi="宋体" w:eastAsia="宋体" w:cs="Calibri Light"/>
                <w:b/>
                <w:bCs/>
                <w:kern w:val="2"/>
                <w:sz w:val="21"/>
                <w:szCs w:val="21"/>
              </w:rPr>
            </w:pPr>
            <w:r>
              <w:rPr>
                <w:rFonts w:hint="eastAsia" w:ascii="宋体" w:hAnsi="宋体" w:eastAsia="宋体" w:cs="Calibri Light"/>
                <w:b/>
                <w:sz w:val="21"/>
                <w:szCs w:val="21"/>
              </w:rPr>
              <w:t>（1）</w:t>
            </w:r>
            <w:r>
              <w:rPr>
                <w:rFonts w:hint="eastAsia" w:ascii="Calibri" w:hAnsi="宋体" w:eastAsia="宋体" w:cs="Calibri Light"/>
                <w:b/>
                <w:bCs/>
                <w:kern w:val="2"/>
                <w:sz w:val="21"/>
                <w:szCs w:val="21"/>
              </w:rPr>
              <w:t>对本项目的总体认识：</w:t>
            </w:r>
          </w:p>
          <w:p>
            <w:pPr>
              <w:autoSpaceDE w:val="0"/>
              <w:autoSpaceDN w:val="0"/>
              <w:adjustRightInd w:val="0"/>
              <w:spacing w:line="280" w:lineRule="exact"/>
              <w:ind w:firstLine="420" w:firstLineChars="200"/>
              <w:jc w:val="both"/>
              <w:rPr>
                <w:rFonts w:ascii="宋体" w:hAnsi="宋体" w:eastAsia="宋体" w:cs="Calibri Light"/>
                <w:sz w:val="21"/>
                <w:szCs w:val="21"/>
              </w:rPr>
            </w:pPr>
            <w:r>
              <w:rPr>
                <w:rFonts w:hint="eastAsia" w:ascii="宋体" w:hAnsi="宋体" w:eastAsia="宋体" w:cs="Calibri Light"/>
                <w:sz w:val="21"/>
                <w:szCs w:val="21"/>
              </w:rPr>
              <w:t>①了解</w:t>
            </w:r>
            <w:r>
              <w:rPr>
                <w:rFonts w:hint="eastAsia" w:ascii="宋体" w:hAnsi="宋体" w:eastAsia="宋体" w:cs="Calibri Light"/>
                <w:bCs/>
                <w:sz w:val="21"/>
                <w:szCs w:val="21"/>
              </w:rPr>
              <w:t>西</w:t>
            </w:r>
            <w:r>
              <w:rPr>
                <w:rFonts w:ascii="宋体" w:hAnsi="宋体" w:eastAsia="宋体" w:cs="Calibri Light"/>
                <w:bCs/>
                <w:sz w:val="21"/>
                <w:szCs w:val="21"/>
              </w:rPr>
              <w:t>安市政府网站集约化平台整体架构及</w:t>
            </w:r>
            <w:r>
              <w:rPr>
                <w:rFonts w:hint="eastAsia" w:ascii="宋体" w:hAnsi="宋体" w:eastAsia="宋体" w:cs="Calibri Light"/>
                <w:bCs/>
                <w:sz w:val="21"/>
                <w:szCs w:val="21"/>
              </w:rPr>
              <w:t>开发</w:t>
            </w:r>
            <w:r>
              <w:rPr>
                <w:rFonts w:ascii="宋体" w:hAnsi="宋体" w:eastAsia="宋体" w:cs="Calibri Light"/>
                <w:bCs/>
                <w:sz w:val="21"/>
                <w:szCs w:val="21"/>
              </w:rPr>
              <w:t>环境</w:t>
            </w:r>
            <w:r>
              <w:rPr>
                <w:rFonts w:hint="eastAsia" w:ascii="宋体" w:hAnsi="宋体" w:eastAsia="宋体" w:cs="Calibri Light"/>
                <w:bCs/>
                <w:sz w:val="21"/>
                <w:szCs w:val="21"/>
              </w:rPr>
              <w:t>；</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②</w:t>
            </w:r>
            <w:r>
              <w:rPr>
                <w:rFonts w:hint="eastAsia" w:ascii="宋体" w:hAnsi="宋体" w:eastAsia="宋体" w:cs="Calibri Light"/>
                <w:bCs/>
                <w:sz w:val="21"/>
                <w:szCs w:val="21"/>
              </w:rPr>
              <w:t>熟悉</w:t>
            </w:r>
            <w:r>
              <w:rPr>
                <w:rFonts w:ascii="宋体" w:hAnsi="宋体" w:eastAsia="宋体" w:cs="Calibri Light"/>
                <w:bCs/>
                <w:sz w:val="21"/>
                <w:szCs w:val="21"/>
              </w:rPr>
              <w:t>平台</w:t>
            </w:r>
            <w:r>
              <w:rPr>
                <w:rFonts w:hint="eastAsia" w:ascii="宋体" w:hAnsi="宋体" w:eastAsia="宋体" w:cs="Calibri Light"/>
                <w:bCs/>
                <w:sz w:val="21"/>
                <w:szCs w:val="21"/>
              </w:rPr>
              <w:t>部署</w:t>
            </w:r>
            <w:r>
              <w:rPr>
                <w:rFonts w:ascii="宋体" w:hAnsi="宋体" w:eastAsia="宋体" w:cs="Calibri Light"/>
                <w:bCs/>
                <w:sz w:val="21"/>
                <w:szCs w:val="21"/>
              </w:rPr>
              <w:t>实施情况</w:t>
            </w:r>
            <w:r>
              <w:rPr>
                <w:rFonts w:hint="eastAsia" w:ascii="宋体" w:hAnsi="宋体" w:eastAsia="宋体" w:cs="Calibri Light"/>
                <w:bCs/>
                <w:sz w:val="21"/>
                <w:szCs w:val="21"/>
              </w:rPr>
              <w:t>。</w:t>
            </w:r>
          </w:p>
          <w:p>
            <w:pPr>
              <w:autoSpaceDE w:val="0"/>
              <w:autoSpaceDN w:val="0"/>
              <w:adjustRightInd w:val="0"/>
              <w:spacing w:line="280" w:lineRule="exact"/>
              <w:ind w:firstLine="420" w:firstLineChars="200"/>
              <w:jc w:val="both"/>
              <w:rPr>
                <w:rFonts w:ascii="Calibri" w:hAnsi="宋体" w:eastAsia="宋体" w:cs="Calibri Light"/>
                <w:b/>
                <w:bCs/>
                <w:kern w:val="2"/>
                <w:sz w:val="21"/>
                <w:szCs w:val="21"/>
              </w:rPr>
            </w:pPr>
            <w:r>
              <w:rPr>
                <w:rFonts w:hint="eastAsia" w:ascii="宋体" w:hAnsi="宋体" w:eastAsia="宋体" w:cs="Calibri Light"/>
                <w:b/>
                <w:sz w:val="21"/>
                <w:szCs w:val="21"/>
              </w:rPr>
              <w:t>（</w:t>
            </w:r>
            <w:r>
              <w:rPr>
                <w:rFonts w:ascii="宋体" w:hAnsi="宋体" w:eastAsia="宋体" w:cs="Calibri Light"/>
                <w:b/>
                <w:sz w:val="21"/>
                <w:szCs w:val="21"/>
              </w:rPr>
              <w:t>2</w:t>
            </w:r>
            <w:r>
              <w:rPr>
                <w:rFonts w:hint="eastAsia" w:ascii="宋体" w:hAnsi="宋体" w:eastAsia="宋体" w:cs="Calibri Light"/>
                <w:b/>
                <w:sz w:val="21"/>
                <w:szCs w:val="21"/>
              </w:rPr>
              <w:t>）</w:t>
            </w:r>
            <w:r>
              <w:rPr>
                <w:rFonts w:hint="eastAsia" w:ascii="Calibri" w:hAnsi="宋体" w:eastAsia="宋体" w:cs="Calibri Light"/>
                <w:b/>
                <w:bCs/>
                <w:kern w:val="2"/>
                <w:sz w:val="21"/>
                <w:szCs w:val="21"/>
              </w:rPr>
              <w:t>站群平台运维服务的整体思路、站群平台服务目标及计划安排：</w:t>
            </w:r>
          </w:p>
          <w:p>
            <w:pPr>
              <w:autoSpaceDE w:val="0"/>
              <w:autoSpaceDN w:val="0"/>
              <w:adjustRightInd w:val="0"/>
              <w:spacing w:line="30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①完整性：方案须全面，对评审内容中的各项要求有详细描述及说明；</w:t>
            </w:r>
            <w:r>
              <w:rPr>
                <w:rFonts w:ascii="宋体" w:hAnsi="宋体" w:eastAsia="宋体" w:cs="Calibri Light"/>
                <w:bCs/>
                <w:sz w:val="21"/>
                <w:szCs w:val="21"/>
              </w:rPr>
              <w:t xml:space="preserve"> </w:t>
            </w:r>
          </w:p>
          <w:p>
            <w:pPr>
              <w:autoSpaceDE w:val="0"/>
              <w:autoSpaceDN w:val="0"/>
              <w:adjustRightInd w:val="0"/>
              <w:spacing w:line="280" w:lineRule="exact"/>
              <w:ind w:firstLine="420" w:firstLineChars="200"/>
              <w:jc w:val="both"/>
              <w:rPr>
                <w:rFonts w:ascii="宋体" w:hAnsi="宋体" w:eastAsia="宋体" w:cs="Calibri Light"/>
                <w:sz w:val="21"/>
                <w:szCs w:val="21"/>
              </w:rPr>
            </w:pPr>
            <w:r>
              <w:rPr>
                <w:rFonts w:hint="eastAsia" w:ascii="宋体" w:hAnsi="宋体" w:eastAsia="宋体" w:cs="Calibri Light"/>
                <w:sz w:val="21"/>
                <w:szCs w:val="21"/>
              </w:rPr>
              <w:t>②可</w:t>
            </w:r>
            <w:r>
              <w:rPr>
                <w:rFonts w:ascii="宋体" w:hAnsi="宋体" w:eastAsia="宋体" w:cs="Calibri Light"/>
                <w:sz w:val="21"/>
                <w:szCs w:val="21"/>
              </w:rPr>
              <w:t>实施性：</w:t>
            </w:r>
            <w:r>
              <w:rPr>
                <w:rFonts w:hint="eastAsia" w:ascii="宋体" w:hAnsi="宋体" w:eastAsia="宋体" w:cs="Calibri Light"/>
                <w:sz w:val="21"/>
                <w:szCs w:val="21"/>
              </w:rPr>
              <w:t>方案科学</w:t>
            </w:r>
            <w:r>
              <w:rPr>
                <w:rFonts w:ascii="宋体" w:hAnsi="宋体" w:eastAsia="宋体" w:cs="Calibri Light"/>
                <w:sz w:val="21"/>
                <w:szCs w:val="21"/>
              </w:rPr>
              <w:t>合理</w:t>
            </w:r>
            <w:r>
              <w:rPr>
                <w:rFonts w:hint="eastAsia" w:ascii="宋体" w:hAnsi="宋体" w:eastAsia="宋体" w:cs="Calibri Light"/>
                <w:sz w:val="21"/>
                <w:szCs w:val="21"/>
              </w:rPr>
              <w:t>，</w:t>
            </w:r>
            <w:r>
              <w:rPr>
                <w:rFonts w:ascii="宋体" w:hAnsi="宋体" w:eastAsia="宋体" w:cs="Calibri Light"/>
                <w:sz w:val="21"/>
                <w:szCs w:val="21"/>
              </w:rPr>
              <w:t>可操作性强；</w:t>
            </w:r>
          </w:p>
          <w:p>
            <w:pPr>
              <w:autoSpaceDE w:val="0"/>
              <w:autoSpaceDN w:val="0"/>
              <w:adjustRightInd w:val="0"/>
              <w:spacing w:line="280" w:lineRule="exact"/>
              <w:ind w:firstLine="420" w:firstLineChars="200"/>
              <w:jc w:val="both"/>
              <w:rPr>
                <w:rFonts w:ascii="宋体" w:hAnsi="宋体" w:eastAsia="宋体" w:cs="Calibri Light"/>
                <w:sz w:val="21"/>
                <w:szCs w:val="21"/>
              </w:rPr>
            </w:pPr>
            <w:r>
              <w:rPr>
                <w:rFonts w:hint="eastAsia" w:ascii="宋体" w:hAnsi="宋体" w:eastAsia="宋体" w:cs="Calibri Light"/>
                <w:sz w:val="21"/>
                <w:szCs w:val="21"/>
              </w:rPr>
              <w:t>③针对性</w:t>
            </w:r>
            <w:r>
              <w:rPr>
                <w:rFonts w:ascii="宋体" w:hAnsi="宋体" w:eastAsia="宋体" w:cs="Calibri Light"/>
                <w:sz w:val="21"/>
                <w:szCs w:val="21"/>
              </w:rPr>
              <w:t>：</w:t>
            </w:r>
            <w:r>
              <w:rPr>
                <w:rFonts w:hint="eastAsia" w:ascii="宋体" w:hAnsi="宋体" w:eastAsia="宋体" w:cs="Calibri Light"/>
                <w:sz w:val="21"/>
                <w:szCs w:val="21"/>
              </w:rPr>
              <w:t>方案能紧扣</w:t>
            </w:r>
            <w:r>
              <w:rPr>
                <w:rFonts w:ascii="宋体" w:hAnsi="宋体" w:eastAsia="宋体" w:cs="Calibri Light"/>
                <w:sz w:val="21"/>
                <w:szCs w:val="21"/>
              </w:rPr>
              <w:t>本</w:t>
            </w:r>
            <w:r>
              <w:rPr>
                <w:rFonts w:hint="eastAsia" w:ascii="宋体" w:hAnsi="宋体" w:eastAsia="宋体" w:cs="Calibri Light"/>
                <w:sz w:val="21"/>
                <w:szCs w:val="21"/>
              </w:rPr>
              <w:t>项目</w:t>
            </w:r>
            <w:r>
              <w:rPr>
                <w:rFonts w:ascii="宋体" w:hAnsi="宋体" w:eastAsia="宋体" w:cs="Calibri Light"/>
                <w:sz w:val="21"/>
                <w:szCs w:val="21"/>
              </w:rPr>
              <w:t>实际情况，</w:t>
            </w:r>
            <w:r>
              <w:rPr>
                <w:rFonts w:hint="eastAsia" w:ascii="宋体" w:hAnsi="宋体" w:eastAsia="宋体" w:cs="Calibri Light"/>
                <w:sz w:val="21"/>
                <w:szCs w:val="21"/>
              </w:rPr>
              <w:t>满足</w:t>
            </w:r>
            <w:r>
              <w:rPr>
                <w:rFonts w:ascii="宋体" w:hAnsi="宋体" w:eastAsia="宋体" w:cs="Calibri Light"/>
                <w:sz w:val="21"/>
                <w:szCs w:val="21"/>
              </w:rPr>
              <w:t>本项目各项具体要求。</w:t>
            </w:r>
          </w:p>
          <w:p>
            <w:pPr>
              <w:autoSpaceDE w:val="0"/>
              <w:autoSpaceDN w:val="0"/>
              <w:adjustRightInd w:val="0"/>
              <w:spacing w:line="28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3、</w:t>
            </w:r>
            <w:r>
              <w:rPr>
                <w:rFonts w:ascii="宋体" w:hAnsi="宋体" w:eastAsia="宋体" w:cs="Calibri Light"/>
                <w:b/>
                <w:sz w:val="21"/>
                <w:szCs w:val="21"/>
              </w:rPr>
              <w:t>赋分标准：</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①</w:t>
            </w:r>
            <w:r>
              <w:rPr>
                <w:rFonts w:hint="eastAsia" w:cs="宋体" w:asciiTheme="minorEastAsia" w:hAnsiTheme="minorEastAsia"/>
                <w:color w:val="000000" w:themeColor="text1"/>
                <w:sz w:val="21"/>
                <w:szCs w:val="21"/>
                <w14:textFill>
                  <w14:solidFill>
                    <w14:schemeClr w14:val="tx1"/>
                  </w14:solidFill>
                </w14:textFill>
              </w:rPr>
              <w:t>对本项目</w:t>
            </w:r>
            <w:r>
              <w:rPr>
                <w:rFonts w:cs="宋体" w:asciiTheme="minorEastAsia" w:hAnsiTheme="minorEastAsia"/>
                <w:color w:val="000000" w:themeColor="text1"/>
                <w:sz w:val="21"/>
                <w:szCs w:val="21"/>
                <w14:textFill>
                  <w14:solidFill>
                    <w14:schemeClr w14:val="tx1"/>
                  </w14:solidFill>
                </w14:textFill>
              </w:rPr>
              <w:t>的总体认识</w:t>
            </w:r>
            <w:r>
              <w:rPr>
                <w:rFonts w:hint="eastAsia" w:ascii="宋体" w:hAnsi="宋体" w:eastAsia="宋体" w:cs="Calibri Light"/>
                <w:sz w:val="21"/>
                <w:szCs w:val="21"/>
              </w:rPr>
              <w:t>：</w:t>
            </w:r>
            <w:r>
              <w:rPr>
                <w:rFonts w:ascii="宋体" w:hAnsi="宋体" w:eastAsia="宋体" w:cs="Calibri Light"/>
                <w:bCs/>
                <w:sz w:val="21"/>
                <w:szCs w:val="21"/>
              </w:rPr>
              <w:t>每满足一项评审标准</w:t>
            </w:r>
            <w:r>
              <w:rPr>
                <w:rFonts w:hint="eastAsia" w:ascii="宋体" w:hAnsi="宋体" w:eastAsia="宋体" w:cs="Calibri Light"/>
                <w:bCs/>
                <w:sz w:val="21"/>
                <w:szCs w:val="21"/>
              </w:rPr>
              <w:t>得</w:t>
            </w:r>
            <w:r>
              <w:rPr>
                <w:rFonts w:ascii="宋体" w:hAnsi="宋体" w:eastAsia="宋体" w:cs="Calibri Light"/>
                <w:bCs/>
                <w:sz w:val="21"/>
                <w:szCs w:val="21"/>
              </w:rPr>
              <w:t>1.5</w:t>
            </w:r>
            <w:r>
              <w:rPr>
                <w:rFonts w:hint="eastAsia" w:ascii="宋体" w:hAnsi="宋体" w:eastAsia="宋体" w:cs="Calibri Light"/>
                <w:bCs/>
                <w:sz w:val="21"/>
                <w:szCs w:val="21"/>
              </w:rPr>
              <w:t>分</w:t>
            </w:r>
            <w:r>
              <w:rPr>
                <w:rFonts w:ascii="宋体" w:hAnsi="宋体" w:eastAsia="宋体" w:cs="Calibri Light"/>
                <w:bCs/>
                <w:sz w:val="21"/>
                <w:szCs w:val="21"/>
              </w:rPr>
              <w:t>，满分3</w:t>
            </w:r>
            <w:r>
              <w:rPr>
                <w:rFonts w:hint="eastAsia" w:ascii="宋体" w:hAnsi="宋体" w:eastAsia="宋体" w:cs="Calibri Light"/>
                <w:bCs/>
                <w:sz w:val="21"/>
                <w:szCs w:val="21"/>
              </w:rPr>
              <w:t>分；</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②</w:t>
            </w:r>
            <w:r>
              <w:rPr>
                <w:rFonts w:hint="eastAsia" w:cs="宋体" w:asciiTheme="minorEastAsia" w:hAnsiTheme="minorEastAsia"/>
                <w:color w:val="000000" w:themeColor="text1"/>
                <w:sz w:val="21"/>
                <w:szCs w:val="21"/>
                <w14:textFill>
                  <w14:solidFill>
                    <w14:schemeClr w14:val="tx1"/>
                  </w14:solidFill>
                </w14:textFill>
              </w:rPr>
              <w:t>站群平台运维服务的整体思路</w:t>
            </w:r>
            <w:r>
              <w:rPr>
                <w:rFonts w:hint="eastAsia" w:ascii="宋体" w:hAnsi="宋体" w:eastAsia="宋体" w:cs="Calibri Light"/>
                <w:sz w:val="21"/>
                <w:szCs w:val="21"/>
              </w:rPr>
              <w:t>：</w:t>
            </w:r>
            <w:r>
              <w:rPr>
                <w:rFonts w:ascii="宋体" w:hAnsi="宋体" w:eastAsia="宋体" w:cs="Calibri Light"/>
                <w:bCs/>
                <w:sz w:val="21"/>
                <w:szCs w:val="21"/>
              </w:rPr>
              <w:t>每满足一项评审标准</w:t>
            </w:r>
            <w:r>
              <w:rPr>
                <w:rFonts w:hint="eastAsia" w:ascii="宋体" w:hAnsi="宋体" w:eastAsia="宋体" w:cs="Calibri Light"/>
                <w:bCs/>
                <w:sz w:val="21"/>
                <w:szCs w:val="21"/>
              </w:rPr>
              <w:t>得</w:t>
            </w:r>
            <w:r>
              <w:rPr>
                <w:rFonts w:ascii="宋体" w:hAnsi="宋体" w:eastAsia="宋体" w:cs="Calibri Light"/>
                <w:bCs/>
                <w:sz w:val="21"/>
                <w:szCs w:val="21"/>
              </w:rPr>
              <w:t>1.5</w:t>
            </w:r>
            <w:r>
              <w:rPr>
                <w:rFonts w:hint="eastAsia" w:ascii="宋体" w:hAnsi="宋体" w:eastAsia="宋体" w:cs="Calibri Light"/>
                <w:bCs/>
                <w:sz w:val="21"/>
                <w:szCs w:val="21"/>
              </w:rPr>
              <w:t>分</w:t>
            </w:r>
            <w:r>
              <w:rPr>
                <w:rFonts w:ascii="宋体" w:hAnsi="宋体" w:eastAsia="宋体" w:cs="Calibri Light"/>
                <w:bCs/>
                <w:sz w:val="21"/>
                <w:szCs w:val="21"/>
              </w:rPr>
              <w:t>，满分4.5</w:t>
            </w:r>
            <w:r>
              <w:rPr>
                <w:rFonts w:hint="eastAsia" w:ascii="宋体" w:hAnsi="宋体" w:eastAsia="宋体" w:cs="Calibri Light"/>
                <w:bCs/>
                <w:sz w:val="21"/>
                <w:szCs w:val="21"/>
              </w:rPr>
              <w:t>分；</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③</w:t>
            </w:r>
            <w:r>
              <w:rPr>
                <w:rFonts w:hint="eastAsia" w:ascii="宋体" w:hAnsi="宋体" w:eastAsia="宋体" w:cs="Calibri Light"/>
                <w:bCs/>
                <w:sz w:val="21"/>
                <w:szCs w:val="21"/>
              </w:rPr>
              <w:t>站群平台服务目标及计划安排</w:t>
            </w:r>
            <w:r>
              <w:rPr>
                <w:rFonts w:hint="eastAsia" w:ascii="宋体" w:hAnsi="宋体" w:eastAsia="宋体" w:cs="Calibri Light"/>
                <w:sz w:val="21"/>
                <w:szCs w:val="21"/>
              </w:rPr>
              <w:t>：</w:t>
            </w:r>
            <w:r>
              <w:rPr>
                <w:rFonts w:ascii="宋体" w:hAnsi="宋体" w:eastAsia="宋体" w:cs="Calibri Light"/>
                <w:bCs/>
                <w:sz w:val="21"/>
                <w:szCs w:val="21"/>
              </w:rPr>
              <w:t>每满足一项评审标准</w:t>
            </w:r>
            <w:r>
              <w:rPr>
                <w:rFonts w:hint="eastAsia" w:ascii="宋体" w:hAnsi="宋体" w:eastAsia="宋体" w:cs="Calibri Light"/>
                <w:bCs/>
                <w:sz w:val="21"/>
                <w:szCs w:val="21"/>
              </w:rPr>
              <w:t>得1</w:t>
            </w:r>
            <w:r>
              <w:rPr>
                <w:rFonts w:ascii="宋体" w:hAnsi="宋体" w:eastAsia="宋体" w:cs="Calibri Light"/>
                <w:bCs/>
                <w:sz w:val="21"/>
                <w:szCs w:val="21"/>
              </w:rPr>
              <w:t>.5</w:t>
            </w:r>
            <w:r>
              <w:rPr>
                <w:rFonts w:hint="eastAsia" w:ascii="宋体" w:hAnsi="宋体" w:eastAsia="宋体" w:cs="Calibri Light"/>
                <w:bCs/>
                <w:sz w:val="21"/>
                <w:szCs w:val="21"/>
              </w:rPr>
              <w:t>分</w:t>
            </w:r>
            <w:r>
              <w:rPr>
                <w:rFonts w:ascii="宋体" w:hAnsi="宋体" w:eastAsia="宋体" w:cs="Calibri Light"/>
                <w:bCs/>
                <w:sz w:val="21"/>
                <w:szCs w:val="21"/>
              </w:rPr>
              <w:t>，满分4.5</w:t>
            </w:r>
            <w:r>
              <w:rPr>
                <w:rFonts w:hint="eastAsia" w:ascii="宋体" w:hAnsi="宋体" w:eastAsia="宋体" w:cs="Calibri Light"/>
                <w:bCs/>
                <w:sz w:val="21"/>
                <w:szCs w:val="21"/>
              </w:rPr>
              <w:t>分。</w:t>
            </w:r>
          </w:p>
        </w:tc>
        <w:tc>
          <w:tcPr>
            <w:tcW w:w="888" w:type="dxa"/>
            <w:vMerge w:val="restart"/>
            <w:shd w:val="clear" w:color="auto" w:fill="auto"/>
            <w:vAlign w:val="center"/>
          </w:tcPr>
          <w:p>
            <w:pPr>
              <w:spacing w:line="320" w:lineRule="exact"/>
              <w:rPr>
                <w:rFonts w:ascii="Calibri" w:hAnsi="宋体" w:eastAsia="宋体"/>
                <w:bCs/>
                <w:color w:val="000000" w:themeColor="text1"/>
                <w:sz w:val="21"/>
                <w:szCs w:val="21"/>
                <w14:textFill>
                  <w14:solidFill>
                    <w14:schemeClr w14:val="tx1"/>
                  </w14:solidFill>
                </w14:textFill>
              </w:rPr>
            </w:pPr>
            <w:r>
              <w:rPr>
                <w:rFonts w:eastAsia="宋体"/>
                <w:bCs/>
                <w:color w:val="FF0000"/>
                <w:sz w:val="21"/>
                <w:szCs w:val="21"/>
              </w:rPr>
              <w:t>不得违反</w:t>
            </w:r>
            <w:r>
              <w:rPr>
                <w:rFonts w:hint="eastAsia" w:eastAsia="宋体"/>
                <w:bCs/>
                <w:color w:val="FF0000"/>
                <w:sz w:val="21"/>
                <w:szCs w:val="21"/>
              </w:rPr>
              <w:t>本章“（二）评标形式”中的响应要求</w:t>
            </w:r>
            <w:r>
              <w:rPr>
                <w:rFonts w:eastAsia="宋体"/>
                <w:bCs/>
                <w:color w:val="FF0000"/>
                <w:sz w:val="21"/>
                <w:szCs w:val="21"/>
              </w:rPr>
              <w:t>，否则，</w:t>
            </w:r>
            <w:r>
              <w:rPr>
                <w:rFonts w:hint="eastAsia" w:eastAsia="宋体"/>
                <w:bCs/>
                <w:color w:val="FF0000"/>
                <w:sz w:val="21"/>
                <w:szCs w:val="21"/>
              </w:rPr>
              <w:t>投标无效。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5" w:hRule="atLeast"/>
        </w:trPr>
        <w:tc>
          <w:tcPr>
            <w:tcW w:w="735" w:type="dxa"/>
            <w:vMerge w:val="continue"/>
            <w:shd w:val="clear" w:color="auto" w:fill="auto"/>
            <w:vAlign w:val="center"/>
          </w:tcPr>
          <w:p>
            <w:pPr>
              <w:spacing w:line="320" w:lineRule="exact"/>
              <w:jc w:val="center"/>
              <w:rPr>
                <w:rFonts w:ascii="Calibri" w:hAnsi="宋体" w:eastAsia="宋体"/>
                <w:color w:val="000000" w:themeColor="text1"/>
                <w:sz w:val="21"/>
                <w:szCs w:val="21"/>
                <w14:textFill>
                  <w14:solidFill>
                    <w14:schemeClr w14:val="tx1"/>
                  </w14:solidFill>
                </w14:textFill>
              </w:rPr>
            </w:pPr>
          </w:p>
        </w:tc>
        <w:tc>
          <w:tcPr>
            <w:tcW w:w="630" w:type="dxa"/>
            <w:vMerge w:val="continue"/>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p>
        </w:tc>
        <w:tc>
          <w:tcPr>
            <w:tcW w:w="945" w:type="dxa"/>
            <w:shd w:val="clear" w:color="auto" w:fill="auto"/>
            <w:vAlign w:val="center"/>
          </w:tcPr>
          <w:p>
            <w:pPr>
              <w:spacing w:line="320" w:lineRule="exact"/>
              <w:jc w:val="center"/>
              <w:rPr>
                <w:rFonts w:ascii="宋体" w:hAnsi="宋体" w:eastAsia="宋体" w:cs="Calibri Light"/>
                <w:bCs/>
                <w:sz w:val="21"/>
                <w:szCs w:val="21"/>
              </w:rPr>
            </w:pPr>
            <w:r>
              <w:rPr>
                <w:rFonts w:ascii="宋体" w:hAnsi="宋体" w:eastAsia="宋体" w:cs="Calibri Light"/>
                <w:bCs/>
                <w:sz w:val="21"/>
                <w:szCs w:val="21"/>
              </w:rPr>
              <w:t>18</w:t>
            </w:r>
          </w:p>
        </w:tc>
        <w:tc>
          <w:tcPr>
            <w:tcW w:w="5869" w:type="dxa"/>
            <w:shd w:val="clear" w:color="auto" w:fill="auto"/>
            <w:vAlign w:val="center"/>
          </w:tcPr>
          <w:p>
            <w:pPr>
              <w:spacing w:line="32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平台技术</w:t>
            </w:r>
            <w:r>
              <w:rPr>
                <w:rFonts w:ascii="宋体" w:hAnsi="宋体" w:eastAsia="宋体" w:cs="Calibri Light"/>
                <w:b/>
                <w:sz w:val="21"/>
                <w:szCs w:val="21"/>
              </w:rPr>
              <w:t>运维服务</w:t>
            </w:r>
            <w:r>
              <w:rPr>
                <w:rFonts w:hint="eastAsia" w:ascii="宋体" w:hAnsi="宋体" w:eastAsia="宋体" w:cs="Calibri Light"/>
                <w:b/>
                <w:sz w:val="21"/>
                <w:szCs w:val="21"/>
              </w:rPr>
              <w:t>方案</w:t>
            </w:r>
            <w:r>
              <w:rPr>
                <w:rFonts w:ascii="宋体" w:hAnsi="宋体" w:eastAsia="宋体" w:cs="Calibri Light"/>
                <w:b/>
                <w:sz w:val="21"/>
                <w:szCs w:val="21"/>
              </w:rPr>
              <w:t>：</w:t>
            </w:r>
          </w:p>
          <w:p>
            <w:pPr>
              <w:autoSpaceDE w:val="0"/>
              <w:autoSpaceDN w:val="0"/>
              <w:adjustRightInd w:val="0"/>
              <w:spacing w:line="28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1、评审内容</w:t>
            </w:r>
            <w:r>
              <w:rPr>
                <w:rFonts w:ascii="宋体" w:hAnsi="宋体" w:eastAsia="宋体" w:cs="Calibri Light"/>
                <w:b/>
                <w:sz w:val="21"/>
                <w:szCs w:val="21"/>
              </w:rPr>
              <w:t>：</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①</w:t>
            </w:r>
            <w:r>
              <w:rPr>
                <w:rFonts w:hint="eastAsia" w:cs="宋体" w:asciiTheme="minorEastAsia" w:hAnsiTheme="minorEastAsia"/>
                <w:color w:val="000000" w:themeColor="text1"/>
                <w:sz w:val="21"/>
                <w:szCs w:val="21"/>
                <w14:textFill>
                  <w14:solidFill>
                    <w14:schemeClr w14:val="tx1"/>
                  </w14:solidFill>
                </w14:textFill>
              </w:rPr>
              <w:t>平台系统</w:t>
            </w:r>
            <w:r>
              <w:rPr>
                <w:rFonts w:cs="宋体" w:asciiTheme="minorEastAsia" w:hAnsiTheme="minorEastAsia"/>
                <w:color w:val="000000" w:themeColor="text1"/>
                <w:sz w:val="21"/>
                <w:szCs w:val="21"/>
                <w14:textFill>
                  <w14:solidFill>
                    <w14:schemeClr w14:val="tx1"/>
                  </w14:solidFill>
                </w14:textFill>
              </w:rPr>
              <w:t>运维方案</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②</w:t>
            </w:r>
            <w:r>
              <w:rPr>
                <w:rFonts w:hint="eastAsia" w:ascii="宋体" w:hAnsi="宋体" w:eastAsia="宋体" w:cs="Calibri Light"/>
                <w:bCs/>
                <w:sz w:val="21"/>
                <w:szCs w:val="21"/>
              </w:rPr>
              <w:t>平台功能运维</w:t>
            </w:r>
            <w:r>
              <w:rPr>
                <w:rFonts w:ascii="宋体" w:hAnsi="宋体" w:eastAsia="宋体" w:cs="Calibri Light"/>
                <w:bCs/>
                <w:sz w:val="21"/>
                <w:szCs w:val="21"/>
              </w:rPr>
              <w:t>方案</w:t>
            </w:r>
          </w:p>
          <w:p>
            <w:pPr>
              <w:autoSpaceDE w:val="0"/>
              <w:autoSpaceDN w:val="0"/>
              <w:adjustRightInd w:val="0"/>
              <w:spacing w:line="28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2、评审标准</w:t>
            </w:r>
            <w:r>
              <w:rPr>
                <w:rFonts w:ascii="宋体" w:hAnsi="宋体" w:eastAsia="宋体" w:cs="Calibri Light"/>
                <w:b/>
                <w:sz w:val="21"/>
                <w:szCs w:val="21"/>
              </w:rPr>
              <w:t>：</w:t>
            </w:r>
          </w:p>
          <w:p>
            <w:pPr>
              <w:autoSpaceDE w:val="0"/>
              <w:autoSpaceDN w:val="0"/>
              <w:adjustRightInd w:val="0"/>
              <w:spacing w:line="30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①完整性：方案须全面，对第三章服务内容中的各项要求有详细描述及说明；</w:t>
            </w:r>
            <w:r>
              <w:rPr>
                <w:rFonts w:ascii="宋体" w:hAnsi="宋体" w:eastAsia="宋体" w:cs="Calibri Light"/>
                <w:bCs/>
                <w:sz w:val="21"/>
                <w:szCs w:val="21"/>
              </w:rPr>
              <w:t xml:space="preserve"> </w:t>
            </w:r>
          </w:p>
          <w:p>
            <w:pPr>
              <w:autoSpaceDE w:val="0"/>
              <w:autoSpaceDN w:val="0"/>
              <w:adjustRightInd w:val="0"/>
              <w:spacing w:line="280" w:lineRule="exact"/>
              <w:ind w:firstLine="420" w:firstLineChars="200"/>
              <w:jc w:val="both"/>
              <w:rPr>
                <w:rFonts w:ascii="宋体" w:hAnsi="宋体" w:eastAsia="宋体" w:cs="Calibri Light"/>
                <w:sz w:val="21"/>
                <w:szCs w:val="21"/>
              </w:rPr>
            </w:pPr>
            <w:r>
              <w:rPr>
                <w:rFonts w:hint="eastAsia" w:ascii="宋体" w:hAnsi="宋体" w:eastAsia="宋体" w:cs="Calibri Light"/>
                <w:sz w:val="21"/>
                <w:szCs w:val="21"/>
              </w:rPr>
              <w:t>②可</w:t>
            </w:r>
            <w:r>
              <w:rPr>
                <w:rFonts w:ascii="宋体" w:hAnsi="宋体" w:eastAsia="宋体" w:cs="Calibri Light"/>
                <w:sz w:val="21"/>
                <w:szCs w:val="21"/>
              </w:rPr>
              <w:t>实施性：</w:t>
            </w:r>
            <w:r>
              <w:rPr>
                <w:rFonts w:hint="eastAsia" w:ascii="宋体" w:hAnsi="宋体" w:eastAsia="宋体" w:cs="Calibri Light"/>
                <w:sz w:val="21"/>
                <w:szCs w:val="21"/>
              </w:rPr>
              <w:t>方案科学</w:t>
            </w:r>
            <w:r>
              <w:rPr>
                <w:rFonts w:ascii="宋体" w:hAnsi="宋体" w:eastAsia="宋体" w:cs="Calibri Light"/>
                <w:sz w:val="21"/>
                <w:szCs w:val="21"/>
              </w:rPr>
              <w:t>合理</w:t>
            </w:r>
            <w:r>
              <w:rPr>
                <w:rFonts w:hint="eastAsia" w:ascii="宋体" w:hAnsi="宋体" w:eastAsia="宋体" w:cs="Calibri Light"/>
                <w:sz w:val="21"/>
                <w:szCs w:val="21"/>
              </w:rPr>
              <w:t>，</w:t>
            </w:r>
            <w:r>
              <w:rPr>
                <w:rFonts w:ascii="宋体" w:hAnsi="宋体" w:eastAsia="宋体" w:cs="Calibri Light"/>
                <w:sz w:val="21"/>
                <w:szCs w:val="21"/>
              </w:rPr>
              <w:t>可操作性强；</w:t>
            </w:r>
          </w:p>
          <w:p>
            <w:pPr>
              <w:autoSpaceDE w:val="0"/>
              <w:autoSpaceDN w:val="0"/>
              <w:adjustRightInd w:val="0"/>
              <w:spacing w:line="280" w:lineRule="exact"/>
              <w:ind w:firstLine="420" w:firstLineChars="200"/>
              <w:jc w:val="both"/>
              <w:rPr>
                <w:rFonts w:ascii="宋体" w:hAnsi="宋体" w:eastAsia="宋体" w:cs="Calibri Light"/>
                <w:sz w:val="21"/>
                <w:szCs w:val="21"/>
              </w:rPr>
            </w:pPr>
            <w:r>
              <w:rPr>
                <w:rFonts w:hint="eastAsia" w:ascii="宋体" w:hAnsi="宋体" w:eastAsia="宋体" w:cs="Calibri Light"/>
                <w:sz w:val="21"/>
                <w:szCs w:val="21"/>
              </w:rPr>
              <w:t>③针对性</w:t>
            </w:r>
            <w:r>
              <w:rPr>
                <w:rFonts w:ascii="宋体" w:hAnsi="宋体" w:eastAsia="宋体" w:cs="Calibri Light"/>
                <w:sz w:val="21"/>
                <w:szCs w:val="21"/>
              </w:rPr>
              <w:t>：</w:t>
            </w:r>
            <w:r>
              <w:rPr>
                <w:rFonts w:hint="eastAsia" w:ascii="宋体" w:hAnsi="宋体" w:eastAsia="宋体" w:cs="Calibri Light"/>
                <w:sz w:val="21"/>
                <w:szCs w:val="21"/>
              </w:rPr>
              <w:t>方案能紧扣</w:t>
            </w:r>
            <w:r>
              <w:rPr>
                <w:rFonts w:ascii="宋体" w:hAnsi="宋体" w:eastAsia="宋体" w:cs="Calibri Light"/>
                <w:sz w:val="21"/>
                <w:szCs w:val="21"/>
              </w:rPr>
              <w:t>本</w:t>
            </w:r>
            <w:r>
              <w:rPr>
                <w:rFonts w:hint="eastAsia" w:ascii="宋体" w:hAnsi="宋体" w:eastAsia="宋体" w:cs="Calibri Light"/>
                <w:sz w:val="21"/>
                <w:szCs w:val="21"/>
              </w:rPr>
              <w:t>项目</w:t>
            </w:r>
            <w:r>
              <w:rPr>
                <w:rFonts w:ascii="宋体" w:hAnsi="宋体" w:eastAsia="宋体" w:cs="Calibri Light"/>
                <w:sz w:val="21"/>
                <w:szCs w:val="21"/>
              </w:rPr>
              <w:t>实际情况，</w:t>
            </w:r>
            <w:r>
              <w:rPr>
                <w:rFonts w:hint="eastAsia" w:ascii="宋体" w:hAnsi="宋体" w:eastAsia="宋体" w:cs="Calibri Light"/>
                <w:sz w:val="21"/>
                <w:szCs w:val="21"/>
              </w:rPr>
              <w:t>满足</w:t>
            </w:r>
            <w:r>
              <w:rPr>
                <w:rFonts w:ascii="宋体" w:hAnsi="宋体" w:eastAsia="宋体" w:cs="Calibri Light"/>
                <w:sz w:val="21"/>
                <w:szCs w:val="21"/>
              </w:rPr>
              <w:t>本项目各项具体要求。</w:t>
            </w:r>
          </w:p>
          <w:p>
            <w:pPr>
              <w:autoSpaceDE w:val="0"/>
              <w:autoSpaceDN w:val="0"/>
              <w:adjustRightInd w:val="0"/>
              <w:spacing w:line="28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3、</w:t>
            </w:r>
            <w:r>
              <w:rPr>
                <w:rFonts w:ascii="宋体" w:hAnsi="宋体" w:eastAsia="宋体" w:cs="Calibri Light"/>
                <w:b/>
                <w:sz w:val="21"/>
                <w:szCs w:val="21"/>
              </w:rPr>
              <w:t>赋分标准：</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①</w:t>
            </w:r>
            <w:r>
              <w:rPr>
                <w:rFonts w:hint="eastAsia" w:cs="宋体" w:asciiTheme="minorEastAsia" w:hAnsiTheme="minorEastAsia"/>
                <w:color w:val="000000" w:themeColor="text1"/>
                <w:sz w:val="21"/>
                <w:szCs w:val="21"/>
                <w14:textFill>
                  <w14:solidFill>
                    <w14:schemeClr w14:val="tx1"/>
                  </w14:solidFill>
                </w14:textFill>
              </w:rPr>
              <w:t>平台系统</w:t>
            </w:r>
            <w:r>
              <w:rPr>
                <w:rFonts w:cs="宋体" w:asciiTheme="minorEastAsia" w:hAnsiTheme="minorEastAsia"/>
                <w:color w:val="000000" w:themeColor="text1"/>
                <w:sz w:val="21"/>
                <w:szCs w:val="21"/>
                <w14:textFill>
                  <w14:solidFill>
                    <w14:schemeClr w14:val="tx1"/>
                  </w14:solidFill>
                </w14:textFill>
              </w:rPr>
              <w:t>运维方案</w:t>
            </w:r>
            <w:r>
              <w:rPr>
                <w:rFonts w:hint="eastAsia" w:ascii="宋体" w:hAnsi="宋体" w:eastAsia="宋体" w:cs="Calibri Light"/>
                <w:sz w:val="21"/>
                <w:szCs w:val="21"/>
              </w:rPr>
              <w:t>：</w:t>
            </w:r>
            <w:r>
              <w:rPr>
                <w:rFonts w:ascii="宋体" w:hAnsi="宋体" w:eastAsia="宋体" w:cs="Calibri Light"/>
                <w:bCs/>
                <w:sz w:val="21"/>
                <w:szCs w:val="21"/>
              </w:rPr>
              <w:t>每满足一项评审标准</w:t>
            </w:r>
            <w:r>
              <w:rPr>
                <w:rFonts w:hint="eastAsia" w:ascii="宋体" w:hAnsi="宋体" w:eastAsia="宋体" w:cs="Calibri Light"/>
                <w:bCs/>
                <w:sz w:val="21"/>
                <w:szCs w:val="21"/>
              </w:rPr>
              <w:t>得</w:t>
            </w:r>
            <w:r>
              <w:rPr>
                <w:rFonts w:ascii="宋体" w:hAnsi="宋体" w:eastAsia="宋体" w:cs="Calibri Light"/>
                <w:bCs/>
                <w:sz w:val="21"/>
                <w:szCs w:val="21"/>
              </w:rPr>
              <w:t>3</w:t>
            </w:r>
            <w:r>
              <w:rPr>
                <w:rFonts w:hint="eastAsia" w:ascii="宋体" w:hAnsi="宋体" w:eastAsia="宋体" w:cs="Calibri Light"/>
                <w:bCs/>
                <w:sz w:val="21"/>
                <w:szCs w:val="21"/>
              </w:rPr>
              <w:t>分</w:t>
            </w:r>
            <w:r>
              <w:rPr>
                <w:rFonts w:ascii="宋体" w:hAnsi="宋体" w:eastAsia="宋体" w:cs="Calibri Light"/>
                <w:bCs/>
                <w:sz w:val="21"/>
                <w:szCs w:val="21"/>
              </w:rPr>
              <w:t>，满分9</w:t>
            </w:r>
            <w:r>
              <w:rPr>
                <w:rFonts w:hint="eastAsia" w:ascii="宋体" w:hAnsi="宋体" w:eastAsia="宋体" w:cs="Calibri Light"/>
                <w:bCs/>
                <w:sz w:val="21"/>
                <w:szCs w:val="21"/>
              </w:rPr>
              <w:t>分；</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②</w:t>
            </w:r>
            <w:r>
              <w:rPr>
                <w:rFonts w:hint="eastAsia" w:ascii="宋体" w:hAnsi="宋体" w:eastAsia="宋体" w:cs="Calibri Light"/>
                <w:bCs/>
                <w:sz w:val="21"/>
                <w:szCs w:val="21"/>
              </w:rPr>
              <w:t>平台功能运维</w:t>
            </w:r>
            <w:r>
              <w:rPr>
                <w:rFonts w:ascii="宋体" w:hAnsi="宋体" w:eastAsia="宋体" w:cs="Calibri Light"/>
                <w:bCs/>
                <w:sz w:val="21"/>
                <w:szCs w:val="21"/>
              </w:rPr>
              <w:t>方案</w:t>
            </w:r>
            <w:r>
              <w:rPr>
                <w:rFonts w:hint="eastAsia" w:ascii="宋体" w:hAnsi="宋体" w:eastAsia="宋体" w:cs="Calibri Light"/>
                <w:sz w:val="21"/>
                <w:szCs w:val="21"/>
              </w:rPr>
              <w:t>：</w:t>
            </w:r>
            <w:r>
              <w:rPr>
                <w:rFonts w:ascii="宋体" w:hAnsi="宋体" w:eastAsia="宋体" w:cs="Calibri Light"/>
                <w:bCs/>
                <w:sz w:val="21"/>
                <w:szCs w:val="21"/>
              </w:rPr>
              <w:t>每满足一项评审标准</w:t>
            </w:r>
            <w:r>
              <w:rPr>
                <w:rFonts w:hint="eastAsia" w:ascii="宋体" w:hAnsi="宋体" w:eastAsia="宋体" w:cs="Calibri Light"/>
                <w:bCs/>
                <w:sz w:val="21"/>
                <w:szCs w:val="21"/>
              </w:rPr>
              <w:t>得</w:t>
            </w:r>
            <w:r>
              <w:rPr>
                <w:rFonts w:ascii="宋体" w:hAnsi="宋体" w:eastAsia="宋体" w:cs="Calibri Light"/>
                <w:bCs/>
                <w:sz w:val="21"/>
                <w:szCs w:val="21"/>
              </w:rPr>
              <w:t>3</w:t>
            </w:r>
            <w:r>
              <w:rPr>
                <w:rFonts w:hint="eastAsia" w:ascii="宋体" w:hAnsi="宋体" w:eastAsia="宋体" w:cs="Calibri Light"/>
                <w:bCs/>
                <w:sz w:val="21"/>
                <w:szCs w:val="21"/>
              </w:rPr>
              <w:t>分</w:t>
            </w:r>
            <w:r>
              <w:rPr>
                <w:rFonts w:ascii="宋体" w:hAnsi="宋体" w:eastAsia="宋体" w:cs="Calibri Light"/>
                <w:bCs/>
                <w:sz w:val="21"/>
                <w:szCs w:val="21"/>
              </w:rPr>
              <w:t>，满分9</w:t>
            </w:r>
            <w:r>
              <w:rPr>
                <w:rFonts w:hint="eastAsia" w:ascii="宋体" w:hAnsi="宋体" w:eastAsia="宋体" w:cs="Calibri Light"/>
                <w:bCs/>
                <w:sz w:val="21"/>
                <w:szCs w:val="21"/>
              </w:rPr>
              <w:t>分。</w:t>
            </w:r>
          </w:p>
        </w:tc>
        <w:tc>
          <w:tcPr>
            <w:tcW w:w="888" w:type="dxa"/>
            <w:vMerge w:val="continue"/>
            <w:shd w:val="clear" w:color="auto" w:fill="auto"/>
            <w:vAlign w:val="center"/>
          </w:tcPr>
          <w:p>
            <w:pPr>
              <w:spacing w:line="320" w:lineRule="exact"/>
              <w:rPr>
                <w:rFonts w:eastAsia="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9" w:hRule="atLeast"/>
        </w:trPr>
        <w:tc>
          <w:tcPr>
            <w:tcW w:w="735" w:type="dxa"/>
            <w:vMerge w:val="continue"/>
            <w:shd w:val="clear" w:color="auto" w:fill="auto"/>
            <w:vAlign w:val="center"/>
          </w:tcPr>
          <w:p>
            <w:pPr>
              <w:spacing w:line="320" w:lineRule="exact"/>
              <w:jc w:val="center"/>
              <w:rPr>
                <w:rFonts w:ascii="Calibri" w:hAnsi="宋体" w:eastAsia="宋体"/>
                <w:color w:val="000000" w:themeColor="text1"/>
                <w:sz w:val="21"/>
                <w:szCs w:val="21"/>
                <w14:textFill>
                  <w14:solidFill>
                    <w14:schemeClr w14:val="tx1"/>
                  </w14:solidFill>
                </w14:textFill>
              </w:rPr>
            </w:pPr>
          </w:p>
        </w:tc>
        <w:tc>
          <w:tcPr>
            <w:tcW w:w="630" w:type="dxa"/>
            <w:vMerge w:val="continue"/>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p>
        </w:tc>
        <w:tc>
          <w:tcPr>
            <w:tcW w:w="945" w:type="dxa"/>
            <w:shd w:val="clear" w:color="auto" w:fill="auto"/>
            <w:vAlign w:val="center"/>
          </w:tcPr>
          <w:p>
            <w:pPr>
              <w:spacing w:line="320" w:lineRule="exact"/>
              <w:jc w:val="center"/>
              <w:rPr>
                <w:rFonts w:ascii="宋体" w:hAnsi="宋体" w:eastAsia="宋体" w:cs="Calibri Light"/>
                <w:bCs/>
                <w:sz w:val="21"/>
                <w:szCs w:val="21"/>
              </w:rPr>
            </w:pPr>
            <w:r>
              <w:rPr>
                <w:rFonts w:ascii="宋体" w:hAnsi="宋体" w:eastAsia="宋体" w:cs="Calibri Light"/>
                <w:bCs/>
                <w:sz w:val="21"/>
                <w:szCs w:val="21"/>
              </w:rPr>
              <w:t>18</w:t>
            </w:r>
          </w:p>
        </w:tc>
        <w:tc>
          <w:tcPr>
            <w:tcW w:w="5869" w:type="dxa"/>
            <w:shd w:val="clear" w:color="auto" w:fill="auto"/>
            <w:vAlign w:val="center"/>
          </w:tcPr>
          <w:p>
            <w:pPr>
              <w:spacing w:line="320" w:lineRule="exact"/>
              <w:ind w:firstLine="422"/>
              <w:jc w:val="both"/>
              <w:rPr>
                <w:rFonts w:ascii="Calibri" w:hAnsi="宋体" w:eastAsia="宋体" w:cs="Calibri Light"/>
                <w:b/>
                <w:bCs/>
                <w:kern w:val="2"/>
                <w:sz w:val="21"/>
                <w:szCs w:val="21"/>
              </w:rPr>
            </w:pPr>
            <w:r>
              <w:rPr>
                <w:rFonts w:hint="eastAsia" w:ascii="Calibri" w:hAnsi="宋体" w:eastAsia="宋体" w:cs="Calibri Light"/>
                <w:b/>
                <w:bCs/>
                <w:kern w:val="2"/>
                <w:sz w:val="21"/>
                <w:szCs w:val="21"/>
              </w:rPr>
              <w:t>网站内容</w:t>
            </w:r>
            <w:r>
              <w:rPr>
                <w:rFonts w:ascii="Calibri" w:hAnsi="宋体" w:eastAsia="宋体" w:cs="Calibri Light"/>
                <w:b/>
                <w:bCs/>
                <w:kern w:val="2"/>
                <w:sz w:val="21"/>
                <w:szCs w:val="21"/>
              </w:rPr>
              <w:t>运维服务方案</w:t>
            </w:r>
            <w:r>
              <w:rPr>
                <w:rFonts w:hint="eastAsia" w:ascii="Calibri" w:hAnsi="宋体" w:eastAsia="宋体" w:cs="Calibri Light"/>
                <w:b/>
                <w:bCs/>
                <w:kern w:val="2"/>
                <w:sz w:val="21"/>
                <w:szCs w:val="21"/>
              </w:rPr>
              <w:t>：</w:t>
            </w:r>
          </w:p>
          <w:p>
            <w:pPr>
              <w:autoSpaceDE w:val="0"/>
              <w:autoSpaceDN w:val="0"/>
              <w:adjustRightInd w:val="0"/>
              <w:spacing w:line="28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1、评审内容</w:t>
            </w:r>
            <w:r>
              <w:rPr>
                <w:rFonts w:ascii="宋体" w:hAnsi="宋体" w:eastAsia="宋体" w:cs="Calibri Light"/>
                <w:b/>
                <w:sz w:val="21"/>
                <w:szCs w:val="21"/>
              </w:rPr>
              <w:t>：</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①</w:t>
            </w:r>
            <w:r>
              <w:rPr>
                <w:rFonts w:hint="eastAsia" w:eastAsia="宋体"/>
                <w:bCs/>
                <w:color w:val="000000" w:themeColor="text1"/>
                <w:sz w:val="21"/>
                <w:szCs w:val="21"/>
                <w14:textFill>
                  <w14:solidFill>
                    <w14:schemeClr w14:val="tx1"/>
                  </w14:solidFill>
                </w14:textFill>
              </w:rPr>
              <w:t>站群平台网站内容运维</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②</w:t>
            </w:r>
            <w:r>
              <w:rPr>
                <w:rFonts w:hint="eastAsia" w:eastAsia="宋体"/>
                <w:bCs/>
                <w:color w:val="000000" w:themeColor="text1"/>
                <w:sz w:val="21"/>
                <w:szCs w:val="21"/>
                <w14:textFill>
                  <w14:solidFill>
                    <w14:schemeClr w14:val="tx1"/>
                  </w14:solidFill>
                </w14:textFill>
              </w:rPr>
              <w:t>市政府网站内容运维</w:t>
            </w:r>
          </w:p>
          <w:p>
            <w:pPr>
              <w:autoSpaceDE w:val="0"/>
              <w:autoSpaceDN w:val="0"/>
              <w:adjustRightInd w:val="0"/>
              <w:spacing w:line="28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2、评审标准</w:t>
            </w:r>
            <w:r>
              <w:rPr>
                <w:rFonts w:ascii="宋体" w:hAnsi="宋体" w:eastAsia="宋体" w:cs="Calibri Light"/>
                <w:b/>
                <w:sz w:val="21"/>
                <w:szCs w:val="21"/>
              </w:rPr>
              <w:t>：</w:t>
            </w:r>
          </w:p>
          <w:p>
            <w:pPr>
              <w:autoSpaceDE w:val="0"/>
              <w:autoSpaceDN w:val="0"/>
              <w:adjustRightInd w:val="0"/>
              <w:spacing w:line="30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①完整性：方案须全面，对第三章服务内容中的各项要求有详细描述及说明；</w:t>
            </w:r>
            <w:r>
              <w:rPr>
                <w:rFonts w:ascii="宋体" w:hAnsi="宋体" w:eastAsia="宋体" w:cs="Calibri Light"/>
                <w:bCs/>
                <w:sz w:val="21"/>
                <w:szCs w:val="21"/>
              </w:rPr>
              <w:t xml:space="preserve"> </w:t>
            </w:r>
          </w:p>
          <w:p>
            <w:pPr>
              <w:autoSpaceDE w:val="0"/>
              <w:autoSpaceDN w:val="0"/>
              <w:adjustRightInd w:val="0"/>
              <w:spacing w:line="280" w:lineRule="exact"/>
              <w:ind w:firstLine="420" w:firstLineChars="200"/>
              <w:jc w:val="both"/>
              <w:rPr>
                <w:rFonts w:ascii="宋体" w:hAnsi="宋体" w:eastAsia="宋体" w:cs="Calibri Light"/>
                <w:sz w:val="21"/>
                <w:szCs w:val="21"/>
              </w:rPr>
            </w:pPr>
            <w:r>
              <w:rPr>
                <w:rFonts w:hint="eastAsia" w:ascii="宋体" w:hAnsi="宋体" w:eastAsia="宋体" w:cs="Calibri Light"/>
                <w:sz w:val="21"/>
                <w:szCs w:val="21"/>
              </w:rPr>
              <w:t>②可</w:t>
            </w:r>
            <w:r>
              <w:rPr>
                <w:rFonts w:ascii="宋体" w:hAnsi="宋体" w:eastAsia="宋体" w:cs="Calibri Light"/>
                <w:sz w:val="21"/>
                <w:szCs w:val="21"/>
              </w:rPr>
              <w:t>实施性：</w:t>
            </w:r>
            <w:r>
              <w:rPr>
                <w:rFonts w:hint="eastAsia" w:ascii="宋体" w:hAnsi="宋体" w:eastAsia="宋体" w:cs="Calibri Light"/>
                <w:sz w:val="21"/>
                <w:szCs w:val="21"/>
              </w:rPr>
              <w:t>方案科学</w:t>
            </w:r>
            <w:r>
              <w:rPr>
                <w:rFonts w:ascii="宋体" w:hAnsi="宋体" w:eastAsia="宋体" w:cs="Calibri Light"/>
                <w:sz w:val="21"/>
                <w:szCs w:val="21"/>
              </w:rPr>
              <w:t>合理</w:t>
            </w:r>
            <w:r>
              <w:rPr>
                <w:rFonts w:hint="eastAsia" w:ascii="宋体" w:hAnsi="宋体" w:eastAsia="宋体" w:cs="Calibri Light"/>
                <w:sz w:val="21"/>
                <w:szCs w:val="21"/>
              </w:rPr>
              <w:t>，</w:t>
            </w:r>
            <w:r>
              <w:rPr>
                <w:rFonts w:ascii="宋体" w:hAnsi="宋体" w:eastAsia="宋体" w:cs="Calibri Light"/>
                <w:sz w:val="21"/>
                <w:szCs w:val="21"/>
              </w:rPr>
              <w:t>可操作性强；</w:t>
            </w:r>
          </w:p>
          <w:p>
            <w:pPr>
              <w:autoSpaceDE w:val="0"/>
              <w:autoSpaceDN w:val="0"/>
              <w:adjustRightInd w:val="0"/>
              <w:spacing w:line="280" w:lineRule="exact"/>
              <w:ind w:firstLine="420" w:firstLineChars="200"/>
              <w:jc w:val="both"/>
              <w:rPr>
                <w:rFonts w:ascii="宋体" w:hAnsi="宋体" w:eastAsia="宋体" w:cs="Calibri Light"/>
                <w:sz w:val="21"/>
                <w:szCs w:val="21"/>
              </w:rPr>
            </w:pPr>
            <w:r>
              <w:rPr>
                <w:rFonts w:hint="eastAsia" w:ascii="宋体" w:hAnsi="宋体" w:eastAsia="宋体" w:cs="Calibri Light"/>
                <w:sz w:val="21"/>
                <w:szCs w:val="21"/>
              </w:rPr>
              <w:t>③针对性</w:t>
            </w:r>
            <w:r>
              <w:rPr>
                <w:rFonts w:ascii="宋体" w:hAnsi="宋体" w:eastAsia="宋体" w:cs="Calibri Light"/>
                <w:sz w:val="21"/>
                <w:szCs w:val="21"/>
              </w:rPr>
              <w:t>：</w:t>
            </w:r>
            <w:r>
              <w:rPr>
                <w:rFonts w:hint="eastAsia" w:ascii="宋体" w:hAnsi="宋体" w:eastAsia="宋体" w:cs="Calibri Light"/>
                <w:sz w:val="21"/>
                <w:szCs w:val="21"/>
              </w:rPr>
              <w:t>方案能紧扣</w:t>
            </w:r>
            <w:r>
              <w:rPr>
                <w:rFonts w:ascii="宋体" w:hAnsi="宋体" w:eastAsia="宋体" w:cs="Calibri Light"/>
                <w:sz w:val="21"/>
                <w:szCs w:val="21"/>
              </w:rPr>
              <w:t>本</w:t>
            </w:r>
            <w:r>
              <w:rPr>
                <w:rFonts w:hint="eastAsia" w:ascii="宋体" w:hAnsi="宋体" w:eastAsia="宋体" w:cs="Calibri Light"/>
                <w:sz w:val="21"/>
                <w:szCs w:val="21"/>
              </w:rPr>
              <w:t>项目</w:t>
            </w:r>
            <w:r>
              <w:rPr>
                <w:rFonts w:ascii="宋体" w:hAnsi="宋体" w:eastAsia="宋体" w:cs="Calibri Light"/>
                <w:sz w:val="21"/>
                <w:szCs w:val="21"/>
              </w:rPr>
              <w:t>实际情况，</w:t>
            </w:r>
            <w:r>
              <w:rPr>
                <w:rFonts w:hint="eastAsia" w:ascii="宋体" w:hAnsi="宋体" w:eastAsia="宋体" w:cs="Calibri Light"/>
                <w:sz w:val="21"/>
                <w:szCs w:val="21"/>
              </w:rPr>
              <w:t>满足</w:t>
            </w:r>
            <w:r>
              <w:rPr>
                <w:rFonts w:ascii="宋体" w:hAnsi="宋体" w:eastAsia="宋体" w:cs="Calibri Light"/>
                <w:sz w:val="21"/>
                <w:szCs w:val="21"/>
              </w:rPr>
              <w:t>本项目各项具体要求。</w:t>
            </w:r>
          </w:p>
          <w:p>
            <w:pPr>
              <w:autoSpaceDE w:val="0"/>
              <w:autoSpaceDN w:val="0"/>
              <w:adjustRightInd w:val="0"/>
              <w:spacing w:line="28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3、</w:t>
            </w:r>
            <w:r>
              <w:rPr>
                <w:rFonts w:ascii="宋体" w:hAnsi="宋体" w:eastAsia="宋体" w:cs="Calibri Light"/>
                <w:b/>
                <w:sz w:val="21"/>
                <w:szCs w:val="21"/>
              </w:rPr>
              <w:t>赋分标准：</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①</w:t>
            </w:r>
            <w:r>
              <w:rPr>
                <w:rFonts w:hint="eastAsia" w:eastAsia="宋体"/>
                <w:bCs/>
                <w:color w:val="000000" w:themeColor="text1"/>
                <w:sz w:val="21"/>
                <w:szCs w:val="21"/>
                <w14:textFill>
                  <w14:solidFill>
                    <w14:schemeClr w14:val="tx1"/>
                  </w14:solidFill>
                </w14:textFill>
              </w:rPr>
              <w:t>站群平台网站内容运维：</w:t>
            </w:r>
            <w:r>
              <w:rPr>
                <w:rFonts w:ascii="宋体" w:hAnsi="宋体" w:eastAsia="宋体" w:cs="Calibri Light"/>
                <w:bCs/>
                <w:sz w:val="21"/>
                <w:szCs w:val="21"/>
              </w:rPr>
              <w:t>每满足一项评审标准</w:t>
            </w:r>
            <w:r>
              <w:rPr>
                <w:rFonts w:hint="eastAsia" w:ascii="宋体" w:hAnsi="宋体" w:eastAsia="宋体" w:cs="Calibri Light"/>
                <w:bCs/>
                <w:sz w:val="21"/>
                <w:szCs w:val="21"/>
              </w:rPr>
              <w:t>得</w:t>
            </w:r>
            <w:r>
              <w:rPr>
                <w:rFonts w:ascii="宋体" w:hAnsi="宋体" w:eastAsia="宋体" w:cs="Calibri Light"/>
                <w:bCs/>
                <w:sz w:val="21"/>
                <w:szCs w:val="21"/>
              </w:rPr>
              <w:t>3</w:t>
            </w:r>
            <w:r>
              <w:rPr>
                <w:rFonts w:hint="eastAsia" w:ascii="宋体" w:hAnsi="宋体" w:eastAsia="宋体" w:cs="Calibri Light"/>
                <w:bCs/>
                <w:sz w:val="21"/>
                <w:szCs w:val="21"/>
              </w:rPr>
              <w:t>分</w:t>
            </w:r>
            <w:r>
              <w:rPr>
                <w:rFonts w:ascii="宋体" w:hAnsi="宋体" w:eastAsia="宋体" w:cs="Calibri Light"/>
                <w:bCs/>
                <w:sz w:val="21"/>
                <w:szCs w:val="21"/>
              </w:rPr>
              <w:t>，满分9</w:t>
            </w:r>
            <w:r>
              <w:rPr>
                <w:rFonts w:hint="eastAsia" w:ascii="宋体" w:hAnsi="宋体" w:eastAsia="宋体" w:cs="Calibri Light"/>
                <w:bCs/>
                <w:sz w:val="21"/>
                <w:szCs w:val="21"/>
              </w:rPr>
              <w:t>分；</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②</w:t>
            </w:r>
            <w:r>
              <w:rPr>
                <w:rFonts w:hint="eastAsia" w:eastAsia="宋体"/>
                <w:bCs/>
                <w:color w:val="000000" w:themeColor="text1"/>
                <w:sz w:val="21"/>
                <w:szCs w:val="21"/>
                <w14:textFill>
                  <w14:solidFill>
                    <w14:schemeClr w14:val="tx1"/>
                  </w14:solidFill>
                </w14:textFill>
              </w:rPr>
              <w:t>市政府网站内容运维：</w:t>
            </w:r>
            <w:r>
              <w:rPr>
                <w:rFonts w:ascii="宋体" w:hAnsi="宋体" w:eastAsia="宋体" w:cs="Calibri Light"/>
                <w:bCs/>
                <w:sz w:val="21"/>
                <w:szCs w:val="21"/>
              </w:rPr>
              <w:t>每满足一项评审标准</w:t>
            </w:r>
            <w:r>
              <w:rPr>
                <w:rFonts w:hint="eastAsia" w:ascii="宋体" w:hAnsi="宋体" w:eastAsia="宋体" w:cs="Calibri Light"/>
                <w:bCs/>
                <w:sz w:val="21"/>
                <w:szCs w:val="21"/>
              </w:rPr>
              <w:t>得</w:t>
            </w:r>
            <w:r>
              <w:rPr>
                <w:rFonts w:ascii="宋体" w:hAnsi="宋体" w:eastAsia="宋体" w:cs="Calibri Light"/>
                <w:bCs/>
                <w:sz w:val="21"/>
                <w:szCs w:val="21"/>
              </w:rPr>
              <w:t>3</w:t>
            </w:r>
            <w:r>
              <w:rPr>
                <w:rFonts w:hint="eastAsia" w:ascii="宋体" w:hAnsi="宋体" w:eastAsia="宋体" w:cs="Calibri Light"/>
                <w:bCs/>
                <w:sz w:val="21"/>
                <w:szCs w:val="21"/>
              </w:rPr>
              <w:t>分</w:t>
            </w:r>
            <w:r>
              <w:rPr>
                <w:rFonts w:ascii="宋体" w:hAnsi="宋体" w:eastAsia="宋体" w:cs="Calibri Light"/>
                <w:bCs/>
                <w:sz w:val="21"/>
                <w:szCs w:val="21"/>
              </w:rPr>
              <w:t>，满分9</w:t>
            </w:r>
            <w:r>
              <w:rPr>
                <w:rFonts w:hint="eastAsia" w:ascii="宋体" w:hAnsi="宋体" w:eastAsia="宋体" w:cs="Calibri Light"/>
                <w:bCs/>
                <w:sz w:val="21"/>
                <w:szCs w:val="21"/>
              </w:rPr>
              <w:t>分。</w:t>
            </w:r>
          </w:p>
        </w:tc>
        <w:tc>
          <w:tcPr>
            <w:tcW w:w="888" w:type="dxa"/>
            <w:vMerge w:val="continue"/>
            <w:shd w:val="clear" w:color="auto" w:fill="auto"/>
            <w:vAlign w:val="center"/>
          </w:tcPr>
          <w:p>
            <w:pPr>
              <w:spacing w:line="320" w:lineRule="exact"/>
              <w:rPr>
                <w:rFonts w:eastAsia="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8" w:hRule="atLeast"/>
        </w:trPr>
        <w:tc>
          <w:tcPr>
            <w:tcW w:w="735" w:type="dxa"/>
            <w:vMerge w:val="restart"/>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r>
              <w:rPr>
                <w:rFonts w:hint="eastAsia" w:ascii="Calibri" w:hAnsi="宋体" w:eastAsia="宋体"/>
                <w:bCs/>
                <w:color w:val="000000" w:themeColor="text1"/>
                <w:sz w:val="21"/>
                <w:szCs w:val="21"/>
                <w14:textFill>
                  <w14:solidFill>
                    <w14:schemeClr w14:val="tx1"/>
                  </w14:solidFill>
                </w14:textFill>
              </w:rPr>
              <w:t>商务</w:t>
            </w:r>
            <w:r>
              <w:rPr>
                <w:rFonts w:ascii="Calibri" w:hAnsi="宋体" w:eastAsia="宋体"/>
                <w:bCs/>
                <w:color w:val="000000" w:themeColor="text1"/>
                <w:sz w:val="21"/>
                <w:szCs w:val="21"/>
                <w14:textFill>
                  <w14:solidFill>
                    <w14:schemeClr w14:val="tx1"/>
                  </w14:solidFill>
                </w14:textFill>
              </w:rPr>
              <w:t>评审部分</w:t>
            </w:r>
          </w:p>
        </w:tc>
        <w:tc>
          <w:tcPr>
            <w:tcW w:w="630" w:type="dxa"/>
            <w:vMerge w:val="restart"/>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r>
              <w:rPr>
                <w:rFonts w:ascii="Calibri" w:hAnsi="宋体" w:eastAsia="宋体"/>
                <w:bCs/>
                <w:color w:val="000000" w:themeColor="text1"/>
                <w:sz w:val="21"/>
                <w:szCs w:val="21"/>
                <w14:textFill>
                  <w14:solidFill>
                    <w14:schemeClr w14:val="tx1"/>
                  </w14:solidFill>
                </w14:textFill>
              </w:rPr>
              <w:t>42</w:t>
            </w:r>
          </w:p>
        </w:tc>
        <w:tc>
          <w:tcPr>
            <w:tcW w:w="945" w:type="dxa"/>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r>
              <w:rPr>
                <w:rFonts w:ascii="Calibri" w:hAnsi="宋体" w:eastAsia="宋体"/>
                <w:bCs/>
                <w:color w:val="000000" w:themeColor="text1"/>
                <w:sz w:val="21"/>
                <w:szCs w:val="21"/>
                <w14:textFill>
                  <w14:solidFill>
                    <w14:schemeClr w14:val="tx1"/>
                  </w14:solidFill>
                </w14:textFill>
              </w:rPr>
              <w:t>6</w:t>
            </w:r>
          </w:p>
        </w:tc>
        <w:tc>
          <w:tcPr>
            <w:tcW w:w="5869" w:type="dxa"/>
            <w:shd w:val="clear" w:color="auto" w:fill="auto"/>
            <w:vAlign w:val="center"/>
          </w:tcPr>
          <w:p>
            <w:pPr>
              <w:spacing w:line="320" w:lineRule="exact"/>
              <w:ind w:firstLine="420"/>
              <w:jc w:val="both"/>
              <w:rPr>
                <w:rFonts w:ascii="Calibri" w:hAnsi="宋体" w:eastAsia="宋体" w:cs="Calibri Light"/>
                <w:b/>
                <w:bCs/>
                <w:kern w:val="2"/>
                <w:sz w:val="21"/>
                <w:szCs w:val="21"/>
              </w:rPr>
            </w:pPr>
            <w:r>
              <w:rPr>
                <w:rFonts w:hint="eastAsia" w:ascii="Calibri" w:hAnsi="宋体" w:eastAsia="宋体" w:cs="Calibri Light"/>
                <w:b/>
                <w:bCs/>
                <w:kern w:val="2"/>
                <w:sz w:val="21"/>
                <w:szCs w:val="21"/>
              </w:rPr>
              <w:t>管理制度：</w:t>
            </w:r>
          </w:p>
          <w:p>
            <w:pPr>
              <w:autoSpaceDE w:val="0"/>
              <w:autoSpaceDN w:val="0"/>
              <w:adjustRightInd w:val="0"/>
              <w:spacing w:line="28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1、评审内容</w:t>
            </w:r>
            <w:r>
              <w:rPr>
                <w:rFonts w:ascii="宋体" w:hAnsi="宋体" w:eastAsia="宋体" w:cs="Calibri Light"/>
                <w:b/>
                <w:sz w:val="21"/>
                <w:szCs w:val="21"/>
              </w:rPr>
              <w:t>：</w:t>
            </w:r>
          </w:p>
          <w:p>
            <w:pPr>
              <w:autoSpaceDE w:val="0"/>
              <w:autoSpaceDN w:val="0"/>
              <w:adjustRightInd w:val="0"/>
              <w:spacing w:line="280" w:lineRule="exact"/>
              <w:ind w:firstLine="420" w:firstLineChars="200"/>
              <w:jc w:val="both"/>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供应商针对本项目具有良好的管理制度，制度内容包含：</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①</w:t>
            </w:r>
            <w:r>
              <w:rPr>
                <w:rFonts w:hint="eastAsia" w:eastAsia="宋体"/>
                <w:bCs/>
                <w:color w:val="000000" w:themeColor="text1"/>
                <w:sz w:val="21"/>
                <w:szCs w:val="21"/>
                <w14:textFill>
                  <w14:solidFill>
                    <w14:schemeClr w14:val="tx1"/>
                  </w14:solidFill>
                </w14:textFill>
              </w:rPr>
              <w:t>岗位职责：具有岗位工作标准、服务质量标准、现场质量控制体系</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②</w:t>
            </w:r>
            <w:r>
              <w:rPr>
                <w:rFonts w:hint="eastAsia" w:eastAsia="宋体"/>
                <w:bCs/>
                <w:color w:val="000000" w:themeColor="text1"/>
                <w:sz w:val="21"/>
                <w:szCs w:val="21"/>
                <w14:textFill>
                  <w14:solidFill>
                    <w14:schemeClr w14:val="tx1"/>
                  </w14:solidFill>
                </w14:textFill>
              </w:rPr>
              <w:t>内控制度：具有管理组织机构、问责机制、监督机制、自查制度</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③</w:t>
            </w:r>
            <w:r>
              <w:rPr>
                <w:rFonts w:hint="eastAsia" w:eastAsia="宋体"/>
                <w:bCs/>
                <w:color w:val="000000" w:themeColor="text1"/>
                <w:sz w:val="21"/>
                <w:szCs w:val="21"/>
                <w14:textFill>
                  <w14:solidFill>
                    <w14:schemeClr w14:val="tx1"/>
                  </w14:solidFill>
                </w14:textFill>
              </w:rPr>
              <w:t>人员管理制度：具有员工日常管理办法、请销假制度、奖惩措施、激励机制。</w:t>
            </w:r>
          </w:p>
          <w:p>
            <w:pPr>
              <w:autoSpaceDE w:val="0"/>
              <w:autoSpaceDN w:val="0"/>
              <w:adjustRightInd w:val="0"/>
              <w:spacing w:line="28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2、评审标准</w:t>
            </w:r>
            <w:r>
              <w:rPr>
                <w:rFonts w:ascii="宋体" w:hAnsi="宋体" w:eastAsia="宋体" w:cs="Calibri Light"/>
                <w:b/>
                <w:sz w:val="21"/>
                <w:szCs w:val="21"/>
              </w:rPr>
              <w:t>：</w:t>
            </w:r>
          </w:p>
          <w:p>
            <w:pPr>
              <w:autoSpaceDE w:val="0"/>
              <w:autoSpaceDN w:val="0"/>
              <w:adjustRightInd w:val="0"/>
              <w:spacing w:line="30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①完整性：制度内容全面，对评审内容中的各项要求有详细描述及说明；</w:t>
            </w:r>
            <w:r>
              <w:rPr>
                <w:rFonts w:ascii="宋体" w:hAnsi="宋体" w:eastAsia="宋体" w:cs="Calibri Light"/>
                <w:bCs/>
                <w:sz w:val="21"/>
                <w:szCs w:val="21"/>
              </w:rPr>
              <w:t xml:space="preserve"> </w:t>
            </w:r>
          </w:p>
          <w:p>
            <w:pPr>
              <w:autoSpaceDE w:val="0"/>
              <w:autoSpaceDN w:val="0"/>
              <w:adjustRightInd w:val="0"/>
              <w:spacing w:line="280" w:lineRule="exact"/>
              <w:ind w:firstLine="420" w:firstLineChars="200"/>
              <w:jc w:val="both"/>
              <w:rPr>
                <w:rFonts w:ascii="宋体" w:hAnsi="宋体" w:eastAsia="宋体" w:cs="Calibri Light"/>
                <w:sz w:val="21"/>
                <w:szCs w:val="21"/>
              </w:rPr>
            </w:pPr>
            <w:r>
              <w:rPr>
                <w:rFonts w:hint="eastAsia" w:ascii="宋体" w:hAnsi="宋体" w:eastAsia="宋体" w:cs="Calibri Light"/>
                <w:sz w:val="21"/>
                <w:szCs w:val="21"/>
              </w:rPr>
              <w:t>②可</w:t>
            </w:r>
            <w:r>
              <w:rPr>
                <w:rFonts w:ascii="宋体" w:hAnsi="宋体" w:eastAsia="宋体" w:cs="Calibri Light"/>
                <w:sz w:val="21"/>
                <w:szCs w:val="21"/>
              </w:rPr>
              <w:t>实施性：</w:t>
            </w:r>
            <w:r>
              <w:rPr>
                <w:rFonts w:hint="eastAsia" w:ascii="宋体" w:hAnsi="宋体" w:eastAsia="宋体" w:cs="Calibri Light"/>
                <w:sz w:val="21"/>
                <w:szCs w:val="21"/>
              </w:rPr>
              <w:t>制度科学</w:t>
            </w:r>
            <w:r>
              <w:rPr>
                <w:rFonts w:ascii="宋体" w:hAnsi="宋体" w:eastAsia="宋体" w:cs="Calibri Light"/>
                <w:sz w:val="21"/>
                <w:szCs w:val="21"/>
              </w:rPr>
              <w:t>合理</w:t>
            </w:r>
            <w:r>
              <w:rPr>
                <w:rFonts w:hint="eastAsia" w:ascii="宋体" w:hAnsi="宋体" w:eastAsia="宋体" w:cs="Calibri Light"/>
                <w:sz w:val="21"/>
                <w:szCs w:val="21"/>
              </w:rPr>
              <w:t>，</w:t>
            </w:r>
            <w:r>
              <w:rPr>
                <w:rFonts w:ascii="宋体" w:hAnsi="宋体" w:eastAsia="宋体" w:cs="Calibri Light"/>
                <w:sz w:val="21"/>
                <w:szCs w:val="21"/>
              </w:rPr>
              <w:t>可操作性强；</w:t>
            </w:r>
          </w:p>
          <w:p>
            <w:pPr>
              <w:autoSpaceDE w:val="0"/>
              <w:autoSpaceDN w:val="0"/>
              <w:adjustRightInd w:val="0"/>
              <w:spacing w:line="28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3、</w:t>
            </w:r>
            <w:r>
              <w:rPr>
                <w:rFonts w:ascii="宋体" w:hAnsi="宋体" w:eastAsia="宋体" w:cs="Calibri Light"/>
                <w:b/>
                <w:sz w:val="21"/>
                <w:szCs w:val="21"/>
              </w:rPr>
              <w:t>赋分标准：</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①</w:t>
            </w:r>
            <w:r>
              <w:rPr>
                <w:rFonts w:hint="eastAsia" w:eastAsia="宋体"/>
                <w:bCs/>
                <w:color w:val="000000" w:themeColor="text1"/>
                <w:sz w:val="21"/>
                <w:szCs w:val="21"/>
                <w14:textFill>
                  <w14:solidFill>
                    <w14:schemeClr w14:val="tx1"/>
                  </w14:solidFill>
                </w14:textFill>
              </w:rPr>
              <w:t>岗位职责：</w:t>
            </w:r>
            <w:r>
              <w:rPr>
                <w:rFonts w:ascii="宋体" w:hAnsi="宋体" w:eastAsia="宋体" w:cs="Calibri Light"/>
                <w:bCs/>
                <w:sz w:val="21"/>
                <w:szCs w:val="21"/>
              </w:rPr>
              <w:t>每满足一项评审标准</w:t>
            </w:r>
            <w:r>
              <w:rPr>
                <w:rFonts w:hint="eastAsia" w:ascii="宋体" w:hAnsi="宋体" w:eastAsia="宋体" w:cs="Calibri Light"/>
                <w:bCs/>
                <w:sz w:val="21"/>
                <w:szCs w:val="21"/>
              </w:rPr>
              <w:t>得</w:t>
            </w:r>
            <w:r>
              <w:rPr>
                <w:rFonts w:ascii="宋体" w:hAnsi="宋体" w:eastAsia="宋体" w:cs="Calibri Light"/>
                <w:bCs/>
                <w:sz w:val="21"/>
                <w:szCs w:val="21"/>
              </w:rPr>
              <w:t>1</w:t>
            </w:r>
            <w:r>
              <w:rPr>
                <w:rFonts w:hint="eastAsia" w:ascii="宋体" w:hAnsi="宋体" w:eastAsia="宋体" w:cs="Calibri Light"/>
                <w:bCs/>
                <w:sz w:val="21"/>
                <w:szCs w:val="21"/>
              </w:rPr>
              <w:t>分</w:t>
            </w:r>
            <w:r>
              <w:rPr>
                <w:rFonts w:ascii="宋体" w:hAnsi="宋体" w:eastAsia="宋体" w:cs="Calibri Light"/>
                <w:bCs/>
                <w:sz w:val="21"/>
                <w:szCs w:val="21"/>
              </w:rPr>
              <w:t>，满分2</w:t>
            </w:r>
            <w:r>
              <w:rPr>
                <w:rFonts w:hint="eastAsia" w:ascii="宋体" w:hAnsi="宋体" w:eastAsia="宋体" w:cs="Calibri Light"/>
                <w:bCs/>
                <w:sz w:val="21"/>
                <w:szCs w:val="21"/>
              </w:rPr>
              <w:t>分；</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②</w:t>
            </w:r>
            <w:r>
              <w:rPr>
                <w:rFonts w:hint="eastAsia" w:eastAsia="宋体"/>
                <w:bCs/>
                <w:color w:val="000000" w:themeColor="text1"/>
                <w:sz w:val="21"/>
                <w:szCs w:val="21"/>
                <w14:textFill>
                  <w14:solidFill>
                    <w14:schemeClr w14:val="tx1"/>
                  </w14:solidFill>
                </w14:textFill>
              </w:rPr>
              <w:t>内控制度：</w:t>
            </w:r>
            <w:r>
              <w:rPr>
                <w:rFonts w:ascii="宋体" w:hAnsi="宋体" w:eastAsia="宋体" w:cs="Calibri Light"/>
                <w:bCs/>
                <w:sz w:val="21"/>
                <w:szCs w:val="21"/>
              </w:rPr>
              <w:t>每满足一项评审标准</w:t>
            </w:r>
            <w:r>
              <w:rPr>
                <w:rFonts w:hint="eastAsia" w:ascii="宋体" w:hAnsi="宋体" w:eastAsia="宋体" w:cs="Calibri Light"/>
                <w:bCs/>
                <w:sz w:val="21"/>
                <w:szCs w:val="21"/>
              </w:rPr>
              <w:t>得</w:t>
            </w:r>
            <w:r>
              <w:rPr>
                <w:rFonts w:ascii="宋体" w:hAnsi="宋体" w:eastAsia="宋体" w:cs="Calibri Light"/>
                <w:bCs/>
                <w:sz w:val="21"/>
                <w:szCs w:val="21"/>
              </w:rPr>
              <w:t>1</w:t>
            </w:r>
            <w:r>
              <w:rPr>
                <w:rFonts w:hint="eastAsia" w:ascii="宋体" w:hAnsi="宋体" w:eastAsia="宋体" w:cs="Calibri Light"/>
                <w:bCs/>
                <w:sz w:val="21"/>
                <w:szCs w:val="21"/>
              </w:rPr>
              <w:t>分</w:t>
            </w:r>
            <w:r>
              <w:rPr>
                <w:rFonts w:ascii="宋体" w:hAnsi="宋体" w:eastAsia="宋体" w:cs="Calibri Light"/>
                <w:bCs/>
                <w:sz w:val="21"/>
                <w:szCs w:val="21"/>
              </w:rPr>
              <w:t>，满分2</w:t>
            </w:r>
            <w:r>
              <w:rPr>
                <w:rFonts w:hint="eastAsia" w:ascii="宋体" w:hAnsi="宋体" w:eastAsia="宋体" w:cs="Calibri Light"/>
                <w:bCs/>
                <w:sz w:val="21"/>
                <w:szCs w:val="21"/>
              </w:rPr>
              <w:t>分；</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③</w:t>
            </w:r>
            <w:r>
              <w:rPr>
                <w:rFonts w:hint="eastAsia" w:eastAsia="宋体"/>
                <w:bCs/>
                <w:color w:val="000000" w:themeColor="text1"/>
                <w:sz w:val="21"/>
                <w:szCs w:val="21"/>
                <w14:textFill>
                  <w14:solidFill>
                    <w14:schemeClr w14:val="tx1"/>
                  </w14:solidFill>
                </w14:textFill>
              </w:rPr>
              <w:t>人员管理制度：</w:t>
            </w:r>
            <w:r>
              <w:rPr>
                <w:rFonts w:ascii="宋体" w:hAnsi="宋体" w:eastAsia="宋体" w:cs="Calibri Light"/>
                <w:bCs/>
                <w:sz w:val="21"/>
                <w:szCs w:val="21"/>
              </w:rPr>
              <w:t>每满足一项评审标准</w:t>
            </w:r>
            <w:r>
              <w:rPr>
                <w:rFonts w:hint="eastAsia" w:ascii="宋体" w:hAnsi="宋体" w:eastAsia="宋体" w:cs="Calibri Light"/>
                <w:bCs/>
                <w:sz w:val="21"/>
                <w:szCs w:val="21"/>
              </w:rPr>
              <w:t>得</w:t>
            </w:r>
            <w:r>
              <w:rPr>
                <w:rFonts w:ascii="宋体" w:hAnsi="宋体" w:eastAsia="宋体" w:cs="Calibri Light"/>
                <w:bCs/>
                <w:sz w:val="21"/>
                <w:szCs w:val="21"/>
              </w:rPr>
              <w:t>1</w:t>
            </w:r>
            <w:r>
              <w:rPr>
                <w:rFonts w:hint="eastAsia" w:ascii="宋体" w:hAnsi="宋体" w:eastAsia="宋体" w:cs="Calibri Light"/>
                <w:bCs/>
                <w:sz w:val="21"/>
                <w:szCs w:val="21"/>
              </w:rPr>
              <w:t>分</w:t>
            </w:r>
            <w:r>
              <w:rPr>
                <w:rFonts w:ascii="宋体" w:hAnsi="宋体" w:eastAsia="宋体" w:cs="Calibri Light"/>
                <w:bCs/>
                <w:sz w:val="21"/>
                <w:szCs w:val="21"/>
              </w:rPr>
              <w:t>，满分2</w:t>
            </w:r>
            <w:r>
              <w:rPr>
                <w:rFonts w:hint="eastAsia" w:ascii="宋体" w:hAnsi="宋体" w:eastAsia="宋体" w:cs="Calibri Light"/>
                <w:bCs/>
                <w:sz w:val="21"/>
                <w:szCs w:val="21"/>
              </w:rPr>
              <w:t>分。</w:t>
            </w:r>
          </w:p>
        </w:tc>
        <w:tc>
          <w:tcPr>
            <w:tcW w:w="888" w:type="dxa"/>
            <w:vMerge w:val="restart"/>
            <w:shd w:val="clear" w:color="auto" w:fill="auto"/>
            <w:vAlign w:val="center"/>
          </w:tcPr>
          <w:p>
            <w:pPr>
              <w:spacing w:line="320" w:lineRule="exact"/>
              <w:ind w:firstLine="420" w:firstLineChars="200"/>
              <w:rPr>
                <w:rFonts w:ascii="Calibri" w:hAnsi="宋体" w:eastAsia="宋体"/>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5" w:hRule="atLeast"/>
        </w:trPr>
        <w:tc>
          <w:tcPr>
            <w:tcW w:w="735" w:type="dxa"/>
            <w:vMerge w:val="continue"/>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p>
        </w:tc>
        <w:tc>
          <w:tcPr>
            <w:tcW w:w="630" w:type="dxa"/>
            <w:vMerge w:val="continue"/>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p>
        </w:tc>
        <w:tc>
          <w:tcPr>
            <w:tcW w:w="945" w:type="dxa"/>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r>
              <w:rPr>
                <w:rFonts w:ascii="Calibri" w:hAnsi="宋体" w:eastAsia="宋体"/>
                <w:bCs/>
                <w:color w:val="000000" w:themeColor="text1"/>
                <w:sz w:val="21"/>
                <w:szCs w:val="21"/>
                <w14:textFill>
                  <w14:solidFill>
                    <w14:schemeClr w14:val="tx1"/>
                  </w14:solidFill>
                </w14:textFill>
              </w:rPr>
              <w:t>2</w:t>
            </w:r>
          </w:p>
        </w:tc>
        <w:tc>
          <w:tcPr>
            <w:tcW w:w="5869" w:type="dxa"/>
            <w:shd w:val="clear" w:color="auto" w:fill="auto"/>
            <w:vAlign w:val="center"/>
          </w:tcPr>
          <w:p>
            <w:pPr>
              <w:spacing w:line="320" w:lineRule="exact"/>
              <w:ind w:firstLine="420" w:firstLineChars="200"/>
              <w:jc w:val="both"/>
              <w:rPr>
                <w:rFonts w:ascii="Calibri" w:hAnsi="宋体" w:eastAsia="宋体"/>
                <w:b/>
                <w:bCs/>
                <w:sz w:val="21"/>
                <w:szCs w:val="21"/>
              </w:rPr>
            </w:pPr>
            <w:r>
              <w:rPr>
                <w:rFonts w:hint="eastAsia" w:ascii="Calibri" w:hAnsi="宋体" w:eastAsia="宋体"/>
                <w:b/>
                <w:bCs/>
                <w:sz w:val="21"/>
                <w:szCs w:val="21"/>
              </w:rPr>
              <w:t>服务承诺</w:t>
            </w:r>
            <w:r>
              <w:rPr>
                <w:rFonts w:ascii="Calibri" w:hAnsi="宋体" w:eastAsia="宋体"/>
                <w:b/>
                <w:bCs/>
                <w:sz w:val="21"/>
                <w:szCs w:val="21"/>
              </w:rPr>
              <w:t>：</w:t>
            </w:r>
          </w:p>
          <w:p>
            <w:pPr>
              <w:widowControl w:val="0"/>
              <w:autoSpaceDE w:val="0"/>
              <w:autoSpaceDN w:val="0"/>
              <w:adjustRightInd w:val="0"/>
              <w:spacing w:line="320" w:lineRule="exact"/>
              <w:ind w:firstLine="420" w:firstLineChars="200"/>
              <w:jc w:val="both"/>
              <w:rPr>
                <w:rFonts w:cstheme="minorHAnsi"/>
                <w:kern w:val="2"/>
                <w:sz w:val="21"/>
                <w:szCs w:val="21"/>
              </w:rPr>
            </w:pPr>
            <w:r>
              <w:rPr>
                <w:rFonts w:hint="eastAsia" w:cstheme="minorHAnsi"/>
                <w:kern w:val="2"/>
                <w:sz w:val="21"/>
                <w:szCs w:val="21"/>
              </w:rPr>
              <w:t>1、接受采购人对本项目服务的考核、监督及管理，定期调研采购人对服务质量的满意度并加以改进，确保服务工作的优质高效，得1分。无承诺不得分。</w:t>
            </w:r>
          </w:p>
          <w:p>
            <w:pPr>
              <w:widowControl w:val="0"/>
              <w:autoSpaceDE w:val="0"/>
              <w:autoSpaceDN w:val="0"/>
              <w:adjustRightInd w:val="0"/>
              <w:spacing w:line="320" w:lineRule="exact"/>
              <w:ind w:firstLine="420" w:firstLineChars="200"/>
              <w:jc w:val="both"/>
              <w:rPr>
                <w:rFonts w:cstheme="minorHAnsi"/>
                <w:kern w:val="2"/>
                <w:sz w:val="21"/>
                <w:szCs w:val="21"/>
              </w:rPr>
            </w:pPr>
            <w:r>
              <w:rPr>
                <w:rFonts w:hint="eastAsia" w:cstheme="minorHAnsi"/>
                <w:kern w:val="2"/>
                <w:sz w:val="21"/>
                <w:szCs w:val="21"/>
              </w:rPr>
              <w:t>2、上岗人员固定，不得随意更换，若出现服务人员因事、病等不能工作的，及时调整其他服务人员补充，确保服务工作的正常进行，得1分。无承诺不得分。</w:t>
            </w:r>
          </w:p>
        </w:tc>
        <w:tc>
          <w:tcPr>
            <w:tcW w:w="888" w:type="dxa"/>
            <w:vMerge w:val="continue"/>
            <w:shd w:val="clear" w:color="auto" w:fill="auto"/>
            <w:vAlign w:val="center"/>
          </w:tcPr>
          <w:p>
            <w:pPr>
              <w:spacing w:line="320" w:lineRule="exact"/>
              <w:ind w:firstLine="420" w:firstLineChars="200"/>
              <w:rPr>
                <w:rFonts w:ascii="Calibri" w:hAnsi="宋体" w:eastAsia="宋体"/>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97" w:hRule="atLeast"/>
        </w:trPr>
        <w:tc>
          <w:tcPr>
            <w:tcW w:w="735" w:type="dxa"/>
            <w:vMerge w:val="continue"/>
            <w:shd w:val="clear" w:color="auto" w:fill="auto"/>
            <w:vAlign w:val="center"/>
          </w:tcPr>
          <w:p>
            <w:pPr>
              <w:spacing w:line="320" w:lineRule="exact"/>
              <w:rPr>
                <w:rFonts w:ascii="Calibri" w:hAnsi="宋体" w:eastAsia="宋体"/>
                <w:bCs/>
                <w:color w:val="000000" w:themeColor="text1"/>
                <w:sz w:val="21"/>
                <w:szCs w:val="21"/>
                <w14:textFill>
                  <w14:solidFill>
                    <w14:schemeClr w14:val="tx1"/>
                  </w14:solidFill>
                </w14:textFill>
              </w:rPr>
            </w:pPr>
          </w:p>
        </w:tc>
        <w:tc>
          <w:tcPr>
            <w:tcW w:w="630" w:type="dxa"/>
            <w:vMerge w:val="continue"/>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p>
        </w:tc>
        <w:tc>
          <w:tcPr>
            <w:tcW w:w="945" w:type="dxa"/>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r>
              <w:rPr>
                <w:rFonts w:ascii="Calibri" w:hAnsi="宋体" w:eastAsia="宋体"/>
                <w:bCs/>
                <w:color w:val="000000" w:themeColor="text1"/>
                <w:sz w:val="21"/>
                <w:szCs w:val="21"/>
                <w14:textFill>
                  <w14:solidFill>
                    <w14:schemeClr w14:val="tx1"/>
                  </w14:solidFill>
                </w14:textFill>
              </w:rPr>
              <w:t>6</w:t>
            </w:r>
          </w:p>
        </w:tc>
        <w:tc>
          <w:tcPr>
            <w:tcW w:w="5869" w:type="dxa"/>
            <w:shd w:val="clear" w:color="auto" w:fill="auto"/>
            <w:vAlign w:val="center"/>
          </w:tcPr>
          <w:p>
            <w:pPr>
              <w:spacing w:line="320" w:lineRule="exact"/>
              <w:ind w:firstLine="420" w:firstLineChars="200"/>
              <w:jc w:val="both"/>
              <w:rPr>
                <w:rFonts w:ascii="宋体" w:hAnsi="宋体" w:eastAsia="宋体" w:cs="Calibri Light"/>
                <w:b/>
                <w:bCs/>
                <w:color w:val="000000"/>
                <w:sz w:val="21"/>
                <w:szCs w:val="21"/>
              </w:rPr>
            </w:pPr>
            <w:r>
              <w:rPr>
                <w:rFonts w:hint="eastAsia" w:ascii="宋体" w:hAnsi="宋体" w:eastAsia="宋体" w:cs="Calibri Light"/>
                <w:b/>
                <w:bCs/>
                <w:color w:val="000000"/>
                <w:sz w:val="21"/>
                <w:szCs w:val="21"/>
              </w:rPr>
              <w:t>运维服务</w:t>
            </w:r>
            <w:r>
              <w:rPr>
                <w:rFonts w:ascii="宋体" w:hAnsi="宋体" w:eastAsia="宋体" w:cs="Calibri Light"/>
                <w:b/>
                <w:bCs/>
                <w:color w:val="000000"/>
                <w:sz w:val="21"/>
                <w:szCs w:val="21"/>
              </w:rPr>
              <w:t>质量保证</w:t>
            </w:r>
            <w:r>
              <w:rPr>
                <w:rFonts w:hint="eastAsia" w:ascii="宋体" w:hAnsi="宋体" w:eastAsia="宋体" w:cs="Calibri Light"/>
                <w:b/>
                <w:bCs/>
                <w:color w:val="000000"/>
                <w:sz w:val="21"/>
                <w:szCs w:val="21"/>
              </w:rPr>
              <w:t>方案：</w:t>
            </w:r>
          </w:p>
          <w:p>
            <w:pPr>
              <w:autoSpaceDE w:val="0"/>
              <w:autoSpaceDN w:val="0"/>
              <w:adjustRightInd w:val="0"/>
              <w:spacing w:line="28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1、评审内容</w:t>
            </w:r>
            <w:r>
              <w:rPr>
                <w:rFonts w:ascii="宋体" w:hAnsi="宋体" w:eastAsia="宋体" w:cs="Calibri Light"/>
                <w:b/>
                <w:sz w:val="21"/>
                <w:szCs w:val="21"/>
              </w:rPr>
              <w:t>：</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①</w:t>
            </w:r>
            <w:r>
              <w:rPr>
                <w:rFonts w:hint="eastAsia" w:ascii="Calibri" w:hAnsi="宋体" w:eastAsia="宋体" w:cs="Calibri Light"/>
                <w:bCs/>
                <w:kern w:val="2"/>
                <w:sz w:val="21"/>
                <w:szCs w:val="21"/>
              </w:rPr>
              <w:t>技术应急</w:t>
            </w:r>
            <w:r>
              <w:rPr>
                <w:rFonts w:ascii="Calibri" w:hAnsi="宋体" w:eastAsia="宋体" w:cs="Calibri Light"/>
                <w:bCs/>
                <w:kern w:val="2"/>
                <w:sz w:val="21"/>
                <w:szCs w:val="21"/>
              </w:rPr>
              <w:t>响应方案</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②本地化服务能力</w:t>
            </w:r>
          </w:p>
          <w:p>
            <w:pPr>
              <w:autoSpaceDE w:val="0"/>
              <w:autoSpaceDN w:val="0"/>
              <w:adjustRightInd w:val="0"/>
              <w:spacing w:line="28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2、评审标准</w:t>
            </w:r>
            <w:r>
              <w:rPr>
                <w:rFonts w:ascii="宋体" w:hAnsi="宋体" w:eastAsia="宋体" w:cs="Calibri Light"/>
                <w:b/>
                <w:sz w:val="21"/>
                <w:szCs w:val="21"/>
              </w:rPr>
              <w:t>：</w:t>
            </w:r>
          </w:p>
          <w:p>
            <w:pPr>
              <w:autoSpaceDE w:val="0"/>
              <w:autoSpaceDN w:val="0"/>
              <w:adjustRightInd w:val="0"/>
              <w:spacing w:line="280" w:lineRule="exact"/>
              <w:ind w:firstLine="420" w:firstLineChars="200"/>
              <w:jc w:val="both"/>
              <w:rPr>
                <w:rFonts w:ascii="宋体" w:hAnsi="宋体" w:eastAsia="宋体" w:cs="Calibri Light"/>
                <w:b/>
                <w:bCs/>
                <w:sz w:val="21"/>
                <w:szCs w:val="21"/>
              </w:rPr>
            </w:pPr>
            <w:r>
              <w:rPr>
                <w:rFonts w:hint="eastAsia" w:ascii="宋体" w:hAnsi="宋体" w:eastAsia="宋体" w:cs="Calibri Light"/>
                <w:b/>
                <w:sz w:val="21"/>
                <w:szCs w:val="21"/>
              </w:rPr>
              <w:t>（1）</w:t>
            </w:r>
            <w:r>
              <w:rPr>
                <w:rFonts w:hint="eastAsia" w:ascii="Calibri" w:hAnsi="宋体" w:eastAsia="宋体" w:cs="Calibri Light"/>
                <w:b/>
                <w:bCs/>
                <w:kern w:val="2"/>
                <w:sz w:val="21"/>
                <w:szCs w:val="21"/>
              </w:rPr>
              <w:t>技术应急</w:t>
            </w:r>
            <w:r>
              <w:rPr>
                <w:rFonts w:ascii="Calibri" w:hAnsi="宋体" w:eastAsia="宋体" w:cs="Calibri Light"/>
                <w:b/>
                <w:bCs/>
                <w:kern w:val="2"/>
                <w:sz w:val="21"/>
                <w:szCs w:val="21"/>
              </w:rPr>
              <w:t>响应方案</w:t>
            </w:r>
            <w:r>
              <w:rPr>
                <w:rFonts w:hint="eastAsia" w:ascii="Calibri" w:hAnsi="宋体" w:eastAsia="宋体" w:cs="Calibri Light"/>
                <w:b/>
                <w:bCs/>
                <w:kern w:val="2"/>
                <w:sz w:val="21"/>
                <w:szCs w:val="21"/>
              </w:rPr>
              <w:t>：</w:t>
            </w:r>
          </w:p>
          <w:p>
            <w:pPr>
              <w:autoSpaceDE w:val="0"/>
              <w:autoSpaceDN w:val="0"/>
              <w:adjustRightInd w:val="0"/>
              <w:spacing w:line="280" w:lineRule="exact"/>
              <w:ind w:firstLine="420" w:firstLineChars="200"/>
              <w:jc w:val="both"/>
              <w:rPr>
                <w:rFonts w:ascii="宋体" w:hAnsi="宋体" w:eastAsia="宋体" w:cs="Calibri Light"/>
                <w:sz w:val="21"/>
                <w:szCs w:val="21"/>
              </w:rPr>
            </w:pPr>
            <w:r>
              <w:rPr>
                <w:rFonts w:hint="eastAsia" w:ascii="宋体" w:hAnsi="宋体" w:eastAsia="宋体" w:cs="Calibri Light"/>
                <w:sz w:val="21"/>
                <w:szCs w:val="21"/>
              </w:rPr>
              <w:t>①完整性：能全面</w:t>
            </w:r>
            <w:r>
              <w:rPr>
                <w:rFonts w:ascii="宋体" w:hAnsi="宋体" w:eastAsia="宋体" w:cs="Calibri Light"/>
                <w:sz w:val="21"/>
                <w:szCs w:val="21"/>
              </w:rPr>
              <w:t>考虑各种突发</w:t>
            </w:r>
            <w:r>
              <w:rPr>
                <w:rFonts w:hint="eastAsia" w:ascii="宋体" w:hAnsi="宋体" w:eastAsia="宋体" w:cs="Calibri Light"/>
                <w:sz w:val="21"/>
                <w:szCs w:val="21"/>
              </w:rPr>
              <w:t>事故，</w:t>
            </w:r>
            <w:r>
              <w:rPr>
                <w:rFonts w:ascii="宋体" w:hAnsi="宋体" w:eastAsia="宋体" w:cs="Calibri Light"/>
                <w:sz w:val="21"/>
                <w:szCs w:val="21"/>
              </w:rPr>
              <w:t>应急处理流程内容完整</w:t>
            </w:r>
            <w:r>
              <w:rPr>
                <w:rFonts w:hint="eastAsia" w:ascii="宋体" w:hAnsi="宋体" w:eastAsia="宋体" w:cs="Calibri Light"/>
                <w:sz w:val="21"/>
                <w:szCs w:val="21"/>
              </w:rPr>
              <w:t>；</w:t>
            </w:r>
          </w:p>
          <w:p>
            <w:pPr>
              <w:autoSpaceDE w:val="0"/>
              <w:autoSpaceDN w:val="0"/>
              <w:adjustRightInd w:val="0"/>
              <w:spacing w:line="280" w:lineRule="exact"/>
              <w:ind w:firstLine="420" w:firstLineChars="200"/>
              <w:jc w:val="both"/>
              <w:rPr>
                <w:rFonts w:ascii="宋体" w:hAnsi="宋体" w:eastAsia="宋体" w:cs="Calibri Light"/>
                <w:sz w:val="21"/>
                <w:szCs w:val="21"/>
              </w:rPr>
            </w:pPr>
            <w:r>
              <w:rPr>
                <w:rFonts w:hint="eastAsia" w:ascii="宋体" w:hAnsi="宋体" w:eastAsia="宋体" w:cs="Calibri Light"/>
                <w:sz w:val="21"/>
                <w:szCs w:val="21"/>
              </w:rPr>
              <w:t>②可</w:t>
            </w:r>
            <w:r>
              <w:rPr>
                <w:rFonts w:ascii="宋体" w:hAnsi="宋体" w:eastAsia="宋体" w:cs="Calibri Light"/>
                <w:sz w:val="21"/>
                <w:szCs w:val="21"/>
              </w:rPr>
              <w:t>实施性：</w:t>
            </w:r>
            <w:r>
              <w:rPr>
                <w:rFonts w:hint="eastAsia" w:ascii="宋体" w:hAnsi="宋体" w:eastAsia="宋体" w:cs="Calibri Light"/>
                <w:sz w:val="21"/>
                <w:szCs w:val="21"/>
              </w:rPr>
              <w:t>方案科学</w:t>
            </w:r>
            <w:r>
              <w:rPr>
                <w:rFonts w:ascii="宋体" w:hAnsi="宋体" w:eastAsia="宋体" w:cs="Calibri Light"/>
                <w:sz w:val="21"/>
                <w:szCs w:val="21"/>
              </w:rPr>
              <w:t>合理</w:t>
            </w:r>
            <w:r>
              <w:rPr>
                <w:rFonts w:hint="eastAsia" w:ascii="宋体" w:hAnsi="宋体" w:eastAsia="宋体" w:cs="Calibri Light"/>
                <w:sz w:val="21"/>
                <w:szCs w:val="21"/>
              </w:rPr>
              <w:t>，</w:t>
            </w:r>
            <w:r>
              <w:rPr>
                <w:rFonts w:ascii="宋体" w:hAnsi="宋体" w:eastAsia="宋体" w:cs="Calibri Light"/>
                <w:sz w:val="21"/>
                <w:szCs w:val="21"/>
              </w:rPr>
              <w:t>可操作性强；</w:t>
            </w:r>
          </w:p>
          <w:p>
            <w:pPr>
              <w:autoSpaceDE w:val="0"/>
              <w:autoSpaceDN w:val="0"/>
              <w:adjustRightInd w:val="0"/>
              <w:spacing w:line="280" w:lineRule="exact"/>
              <w:ind w:firstLine="420" w:firstLineChars="200"/>
              <w:jc w:val="both"/>
              <w:rPr>
                <w:rFonts w:ascii="宋体" w:hAnsi="宋体" w:eastAsia="宋体" w:cs="Calibri Light"/>
                <w:sz w:val="21"/>
                <w:szCs w:val="21"/>
              </w:rPr>
            </w:pPr>
            <w:r>
              <w:rPr>
                <w:rFonts w:hint="eastAsia" w:ascii="宋体" w:hAnsi="宋体" w:eastAsia="宋体" w:cs="Calibri Light"/>
                <w:sz w:val="21"/>
                <w:szCs w:val="21"/>
              </w:rPr>
              <w:t>③针对性</w:t>
            </w:r>
            <w:r>
              <w:rPr>
                <w:rFonts w:ascii="宋体" w:hAnsi="宋体" w:eastAsia="宋体" w:cs="Calibri Light"/>
                <w:sz w:val="21"/>
                <w:szCs w:val="21"/>
              </w:rPr>
              <w:t>：</w:t>
            </w:r>
            <w:r>
              <w:rPr>
                <w:rFonts w:hint="eastAsia" w:ascii="宋体" w:hAnsi="宋体" w:eastAsia="宋体" w:cs="Calibri Light"/>
                <w:sz w:val="21"/>
                <w:szCs w:val="21"/>
              </w:rPr>
              <w:t>方案能紧扣</w:t>
            </w:r>
            <w:r>
              <w:rPr>
                <w:rFonts w:ascii="宋体" w:hAnsi="宋体" w:eastAsia="宋体" w:cs="Calibri Light"/>
                <w:sz w:val="21"/>
                <w:szCs w:val="21"/>
              </w:rPr>
              <w:t>本</w:t>
            </w:r>
            <w:r>
              <w:rPr>
                <w:rFonts w:hint="eastAsia" w:ascii="宋体" w:hAnsi="宋体" w:eastAsia="宋体" w:cs="Calibri Light"/>
                <w:sz w:val="21"/>
                <w:szCs w:val="21"/>
              </w:rPr>
              <w:t>项目</w:t>
            </w:r>
            <w:r>
              <w:rPr>
                <w:rFonts w:ascii="宋体" w:hAnsi="宋体" w:eastAsia="宋体" w:cs="Calibri Light"/>
                <w:sz w:val="21"/>
                <w:szCs w:val="21"/>
              </w:rPr>
              <w:t>实际情况，</w:t>
            </w:r>
            <w:r>
              <w:rPr>
                <w:rFonts w:hint="eastAsia" w:ascii="宋体" w:hAnsi="宋体" w:eastAsia="宋体" w:cs="Calibri Light"/>
                <w:sz w:val="21"/>
                <w:szCs w:val="21"/>
              </w:rPr>
              <w:t>满足</w:t>
            </w:r>
            <w:r>
              <w:rPr>
                <w:rFonts w:ascii="宋体" w:hAnsi="宋体" w:eastAsia="宋体" w:cs="Calibri Light"/>
                <w:sz w:val="21"/>
                <w:szCs w:val="21"/>
              </w:rPr>
              <w:t>本项目各项具体要求。</w:t>
            </w:r>
          </w:p>
          <w:p>
            <w:pPr>
              <w:autoSpaceDE w:val="0"/>
              <w:autoSpaceDN w:val="0"/>
              <w:adjustRightInd w:val="0"/>
              <w:spacing w:line="280" w:lineRule="exact"/>
              <w:ind w:firstLine="420" w:firstLineChars="200"/>
              <w:jc w:val="both"/>
              <w:rPr>
                <w:rFonts w:ascii="宋体" w:hAnsi="宋体" w:eastAsia="宋体" w:cs="Calibri Light"/>
                <w:b/>
                <w:bCs/>
                <w:sz w:val="21"/>
                <w:szCs w:val="21"/>
              </w:rPr>
            </w:pPr>
            <w:r>
              <w:rPr>
                <w:rFonts w:hint="eastAsia" w:ascii="宋体" w:hAnsi="宋体" w:eastAsia="宋体" w:cs="Calibri Light"/>
                <w:b/>
                <w:sz w:val="21"/>
                <w:szCs w:val="21"/>
              </w:rPr>
              <w:t>（2）本地化服务能力</w:t>
            </w:r>
            <w:r>
              <w:rPr>
                <w:rFonts w:hint="eastAsia" w:ascii="Calibri" w:hAnsi="宋体" w:eastAsia="宋体" w:cs="Calibri Light"/>
                <w:b/>
                <w:bCs/>
                <w:kern w:val="2"/>
                <w:sz w:val="21"/>
                <w:szCs w:val="21"/>
              </w:rPr>
              <w:t>：</w:t>
            </w:r>
          </w:p>
          <w:p>
            <w:pPr>
              <w:autoSpaceDE w:val="0"/>
              <w:autoSpaceDN w:val="0"/>
              <w:adjustRightInd w:val="0"/>
              <w:spacing w:line="280" w:lineRule="exact"/>
              <w:ind w:firstLine="420" w:firstLineChars="200"/>
              <w:jc w:val="both"/>
              <w:rPr>
                <w:rFonts w:ascii="宋体" w:hAnsi="宋体" w:eastAsia="宋体" w:cs="Calibri Light"/>
                <w:sz w:val="21"/>
                <w:szCs w:val="21"/>
              </w:rPr>
            </w:pPr>
            <w:r>
              <w:rPr>
                <w:rFonts w:hint="eastAsia" w:ascii="宋体" w:hAnsi="宋体" w:eastAsia="宋体" w:cs="Calibri Light"/>
                <w:sz w:val="21"/>
                <w:szCs w:val="21"/>
              </w:rPr>
              <w:t>提供拟派</w:t>
            </w:r>
            <w:r>
              <w:rPr>
                <w:rFonts w:ascii="宋体" w:hAnsi="宋体" w:eastAsia="宋体" w:cs="Calibri Light"/>
                <w:sz w:val="21"/>
                <w:szCs w:val="21"/>
              </w:rPr>
              <w:t>运维团队</w:t>
            </w:r>
            <w:r>
              <w:rPr>
                <w:rFonts w:hint="eastAsia" w:ascii="宋体" w:hAnsi="宋体" w:eastAsia="宋体" w:cs="Calibri Light"/>
                <w:sz w:val="21"/>
                <w:szCs w:val="21"/>
              </w:rPr>
              <w:t>的</w:t>
            </w:r>
            <w:r>
              <w:rPr>
                <w:rFonts w:ascii="宋体" w:hAnsi="宋体" w:eastAsia="宋体" w:cs="Calibri Light"/>
                <w:sz w:val="21"/>
                <w:szCs w:val="21"/>
              </w:rPr>
              <w:t>服务人员</w:t>
            </w:r>
            <w:r>
              <w:rPr>
                <w:rFonts w:hint="eastAsia" w:ascii="宋体" w:hAnsi="宋体" w:eastAsia="宋体" w:cs="Calibri Light"/>
                <w:sz w:val="21"/>
                <w:szCs w:val="21"/>
              </w:rPr>
              <w:t>数量及</w:t>
            </w:r>
            <w:r>
              <w:rPr>
                <w:rFonts w:ascii="宋体" w:hAnsi="宋体" w:eastAsia="宋体" w:cs="Calibri Light"/>
                <w:sz w:val="21"/>
                <w:szCs w:val="21"/>
              </w:rPr>
              <w:t>相关</w:t>
            </w:r>
            <w:r>
              <w:rPr>
                <w:rFonts w:hint="eastAsia" w:ascii="宋体" w:hAnsi="宋体" w:eastAsia="宋体" w:cs="Calibri Light"/>
                <w:sz w:val="21"/>
                <w:szCs w:val="21"/>
              </w:rPr>
              <w:t>信息</w:t>
            </w:r>
            <w:r>
              <w:rPr>
                <w:rFonts w:ascii="宋体" w:hAnsi="宋体" w:eastAsia="宋体" w:cs="Calibri Light"/>
                <w:sz w:val="21"/>
                <w:szCs w:val="21"/>
              </w:rPr>
              <w:t>。</w:t>
            </w:r>
          </w:p>
          <w:p>
            <w:pPr>
              <w:autoSpaceDE w:val="0"/>
              <w:autoSpaceDN w:val="0"/>
              <w:adjustRightInd w:val="0"/>
              <w:spacing w:line="280" w:lineRule="exact"/>
              <w:ind w:firstLine="420" w:firstLineChars="200"/>
              <w:jc w:val="both"/>
              <w:rPr>
                <w:rFonts w:ascii="宋体" w:hAnsi="宋体" w:eastAsia="宋体" w:cs="Calibri Light"/>
                <w:b/>
                <w:sz w:val="21"/>
                <w:szCs w:val="21"/>
              </w:rPr>
            </w:pPr>
            <w:r>
              <w:rPr>
                <w:rFonts w:hint="eastAsia" w:ascii="宋体" w:hAnsi="宋体" w:eastAsia="宋体" w:cs="Calibri Light"/>
                <w:b/>
                <w:sz w:val="21"/>
                <w:szCs w:val="21"/>
              </w:rPr>
              <w:t>3、</w:t>
            </w:r>
            <w:r>
              <w:rPr>
                <w:rFonts w:ascii="宋体" w:hAnsi="宋体" w:eastAsia="宋体" w:cs="Calibri Light"/>
                <w:b/>
                <w:sz w:val="21"/>
                <w:szCs w:val="21"/>
              </w:rPr>
              <w:t>赋分标准：</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①</w:t>
            </w:r>
            <w:r>
              <w:rPr>
                <w:rFonts w:hint="eastAsia" w:ascii="Calibri" w:hAnsi="宋体" w:eastAsia="宋体" w:cs="Calibri Light"/>
                <w:bCs/>
                <w:kern w:val="2"/>
                <w:sz w:val="21"/>
                <w:szCs w:val="21"/>
              </w:rPr>
              <w:t>技术应急响应方案</w:t>
            </w:r>
            <w:r>
              <w:rPr>
                <w:rFonts w:hint="eastAsia" w:ascii="宋体" w:hAnsi="宋体" w:eastAsia="宋体" w:cs="Calibri Light"/>
                <w:sz w:val="21"/>
                <w:szCs w:val="21"/>
              </w:rPr>
              <w:t>：</w:t>
            </w:r>
            <w:r>
              <w:rPr>
                <w:rFonts w:ascii="宋体" w:hAnsi="宋体" w:eastAsia="宋体" w:cs="Calibri Light"/>
                <w:bCs/>
                <w:sz w:val="21"/>
                <w:szCs w:val="21"/>
              </w:rPr>
              <w:t>每满足一项评审标准</w:t>
            </w:r>
            <w:r>
              <w:rPr>
                <w:rFonts w:hint="eastAsia" w:ascii="宋体" w:hAnsi="宋体" w:eastAsia="宋体" w:cs="Calibri Light"/>
                <w:bCs/>
                <w:sz w:val="21"/>
                <w:szCs w:val="21"/>
              </w:rPr>
              <w:t>得</w:t>
            </w:r>
            <w:r>
              <w:rPr>
                <w:rFonts w:ascii="宋体" w:hAnsi="宋体" w:eastAsia="宋体" w:cs="Calibri Light"/>
                <w:bCs/>
                <w:sz w:val="21"/>
                <w:szCs w:val="21"/>
              </w:rPr>
              <w:t>1</w:t>
            </w:r>
            <w:r>
              <w:rPr>
                <w:rFonts w:hint="eastAsia" w:ascii="宋体" w:hAnsi="宋体" w:eastAsia="宋体" w:cs="Calibri Light"/>
                <w:bCs/>
                <w:sz w:val="21"/>
                <w:szCs w:val="21"/>
              </w:rPr>
              <w:t>分</w:t>
            </w:r>
            <w:r>
              <w:rPr>
                <w:rFonts w:ascii="宋体" w:hAnsi="宋体" w:eastAsia="宋体" w:cs="Calibri Light"/>
                <w:bCs/>
                <w:sz w:val="21"/>
                <w:szCs w:val="21"/>
              </w:rPr>
              <w:t>，满分3</w:t>
            </w:r>
            <w:r>
              <w:rPr>
                <w:rFonts w:hint="eastAsia" w:ascii="宋体" w:hAnsi="宋体" w:eastAsia="宋体" w:cs="Calibri Light"/>
                <w:bCs/>
                <w:sz w:val="21"/>
                <w:szCs w:val="21"/>
              </w:rPr>
              <w:t>分</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sz w:val="21"/>
                <w:szCs w:val="21"/>
              </w:rPr>
              <w:t>②本地化服务能力：</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bCs/>
                <w:sz w:val="21"/>
                <w:szCs w:val="21"/>
              </w:rPr>
              <w:t>提供服务人员40人(含)以上，有良好的本地化服务能力，得3分</w:t>
            </w:r>
            <w:r>
              <w:rPr>
                <w:rFonts w:ascii="宋体" w:hAnsi="宋体" w:eastAsia="宋体" w:cs="Calibri Light"/>
                <w:bCs/>
                <w:sz w:val="21"/>
                <w:szCs w:val="21"/>
              </w:rPr>
              <w:t>；</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bCs/>
                <w:sz w:val="21"/>
                <w:szCs w:val="21"/>
              </w:rPr>
              <w:t>提供服务人员20人(含)以上40人</w:t>
            </w:r>
            <w:r>
              <w:rPr>
                <w:rFonts w:ascii="宋体" w:hAnsi="宋体" w:eastAsia="宋体" w:cs="Calibri Light"/>
                <w:bCs/>
                <w:sz w:val="21"/>
                <w:szCs w:val="21"/>
              </w:rPr>
              <w:t>以下</w:t>
            </w:r>
            <w:r>
              <w:rPr>
                <w:rFonts w:hint="eastAsia" w:ascii="宋体" w:hAnsi="宋体" w:eastAsia="宋体" w:cs="Calibri Light"/>
                <w:bCs/>
                <w:sz w:val="21"/>
                <w:szCs w:val="21"/>
              </w:rPr>
              <w:t>，有一定的本地化服务能力，得2分；</w:t>
            </w:r>
          </w:p>
          <w:p>
            <w:pPr>
              <w:autoSpaceDE w:val="0"/>
              <w:autoSpaceDN w:val="0"/>
              <w:adjustRightInd w:val="0"/>
              <w:spacing w:line="280" w:lineRule="exact"/>
              <w:ind w:firstLine="420" w:firstLineChars="200"/>
              <w:jc w:val="both"/>
              <w:rPr>
                <w:rFonts w:ascii="宋体" w:hAnsi="宋体" w:eastAsia="宋体" w:cs="Calibri Light"/>
                <w:bCs/>
                <w:sz w:val="21"/>
                <w:szCs w:val="21"/>
              </w:rPr>
            </w:pPr>
            <w:r>
              <w:rPr>
                <w:rFonts w:hint="eastAsia" w:ascii="宋体" w:hAnsi="宋体" w:eastAsia="宋体" w:cs="Calibri Light"/>
                <w:bCs/>
                <w:sz w:val="21"/>
                <w:szCs w:val="21"/>
              </w:rPr>
              <w:t>提供服务人员</w:t>
            </w:r>
            <w:r>
              <w:rPr>
                <w:rFonts w:ascii="宋体" w:hAnsi="宋体" w:eastAsia="宋体" w:cs="Calibri Light"/>
                <w:bCs/>
                <w:sz w:val="21"/>
                <w:szCs w:val="21"/>
              </w:rPr>
              <w:t>20</w:t>
            </w:r>
            <w:r>
              <w:rPr>
                <w:rFonts w:hint="eastAsia" w:ascii="宋体" w:hAnsi="宋体" w:eastAsia="宋体" w:cs="Calibri Light"/>
                <w:bCs/>
                <w:sz w:val="21"/>
                <w:szCs w:val="21"/>
              </w:rPr>
              <w:t>人以下，本地化服务能力欠缺，</w:t>
            </w:r>
            <w:r>
              <w:rPr>
                <w:rFonts w:ascii="宋体" w:hAnsi="宋体" w:eastAsia="宋体" w:cs="Calibri Light"/>
                <w:bCs/>
                <w:sz w:val="21"/>
                <w:szCs w:val="21"/>
              </w:rPr>
              <w:t>得1</w:t>
            </w:r>
            <w:r>
              <w:rPr>
                <w:rFonts w:hint="eastAsia" w:ascii="宋体" w:hAnsi="宋体" w:eastAsia="宋体" w:cs="Calibri Light"/>
                <w:bCs/>
                <w:sz w:val="21"/>
                <w:szCs w:val="21"/>
              </w:rPr>
              <w:t>分</w:t>
            </w:r>
            <w:r>
              <w:rPr>
                <w:rFonts w:ascii="宋体" w:hAnsi="宋体" w:eastAsia="宋体" w:cs="Calibri Light"/>
                <w:bCs/>
                <w:sz w:val="21"/>
                <w:szCs w:val="21"/>
              </w:rPr>
              <w:t>；</w:t>
            </w:r>
          </w:p>
        </w:tc>
        <w:tc>
          <w:tcPr>
            <w:tcW w:w="888" w:type="dxa"/>
            <w:vMerge w:val="continue"/>
            <w:shd w:val="clear" w:color="auto" w:fill="auto"/>
            <w:vAlign w:val="center"/>
          </w:tcPr>
          <w:p>
            <w:pPr>
              <w:spacing w:line="320" w:lineRule="exact"/>
              <w:ind w:firstLine="420" w:firstLineChars="200"/>
              <w:rPr>
                <w:rFonts w:ascii="Calibri" w:hAnsi="宋体" w:eastAsia="宋体"/>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88" w:hRule="atLeast"/>
        </w:trPr>
        <w:tc>
          <w:tcPr>
            <w:tcW w:w="735" w:type="dxa"/>
            <w:vMerge w:val="continue"/>
            <w:shd w:val="clear" w:color="auto" w:fill="auto"/>
            <w:vAlign w:val="center"/>
          </w:tcPr>
          <w:p>
            <w:pPr>
              <w:spacing w:line="320" w:lineRule="exact"/>
              <w:rPr>
                <w:rFonts w:ascii="Calibri" w:hAnsi="宋体" w:eastAsia="宋体"/>
                <w:bCs/>
                <w:color w:val="000000" w:themeColor="text1"/>
                <w:sz w:val="21"/>
                <w:szCs w:val="21"/>
                <w14:textFill>
                  <w14:solidFill>
                    <w14:schemeClr w14:val="tx1"/>
                  </w14:solidFill>
                </w14:textFill>
              </w:rPr>
            </w:pPr>
          </w:p>
        </w:tc>
        <w:tc>
          <w:tcPr>
            <w:tcW w:w="630" w:type="dxa"/>
            <w:vMerge w:val="continue"/>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p>
        </w:tc>
        <w:tc>
          <w:tcPr>
            <w:tcW w:w="945" w:type="dxa"/>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r>
              <w:rPr>
                <w:rFonts w:ascii="Calibri" w:hAnsi="宋体" w:eastAsia="宋体"/>
                <w:bCs/>
                <w:color w:val="000000" w:themeColor="text1"/>
                <w:sz w:val="21"/>
                <w:szCs w:val="21"/>
                <w14:textFill>
                  <w14:solidFill>
                    <w14:schemeClr w14:val="tx1"/>
                  </w14:solidFill>
                </w14:textFill>
              </w:rPr>
              <w:t>6</w:t>
            </w:r>
          </w:p>
        </w:tc>
        <w:tc>
          <w:tcPr>
            <w:tcW w:w="5869" w:type="dxa"/>
            <w:shd w:val="clear" w:color="auto" w:fill="auto"/>
            <w:vAlign w:val="center"/>
          </w:tcPr>
          <w:p>
            <w:pPr>
              <w:spacing w:line="320" w:lineRule="exact"/>
              <w:ind w:firstLine="420" w:firstLineChars="200"/>
              <w:jc w:val="both"/>
              <w:rPr>
                <w:rFonts w:ascii="Calibri" w:hAnsi="宋体" w:eastAsia="宋体"/>
                <w:b/>
                <w:bCs/>
                <w:sz w:val="21"/>
                <w:szCs w:val="21"/>
              </w:rPr>
            </w:pPr>
            <w:r>
              <w:rPr>
                <w:rFonts w:hint="eastAsia" w:ascii="Calibri" w:hAnsi="宋体" w:eastAsia="宋体"/>
                <w:b/>
                <w:bCs/>
                <w:sz w:val="21"/>
                <w:szCs w:val="21"/>
              </w:rPr>
              <w:t>服务体系</w:t>
            </w:r>
            <w:r>
              <w:rPr>
                <w:rFonts w:ascii="Calibri" w:hAnsi="宋体" w:eastAsia="宋体"/>
                <w:b/>
                <w:bCs/>
                <w:sz w:val="21"/>
                <w:szCs w:val="21"/>
              </w:rPr>
              <w:t>：</w:t>
            </w:r>
          </w:p>
          <w:p>
            <w:pPr>
              <w:spacing w:line="320" w:lineRule="exact"/>
              <w:ind w:firstLine="420" w:firstLineChars="200"/>
              <w:jc w:val="both"/>
              <w:rPr>
                <w:rFonts w:ascii="宋体" w:hAnsi="宋体" w:eastAsia="宋体" w:cs="Calibri Light"/>
                <w:b/>
                <w:bCs/>
                <w:color w:val="000000"/>
                <w:sz w:val="21"/>
                <w:szCs w:val="21"/>
              </w:rPr>
            </w:pPr>
            <w:r>
              <w:rPr>
                <w:rFonts w:hint="eastAsia" w:cstheme="minorHAnsi"/>
                <w:kern w:val="2"/>
                <w:sz w:val="21"/>
                <w:szCs w:val="21"/>
              </w:rPr>
              <w:t>具有ITSS信息技术服务标准符合性证书（业务领域：运行维护）、</w:t>
            </w:r>
            <w:r>
              <w:rPr>
                <w:rFonts w:hint="eastAsia" w:cstheme="minorHAnsi"/>
                <w:color w:val="FF0000"/>
                <w:kern w:val="2"/>
                <w:sz w:val="21"/>
                <w:szCs w:val="21"/>
              </w:rPr>
              <w:t>ISO</w:t>
            </w:r>
            <w:r>
              <w:rPr>
                <w:rFonts w:cstheme="minorHAnsi"/>
                <w:color w:val="FF0000"/>
                <w:kern w:val="2"/>
                <w:sz w:val="21"/>
                <w:szCs w:val="21"/>
              </w:rPr>
              <w:t>27001信息安全管理体系认证</w:t>
            </w:r>
            <w:r>
              <w:rPr>
                <w:rFonts w:hint="eastAsia" w:cstheme="minorHAnsi"/>
                <w:color w:val="FF0000"/>
                <w:kern w:val="2"/>
                <w:sz w:val="21"/>
                <w:szCs w:val="21"/>
              </w:rPr>
              <w:t>、DCMM数据管理成熟度认证证书</w:t>
            </w:r>
            <w:r>
              <w:rPr>
                <w:rFonts w:hint="eastAsia" w:cstheme="minorHAnsi"/>
                <w:kern w:val="2"/>
                <w:sz w:val="21"/>
                <w:szCs w:val="21"/>
              </w:rPr>
              <w:t>，每提供1个得</w:t>
            </w:r>
            <w:r>
              <w:rPr>
                <w:rFonts w:cstheme="minorHAnsi"/>
                <w:kern w:val="2"/>
                <w:sz w:val="21"/>
                <w:szCs w:val="21"/>
              </w:rPr>
              <w:t>2</w:t>
            </w:r>
            <w:r>
              <w:rPr>
                <w:rFonts w:hint="eastAsia" w:cstheme="minorHAnsi"/>
                <w:kern w:val="2"/>
                <w:sz w:val="21"/>
                <w:szCs w:val="21"/>
              </w:rPr>
              <w:t>分，共计</w:t>
            </w:r>
            <w:r>
              <w:rPr>
                <w:rFonts w:cstheme="minorHAnsi"/>
                <w:kern w:val="2"/>
                <w:sz w:val="21"/>
                <w:szCs w:val="21"/>
              </w:rPr>
              <w:t>6</w:t>
            </w:r>
            <w:r>
              <w:rPr>
                <w:rFonts w:hint="eastAsia" w:cstheme="minorHAnsi"/>
                <w:kern w:val="2"/>
                <w:sz w:val="21"/>
                <w:szCs w:val="21"/>
              </w:rPr>
              <w:t>分。（提供原件扫描件并</w:t>
            </w:r>
            <w:r>
              <w:rPr>
                <w:rFonts w:cstheme="minorHAnsi"/>
                <w:kern w:val="2"/>
                <w:sz w:val="21"/>
                <w:szCs w:val="21"/>
              </w:rPr>
              <w:t>加盖供应商公章</w:t>
            </w:r>
            <w:r>
              <w:rPr>
                <w:rFonts w:hint="eastAsia" w:cstheme="minorHAnsi"/>
                <w:kern w:val="2"/>
                <w:sz w:val="21"/>
                <w:szCs w:val="21"/>
              </w:rPr>
              <w:t>）</w:t>
            </w:r>
          </w:p>
        </w:tc>
        <w:tc>
          <w:tcPr>
            <w:tcW w:w="888" w:type="dxa"/>
            <w:vMerge w:val="continue"/>
            <w:shd w:val="clear" w:color="auto" w:fill="auto"/>
            <w:vAlign w:val="center"/>
          </w:tcPr>
          <w:p>
            <w:pPr>
              <w:spacing w:line="320" w:lineRule="exact"/>
              <w:ind w:firstLine="420" w:firstLineChars="200"/>
              <w:rPr>
                <w:rFonts w:ascii="Calibri" w:hAnsi="宋体" w:eastAsia="宋体"/>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88" w:hRule="atLeast"/>
        </w:trPr>
        <w:tc>
          <w:tcPr>
            <w:tcW w:w="735" w:type="dxa"/>
            <w:vMerge w:val="continue"/>
            <w:shd w:val="clear" w:color="auto" w:fill="auto"/>
            <w:vAlign w:val="center"/>
          </w:tcPr>
          <w:p>
            <w:pPr>
              <w:spacing w:line="320" w:lineRule="exact"/>
              <w:rPr>
                <w:rFonts w:ascii="Calibri" w:hAnsi="宋体" w:eastAsia="宋体"/>
                <w:bCs/>
                <w:color w:val="000000" w:themeColor="text1"/>
                <w:sz w:val="21"/>
                <w:szCs w:val="21"/>
                <w14:textFill>
                  <w14:solidFill>
                    <w14:schemeClr w14:val="tx1"/>
                  </w14:solidFill>
                </w14:textFill>
              </w:rPr>
            </w:pPr>
          </w:p>
        </w:tc>
        <w:tc>
          <w:tcPr>
            <w:tcW w:w="630" w:type="dxa"/>
            <w:vMerge w:val="continue"/>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p>
        </w:tc>
        <w:tc>
          <w:tcPr>
            <w:tcW w:w="945" w:type="dxa"/>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r>
              <w:rPr>
                <w:rFonts w:hint="eastAsia" w:ascii="Calibri" w:hAnsi="宋体" w:eastAsia="宋体"/>
                <w:bCs/>
                <w:color w:val="000000" w:themeColor="text1"/>
                <w:sz w:val="21"/>
                <w:szCs w:val="21"/>
                <w14:textFill>
                  <w14:solidFill>
                    <w14:schemeClr w14:val="tx1"/>
                  </w14:solidFill>
                </w14:textFill>
              </w:rPr>
              <w:t>8</w:t>
            </w:r>
          </w:p>
        </w:tc>
        <w:tc>
          <w:tcPr>
            <w:tcW w:w="5869" w:type="dxa"/>
            <w:shd w:val="clear" w:color="auto" w:fill="auto"/>
            <w:vAlign w:val="center"/>
          </w:tcPr>
          <w:p>
            <w:pPr>
              <w:spacing w:line="320" w:lineRule="exact"/>
              <w:ind w:firstLine="420" w:firstLineChars="200"/>
              <w:jc w:val="both"/>
              <w:rPr>
                <w:rFonts w:ascii="Calibri" w:hAnsi="宋体" w:eastAsia="宋体"/>
                <w:b/>
                <w:bCs/>
                <w:sz w:val="21"/>
                <w:szCs w:val="21"/>
              </w:rPr>
            </w:pPr>
            <w:r>
              <w:rPr>
                <w:rFonts w:hint="eastAsia" w:ascii="Calibri" w:hAnsi="宋体" w:eastAsia="宋体"/>
                <w:b/>
                <w:bCs/>
                <w:sz w:val="21"/>
                <w:szCs w:val="21"/>
              </w:rPr>
              <w:t>软件著作权</w:t>
            </w:r>
            <w:r>
              <w:rPr>
                <w:rFonts w:ascii="Calibri" w:hAnsi="宋体" w:eastAsia="宋体"/>
                <w:b/>
                <w:bCs/>
                <w:sz w:val="21"/>
                <w:szCs w:val="21"/>
              </w:rPr>
              <w:t>证书：</w:t>
            </w:r>
          </w:p>
          <w:p>
            <w:pPr>
              <w:spacing w:line="320" w:lineRule="exact"/>
              <w:ind w:firstLine="420" w:firstLineChars="200"/>
              <w:jc w:val="both"/>
              <w:rPr>
                <w:rFonts w:ascii="Calibri" w:hAnsi="宋体" w:eastAsia="宋体"/>
                <w:b/>
                <w:bCs/>
                <w:sz w:val="21"/>
                <w:szCs w:val="21"/>
              </w:rPr>
            </w:pPr>
            <w:r>
              <w:rPr>
                <w:rFonts w:hint="eastAsia" w:cstheme="minorHAnsi"/>
                <w:kern w:val="2"/>
                <w:sz w:val="21"/>
                <w:szCs w:val="21"/>
              </w:rPr>
              <w:t>具有网站集约化管理、资源库云服务、内容管理、信息发布、信息公开、运维监管、智能问答、电子文件库等相关软件产品著作权证书的，每提供1类得1分，共计</w:t>
            </w:r>
            <w:r>
              <w:rPr>
                <w:rFonts w:cstheme="minorHAnsi"/>
                <w:kern w:val="2"/>
                <w:sz w:val="21"/>
                <w:szCs w:val="21"/>
              </w:rPr>
              <w:t>8</w:t>
            </w:r>
            <w:r>
              <w:rPr>
                <w:rFonts w:hint="eastAsia" w:cstheme="minorHAnsi"/>
                <w:kern w:val="2"/>
                <w:sz w:val="21"/>
                <w:szCs w:val="21"/>
              </w:rPr>
              <w:t>分。（提供原件扫描件并</w:t>
            </w:r>
            <w:r>
              <w:rPr>
                <w:rFonts w:cstheme="minorHAnsi"/>
                <w:kern w:val="2"/>
                <w:sz w:val="21"/>
                <w:szCs w:val="21"/>
              </w:rPr>
              <w:t>加盖供应商公章</w:t>
            </w:r>
            <w:r>
              <w:rPr>
                <w:rFonts w:hint="eastAsia" w:cstheme="minorHAnsi"/>
                <w:kern w:val="2"/>
                <w:sz w:val="21"/>
                <w:szCs w:val="21"/>
              </w:rPr>
              <w:t>）</w:t>
            </w:r>
          </w:p>
        </w:tc>
        <w:tc>
          <w:tcPr>
            <w:tcW w:w="888" w:type="dxa"/>
            <w:vMerge w:val="continue"/>
            <w:shd w:val="clear" w:color="auto" w:fill="auto"/>
            <w:vAlign w:val="center"/>
          </w:tcPr>
          <w:p>
            <w:pPr>
              <w:spacing w:line="320" w:lineRule="exact"/>
              <w:ind w:firstLine="420" w:firstLineChars="200"/>
              <w:rPr>
                <w:rFonts w:ascii="Calibri" w:hAnsi="宋体" w:eastAsia="宋体"/>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35" w:type="dxa"/>
            <w:vMerge w:val="continue"/>
            <w:shd w:val="clear" w:color="auto" w:fill="auto"/>
            <w:vAlign w:val="center"/>
          </w:tcPr>
          <w:p>
            <w:pPr>
              <w:spacing w:line="320" w:lineRule="exact"/>
              <w:rPr>
                <w:rFonts w:ascii="Calibri" w:hAnsi="宋体" w:eastAsia="宋体"/>
                <w:bCs/>
                <w:color w:val="000000" w:themeColor="text1"/>
                <w:sz w:val="21"/>
                <w:szCs w:val="21"/>
                <w14:textFill>
                  <w14:solidFill>
                    <w14:schemeClr w14:val="tx1"/>
                  </w14:solidFill>
                </w14:textFill>
              </w:rPr>
            </w:pPr>
          </w:p>
        </w:tc>
        <w:tc>
          <w:tcPr>
            <w:tcW w:w="630" w:type="dxa"/>
            <w:vMerge w:val="continue"/>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p>
        </w:tc>
        <w:tc>
          <w:tcPr>
            <w:tcW w:w="945" w:type="dxa"/>
            <w:shd w:val="clear" w:color="auto" w:fill="auto"/>
            <w:vAlign w:val="center"/>
          </w:tcPr>
          <w:p>
            <w:pPr>
              <w:spacing w:line="320" w:lineRule="exact"/>
              <w:jc w:val="center"/>
              <w:rPr>
                <w:rFonts w:ascii="Calibri" w:hAnsi="宋体" w:eastAsia="宋体"/>
                <w:bCs/>
                <w:color w:val="000000" w:themeColor="text1"/>
                <w:sz w:val="21"/>
                <w:szCs w:val="21"/>
                <w14:textFill>
                  <w14:solidFill>
                    <w14:schemeClr w14:val="tx1"/>
                  </w14:solidFill>
                </w14:textFill>
              </w:rPr>
            </w:pPr>
            <w:r>
              <w:rPr>
                <w:rFonts w:ascii="Calibri" w:hAnsi="宋体" w:eastAsia="宋体"/>
                <w:bCs/>
                <w:color w:val="000000" w:themeColor="text1"/>
                <w:sz w:val="21"/>
                <w:szCs w:val="21"/>
                <w14:textFill>
                  <w14:solidFill>
                    <w14:schemeClr w14:val="tx1"/>
                  </w14:solidFill>
                </w14:textFill>
              </w:rPr>
              <w:t>14</w:t>
            </w:r>
          </w:p>
        </w:tc>
        <w:tc>
          <w:tcPr>
            <w:tcW w:w="5869" w:type="dxa"/>
            <w:shd w:val="clear" w:color="auto" w:fill="auto"/>
            <w:vAlign w:val="center"/>
          </w:tcPr>
          <w:p>
            <w:pPr>
              <w:spacing w:line="320" w:lineRule="exact"/>
              <w:ind w:firstLine="420" w:firstLineChars="200"/>
              <w:jc w:val="both"/>
              <w:rPr>
                <w:rFonts w:ascii="Calibri" w:hAnsi="宋体" w:eastAsia="宋体"/>
                <w:b/>
                <w:bCs/>
                <w:sz w:val="21"/>
                <w:szCs w:val="21"/>
              </w:rPr>
            </w:pPr>
            <w:r>
              <w:rPr>
                <w:rFonts w:hint="eastAsia" w:ascii="Calibri" w:hAnsi="宋体" w:eastAsia="宋体"/>
                <w:b/>
                <w:bCs/>
                <w:sz w:val="21"/>
                <w:szCs w:val="21"/>
              </w:rPr>
              <w:t>业绩要求</w:t>
            </w:r>
            <w:r>
              <w:rPr>
                <w:rFonts w:ascii="Calibri" w:hAnsi="宋体" w:eastAsia="宋体"/>
                <w:b/>
                <w:bCs/>
                <w:sz w:val="21"/>
                <w:szCs w:val="21"/>
              </w:rPr>
              <w:t>：</w:t>
            </w:r>
          </w:p>
          <w:p>
            <w:pPr>
              <w:spacing w:line="320" w:lineRule="exact"/>
              <w:ind w:firstLine="420" w:firstLineChars="200"/>
              <w:jc w:val="both"/>
              <w:rPr>
                <w:rFonts w:ascii="Calibri" w:hAnsi="宋体" w:eastAsia="宋体"/>
                <w:color w:val="000000" w:themeColor="text1"/>
                <w:sz w:val="21"/>
                <w:szCs w:val="21"/>
                <w14:textFill>
                  <w14:solidFill>
                    <w14:schemeClr w14:val="tx1"/>
                  </w14:solidFill>
                </w14:textFill>
              </w:rPr>
            </w:pPr>
            <w:r>
              <w:rPr>
                <w:rFonts w:hint="eastAsia" w:ascii="Calibri" w:hAnsi="宋体" w:eastAsia="宋体"/>
                <w:color w:val="000000" w:themeColor="text1"/>
                <w:sz w:val="21"/>
                <w:szCs w:val="21"/>
                <w14:textFill>
                  <w14:solidFill>
                    <w14:schemeClr w14:val="tx1"/>
                  </w14:solidFill>
                </w14:textFill>
              </w:rPr>
              <w:t>1、</w:t>
            </w:r>
            <w:r>
              <w:rPr>
                <w:rFonts w:hint="eastAsia" w:ascii="Calibri" w:hAnsi="宋体" w:eastAsia="宋体"/>
                <w:b/>
                <w:bCs/>
                <w:color w:val="000000" w:themeColor="text1"/>
                <w:sz w:val="21"/>
                <w:szCs w:val="21"/>
                <w14:textFill>
                  <w14:solidFill>
                    <w14:schemeClr w14:val="tx1"/>
                  </w14:solidFill>
                </w14:textFill>
              </w:rPr>
              <w:t>网站运维案例</w:t>
            </w:r>
          </w:p>
          <w:p>
            <w:pPr>
              <w:spacing w:line="320" w:lineRule="exact"/>
              <w:ind w:firstLine="420" w:firstLineChars="200"/>
              <w:jc w:val="both"/>
              <w:rPr>
                <w:rFonts w:ascii="Calibri" w:hAnsi="宋体" w:eastAsia="宋体"/>
                <w:color w:val="000000" w:themeColor="text1"/>
                <w:sz w:val="21"/>
                <w:szCs w:val="21"/>
                <w14:textFill>
                  <w14:solidFill>
                    <w14:schemeClr w14:val="tx1"/>
                  </w14:solidFill>
                </w14:textFill>
              </w:rPr>
            </w:pPr>
            <w:r>
              <w:rPr>
                <w:rFonts w:hint="eastAsia" w:ascii="Calibri" w:hAnsi="宋体" w:eastAsia="宋体"/>
                <w:bCs/>
                <w:color w:val="000000" w:themeColor="text1"/>
                <w:sz w:val="21"/>
                <w:szCs w:val="21"/>
                <w14:textFill>
                  <w14:solidFill>
                    <w14:schemeClr w14:val="tx1"/>
                  </w14:solidFill>
                </w14:textFill>
              </w:rPr>
              <w:t>提供202</w:t>
            </w:r>
            <w:r>
              <w:rPr>
                <w:rFonts w:ascii="Calibri" w:hAnsi="宋体" w:eastAsia="宋体"/>
                <w:bCs/>
                <w:color w:val="000000" w:themeColor="text1"/>
                <w:sz w:val="21"/>
                <w:szCs w:val="21"/>
                <w14:textFill>
                  <w14:solidFill>
                    <w14:schemeClr w14:val="tx1"/>
                  </w14:solidFill>
                </w14:textFill>
              </w:rPr>
              <w:t>2</w:t>
            </w:r>
            <w:r>
              <w:rPr>
                <w:rFonts w:hint="eastAsia" w:ascii="Calibri" w:hAnsi="宋体" w:eastAsia="宋体"/>
                <w:bCs/>
                <w:color w:val="000000" w:themeColor="text1"/>
                <w:sz w:val="21"/>
                <w:szCs w:val="21"/>
                <w14:textFill>
                  <w14:solidFill>
                    <w14:schemeClr w14:val="tx1"/>
                  </w14:solidFill>
                </w14:textFill>
              </w:rPr>
              <w:t>年1月1日</w:t>
            </w:r>
            <w:r>
              <w:rPr>
                <w:rFonts w:ascii="Calibri" w:hAnsi="宋体" w:eastAsia="宋体"/>
                <w:bCs/>
                <w:color w:val="000000" w:themeColor="text1"/>
                <w:sz w:val="21"/>
                <w:szCs w:val="21"/>
                <w14:textFill>
                  <w14:solidFill>
                    <w14:schemeClr w14:val="tx1"/>
                  </w14:solidFill>
                </w14:textFill>
              </w:rPr>
              <w:t>以来</w:t>
            </w:r>
            <w:r>
              <w:rPr>
                <w:rFonts w:hint="eastAsia" w:ascii="Calibri" w:hAnsi="宋体" w:eastAsia="宋体"/>
                <w:bCs/>
                <w:color w:val="000000" w:themeColor="text1"/>
                <w:sz w:val="21"/>
                <w:szCs w:val="21"/>
                <w14:textFill>
                  <w14:solidFill>
                    <w14:schemeClr w14:val="tx1"/>
                  </w14:solidFill>
                </w14:textFill>
              </w:rPr>
              <w:t>类似网站运维案例的证明文件</w:t>
            </w:r>
            <w:r>
              <w:rPr>
                <w:rFonts w:ascii="Calibri" w:hAnsi="宋体" w:eastAsia="宋体"/>
                <w:color w:val="000000" w:themeColor="text1"/>
                <w:sz w:val="21"/>
                <w:szCs w:val="21"/>
                <w14:textFill>
                  <w14:solidFill>
                    <w14:schemeClr w14:val="tx1"/>
                  </w14:solidFill>
                </w14:textFill>
              </w:rPr>
              <w:t>（即合同及</w:t>
            </w:r>
            <w:r>
              <w:rPr>
                <w:rFonts w:hint="eastAsia" w:ascii="Calibri" w:hAnsi="宋体" w:eastAsia="宋体"/>
                <w:color w:val="000000" w:themeColor="text1"/>
                <w:sz w:val="21"/>
                <w:szCs w:val="21"/>
                <w14:textFill>
                  <w14:solidFill>
                    <w14:schemeClr w14:val="tx1"/>
                  </w14:solidFill>
                </w14:textFill>
              </w:rPr>
              <w:t>相</w:t>
            </w:r>
            <w:r>
              <w:rPr>
                <w:rFonts w:hint="eastAsia" w:ascii="Calibri" w:hAnsi="宋体" w:eastAsia="宋体"/>
                <w:bCs/>
                <w:color w:val="000000" w:themeColor="text1"/>
                <w:sz w:val="21"/>
                <w:szCs w:val="21"/>
                <w14:textFill>
                  <w14:solidFill>
                    <w14:schemeClr w14:val="tx1"/>
                  </w14:solidFill>
                </w14:textFill>
              </w:rPr>
              <w:t>应的评价&lt;或考评</w:t>
            </w:r>
            <w:r>
              <w:rPr>
                <w:rFonts w:ascii="Calibri" w:hAnsi="宋体" w:eastAsia="宋体"/>
                <w:bCs/>
                <w:color w:val="000000" w:themeColor="text1"/>
                <w:sz w:val="21"/>
                <w:szCs w:val="21"/>
                <w14:textFill>
                  <w14:solidFill>
                    <w14:schemeClr w14:val="tx1"/>
                  </w14:solidFill>
                </w14:textFill>
              </w:rPr>
              <w:t>资料</w:t>
            </w:r>
            <w:r>
              <w:rPr>
                <w:rFonts w:hint="eastAsia" w:ascii="Calibri" w:hAnsi="宋体" w:eastAsia="宋体"/>
                <w:bCs/>
                <w:color w:val="000000" w:themeColor="text1"/>
                <w:sz w:val="21"/>
                <w:szCs w:val="21"/>
                <w14:textFill>
                  <w14:solidFill>
                    <w14:schemeClr w14:val="tx1"/>
                  </w14:solidFill>
                </w14:textFill>
              </w:rPr>
              <w:t>&gt;</w:t>
            </w:r>
            <w:r>
              <w:rPr>
                <w:rFonts w:ascii="Calibri" w:hAnsi="宋体" w:eastAsia="宋体"/>
                <w:color w:val="000000" w:themeColor="text1"/>
                <w:sz w:val="21"/>
                <w:szCs w:val="21"/>
                <w14:textFill>
                  <w14:solidFill>
                    <w14:schemeClr w14:val="tx1"/>
                  </w14:solidFill>
                </w14:textFill>
              </w:rPr>
              <w:t>，</w:t>
            </w:r>
            <w:r>
              <w:rPr>
                <w:rFonts w:hint="eastAsia" w:ascii="Calibri" w:hAnsi="宋体" w:eastAsia="宋体"/>
                <w:color w:val="000000" w:themeColor="text1"/>
                <w:sz w:val="21"/>
                <w:szCs w:val="21"/>
                <w14:textFill>
                  <w14:solidFill>
                    <w14:schemeClr w14:val="tx1"/>
                  </w14:solidFill>
                </w14:textFill>
              </w:rPr>
              <w:t>二者</w:t>
            </w:r>
            <w:r>
              <w:rPr>
                <w:rFonts w:ascii="Calibri" w:hAnsi="宋体" w:eastAsia="宋体"/>
                <w:color w:val="000000" w:themeColor="text1"/>
                <w:sz w:val="21"/>
                <w:szCs w:val="21"/>
                <w14:textFill>
                  <w14:solidFill>
                    <w14:schemeClr w14:val="tx1"/>
                  </w14:solidFill>
                </w14:textFill>
              </w:rPr>
              <w:t>同时出具方为有效），评审时以</w:t>
            </w:r>
            <w:r>
              <w:rPr>
                <w:rFonts w:hint="eastAsia" w:ascii="Calibri" w:hAnsi="宋体" w:eastAsia="宋体"/>
                <w:color w:val="000000" w:themeColor="text1"/>
                <w:sz w:val="21"/>
                <w:szCs w:val="21"/>
                <w14:textFill>
                  <w14:solidFill>
                    <w14:schemeClr w14:val="tx1"/>
                  </w14:solidFill>
                </w14:textFill>
              </w:rPr>
              <w:t>业绩证明文件</w:t>
            </w:r>
            <w:r>
              <w:rPr>
                <w:rFonts w:ascii="Calibri" w:hAnsi="宋体" w:eastAsia="宋体"/>
                <w:color w:val="000000" w:themeColor="text1"/>
                <w:sz w:val="21"/>
                <w:szCs w:val="21"/>
                <w14:textFill>
                  <w14:solidFill>
                    <w14:schemeClr w14:val="tx1"/>
                  </w14:solidFill>
                </w14:textFill>
              </w:rPr>
              <w:t>的</w:t>
            </w:r>
            <w:r>
              <w:rPr>
                <w:rFonts w:hint="eastAsia" w:ascii="Calibri" w:hAnsi="宋体" w:eastAsia="宋体"/>
                <w:color w:val="000000" w:themeColor="text1"/>
                <w:sz w:val="21"/>
                <w:szCs w:val="21"/>
                <w14:textFill>
                  <w14:solidFill>
                    <w14:schemeClr w14:val="tx1"/>
                  </w14:solidFill>
                </w14:textFill>
              </w:rPr>
              <w:t>扫描件</w:t>
            </w:r>
            <w:r>
              <w:rPr>
                <w:rFonts w:ascii="Calibri" w:hAnsi="宋体" w:eastAsia="宋体"/>
                <w:color w:val="000000" w:themeColor="text1"/>
                <w:sz w:val="21"/>
                <w:szCs w:val="21"/>
                <w14:textFill>
                  <w14:solidFill>
                    <w14:schemeClr w14:val="tx1"/>
                  </w14:solidFill>
                </w14:textFill>
              </w:rPr>
              <w:t>为计分依据，每出具一份业绩证明文件得1分，满分8分。</w:t>
            </w:r>
          </w:p>
          <w:p>
            <w:pPr>
              <w:spacing w:line="320" w:lineRule="exact"/>
              <w:ind w:firstLine="420" w:firstLineChars="200"/>
              <w:jc w:val="both"/>
              <w:rPr>
                <w:rFonts w:ascii="Calibri" w:hAnsi="宋体" w:eastAsia="宋体"/>
                <w:b/>
                <w:bCs/>
                <w:color w:val="000000" w:themeColor="text1"/>
                <w:sz w:val="21"/>
                <w:szCs w:val="21"/>
                <w14:textFill>
                  <w14:solidFill>
                    <w14:schemeClr w14:val="tx1"/>
                  </w14:solidFill>
                </w14:textFill>
              </w:rPr>
            </w:pPr>
            <w:r>
              <w:rPr>
                <w:rFonts w:hint="eastAsia" w:ascii="Calibri" w:hAnsi="宋体" w:eastAsia="宋体"/>
                <w:color w:val="000000" w:themeColor="text1"/>
                <w:sz w:val="21"/>
                <w:szCs w:val="21"/>
                <w14:textFill>
                  <w14:solidFill>
                    <w14:schemeClr w14:val="tx1"/>
                  </w14:solidFill>
                </w14:textFill>
              </w:rPr>
              <w:t>2、</w:t>
            </w:r>
            <w:r>
              <w:rPr>
                <w:rFonts w:hint="eastAsia" w:ascii="Calibri" w:hAnsi="宋体" w:eastAsia="宋体"/>
                <w:b/>
                <w:bCs/>
                <w:color w:val="000000" w:themeColor="text1"/>
                <w:sz w:val="21"/>
                <w:szCs w:val="21"/>
                <w14:textFill>
                  <w14:solidFill>
                    <w14:schemeClr w14:val="tx1"/>
                  </w14:solidFill>
                </w14:textFill>
              </w:rPr>
              <w:t>网站集约化建设案例</w:t>
            </w:r>
          </w:p>
          <w:p>
            <w:pPr>
              <w:spacing w:line="320" w:lineRule="exact"/>
              <w:ind w:firstLine="420" w:firstLineChars="200"/>
              <w:jc w:val="both"/>
              <w:rPr>
                <w:rFonts w:ascii="Calibri" w:hAnsi="宋体" w:eastAsia="宋体"/>
                <w:b/>
                <w:bCs/>
                <w:color w:val="000000" w:themeColor="text1"/>
                <w:sz w:val="21"/>
                <w:szCs w:val="21"/>
                <w14:textFill>
                  <w14:solidFill>
                    <w14:schemeClr w14:val="tx1"/>
                  </w14:solidFill>
                </w14:textFill>
              </w:rPr>
            </w:pPr>
            <w:r>
              <w:rPr>
                <w:rFonts w:hint="eastAsia" w:ascii="Calibri" w:hAnsi="宋体" w:eastAsia="宋体"/>
                <w:color w:val="000000" w:themeColor="text1"/>
                <w:sz w:val="21"/>
                <w:szCs w:val="21"/>
                <w14:textFill>
                  <w14:solidFill>
                    <w14:schemeClr w14:val="tx1"/>
                  </w14:solidFill>
                </w14:textFill>
              </w:rPr>
              <w:t>提供202</w:t>
            </w:r>
            <w:r>
              <w:rPr>
                <w:rFonts w:ascii="Calibri" w:hAnsi="宋体" w:eastAsia="宋体"/>
                <w:color w:val="000000" w:themeColor="text1"/>
                <w:sz w:val="21"/>
                <w:szCs w:val="21"/>
                <w14:textFill>
                  <w14:solidFill>
                    <w14:schemeClr w14:val="tx1"/>
                  </w14:solidFill>
                </w14:textFill>
              </w:rPr>
              <w:t>2</w:t>
            </w:r>
            <w:r>
              <w:rPr>
                <w:rFonts w:hint="eastAsia" w:ascii="Calibri" w:hAnsi="宋体" w:eastAsia="宋体"/>
                <w:color w:val="000000" w:themeColor="text1"/>
                <w:sz w:val="21"/>
                <w:szCs w:val="21"/>
                <w14:textFill>
                  <w14:solidFill>
                    <w14:schemeClr w14:val="tx1"/>
                  </w14:solidFill>
                </w14:textFill>
              </w:rPr>
              <w:t>年1月1日</w:t>
            </w:r>
            <w:r>
              <w:rPr>
                <w:rFonts w:ascii="Calibri" w:hAnsi="宋体" w:eastAsia="宋体"/>
                <w:color w:val="000000" w:themeColor="text1"/>
                <w:sz w:val="21"/>
                <w:szCs w:val="21"/>
                <w14:textFill>
                  <w14:solidFill>
                    <w14:schemeClr w14:val="tx1"/>
                  </w14:solidFill>
                </w14:textFill>
              </w:rPr>
              <w:t>以来</w:t>
            </w:r>
            <w:r>
              <w:rPr>
                <w:rFonts w:hint="eastAsia" w:ascii="Calibri" w:hAnsi="宋体" w:eastAsia="宋体"/>
                <w:color w:val="000000" w:themeColor="text1"/>
                <w:sz w:val="21"/>
                <w:szCs w:val="21"/>
                <w14:textFill>
                  <w14:solidFill>
                    <w14:schemeClr w14:val="tx1"/>
                  </w14:solidFill>
                </w14:textFill>
              </w:rPr>
              <w:t>网站集约化建设案例的证明文件</w:t>
            </w:r>
            <w:r>
              <w:rPr>
                <w:rFonts w:ascii="Calibri" w:hAnsi="宋体" w:eastAsia="宋体"/>
                <w:color w:val="000000" w:themeColor="text1"/>
                <w:sz w:val="21"/>
                <w:szCs w:val="21"/>
                <w14:textFill>
                  <w14:solidFill>
                    <w14:schemeClr w14:val="tx1"/>
                  </w14:solidFill>
                </w14:textFill>
              </w:rPr>
              <w:t>（即合同及</w:t>
            </w:r>
            <w:r>
              <w:rPr>
                <w:rFonts w:hint="eastAsia" w:ascii="Calibri" w:hAnsi="宋体" w:eastAsia="宋体"/>
                <w:color w:val="000000" w:themeColor="text1"/>
                <w:sz w:val="21"/>
                <w:szCs w:val="21"/>
                <w14:textFill>
                  <w14:solidFill>
                    <w14:schemeClr w14:val="tx1"/>
                  </w14:solidFill>
                </w14:textFill>
              </w:rPr>
              <w:t>相应的评价&lt;或考评</w:t>
            </w:r>
            <w:r>
              <w:rPr>
                <w:rFonts w:ascii="Calibri" w:hAnsi="宋体" w:eastAsia="宋体"/>
                <w:color w:val="000000" w:themeColor="text1"/>
                <w:sz w:val="21"/>
                <w:szCs w:val="21"/>
                <w14:textFill>
                  <w14:solidFill>
                    <w14:schemeClr w14:val="tx1"/>
                  </w14:solidFill>
                </w14:textFill>
              </w:rPr>
              <w:t>资料</w:t>
            </w:r>
            <w:r>
              <w:rPr>
                <w:rFonts w:hint="eastAsia" w:ascii="Calibri" w:hAnsi="宋体" w:eastAsia="宋体"/>
                <w:color w:val="000000" w:themeColor="text1"/>
                <w:sz w:val="21"/>
                <w:szCs w:val="21"/>
                <w14:textFill>
                  <w14:solidFill>
                    <w14:schemeClr w14:val="tx1"/>
                  </w14:solidFill>
                </w14:textFill>
              </w:rPr>
              <w:t>&gt;</w:t>
            </w:r>
            <w:r>
              <w:rPr>
                <w:rFonts w:ascii="Calibri" w:hAnsi="宋体" w:eastAsia="宋体"/>
                <w:color w:val="000000" w:themeColor="text1"/>
                <w:sz w:val="21"/>
                <w:szCs w:val="21"/>
                <w14:textFill>
                  <w14:solidFill>
                    <w14:schemeClr w14:val="tx1"/>
                  </w14:solidFill>
                </w14:textFill>
              </w:rPr>
              <w:t>，</w:t>
            </w:r>
            <w:r>
              <w:rPr>
                <w:rFonts w:hint="eastAsia" w:ascii="Calibri" w:hAnsi="宋体" w:eastAsia="宋体"/>
                <w:color w:val="000000" w:themeColor="text1"/>
                <w:sz w:val="21"/>
                <w:szCs w:val="21"/>
                <w14:textFill>
                  <w14:solidFill>
                    <w14:schemeClr w14:val="tx1"/>
                  </w14:solidFill>
                </w14:textFill>
              </w:rPr>
              <w:t>二者</w:t>
            </w:r>
            <w:r>
              <w:rPr>
                <w:rFonts w:ascii="Calibri" w:hAnsi="宋体" w:eastAsia="宋体"/>
                <w:color w:val="000000" w:themeColor="text1"/>
                <w:sz w:val="21"/>
                <w:szCs w:val="21"/>
                <w14:textFill>
                  <w14:solidFill>
                    <w14:schemeClr w14:val="tx1"/>
                  </w14:solidFill>
                </w14:textFill>
              </w:rPr>
              <w:t>同时出具方为有效），评审时以</w:t>
            </w:r>
            <w:r>
              <w:rPr>
                <w:rFonts w:hint="eastAsia" w:ascii="Calibri" w:hAnsi="宋体" w:eastAsia="宋体"/>
                <w:color w:val="000000" w:themeColor="text1"/>
                <w:sz w:val="21"/>
                <w:szCs w:val="21"/>
                <w14:textFill>
                  <w14:solidFill>
                    <w14:schemeClr w14:val="tx1"/>
                  </w14:solidFill>
                </w14:textFill>
              </w:rPr>
              <w:t>业绩证明文件</w:t>
            </w:r>
            <w:r>
              <w:rPr>
                <w:rFonts w:ascii="Calibri" w:hAnsi="宋体" w:eastAsia="宋体"/>
                <w:color w:val="000000" w:themeColor="text1"/>
                <w:sz w:val="21"/>
                <w:szCs w:val="21"/>
                <w14:textFill>
                  <w14:solidFill>
                    <w14:schemeClr w14:val="tx1"/>
                  </w14:solidFill>
                </w14:textFill>
              </w:rPr>
              <w:t>的</w:t>
            </w:r>
            <w:r>
              <w:rPr>
                <w:rFonts w:hint="eastAsia" w:ascii="Calibri" w:hAnsi="宋体" w:eastAsia="宋体"/>
                <w:color w:val="000000" w:themeColor="text1"/>
                <w:sz w:val="21"/>
                <w:szCs w:val="21"/>
                <w14:textFill>
                  <w14:solidFill>
                    <w14:schemeClr w14:val="tx1"/>
                  </w14:solidFill>
                </w14:textFill>
              </w:rPr>
              <w:t>扫描件</w:t>
            </w:r>
            <w:r>
              <w:rPr>
                <w:rFonts w:ascii="Calibri" w:hAnsi="宋体" w:eastAsia="宋体"/>
                <w:color w:val="000000" w:themeColor="text1"/>
                <w:sz w:val="21"/>
                <w:szCs w:val="21"/>
                <w14:textFill>
                  <w14:solidFill>
                    <w14:schemeClr w14:val="tx1"/>
                  </w14:solidFill>
                </w14:textFill>
              </w:rPr>
              <w:t>为计分依据，每出具一份业绩证明文件得3分，满分6分。</w:t>
            </w:r>
          </w:p>
        </w:tc>
        <w:tc>
          <w:tcPr>
            <w:tcW w:w="888" w:type="dxa"/>
            <w:vMerge w:val="continue"/>
            <w:shd w:val="clear" w:color="auto" w:fill="auto"/>
            <w:vAlign w:val="center"/>
          </w:tcPr>
          <w:p>
            <w:pPr>
              <w:spacing w:line="320" w:lineRule="exact"/>
              <w:ind w:firstLine="420" w:firstLineChars="200"/>
              <w:rPr>
                <w:rFonts w:ascii="Calibri" w:hAnsi="宋体" w:eastAsia="宋体"/>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92" w:hRule="atLeast"/>
        </w:trPr>
        <w:tc>
          <w:tcPr>
            <w:tcW w:w="735" w:type="dxa"/>
            <w:shd w:val="clear" w:color="auto" w:fill="auto"/>
            <w:vAlign w:val="center"/>
          </w:tcPr>
          <w:p>
            <w:pPr>
              <w:spacing w:line="320" w:lineRule="exact"/>
              <w:rPr>
                <w:rFonts w:ascii="Calibri" w:hAnsi="宋体" w:eastAsia="宋体"/>
                <w:color w:val="000000" w:themeColor="text1"/>
                <w:sz w:val="21"/>
                <w:szCs w:val="21"/>
                <w14:textFill>
                  <w14:solidFill>
                    <w14:schemeClr w14:val="tx1"/>
                  </w14:solidFill>
                </w14:textFill>
              </w:rPr>
            </w:pPr>
            <w:r>
              <w:rPr>
                <w:rFonts w:ascii="Calibri" w:hAnsi="宋体" w:eastAsia="宋体"/>
                <w:color w:val="000000" w:themeColor="text1"/>
                <w:sz w:val="21"/>
                <w:szCs w:val="21"/>
                <w14:textFill>
                  <w14:solidFill>
                    <w14:schemeClr w14:val="tx1"/>
                  </w14:solidFill>
                </w14:textFill>
              </w:rPr>
              <w:t>说明</w:t>
            </w:r>
          </w:p>
        </w:tc>
        <w:tc>
          <w:tcPr>
            <w:tcW w:w="8332" w:type="dxa"/>
            <w:gridSpan w:val="4"/>
            <w:shd w:val="clear" w:color="auto" w:fill="auto"/>
            <w:vAlign w:val="center"/>
          </w:tcPr>
          <w:p>
            <w:pPr>
              <w:spacing w:line="320" w:lineRule="exact"/>
              <w:ind w:firstLine="420"/>
              <w:jc w:val="both"/>
              <w:rPr>
                <w:rFonts w:ascii="Calibri" w:hAnsi="宋体" w:eastAsia="宋体" w:cs="Calibri Light"/>
                <w:kern w:val="2"/>
                <w:sz w:val="21"/>
                <w:szCs w:val="21"/>
              </w:rPr>
            </w:pPr>
            <w:r>
              <w:rPr>
                <w:rFonts w:ascii="Calibri" w:hAnsi="宋体" w:eastAsia="宋体" w:cs="Calibri Light"/>
                <w:kern w:val="2"/>
                <w:sz w:val="21"/>
                <w:szCs w:val="21"/>
              </w:rPr>
              <w:t>1、评标委员会成员必须按照本评审要素据实打分，各类数字计算均按“四舍五入”保留小数点后两位；</w:t>
            </w:r>
          </w:p>
          <w:p>
            <w:pPr>
              <w:spacing w:line="320" w:lineRule="exact"/>
              <w:ind w:firstLine="420" w:firstLineChars="200"/>
              <w:jc w:val="both"/>
              <w:rPr>
                <w:rFonts w:ascii="Calibri" w:hAnsi="宋体" w:eastAsia="宋体" w:cs="Calibri Light"/>
                <w:kern w:val="2"/>
                <w:sz w:val="21"/>
                <w:szCs w:val="21"/>
              </w:rPr>
            </w:pPr>
            <w:r>
              <w:rPr>
                <w:rFonts w:ascii="Calibri" w:hAnsi="宋体" w:eastAsia="宋体" w:cs="Calibri Light"/>
                <w:kern w:val="2"/>
                <w:sz w:val="21"/>
                <w:szCs w:val="21"/>
              </w:rPr>
              <w:t>2、对小型和微型企业提供服务的报价给予10%的价格扣除，用扣除后的价格参与评审；未提供中小企业声明函的不享受价格折扣。</w:t>
            </w:r>
          </w:p>
        </w:tc>
      </w:tr>
    </w:tbl>
    <w:p>
      <w:pPr>
        <w:pStyle w:val="81"/>
        <w:ind w:firstLine="482"/>
        <w:rPr>
          <w:b/>
        </w:rPr>
      </w:pPr>
      <w:r>
        <w:rPr>
          <w:b/>
        </w:rPr>
        <w:t>5</w:t>
      </w:r>
      <w:r>
        <w:rPr>
          <w:rFonts w:hint="eastAsia"/>
          <w:b/>
          <w:color w:val="auto"/>
        </w:rPr>
        <w:t>．</w:t>
      </w:r>
      <w:r>
        <w:rPr>
          <w:b/>
        </w:rPr>
        <w:t>推荐中标候选人</w:t>
      </w:r>
    </w:p>
    <w:p>
      <w:pPr>
        <w:pStyle w:val="81"/>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pPr>
        <w:pStyle w:val="81"/>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1"/>
        <w:ind w:firstLine="482"/>
        <w:rPr>
          <w:b/>
        </w:rPr>
      </w:pPr>
      <w:r>
        <w:rPr>
          <w:b/>
        </w:rPr>
        <w:t>6</w:t>
      </w:r>
      <w:r>
        <w:rPr>
          <w:rFonts w:hint="eastAsia"/>
          <w:b/>
          <w:color w:val="auto"/>
        </w:rPr>
        <w:t>．</w:t>
      </w:r>
      <w:r>
        <w:rPr>
          <w:b/>
        </w:rPr>
        <w:t>编写评审报告</w:t>
      </w:r>
    </w:p>
    <w:p>
      <w:pPr>
        <w:pStyle w:val="81"/>
        <w:ind w:firstLine="480"/>
        <w:rPr>
          <w:rFonts w:hAnsi="华文仿宋"/>
        </w:rPr>
      </w:pPr>
      <w:r>
        <w:rPr>
          <w:rFonts w:hint="eastAsia" w:hAnsi="华文仿宋"/>
        </w:rPr>
        <w:t>评审报告是评标委员会根据全体评标成员签字的原始评标记录和评标结果编写的报告。</w:t>
      </w:r>
    </w:p>
    <w:p>
      <w:pPr>
        <w:pStyle w:val="81"/>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4"/>
        <w:ind w:firstLine="482"/>
      </w:pPr>
      <w:r>
        <w:t>（四）</w:t>
      </w:r>
      <w:r>
        <w:rPr>
          <w:rFonts w:hint="eastAsia"/>
        </w:rPr>
        <w:t>评标争议处理规则</w:t>
      </w:r>
    </w:p>
    <w:p>
      <w:pPr>
        <w:pStyle w:val="81"/>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4"/>
        <w:ind w:firstLine="482"/>
      </w:pPr>
      <w:r>
        <w:t>（五）评审现场人员的保密责任</w:t>
      </w:r>
    </w:p>
    <w:p>
      <w:pPr>
        <w:pStyle w:val="81"/>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4"/>
        <w:ind w:firstLine="482"/>
      </w:pPr>
      <w:r>
        <w:t>（六）出现下列情形时，视同供应商串通投标，其投标无效：</w:t>
      </w:r>
    </w:p>
    <w:p>
      <w:pPr>
        <w:pStyle w:val="81"/>
        <w:ind w:firstLine="480"/>
      </w:pPr>
      <w:r>
        <w:t>1</w:t>
      </w:r>
      <w:r>
        <w:rPr>
          <w:rFonts w:hint="eastAsia"/>
          <w:color w:val="auto"/>
        </w:rPr>
        <w:t>．</w:t>
      </w:r>
      <w:r>
        <w:t>不同供应商的投标文件由同一单位或者个人编制；</w:t>
      </w:r>
    </w:p>
    <w:p>
      <w:pPr>
        <w:pStyle w:val="81"/>
        <w:ind w:firstLine="480"/>
      </w:pPr>
      <w:r>
        <w:t>2</w:t>
      </w:r>
      <w:r>
        <w:rPr>
          <w:rFonts w:hint="eastAsia"/>
          <w:color w:val="auto"/>
        </w:rPr>
        <w:t>．</w:t>
      </w:r>
      <w:r>
        <w:t>不同供应商委托同一单位或者个人办理投标事宜；</w:t>
      </w:r>
    </w:p>
    <w:p>
      <w:pPr>
        <w:pStyle w:val="81"/>
        <w:ind w:firstLine="480"/>
      </w:pPr>
      <w:r>
        <w:t>3</w:t>
      </w:r>
      <w:r>
        <w:rPr>
          <w:rFonts w:hint="eastAsia"/>
          <w:color w:val="auto"/>
        </w:rPr>
        <w:t>．</w:t>
      </w:r>
      <w:r>
        <w:t>不同供应商的投标文件载明的项目管理成员或者联系人员为同一人；</w:t>
      </w:r>
    </w:p>
    <w:p>
      <w:pPr>
        <w:pStyle w:val="81"/>
        <w:ind w:firstLine="480"/>
        <w:rPr>
          <w:strike/>
        </w:rPr>
      </w:pPr>
      <w:r>
        <w:t>4</w:t>
      </w:r>
      <w:r>
        <w:rPr>
          <w:rFonts w:hint="eastAsia"/>
          <w:color w:val="auto"/>
        </w:rPr>
        <w:t>．</w:t>
      </w:r>
      <w:r>
        <w:t>不同供应商的投标文件异常一致或者投标报价呈规律性差异。</w:t>
      </w:r>
    </w:p>
    <w:p>
      <w:pPr>
        <w:pStyle w:val="3"/>
      </w:pPr>
      <w:r>
        <w:t>八、中标</w:t>
      </w:r>
    </w:p>
    <w:p>
      <w:pPr>
        <w:pStyle w:val="81"/>
        <w:ind w:firstLine="480"/>
      </w:pPr>
      <w:r>
        <w:rPr>
          <w:rFonts w:hint="eastAsia"/>
        </w:rPr>
        <w:t>1</w:t>
      </w:r>
      <w:r>
        <w:rPr>
          <w:rFonts w:hint="eastAsia"/>
          <w:color w:val="auto"/>
        </w:rPr>
        <w:t>．</w:t>
      </w:r>
      <w:r>
        <w:t>采购代理机构在评标工作结束后2个工作日内将评审报告送采购人。</w:t>
      </w:r>
    </w:p>
    <w:p>
      <w:pPr>
        <w:pStyle w:val="81"/>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1"/>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）上公布中标结果。中标公告期限为1个工作日。</w:t>
      </w:r>
    </w:p>
    <w:p>
      <w:pPr>
        <w:pStyle w:val="81"/>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pPr>
        <w:pStyle w:val="81"/>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pPr>
        <w:pStyle w:val="81"/>
        <w:ind w:firstLine="480"/>
      </w:pPr>
      <w:r>
        <w:rPr>
          <w:rFonts w:hint="eastAsia"/>
        </w:rPr>
        <w:t>6</w:t>
      </w:r>
      <w:r>
        <w:rPr>
          <w:rFonts w:hint="eastAsia"/>
          <w:color w:val="auto"/>
        </w:rPr>
        <w:t>．</w:t>
      </w:r>
      <w:r>
        <w:rPr>
          <w:rFonts w:hint="eastAsia"/>
        </w:rPr>
        <w:t>采购代理机构按照相关规定将评审报告送同级政府采购监管部门备案。</w:t>
      </w:r>
    </w:p>
    <w:p>
      <w:pPr>
        <w:pStyle w:val="3"/>
      </w:pPr>
      <w:r>
        <w:t>九、合同签订、履行及验收</w:t>
      </w:r>
    </w:p>
    <w:p>
      <w:pPr>
        <w:pStyle w:val="81"/>
        <w:ind w:firstLine="480"/>
      </w:pPr>
      <w:r>
        <w:t>招标文件、投标文件、澄清、补充合同等为政府采购合同的组成部分，具有同等法律效力。</w:t>
      </w:r>
    </w:p>
    <w:p>
      <w:pPr>
        <w:pStyle w:val="4"/>
        <w:ind w:firstLine="482"/>
      </w:pPr>
      <w:r>
        <w:t>（一）签订政府采购合同</w:t>
      </w:r>
    </w:p>
    <w:p>
      <w:pPr>
        <w:pStyle w:val="81"/>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pPr>
        <w:pStyle w:val="81"/>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pPr>
        <w:pStyle w:val="81"/>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1"/>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pPr>
        <w:pStyle w:val="4"/>
        <w:ind w:firstLine="482"/>
      </w:pPr>
      <w:r>
        <w:t>（二）合同公示</w:t>
      </w:r>
    </w:p>
    <w:p>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pPr>
        <w:pStyle w:val="4"/>
        <w:ind w:firstLine="482"/>
      </w:pPr>
      <w:r>
        <w:t>（三）合同履行</w:t>
      </w:r>
    </w:p>
    <w:p>
      <w:pPr>
        <w:pStyle w:val="81"/>
        <w:ind w:firstLine="480"/>
      </w:pPr>
      <w:r>
        <w:rPr>
          <w:rFonts w:hint="eastAsia"/>
        </w:rPr>
        <w:t>1</w:t>
      </w:r>
      <w:r>
        <w:rPr>
          <w:rFonts w:hint="eastAsia"/>
          <w:color w:val="auto"/>
        </w:rPr>
        <w:t>．</w:t>
      </w:r>
      <w:r>
        <w:rPr>
          <w:rFonts w:hint="eastAsia"/>
        </w:rPr>
        <w:t>合同一经签订，双方应严格履行合同规定的义务。</w:t>
      </w:r>
    </w:p>
    <w:p>
      <w:pPr>
        <w:pStyle w:val="81"/>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4"/>
        <w:ind w:firstLine="482"/>
      </w:pPr>
      <w:r>
        <w:t>（四）验收或考核</w:t>
      </w:r>
    </w:p>
    <w:p>
      <w:pPr>
        <w:pStyle w:val="81"/>
        <w:ind w:firstLine="480"/>
      </w:pPr>
      <w:r>
        <w:rPr>
          <w:rFonts w:hint="eastAsia"/>
        </w:rPr>
        <w:t>1</w:t>
      </w:r>
      <w:r>
        <w:rPr>
          <w:rFonts w:hint="eastAsia"/>
          <w:color w:val="auto"/>
        </w:rPr>
        <w:t>．</w:t>
      </w:r>
      <w:r>
        <w:rPr>
          <w:rFonts w:hint="eastAsia"/>
        </w:rPr>
        <w:t>采购人严格按照国家相关法律法规的要求及招标文件的要求组织验收或考核。</w:t>
      </w:r>
    </w:p>
    <w:p>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pPr>
      <w:r>
        <w:t>十、其他</w:t>
      </w:r>
    </w:p>
    <w:p>
      <w:pPr>
        <w:pStyle w:val="81"/>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pPr>
        <w:pStyle w:val="81"/>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1"/>
        <w:ind w:firstLine="480"/>
      </w:pPr>
      <w:r>
        <w:t>3</w:t>
      </w:r>
      <w:r>
        <w:rPr>
          <w:rFonts w:hint="eastAsia"/>
          <w:color w:val="auto"/>
        </w:rPr>
        <w:t>．</w:t>
      </w:r>
      <w:r>
        <w:t>根据《政府采购法》第三十六条规定，在招标采购中，出现下列情形之一的，本项目按废标处理：</w:t>
      </w:r>
    </w:p>
    <w:p>
      <w:pPr>
        <w:pStyle w:val="81"/>
        <w:ind w:firstLine="480"/>
      </w:pPr>
      <w:r>
        <w:t>（</w:t>
      </w:r>
      <w:r>
        <w:rPr>
          <w:rFonts w:hint="eastAsia"/>
        </w:rPr>
        <w:t>1</w:t>
      </w:r>
      <w:r>
        <w:t>）出现影响采购公正的违法、违规行为的；</w:t>
      </w:r>
    </w:p>
    <w:p>
      <w:pPr>
        <w:pStyle w:val="81"/>
        <w:ind w:firstLine="480"/>
      </w:pPr>
      <w:r>
        <w:t>（</w:t>
      </w:r>
      <w:r>
        <w:rPr>
          <w:rFonts w:hint="eastAsia"/>
        </w:rPr>
        <w:t>2</w:t>
      </w:r>
      <w:r>
        <w:t>）供应商的报价均超过了采购预算，采购人不能支付的；</w:t>
      </w:r>
    </w:p>
    <w:p>
      <w:pPr>
        <w:pStyle w:val="81"/>
        <w:ind w:firstLine="480"/>
      </w:pPr>
      <w:r>
        <w:t>（</w:t>
      </w:r>
      <w:r>
        <w:rPr>
          <w:rFonts w:hint="eastAsia"/>
        </w:rPr>
        <w:t>3</w:t>
      </w:r>
      <w:r>
        <w:t>）因重大变故，采购任务取消的。</w:t>
      </w:r>
    </w:p>
    <w:p>
      <w:pPr>
        <w:pStyle w:val="81"/>
        <w:ind w:firstLine="480"/>
      </w:pPr>
      <w:r>
        <w:t>废标后，除采购任务取消外，本项目将重新组织招标。</w:t>
      </w:r>
    </w:p>
    <w:p>
      <w:pPr>
        <w:pStyle w:val="81"/>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1"/>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1"/>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pPr>
        <w:pStyle w:val="2"/>
        <w:spacing w:before="230" w:after="230"/>
      </w:pPr>
      <w:bookmarkStart w:id="9" w:name="_Toc209943447"/>
      <w:r>
        <w:rPr>
          <w:rFonts w:hint="eastAsia"/>
        </w:rPr>
        <w:t>第三章　招标内容及要求</w:t>
      </w:r>
      <w:bookmarkEnd w:id="9"/>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pStyle w:val="3"/>
        <w:jc w:val="both"/>
      </w:pPr>
      <w:r>
        <w:rPr>
          <w:rFonts w:hint="eastAsia"/>
        </w:rPr>
        <w:t>一、项目概况</w:t>
      </w:r>
    </w:p>
    <w:p>
      <w:pPr>
        <w:ind w:firstLine="480" w:firstLineChars="200"/>
        <w:jc w:val="both"/>
        <w:outlineLvl w:val="2"/>
      </w:pPr>
      <w:r>
        <w:rPr>
          <w:rFonts w:hint="eastAsia"/>
        </w:rPr>
        <w:t>（一）项目背景</w:t>
      </w:r>
    </w:p>
    <w:p>
      <w:pPr>
        <w:ind w:firstLine="480" w:firstLineChars="200"/>
        <w:jc w:val="both"/>
      </w:pPr>
      <w:r>
        <w:rPr>
          <w:rFonts w:hint="eastAsia"/>
        </w:rPr>
        <w:t>按照国务院办公厅《政府网站发展指引》四统一、两集中的要求，西安市于</w:t>
      </w:r>
      <w:r>
        <w:t>2019</w:t>
      </w:r>
      <w:r>
        <w:rPr>
          <w:rFonts w:hint="eastAsia"/>
        </w:rPr>
        <w:t>年建成了统一标准体系、统一技术平台、统一安全防护、统一运维监管、集中管理信息数据、集中提供内容服务的站群平台，平台为实现全市政府网站统一建站、集中运维、标准化服务发挥了重要作用。为保障2</w:t>
      </w:r>
      <w:r>
        <w:t>02</w:t>
      </w:r>
      <w:r>
        <w:rPr>
          <w:rFonts w:hint="eastAsia"/>
        </w:rPr>
        <w:t>5-</w:t>
      </w:r>
      <w:r>
        <w:t>202</w:t>
      </w:r>
      <w:r>
        <w:rPr>
          <w:rFonts w:hint="eastAsia"/>
        </w:rPr>
        <w:t>6</w:t>
      </w:r>
      <w:r>
        <w:t>年</w:t>
      </w:r>
      <w:r>
        <w:rPr>
          <w:rFonts w:hint="eastAsia"/>
        </w:rPr>
        <w:t>西安市政府办公厅站群平台（以下简称“站群平台”）及其上所有网站安全、稳定、高效运行，满足中省市网站检查和政务公开考核要求，对外提供持续、稳定、个性化服务，需采购</w:t>
      </w:r>
      <w:r>
        <w:t>202</w:t>
      </w:r>
      <w:r>
        <w:rPr>
          <w:rFonts w:hint="eastAsia"/>
        </w:rPr>
        <w:t>5</w:t>
      </w:r>
      <w:r>
        <w:t>年西安市政府办公厅站群平台运维服务</w:t>
      </w:r>
      <w:r>
        <w:rPr>
          <w:rFonts w:hint="eastAsia"/>
        </w:rPr>
        <w:t>。</w:t>
      </w:r>
    </w:p>
    <w:p>
      <w:pPr>
        <w:ind w:firstLine="480" w:firstLineChars="200"/>
        <w:jc w:val="both"/>
        <w:outlineLvl w:val="2"/>
      </w:pPr>
      <w:r>
        <w:rPr>
          <w:rFonts w:hint="eastAsia"/>
        </w:rPr>
        <w:t>（二）服务</w:t>
      </w:r>
      <w:r>
        <w:t>目标</w:t>
      </w:r>
    </w:p>
    <w:p>
      <w:pPr>
        <w:ind w:firstLine="480" w:firstLineChars="200"/>
        <w:jc w:val="both"/>
      </w:pPr>
      <w:r>
        <w:rPr>
          <w:rFonts w:hint="eastAsia"/>
        </w:rPr>
        <w:t>开展西安市政府办公厅站群平台技术运维服务工作，保障平台及所有网站安全、稳定、可靠运行。同时，根据中省市政府网站检查和政务公开工作考核评估要求，提供平台功能运维和网站内容运维等相关服务，满足各级政府网站的政务公开、解读回应、办事服务、互动交流等各方面业务需求，不断提升政府网站的服务水平和政务公开水平，将政府网站建成更加全面的政务公开平台、更加权威的政策发布解读和舆论引导平台、更加及时的回应关切和便民服务平台。</w:t>
      </w:r>
    </w:p>
    <w:p>
      <w:pPr>
        <w:ind w:firstLine="480" w:firstLineChars="200"/>
        <w:jc w:val="both"/>
        <w:outlineLvl w:val="2"/>
      </w:pPr>
      <w:r>
        <w:rPr>
          <w:rFonts w:hint="eastAsia"/>
        </w:rPr>
        <w:t>（三）服务</w:t>
      </w:r>
      <w:r>
        <w:t>范围</w:t>
      </w:r>
    </w:p>
    <w:p>
      <w:pPr>
        <w:pStyle w:val="99"/>
        <w:ind w:firstLine="480"/>
        <w:rPr>
          <w:rFonts w:cs="Times New Roman" w:asciiTheme="minorHAnsi" w:hAnsiTheme="minorHAnsi" w:eastAsiaTheme="minorEastAsia"/>
          <w:color w:val="auto"/>
          <w:kern w:val="0"/>
        </w:rPr>
      </w:pPr>
      <w:r>
        <w:rPr>
          <w:rFonts w:hint="eastAsia" w:cs="Times New Roman" w:asciiTheme="minorHAnsi" w:hAnsiTheme="minorHAnsi" w:eastAsiaTheme="minorEastAsia"/>
          <w:color w:val="auto"/>
          <w:kern w:val="0"/>
        </w:rPr>
        <w:t>项目服务范围包括西安市政府网站集约化平台及其上所有网站（包括1个市政府网站、13个区县政府网站、8个开发区管委会网站、53个部门网站及西咸新区5个新城网站）。</w:t>
      </w:r>
    </w:p>
    <w:p>
      <w:pPr>
        <w:pStyle w:val="3"/>
        <w:jc w:val="both"/>
      </w:pPr>
      <w:r>
        <w:rPr>
          <w:rFonts w:hint="eastAsia"/>
        </w:rPr>
        <w:t>二、服务内容</w:t>
      </w:r>
    </w:p>
    <w:p>
      <w:pPr>
        <w:ind w:firstLine="480" w:firstLineChars="200"/>
        <w:jc w:val="both"/>
        <w:outlineLvl w:val="2"/>
        <w:rPr>
          <w:b/>
        </w:rPr>
      </w:pPr>
      <w:r>
        <w:rPr>
          <w:rFonts w:hint="eastAsia"/>
          <w:b/>
        </w:rPr>
        <w:t>（一）平台技术</w:t>
      </w:r>
      <w:r>
        <w:rPr>
          <w:b/>
        </w:rPr>
        <w:t>运维服务</w:t>
      </w:r>
    </w:p>
    <w:p>
      <w:pPr>
        <w:ind w:firstLine="480" w:firstLineChars="200"/>
        <w:jc w:val="both"/>
        <w:outlineLvl w:val="3"/>
        <w:rPr>
          <w:b/>
        </w:rPr>
      </w:pPr>
      <w:r>
        <w:rPr>
          <w:rFonts w:hint="eastAsia"/>
          <w:b/>
        </w:rPr>
        <w:t>1、</w:t>
      </w:r>
      <w:r>
        <w:rPr>
          <w:b/>
        </w:rPr>
        <w:t>平台系统运维</w:t>
      </w:r>
    </w:p>
    <w:p>
      <w:pPr>
        <w:ind w:firstLine="480" w:firstLineChars="200"/>
        <w:jc w:val="both"/>
      </w:pPr>
      <w:r>
        <w:rPr>
          <w:rFonts w:hint="eastAsia"/>
        </w:rPr>
        <w:t>（1）服务内容</w:t>
      </w:r>
    </w:p>
    <w:p>
      <w:pPr>
        <w:ind w:firstLine="480" w:firstLineChars="200"/>
        <w:jc w:val="both"/>
      </w:pPr>
      <w:r>
        <w:rPr>
          <w:rFonts w:hint="eastAsia"/>
        </w:rPr>
        <w:t>对站群平台各应用系统和所有网站提供统一技术运维服务。具体包括问题诊断与修改、系统巡检、系统监控、性能优化、系统升级、系统管理、数据备份恢复、安全管理、专项保障、技术咨询、系统培训等服务内容。</w:t>
      </w:r>
    </w:p>
    <w:p>
      <w:pPr>
        <w:ind w:firstLine="480" w:firstLineChars="200"/>
        <w:jc w:val="both"/>
      </w:pPr>
      <w:r>
        <w:rPr>
          <w:rFonts w:hint="eastAsia"/>
        </w:rPr>
        <w:t>①问题诊断与修改</w:t>
      </w:r>
    </w:p>
    <w:p>
      <w:pPr>
        <w:ind w:firstLine="480" w:firstLineChars="200"/>
        <w:jc w:val="both"/>
      </w:pPr>
      <w:r>
        <w:rPr>
          <w:rFonts w:hint="eastAsia"/>
        </w:rPr>
        <w:t>针对站群平台各应用系统和所有网站运行过程中的各类故障问题、系统错误等提供及时响应和处理。</w:t>
      </w:r>
    </w:p>
    <w:p>
      <w:pPr>
        <w:ind w:firstLine="480" w:firstLineChars="200"/>
        <w:jc w:val="both"/>
      </w:pPr>
      <w:r>
        <w:rPr>
          <w:rFonts w:hint="eastAsia"/>
        </w:rPr>
        <w:t>②系统巡检</w:t>
      </w:r>
    </w:p>
    <w:p>
      <w:pPr>
        <w:ind w:firstLine="480" w:firstLineChars="200"/>
        <w:jc w:val="both"/>
      </w:pPr>
      <w:r>
        <w:rPr>
          <w:rFonts w:hint="eastAsia"/>
        </w:rPr>
        <w:t>提供站群平台基础资源、应用系统和网站定期巡检服务，对系统的运行状态、功能、性能进行检查，以确保各系统能够以最佳的状态运行。同时，发现系统隐患及时报告相关人员解决。</w:t>
      </w:r>
    </w:p>
    <w:p>
      <w:pPr>
        <w:ind w:firstLine="480" w:firstLineChars="200"/>
        <w:jc w:val="both"/>
      </w:pPr>
      <w:r>
        <w:rPr>
          <w:rFonts w:hint="eastAsia"/>
        </w:rPr>
        <w:t>③系统监控</w:t>
      </w:r>
    </w:p>
    <w:p>
      <w:pPr>
        <w:ind w:firstLine="480" w:firstLineChars="200"/>
        <w:jc w:val="both"/>
      </w:pPr>
      <w:r>
        <w:rPr>
          <w:rFonts w:hint="eastAsia"/>
        </w:rPr>
        <w:t>对站群平台各系统的运行情况进行监控，及时发现系统故障，确保系统可靠稳定运行，并在日常监控的基础上进行安全事件积累、分析。</w:t>
      </w:r>
    </w:p>
    <w:p>
      <w:pPr>
        <w:ind w:firstLine="480" w:firstLineChars="200"/>
        <w:jc w:val="both"/>
      </w:pPr>
      <w:r>
        <w:rPr>
          <w:rFonts w:hint="eastAsia"/>
        </w:rPr>
        <w:t>④性能优化</w:t>
      </w:r>
    </w:p>
    <w:p>
      <w:pPr>
        <w:ind w:firstLine="480" w:firstLineChars="200"/>
        <w:jc w:val="both"/>
      </w:pPr>
      <w:r>
        <w:rPr>
          <w:rFonts w:hint="eastAsia"/>
        </w:rPr>
        <w:t>针对站群平台基础资源、应用系统和数据库等提供定期的性能优化和性能提升服务，保障系统高效运行。</w:t>
      </w:r>
    </w:p>
    <w:p>
      <w:pPr>
        <w:ind w:firstLine="480" w:firstLineChars="200"/>
        <w:jc w:val="both"/>
      </w:pPr>
      <w:r>
        <w:rPr>
          <w:rFonts w:hint="eastAsia"/>
        </w:rPr>
        <w:t>⑤系统升级</w:t>
      </w:r>
    </w:p>
    <w:p>
      <w:pPr>
        <w:ind w:firstLine="480" w:firstLineChars="200"/>
        <w:jc w:val="both"/>
      </w:pPr>
      <w:r>
        <w:rPr>
          <w:rFonts w:hint="eastAsia"/>
        </w:rPr>
        <w:t>定期提供系统版本升级和组件升级等服务。</w:t>
      </w:r>
    </w:p>
    <w:p>
      <w:pPr>
        <w:ind w:firstLine="480" w:firstLineChars="200"/>
        <w:jc w:val="both"/>
      </w:pPr>
      <w:r>
        <w:rPr>
          <w:rFonts w:hint="eastAsia"/>
        </w:rPr>
        <w:t>⑥系统管理</w:t>
      </w:r>
    </w:p>
    <w:p>
      <w:pPr>
        <w:ind w:firstLine="480" w:firstLineChars="200"/>
        <w:jc w:val="both"/>
      </w:pPr>
      <w:r>
        <w:rPr>
          <w:rFonts w:hint="eastAsia"/>
        </w:rPr>
        <w:t>提供站群平台应用系统机构管理、用户账号管理、角色权限配置管理、密码管理、系统配置等日常维护管理服务。</w:t>
      </w:r>
    </w:p>
    <w:p>
      <w:pPr>
        <w:ind w:firstLine="480" w:firstLineChars="200"/>
        <w:jc w:val="both"/>
      </w:pPr>
      <w:r>
        <w:rPr>
          <w:rFonts w:hint="eastAsia"/>
        </w:rPr>
        <w:t>⑦数据备份恢复</w:t>
      </w:r>
    </w:p>
    <w:p>
      <w:pPr>
        <w:ind w:firstLine="480" w:firstLineChars="200"/>
        <w:jc w:val="both"/>
      </w:pPr>
      <w:r>
        <w:rPr>
          <w:rFonts w:hint="eastAsia"/>
        </w:rPr>
        <w:t>定期开展站群平台数据库、网站素材资源、网站静态页面资源等的备份和检查工作，并根据实际需要提供数据恢复服务。</w:t>
      </w:r>
    </w:p>
    <w:p>
      <w:pPr>
        <w:ind w:firstLine="480" w:firstLineChars="200"/>
        <w:jc w:val="both"/>
      </w:pPr>
      <w:r>
        <w:rPr>
          <w:rFonts w:hint="eastAsia"/>
        </w:rPr>
        <w:t>⑧安全管理</w:t>
      </w:r>
    </w:p>
    <w:p>
      <w:pPr>
        <w:ind w:firstLine="480" w:firstLineChars="200"/>
        <w:jc w:val="both"/>
      </w:pPr>
      <w:r>
        <w:rPr>
          <w:rFonts w:hint="eastAsia"/>
        </w:rPr>
        <w:t>提供站群平台服务器操作系统、中间件、应用系统和网站日常安全管理、安全漏洞修复、安全问题处理、系统安全升级、安全策略调整、账号安全防护、安全突发情况应急处置，以及第三方安全检测/等级保护测评/攻防演练配合等服务。</w:t>
      </w:r>
    </w:p>
    <w:p>
      <w:pPr>
        <w:ind w:firstLine="480" w:firstLineChars="200"/>
        <w:jc w:val="both"/>
      </w:pPr>
      <w:r>
        <w:rPr>
          <w:rFonts w:hint="eastAsia"/>
        </w:rPr>
        <w:t>⑨专项保障</w:t>
      </w:r>
    </w:p>
    <w:p>
      <w:pPr>
        <w:ind w:firstLine="480" w:firstLineChars="200"/>
        <w:jc w:val="both"/>
      </w:pPr>
      <w:r>
        <w:rPr>
          <w:rFonts w:hint="eastAsia"/>
        </w:rPr>
        <w:t>在重大会议、活动或节假日期间提供平台全程监控保障和应急处置服务，安排专门人员24小时响应，针对系统故障及时处理，保障站群平台和各级网站安全、稳定运行。</w:t>
      </w:r>
    </w:p>
    <w:p>
      <w:pPr>
        <w:ind w:firstLine="480" w:firstLineChars="200"/>
        <w:jc w:val="both"/>
      </w:pPr>
      <w:r>
        <w:rPr>
          <w:rFonts w:hint="eastAsia"/>
        </w:rPr>
        <w:t>⑩技术咨询</w:t>
      </w:r>
    </w:p>
    <w:p>
      <w:pPr>
        <w:ind w:firstLine="480" w:firstLineChars="200"/>
        <w:jc w:val="both"/>
      </w:pPr>
      <w:r>
        <w:rPr>
          <w:rFonts w:hint="eastAsia"/>
        </w:rPr>
        <w:t>根据用户实际业务需求，提供关于系统使用和网站维护、管理、安全、考核等方面的咨询解答服务。</w:t>
      </w:r>
    </w:p>
    <w:p>
      <w:pPr>
        <w:ind w:firstLine="480" w:firstLineChars="200"/>
        <w:jc w:val="both"/>
      </w:pPr>
      <w:r>
        <w:rPr>
          <w:rFonts w:ascii="Cambria Math" w:hAnsi="Cambria Math" w:cs="Cambria Math"/>
        </w:rPr>
        <w:t>⑪</w:t>
      </w:r>
      <w:r>
        <w:rPr>
          <w:rFonts w:hint="eastAsia"/>
        </w:rPr>
        <w:t>系统培训</w:t>
      </w:r>
    </w:p>
    <w:p>
      <w:pPr>
        <w:ind w:firstLine="480" w:firstLineChars="200"/>
        <w:jc w:val="both"/>
      </w:pPr>
      <w:r>
        <w:rPr>
          <w:rFonts w:hint="eastAsia"/>
        </w:rPr>
        <w:t>根据需要对系统使用者及维护者开展操作培训，使其熟练使用业务系统。培训方式包括热线支持、远程培训和现场培训等方式。</w:t>
      </w:r>
    </w:p>
    <w:p>
      <w:pPr>
        <w:spacing w:line="400" w:lineRule="exact"/>
        <w:ind w:firstLine="480" w:firstLineChars="200"/>
        <w:jc w:val="both"/>
      </w:pPr>
      <w:r>
        <w:rPr>
          <w:rFonts w:hint="eastAsia"/>
        </w:rPr>
        <w:t>（2）服务要求</w:t>
      </w:r>
    </w:p>
    <w:p>
      <w:pPr>
        <w:ind w:firstLine="480" w:firstLineChars="200"/>
        <w:jc w:val="both"/>
      </w:pPr>
      <w:r>
        <w:rPr>
          <w:rFonts w:hint="eastAsia"/>
        </w:rPr>
        <w:t>针对平台技术运维需满足以下技术指标要求：</w:t>
      </w:r>
    </w:p>
    <w:p>
      <w:pPr>
        <w:ind w:firstLine="480" w:firstLineChars="200"/>
        <w:jc w:val="both"/>
      </w:pPr>
      <w:r>
        <w:rPr>
          <w:rFonts w:hint="eastAsia"/>
        </w:rPr>
        <w:t>①提供7×24小时技术支持服务；</w:t>
      </w:r>
    </w:p>
    <w:p>
      <w:pPr>
        <w:ind w:firstLine="480" w:firstLineChars="200"/>
        <w:jc w:val="both"/>
      </w:pPr>
      <w:r>
        <w:rPr>
          <w:rFonts w:hint="eastAsia"/>
        </w:rPr>
        <w:t>②针对各类问题或需求响应时间≤0.5小时；</w:t>
      </w:r>
    </w:p>
    <w:p>
      <w:pPr>
        <w:ind w:firstLine="480" w:firstLineChars="200"/>
        <w:jc w:val="both"/>
      </w:pPr>
      <w:r>
        <w:rPr>
          <w:rFonts w:hint="eastAsia"/>
        </w:rPr>
        <w:t>③需现场服务时，收到请求后的2小时内到达现场；</w:t>
      </w:r>
    </w:p>
    <w:p>
      <w:pPr>
        <w:ind w:firstLine="480" w:firstLineChars="200"/>
        <w:jc w:val="both"/>
      </w:pPr>
      <w:r>
        <w:rPr>
          <w:rFonts w:hint="eastAsia"/>
        </w:rPr>
        <w:t>④紧急故障修复时间≤</w:t>
      </w:r>
      <w:r>
        <w:t>0.5</w:t>
      </w:r>
      <w:r>
        <w:rPr>
          <w:rFonts w:hint="eastAsia"/>
        </w:rPr>
        <w:t>小时；</w:t>
      </w:r>
    </w:p>
    <w:p>
      <w:pPr>
        <w:ind w:firstLine="480" w:firstLineChars="200"/>
        <w:jc w:val="both"/>
      </w:pPr>
      <w:r>
        <w:rPr>
          <w:rFonts w:hint="eastAsia"/>
        </w:rPr>
        <w:t>⑤全年累计提供不少于52次系统巡检，提供巡检报告；</w:t>
      </w:r>
    </w:p>
    <w:p>
      <w:pPr>
        <w:ind w:firstLine="480" w:firstLineChars="200"/>
        <w:jc w:val="both"/>
      </w:pPr>
      <w:r>
        <w:rPr>
          <w:rFonts w:hint="eastAsia"/>
        </w:rPr>
        <w:t>⑥每日定时进行系统数据备份。</w:t>
      </w:r>
    </w:p>
    <w:p>
      <w:pPr>
        <w:ind w:firstLine="480" w:firstLineChars="200"/>
        <w:jc w:val="both"/>
        <w:outlineLvl w:val="3"/>
        <w:rPr>
          <w:b/>
        </w:rPr>
      </w:pPr>
      <w:r>
        <w:rPr>
          <w:rFonts w:hint="eastAsia"/>
          <w:b/>
        </w:rPr>
        <w:t>2、平台</w:t>
      </w:r>
      <w:r>
        <w:rPr>
          <w:b/>
        </w:rPr>
        <w:t>功能运维</w:t>
      </w:r>
    </w:p>
    <w:p>
      <w:pPr>
        <w:ind w:firstLine="480" w:firstLineChars="200"/>
        <w:jc w:val="both"/>
        <w:outlineLvl w:val="4"/>
        <w:rPr>
          <w:b/>
        </w:rPr>
      </w:pPr>
      <w:r>
        <w:rPr>
          <w:rFonts w:hint="eastAsia"/>
          <w:b/>
        </w:rPr>
        <w:t>（1）网站错敏信息纠错提醒服务</w:t>
      </w:r>
    </w:p>
    <w:p>
      <w:pPr>
        <w:ind w:firstLine="480" w:firstLineChars="200"/>
        <w:jc w:val="both"/>
      </w:pPr>
      <w:r>
        <w:rPr>
          <w:rFonts w:hint="eastAsia"/>
        </w:rPr>
        <w:t>1）服务内容</w:t>
      </w:r>
    </w:p>
    <w:p>
      <w:pPr>
        <w:ind w:firstLine="480" w:firstLineChars="200"/>
        <w:jc w:val="both"/>
      </w:pPr>
      <w:r>
        <w:rPr>
          <w:rFonts w:hint="eastAsia"/>
        </w:rPr>
        <w:t>针对站群平台网站提供错敏信息纠错提醒服务，通过在集约化网站内容管理系统中集成错敏信息检测接口，实现对平台中所有网站稿件发布前的错敏信息检测和纠错提醒，确保及时发现问题。</w:t>
      </w:r>
    </w:p>
    <w:p>
      <w:pPr>
        <w:spacing w:line="400" w:lineRule="exact"/>
        <w:ind w:firstLine="480" w:firstLineChars="200"/>
        <w:jc w:val="both"/>
      </w:pPr>
      <w:r>
        <w:rPr>
          <w:rFonts w:hint="eastAsia"/>
        </w:rPr>
        <w:t>2）服务要求</w:t>
      </w:r>
    </w:p>
    <w:p>
      <w:pPr>
        <w:ind w:firstLine="480" w:firstLineChars="200"/>
        <w:jc w:val="both"/>
      </w:pPr>
      <w:r>
        <w:rPr>
          <w:rFonts w:hint="eastAsia"/>
        </w:rPr>
        <w:t>①提供站群平台所有网站发布稿件的事前内容检测，检测出的错敏信息进行定位和高亮提示，同时提示正确书写建议。</w:t>
      </w:r>
    </w:p>
    <w:p>
      <w:pPr>
        <w:ind w:firstLine="480" w:firstLineChars="200"/>
        <w:jc w:val="both"/>
      </w:pPr>
      <w:r>
        <w:rPr>
          <w:rFonts w:hint="eastAsia"/>
        </w:rPr>
        <w:t>②错敏信息检测需涵盖国办政府网站检查指标中要求的严重表述错误、反动/暴力/色情内容、严重错别字、国家秘密及个人隐私等错敏词库内容，并定期进行错敏词库的更新和升级。</w:t>
      </w:r>
    </w:p>
    <w:p>
      <w:pPr>
        <w:ind w:firstLine="480" w:firstLineChars="200"/>
        <w:jc w:val="both"/>
        <w:outlineLvl w:val="4"/>
        <w:rPr>
          <w:b/>
        </w:rPr>
      </w:pPr>
      <w:r>
        <w:rPr>
          <w:rFonts w:hint="eastAsia"/>
          <w:b/>
        </w:rPr>
        <w:t>（2）</w:t>
      </w:r>
      <w:bookmarkStart w:id="10" w:name="_Toc109657498"/>
      <w:r>
        <w:rPr>
          <w:rFonts w:hint="eastAsia"/>
          <w:b/>
        </w:rPr>
        <w:t>智能问答知识库梳理、训练</w:t>
      </w:r>
      <w:bookmarkEnd w:id="10"/>
    </w:p>
    <w:p>
      <w:pPr>
        <w:ind w:firstLine="480" w:firstLineChars="200"/>
        <w:jc w:val="both"/>
      </w:pPr>
      <w:r>
        <w:rPr>
          <w:rFonts w:hint="eastAsia"/>
        </w:rPr>
        <w:t>1）服务内容</w:t>
      </w:r>
    </w:p>
    <w:p>
      <w:pPr>
        <w:ind w:firstLine="480" w:firstLineChars="200"/>
        <w:jc w:val="both"/>
      </w:pPr>
      <w:r>
        <w:rPr>
          <w:rFonts w:hint="eastAsia"/>
        </w:rPr>
        <w:t>为了持续提高智能问答系统的实效，对市政府网站智能问答系统的知识库进行专题知识及问题梳理、算法训练，以增强系统的自我学习能力，提高智能问答的准确性、专业性及业务覆盖面。具体包括知识库扩充、知识库日常训练、运营分析报告等服务。</w:t>
      </w:r>
    </w:p>
    <w:p>
      <w:pPr>
        <w:spacing w:line="400" w:lineRule="exact"/>
        <w:ind w:firstLine="480" w:firstLineChars="200"/>
        <w:jc w:val="both"/>
      </w:pPr>
      <w:r>
        <w:rPr>
          <w:rFonts w:hint="eastAsia"/>
        </w:rPr>
        <w:t>2）服务要求</w:t>
      </w:r>
    </w:p>
    <w:p>
      <w:pPr>
        <w:ind w:firstLine="480" w:firstLineChars="200"/>
        <w:jc w:val="both"/>
      </w:pPr>
      <w:r>
        <w:rPr>
          <w:rFonts w:hint="eastAsia"/>
        </w:rPr>
        <w:t>①知识库扩充</w:t>
      </w:r>
    </w:p>
    <w:p>
      <w:pPr>
        <w:ind w:firstLine="480" w:firstLineChars="200"/>
        <w:jc w:val="both"/>
      </w:pPr>
      <w:r>
        <w:rPr>
          <w:rFonts w:hint="eastAsia"/>
        </w:rPr>
        <w:t>定期开展知识库扩充升级，根据用户提问和日常收集，整理出新发现的热点问题并协调相关部门提供热点问题答案和相关知识内容。</w:t>
      </w:r>
    </w:p>
    <w:p>
      <w:pPr>
        <w:ind w:firstLine="480" w:firstLineChars="200"/>
        <w:jc w:val="both"/>
      </w:pPr>
      <w:r>
        <w:rPr>
          <w:rFonts w:hint="eastAsia"/>
        </w:rPr>
        <w:t>②知识库日常训练</w:t>
      </w:r>
    </w:p>
    <w:p>
      <w:pPr>
        <w:ind w:firstLine="480" w:firstLineChars="200"/>
        <w:jc w:val="both"/>
      </w:pPr>
      <w:r>
        <w:rPr>
          <w:rFonts w:hint="eastAsia"/>
        </w:rPr>
        <w:t>根据知识库各类问题和答案进行日常训练学习，提升知识库准确性和专业性。</w:t>
      </w:r>
    </w:p>
    <w:p>
      <w:pPr>
        <w:ind w:firstLine="480" w:firstLineChars="200"/>
        <w:jc w:val="both"/>
      </w:pPr>
      <w:r>
        <w:rPr>
          <w:rFonts w:hint="eastAsia"/>
        </w:rPr>
        <w:t xml:space="preserve">③运营分析报告 </w:t>
      </w:r>
    </w:p>
    <w:p>
      <w:pPr>
        <w:ind w:firstLine="480" w:firstLineChars="200"/>
        <w:jc w:val="both"/>
      </w:pPr>
      <w:r>
        <w:rPr>
          <w:rFonts w:hint="eastAsia"/>
        </w:rPr>
        <w:t>提供智能问答系统运行情况统计分析报告，包括访问情况、问题回复情况、热点咨询、知识库等内容。</w:t>
      </w:r>
    </w:p>
    <w:p>
      <w:pPr>
        <w:ind w:firstLine="480" w:firstLineChars="200"/>
        <w:jc w:val="both"/>
        <w:outlineLvl w:val="4"/>
        <w:rPr>
          <w:b/>
        </w:rPr>
      </w:pPr>
      <w:r>
        <w:rPr>
          <w:rFonts w:hint="eastAsia"/>
          <w:b/>
        </w:rPr>
        <w:t>（3）适老化运维服务</w:t>
      </w:r>
    </w:p>
    <w:p>
      <w:pPr>
        <w:ind w:firstLine="480" w:firstLineChars="200"/>
        <w:jc w:val="both"/>
      </w:pPr>
      <w:r>
        <w:rPr>
          <w:rFonts w:hint="eastAsia"/>
        </w:rPr>
        <w:t>1）服务内容</w:t>
      </w:r>
    </w:p>
    <w:p>
      <w:pPr>
        <w:ind w:firstLine="480" w:firstLineChars="200"/>
        <w:jc w:val="both"/>
      </w:pPr>
      <w:r>
        <w:rPr>
          <w:rFonts w:hint="eastAsia"/>
        </w:rPr>
        <w:t>提供市政府门户网站和部门网站适老化及无障碍系统日常运维服务，具体包括异常维护、软件维护、服务升级等服务内容。</w:t>
      </w:r>
    </w:p>
    <w:p>
      <w:pPr>
        <w:spacing w:line="400" w:lineRule="exact"/>
        <w:ind w:firstLine="480" w:firstLineChars="200"/>
        <w:jc w:val="both"/>
      </w:pPr>
      <w:r>
        <w:rPr>
          <w:rFonts w:hint="eastAsia"/>
        </w:rPr>
        <w:t>2）服务要求</w:t>
      </w:r>
    </w:p>
    <w:p>
      <w:pPr>
        <w:ind w:firstLine="480" w:firstLineChars="200"/>
        <w:jc w:val="both"/>
      </w:pPr>
      <w:r>
        <w:rPr>
          <w:rFonts w:hint="eastAsia"/>
        </w:rPr>
        <w:t>①适老化系统前端异常维护及服务升级（与系统同步）。</w:t>
      </w:r>
    </w:p>
    <w:p>
      <w:pPr>
        <w:ind w:firstLine="480" w:firstLineChars="200"/>
        <w:jc w:val="both"/>
      </w:pPr>
      <w:r>
        <w:rPr>
          <w:rFonts w:hint="eastAsia"/>
        </w:rPr>
        <w:t>②适老化系统应用软件维护与服务升级。</w:t>
      </w:r>
    </w:p>
    <w:p>
      <w:pPr>
        <w:ind w:firstLine="480" w:firstLineChars="200"/>
        <w:jc w:val="both"/>
      </w:pPr>
      <w:r>
        <w:rPr>
          <w:rFonts w:hint="eastAsia"/>
        </w:rPr>
        <w:t>③网站适老化系统可感知性运维服务</w:t>
      </w:r>
      <w:r>
        <w:t>：</w:t>
      </w:r>
      <w:r>
        <w:rPr>
          <w:rFonts w:hint="eastAsia"/>
        </w:rPr>
        <w:t>包含对适老化系统的非文本处理</w:t>
      </w:r>
      <w:r>
        <w:t>、</w:t>
      </w:r>
      <w:r>
        <w:rPr>
          <w:rFonts w:hint="eastAsia"/>
        </w:rPr>
        <w:t>文本处理</w:t>
      </w:r>
      <w:r>
        <w:t>、</w:t>
      </w:r>
      <w:r>
        <w:rPr>
          <w:rFonts w:hint="eastAsia"/>
        </w:rPr>
        <w:t>多媒体处理及信息反馈等功能的进行维护与服务升级。</w:t>
      </w:r>
    </w:p>
    <w:p>
      <w:pPr>
        <w:ind w:firstLine="480" w:firstLineChars="200"/>
        <w:jc w:val="both"/>
      </w:pPr>
      <w:r>
        <w:rPr>
          <w:rFonts w:hint="eastAsia"/>
        </w:rPr>
        <w:t>④网站适老化系统可操作性运维服务</w:t>
      </w:r>
      <w:r>
        <w:t>：</w:t>
      </w:r>
      <w:r>
        <w:rPr>
          <w:rFonts w:hint="eastAsia"/>
        </w:rPr>
        <w:t>包含对适老化系统的布局访问</w:t>
      </w:r>
      <w:r>
        <w:t>、</w:t>
      </w:r>
      <w:r>
        <w:rPr>
          <w:rFonts w:hint="eastAsia"/>
        </w:rPr>
        <w:t>组件聚焦</w:t>
      </w:r>
      <w:r>
        <w:t>、</w:t>
      </w:r>
      <w:r>
        <w:rPr>
          <w:rFonts w:hint="eastAsia"/>
        </w:rPr>
        <w:t>操作控制</w:t>
      </w:r>
      <w:r>
        <w:t>、</w:t>
      </w:r>
      <w:r>
        <w:rPr>
          <w:rFonts w:hint="eastAsia"/>
        </w:rPr>
        <w:t>信息输入处理等功能的进行维护与服务升级。</w:t>
      </w:r>
    </w:p>
    <w:p>
      <w:pPr>
        <w:ind w:firstLine="480" w:firstLineChars="200"/>
        <w:jc w:val="both"/>
      </w:pPr>
      <w:r>
        <w:rPr>
          <w:rFonts w:hint="eastAsia"/>
        </w:rPr>
        <w:t>⑤网站适老化系统可理解性运维服务</w:t>
      </w:r>
      <w:r>
        <w:t>：</w:t>
      </w:r>
      <w:r>
        <w:rPr>
          <w:rFonts w:hint="eastAsia"/>
        </w:rPr>
        <w:t>包含对适老化系统的内容一致</w:t>
      </w:r>
      <w:r>
        <w:t>、</w:t>
      </w:r>
      <w:r>
        <w:rPr>
          <w:rFonts w:hint="eastAsia"/>
        </w:rPr>
        <w:t>引导机制及帮助信息等内容的进行维护与服务升级。</w:t>
      </w:r>
    </w:p>
    <w:p>
      <w:pPr>
        <w:ind w:firstLine="480" w:firstLineChars="200"/>
        <w:jc w:val="both"/>
      </w:pPr>
      <w:r>
        <w:rPr>
          <w:rFonts w:hint="eastAsia"/>
        </w:rPr>
        <w:t>⑥网站适老化系统可兼容性运维服务</w:t>
      </w:r>
      <w:r>
        <w:t>：</w:t>
      </w:r>
      <w:r>
        <w:rPr>
          <w:rFonts w:hint="eastAsia"/>
        </w:rPr>
        <w:t>包含对适老化系统的无障碍兼容性</w:t>
      </w:r>
      <w:r>
        <w:t>、</w:t>
      </w:r>
      <w:r>
        <w:rPr>
          <w:rFonts w:hint="eastAsia"/>
        </w:rPr>
        <w:t>用户交互兼容性进行维护与服务升级</w:t>
      </w:r>
      <w:r>
        <w:t>。</w:t>
      </w:r>
    </w:p>
    <w:p>
      <w:pPr>
        <w:ind w:firstLine="480" w:firstLineChars="200"/>
        <w:jc w:val="both"/>
        <w:outlineLvl w:val="4"/>
        <w:rPr>
          <w:b/>
        </w:rPr>
      </w:pPr>
      <w:r>
        <w:rPr>
          <w:rFonts w:hint="eastAsia"/>
          <w:b/>
        </w:rPr>
        <w:t>（4）网站 I</w:t>
      </w:r>
      <w:r>
        <w:rPr>
          <w:b/>
        </w:rPr>
        <w:t>P</w:t>
      </w:r>
      <w:r>
        <w:rPr>
          <w:rFonts w:hint="eastAsia"/>
          <w:b/>
        </w:rPr>
        <w:t>v</w:t>
      </w:r>
      <w:r>
        <w:rPr>
          <w:b/>
        </w:rPr>
        <w:t>6</w:t>
      </w:r>
      <w:r>
        <w:rPr>
          <w:rFonts w:hint="eastAsia"/>
          <w:b/>
        </w:rPr>
        <w:t>检测服务</w:t>
      </w:r>
    </w:p>
    <w:p>
      <w:pPr>
        <w:ind w:firstLine="480" w:firstLineChars="200"/>
        <w:jc w:val="both"/>
      </w:pPr>
      <w:r>
        <w:rPr>
          <w:rFonts w:hint="eastAsia"/>
        </w:rPr>
        <w:t>1）服务内容</w:t>
      </w:r>
    </w:p>
    <w:p>
      <w:pPr>
        <w:ind w:firstLine="480" w:firstLineChars="200"/>
        <w:jc w:val="both"/>
      </w:pPr>
      <w:r>
        <w:rPr>
          <w:rFonts w:hint="eastAsia"/>
        </w:rPr>
        <w:t>采购</w:t>
      </w:r>
      <w:r>
        <w:t>IPv6检测服务，</w:t>
      </w:r>
      <w:r>
        <w:rPr>
          <w:rFonts w:hint="eastAsia"/>
        </w:rPr>
        <w:t>实现站群平台</w:t>
      </w:r>
      <w:r>
        <w:t>网站的IPv6检测，包括网站域名IPv6检测、网站IPv6支持度评分、网站二、三级链接检测分析等服务。</w:t>
      </w:r>
    </w:p>
    <w:p>
      <w:pPr>
        <w:spacing w:line="400" w:lineRule="exact"/>
        <w:ind w:firstLine="480" w:firstLineChars="200"/>
        <w:jc w:val="both"/>
      </w:pPr>
      <w:r>
        <w:rPr>
          <w:rFonts w:hint="eastAsia"/>
        </w:rPr>
        <w:t>2）服务要求</w:t>
      </w:r>
    </w:p>
    <w:p>
      <w:pPr>
        <w:ind w:firstLine="480" w:firstLineChars="200"/>
        <w:jc w:val="both"/>
      </w:pPr>
      <w:r>
        <w:rPr>
          <w:rFonts w:hint="eastAsia"/>
        </w:rPr>
        <w:t>①支持对网站域名</w:t>
      </w:r>
      <w:r>
        <w:t>IPv6地址解析能力、网站</w:t>
      </w:r>
      <w:r>
        <w:rPr>
          <w:rFonts w:hint="eastAsia"/>
        </w:rPr>
        <w:t>首页</w:t>
      </w:r>
      <w:r>
        <w:t>IPv6是否可访问、网站首页IPv6访问成功率、网站首页内容IPv6和IPv4</w:t>
      </w:r>
      <w:r>
        <w:rPr>
          <w:rFonts w:hint="eastAsia"/>
        </w:rPr>
        <w:t>的一致性、网站域名是否具备完整的</w:t>
      </w:r>
      <w:r>
        <w:t>IPv6域名授权体系、网站二级和三级链接IPv6支持率等进行深度检测</w:t>
      </w:r>
      <w:r>
        <w:rPr>
          <w:rFonts w:hint="eastAsia"/>
        </w:rPr>
        <w:t>。</w:t>
      </w:r>
    </w:p>
    <w:p>
      <w:pPr>
        <w:ind w:firstLine="480" w:firstLineChars="200"/>
        <w:jc w:val="both"/>
      </w:pPr>
      <w:r>
        <w:rPr>
          <w:rFonts w:hint="eastAsia"/>
        </w:rPr>
        <w:t>②提供网站IPv6分析服务，对不达标的检测项提供原因分析。</w:t>
      </w:r>
    </w:p>
    <w:p>
      <w:pPr>
        <w:ind w:firstLine="480" w:firstLineChars="200"/>
        <w:jc w:val="both"/>
        <w:outlineLvl w:val="4"/>
        <w:rPr>
          <w:b/>
        </w:rPr>
      </w:pPr>
      <w:r>
        <w:rPr>
          <w:rFonts w:hint="eastAsia"/>
          <w:b/>
        </w:rPr>
        <w:t>（5）</w:t>
      </w:r>
      <w:bookmarkStart w:id="11" w:name="_Toc109657506"/>
      <w:r>
        <w:rPr>
          <w:rFonts w:hint="eastAsia"/>
          <w:b/>
        </w:rPr>
        <w:t>域名解析</w:t>
      </w:r>
      <w:bookmarkEnd w:id="11"/>
      <w:r>
        <w:rPr>
          <w:rFonts w:hint="eastAsia"/>
          <w:b/>
        </w:rPr>
        <w:t>管理</w:t>
      </w:r>
    </w:p>
    <w:p>
      <w:pPr>
        <w:ind w:firstLine="480" w:firstLineChars="200"/>
        <w:jc w:val="both"/>
      </w:pPr>
      <w:r>
        <w:rPr>
          <w:rFonts w:hint="eastAsia"/>
        </w:rPr>
        <w:t>1）服务内容</w:t>
      </w:r>
    </w:p>
    <w:p>
      <w:pPr>
        <w:ind w:firstLine="480" w:firstLineChars="200"/>
        <w:jc w:val="both"/>
      </w:pPr>
      <w:r>
        <w:rPr>
          <w:rFonts w:hint="eastAsia"/>
          <w:bCs/>
        </w:rPr>
        <w:t>提供西安市政府网站的域名解析和管理服务，具体包括域名日常管理、域名解析管理、域名指向管理、域名转入转出管理、域名安全管理等服务。</w:t>
      </w:r>
    </w:p>
    <w:p>
      <w:pPr>
        <w:spacing w:line="400" w:lineRule="exact"/>
        <w:ind w:firstLine="480" w:firstLineChars="200"/>
        <w:jc w:val="both"/>
      </w:pPr>
      <w:r>
        <w:rPr>
          <w:rFonts w:hint="eastAsia"/>
        </w:rPr>
        <w:t>2）服务要求</w:t>
      </w:r>
    </w:p>
    <w:p>
      <w:pPr>
        <w:ind w:firstLine="480" w:firstLineChars="200"/>
        <w:jc w:val="both"/>
      </w:pPr>
      <w:r>
        <w:rPr>
          <w:rFonts w:hint="eastAsia"/>
        </w:rPr>
        <w:t>①域名日常管理</w:t>
      </w:r>
    </w:p>
    <w:p>
      <w:pPr>
        <w:ind w:firstLine="480" w:firstLineChars="200"/>
        <w:jc w:val="both"/>
      </w:pPr>
      <w:r>
        <w:rPr>
          <w:rFonts w:hint="eastAsia"/>
        </w:rPr>
        <w:t>提供域名注册、新增域名、修改域名和删除域名等域名日常管理服务。</w:t>
      </w:r>
    </w:p>
    <w:p>
      <w:pPr>
        <w:ind w:firstLine="480" w:firstLineChars="200"/>
        <w:jc w:val="both"/>
      </w:pPr>
      <w:r>
        <w:rPr>
          <w:rFonts w:hint="eastAsia"/>
        </w:rPr>
        <w:t>②域名解析管理</w:t>
      </w:r>
    </w:p>
    <w:p>
      <w:pPr>
        <w:ind w:firstLine="480" w:firstLineChars="200"/>
        <w:jc w:val="both"/>
      </w:pPr>
      <w:r>
        <w:rPr>
          <w:rFonts w:hint="eastAsia"/>
        </w:rPr>
        <w:t>提供域名解析管理服务，涵盖国内各大运营商线路，智能判断提供合理域名解析地址，提供快速域名解析服务，使用户访问获得快捷、流畅体验。具体包括新增解析、删除解析、修改解析等服务功能。</w:t>
      </w:r>
    </w:p>
    <w:p>
      <w:pPr>
        <w:ind w:firstLine="480" w:firstLineChars="200"/>
        <w:jc w:val="both"/>
      </w:pPr>
      <w:r>
        <w:rPr>
          <w:rFonts w:hint="eastAsia"/>
        </w:rPr>
        <w:t>③域名指向管理</w:t>
      </w:r>
    </w:p>
    <w:p>
      <w:pPr>
        <w:ind w:firstLine="480" w:firstLineChars="200"/>
        <w:jc w:val="both"/>
      </w:pPr>
      <w:r>
        <w:rPr>
          <w:rFonts w:hint="eastAsia"/>
        </w:rPr>
        <w:t>提供域名指向配置管理，包括新增指向、修改指向、删除指向等服务。</w:t>
      </w:r>
    </w:p>
    <w:p>
      <w:pPr>
        <w:ind w:firstLine="480" w:firstLineChars="200"/>
        <w:jc w:val="both"/>
      </w:pPr>
      <w:r>
        <w:rPr>
          <w:rFonts w:hint="eastAsia"/>
        </w:rPr>
        <w:t>④域名转入转出管理</w:t>
      </w:r>
    </w:p>
    <w:p>
      <w:pPr>
        <w:ind w:firstLine="480" w:firstLineChars="200"/>
        <w:jc w:val="both"/>
      </w:pPr>
      <w:r>
        <w:rPr>
          <w:rFonts w:hint="eastAsia"/>
        </w:rPr>
        <w:t>提供域名转入转出管理，域名所属单位向</w:t>
      </w:r>
      <w:r>
        <w:t>域名供应商在线提出域名</w:t>
      </w:r>
      <w:r>
        <w:rPr>
          <w:rFonts w:hint="eastAsia"/>
        </w:rPr>
        <w:t>转入</w:t>
      </w:r>
      <w:r>
        <w:t>转出申请，完整填报有关域名资料，</w:t>
      </w:r>
      <w:r>
        <w:rPr>
          <w:rFonts w:hint="eastAsia"/>
        </w:rPr>
        <w:t>经审核通过后</w:t>
      </w:r>
      <w:r>
        <w:t>，便可</w:t>
      </w:r>
      <w:r>
        <w:rPr>
          <w:rFonts w:hint="eastAsia"/>
        </w:rPr>
        <w:t>完成</w:t>
      </w:r>
      <w:r>
        <w:t>域名</w:t>
      </w:r>
      <w:r>
        <w:rPr>
          <w:rFonts w:hint="eastAsia"/>
        </w:rPr>
        <w:t>的转入和</w:t>
      </w:r>
      <w:r>
        <w:t>转出。</w:t>
      </w:r>
    </w:p>
    <w:p>
      <w:pPr>
        <w:ind w:firstLine="480" w:firstLineChars="200"/>
        <w:jc w:val="both"/>
      </w:pPr>
      <w:r>
        <w:rPr>
          <w:rFonts w:hint="eastAsia"/>
        </w:rPr>
        <w:t>⑤域名安全管理</w:t>
      </w:r>
    </w:p>
    <w:p>
      <w:pPr>
        <w:ind w:firstLine="480" w:firstLineChars="200"/>
        <w:jc w:val="both"/>
      </w:pPr>
      <w:r>
        <w:rPr>
          <w:rFonts w:hint="eastAsia"/>
        </w:rPr>
        <w:t>多点</w:t>
      </w:r>
      <w:r>
        <w:t>DNS</w:t>
      </w:r>
      <w:r>
        <w:rPr>
          <w:rFonts w:hint="eastAsia"/>
        </w:rPr>
        <w:t>服务器备份，提供</w:t>
      </w:r>
      <w:r>
        <w:t>安全、稳定、高效解析</w:t>
      </w:r>
      <w:r>
        <w:rPr>
          <w:rFonts w:hint="eastAsia"/>
        </w:rPr>
        <w:t>服务，具备域名</w:t>
      </w:r>
      <w:r>
        <w:t>安全防劫持</w:t>
      </w:r>
      <w:r>
        <w:rPr>
          <w:rFonts w:hint="eastAsia"/>
        </w:rPr>
        <w:t>功能。同时，提供</w:t>
      </w:r>
      <w:r>
        <w:t>域名隐私保护</w:t>
      </w:r>
      <w:r>
        <w:rPr>
          <w:rFonts w:hint="eastAsia"/>
        </w:rPr>
        <w:t>服务，保护网站个人信息。</w:t>
      </w:r>
    </w:p>
    <w:p>
      <w:pPr>
        <w:ind w:firstLine="480" w:firstLineChars="200"/>
        <w:jc w:val="both"/>
        <w:outlineLvl w:val="2"/>
        <w:rPr>
          <w:b/>
        </w:rPr>
      </w:pPr>
      <w:r>
        <w:rPr>
          <w:rFonts w:hint="eastAsia"/>
          <w:b/>
        </w:rPr>
        <w:t>（二）</w:t>
      </w:r>
      <w:bookmarkStart w:id="12" w:name="_Toc205303782"/>
      <w:r>
        <w:rPr>
          <w:b/>
        </w:rPr>
        <w:t>网站内容</w:t>
      </w:r>
      <w:r>
        <w:rPr>
          <w:rFonts w:hint="eastAsia"/>
          <w:b/>
        </w:rPr>
        <w:t>运维</w:t>
      </w:r>
      <w:r>
        <w:rPr>
          <w:b/>
        </w:rPr>
        <w:t>服务</w:t>
      </w:r>
      <w:bookmarkEnd w:id="12"/>
    </w:p>
    <w:p>
      <w:pPr>
        <w:ind w:firstLine="480" w:firstLineChars="200"/>
        <w:jc w:val="both"/>
        <w:outlineLvl w:val="3"/>
        <w:rPr>
          <w:b/>
        </w:rPr>
      </w:pPr>
      <w:r>
        <w:rPr>
          <w:rFonts w:hint="eastAsia"/>
          <w:b/>
        </w:rPr>
        <w:t>1、站群平台网站内容运维</w:t>
      </w:r>
    </w:p>
    <w:p>
      <w:pPr>
        <w:ind w:firstLine="480" w:firstLineChars="200"/>
        <w:jc w:val="both"/>
        <w:outlineLvl w:val="4"/>
        <w:rPr>
          <w:b/>
        </w:rPr>
      </w:pPr>
      <w:r>
        <w:rPr>
          <w:rFonts w:hint="eastAsia"/>
          <w:b/>
        </w:rPr>
        <w:t>（1）</w:t>
      </w:r>
      <w:bookmarkStart w:id="13" w:name="_Toc109657495"/>
      <w:r>
        <w:rPr>
          <w:rFonts w:hint="eastAsia"/>
          <w:b/>
        </w:rPr>
        <w:t>专题策划设计制作</w:t>
      </w:r>
      <w:bookmarkEnd w:id="13"/>
    </w:p>
    <w:p>
      <w:pPr>
        <w:ind w:firstLine="480" w:firstLineChars="200"/>
        <w:jc w:val="both"/>
      </w:pPr>
      <w:r>
        <w:rPr>
          <w:rFonts w:hint="eastAsia"/>
        </w:rPr>
        <w:t>1）服务内容</w:t>
      </w:r>
    </w:p>
    <w:p>
      <w:pPr>
        <w:ind w:firstLine="480" w:firstLineChars="200"/>
        <w:jc w:val="both"/>
      </w:pPr>
      <w:r>
        <w:rPr>
          <w:rFonts w:hint="eastAsia"/>
        </w:rPr>
        <w:t>基于站群平台，围绕市委、市政府、市级部门重点工作和热点活动需要，提供网站专题专栏设计制作服务。全年专题策划制作量50个。</w:t>
      </w:r>
    </w:p>
    <w:p>
      <w:pPr>
        <w:spacing w:line="400" w:lineRule="exact"/>
        <w:ind w:firstLine="480" w:firstLineChars="200"/>
        <w:jc w:val="both"/>
      </w:pPr>
      <w:r>
        <w:rPr>
          <w:rFonts w:hint="eastAsia"/>
        </w:rPr>
        <w:t>2）服务要求</w:t>
      </w:r>
    </w:p>
    <w:p>
      <w:pPr>
        <w:ind w:firstLine="480" w:firstLineChars="200"/>
        <w:jc w:val="both"/>
      </w:pPr>
      <w:r>
        <w:rPr>
          <w:rFonts w:hint="eastAsia"/>
        </w:rPr>
        <w:t>专题策划设计制作具体需完成专题栏目规划、专题页面设计、前端功能开发、专题配置、专题实施等工作，具体服务要求如下：</w:t>
      </w:r>
    </w:p>
    <w:p>
      <w:pPr>
        <w:ind w:firstLine="480" w:firstLineChars="200"/>
        <w:jc w:val="both"/>
      </w:pPr>
      <w:r>
        <w:rPr>
          <w:rFonts w:hint="eastAsia"/>
        </w:rPr>
        <w:t>①专题规划</w:t>
      </w:r>
    </w:p>
    <w:p>
      <w:pPr>
        <w:ind w:firstLine="480" w:firstLineChars="200"/>
        <w:jc w:val="both"/>
      </w:pPr>
      <w:r>
        <w:rPr>
          <w:rFonts w:hint="eastAsia"/>
        </w:rPr>
        <w:t>完成网站专题信息资源梳理、业务内容梳理和栏目设计，形成网站专题的栏目框架结构。</w:t>
      </w:r>
    </w:p>
    <w:p>
      <w:pPr>
        <w:ind w:firstLine="480" w:firstLineChars="200"/>
        <w:jc w:val="both"/>
      </w:pPr>
      <w:r>
        <w:rPr>
          <w:rFonts w:hint="eastAsia"/>
        </w:rPr>
        <w:t>②专题页面设计</w:t>
      </w:r>
    </w:p>
    <w:p>
      <w:pPr>
        <w:ind w:firstLine="480" w:firstLineChars="200"/>
        <w:jc w:val="both"/>
      </w:pPr>
      <w:r>
        <w:rPr>
          <w:rFonts w:hint="eastAsia"/>
        </w:rPr>
        <w:t>网站专题页面按照简洁、务实、高效、形象等要求进行设计，遵循专题页面风格与网站整体风格相符合的原则，完成网站专题页面结构规划、页面</w:t>
      </w:r>
      <w:r>
        <w:t>UI设计、切图、模板制作等工作</w:t>
      </w:r>
      <w:r>
        <w:rPr>
          <w:rFonts w:hint="eastAsia"/>
        </w:rPr>
        <w:t>。</w:t>
      </w:r>
    </w:p>
    <w:p>
      <w:pPr>
        <w:ind w:firstLine="480" w:firstLineChars="200"/>
        <w:jc w:val="both"/>
      </w:pPr>
      <w:r>
        <w:rPr>
          <w:rFonts w:hint="eastAsia"/>
        </w:rPr>
        <w:t>③前端功能开发</w:t>
      </w:r>
    </w:p>
    <w:p>
      <w:pPr>
        <w:ind w:firstLine="480" w:firstLineChars="200"/>
        <w:jc w:val="both"/>
      </w:pPr>
      <w:r>
        <w:rPr>
          <w:rFonts w:hint="eastAsia"/>
        </w:rPr>
        <w:t>采用</w:t>
      </w:r>
      <w:r>
        <w:t>HTML5、CSS3、JavaScript等技术，完成网站专题页面前端开发和测试</w:t>
      </w:r>
      <w:r>
        <w:rPr>
          <w:rFonts w:hint="eastAsia"/>
        </w:rPr>
        <w:t>。</w:t>
      </w:r>
    </w:p>
    <w:p>
      <w:pPr>
        <w:ind w:firstLine="480" w:firstLineChars="200"/>
        <w:jc w:val="both"/>
      </w:pPr>
      <w:r>
        <w:rPr>
          <w:rFonts w:hint="eastAsia"/>
        </w:rPr>
        <w:t>④专题配置</w:t>
      </w:r>
    </w:p>
    <w:p>
      <w:pPr>
        <w:ind w:firstLine="480" w:firstLineChars="200"/>
        <w:jc w:val="both"/>
      </w:pPr>
      <w:r>
        <w:rPr>
          <w:rFonts w:hint="eastAsia"/>
        </w:rPr>
        <w:t>完成专题栏目结构、内容模型、资源目录、元数据、用户权限、工作流、基础参数、业务表单、功能组件等的初始化配置。</w:t>
      </w:r>
    </w:p>
    <w:p>
      <w:pPr>
        <w:ind w:firstLine="480" w:firstLineChars="200"/>
        <w:jc w:val="both"/>
      </w:pPr>
      <w:r>
        <w:rPr>
          <w:rFonts w:hint="eastAsia"/>
        </w:rPr>
        <w:t>⑤专题实施</w:t>
      </w:r>
    </w:p>
    <w:p>
      <w:pPr>
        <w:ind w:firstLine="480" w:firstLineChars="200"/>
        <w:jc w:val="both"/>
      </w:pPr>
      <w:r>
        <w:rPr>
          <w:rFonts w:hint="eastAsia"/>
        </w:rPr>
        <w:t>完成前后台功能集成、联调测试、专题部署发布等专题实施工作。</w:t>
      </w:r>
    </w:p>
    <w:p>
      <w:pPr>
        <w:ind w:firstLine="480" w:firstLineChars="200"/>
        <w:jc w:val="both"/>
        <w:outlineLvl w:val="4"/>
        <w:rPr>
          <w:b/>
        </w:rPr>
      </w:pPr>
      <w:r>
        <w:rPr>
          <w:rFonts w:hint="eastAsia"/>
          <w:b/>
        </w:rPr>
        <w:t>（2）</w:t>
      </w:r>
      <w:bookmarkStart w:id="14" w:name="_Toc109657496"/>
      <w:r>
        <w:rPr>
          <w:rFonts w:hint="eastAsia"/>
          <w:b/>
        </w:rPr>
        <w:t>政策解读设计制作</w:t>
      </w:r>
      <w:bookmarkEnd w:id="14"/>
    </w:p>
    <w:p>
      <w:pPr>
        <w:ind w:firstLine="480" w:firstLineChars="200"/>
        <w:jc w:val="both"/>
      </w:pPr>
      <w:r>
        <w:rPr>
          <w:rFonts w:hint="eastAsia"/>
        </w:rPr>
        <w:t>1）服务内容</w:t>
      </w:r>
    </w:p>
    <w:p>
      <w:pPr>
        <w:ind w:firstLine="480" w:firstLineChars="200"/>
        <w:jc w:val="both"/>
      </w:pPr>
      <w:r>
        <w:rPr>
          <w:rFonts w:hint="eastAsia"/>
        </w:rPr>
        <w:t>根据市委、市政府、市级部门发布的政策文件等进行政策解读制作，制作政策图解100幅,动漫解读5个（动漫时长控制在</w:t>
      </w:r>
      <w:r>
        <w:t>90秒以内</w:t>
      </w:r>
      <w:r>
        <w:rPr>
          <w:rFonts w:hint="eastAsia"/>
        </w:rPr>
        <w:t>）。包括内容精简梳理和图解设计制作。</w:t>
      </w:r>
    </w:p>
    <w:p>
      <w:pPr>
        <w:spacing w:line="400" w:lineRule="exact"/>
        <w:ind w:firstLine="480" w:firstLineChars="200"/>
        <w:jc w:val="both"/>
      </w:pPr>
      <w:r>
        <w:rPr>
          <w:rFonts w:hint="eastAsia"/>
        </w:rPr>
        <w:t>2）服务要求</w:t>
      </w:r>
    </w:p>
    <w:p>
      <w:pPr>
        <w:ind w:firstLine="480" w:firstLineChars="200"/>
        <w:jc w:val="both"/>
      </w:pPr>
      <w:r>
        <w:rPr>
          <w:rFonts w:hint="eastAsia"/>
        </w:rPr>
        <w:t>政策解读设计制作需完成政策文件梳理、解读设计、解读制作、解读发布等工作，具体服务要求如下：</w:t>
      </w:r>
    </w:p>
    <w:p>
      <w:pPr>
        <w:ind w:firstLine="480" w:firstLineChars="200"/>
        <w:jc w:val="both"/>
      </w:pPr>
      <w:r>
        <w:rPr>
          <w:rFonts w:hint="eastAsia"/>
        </w:rPr>
        <w:t>①政策文件梳理</w:t>
      </w:r>
    </w:p>
    <w:p>
      <w:pPr>
        <w:ind w:firstLine="480" w:firstLineChars="200"/>
        <w:jc w:val="both"/>
      </w:pPr>
      <w:r>
        <w:rPr>
          <w:rFonts w:hint="eastAsia"/>
        </w:rPr>
        <w:t>根据政策文件进行全面梳理，分析政策文件出台的背景、依据、目的、意义，政策的适用范围、主要内容、核心举措、适用对象、执行标准、涉及办理事项、重点条文、注意事项、关键词（专业术语）、政策修订等内容，并进行分类、提炼、精简、重新归纳组织，形成政策解读的文字稿。</w:t>
      </w:r>
    </w:p>
    <w:p>
      <w:pPr>
        <w:ind w:firstLine="480" w:firstLineChars="200"/>
        <w:jc w:val="both"/>
      </w:pPr>
      <w:r>
        <w:rPr>
          <w:rFonts w:hint="eastAsia"/>
        </w:rPr>
        <w:t>②解读设计</w:t>
      </w:r>
    </w:p>
    <w:p>
      <w:pPr>
        <w:ind w:firstLine="480" w:firstLineChars="200"/>
        <w:jc w:val="both"/>
      </w:pPr>
      <w:r>
        <w:rPr>
          <w:rFonts w:hint="eastAsia"/>
        </w:rPr>
        <w:t>设计人员按照梳理完成的解读文件对政策解读进行总体设计，具体包括展现形式设计、风格设计、色调设计和版面设计等。</w:t>
      </w:r>
    </w:p>
    <w:p>
      <w:pPr>
        <w:ind w:firstLine="480" w:firstLineChars="200"/>
        <w:jc w:val="both"/>
      </w:pPr>
      <w:r>
        <w:rPr>
          <w:rFonts w:hint="eastAsia"/>
        </w:rPr>
        <w:t>③解读制作</w:t>
      </w:r>
    </w:p>
    <w:p>
      <w:pPr>
        <w:ind w:firstLine="480" w:firstLineChars="200"/>
        <w:jc w:val="both"/>
      </w:pPr>
      <w:r>
        <w:rPr>
          <w:rFonts w:hint="eastAsia"/>
        </w:rPr>
        <w:t>制作人员根据总体设计进行政策解读的分类制作与集成。</w:t>
      </w:r>
    </w:p>
    <w:p>
      <w:pPr>
        <w:ind w:firstLine="480" w:firstLineChars="200"/>
        <w:jc w:val="both"/>
      </w:pPr>
      <w:r>
        <w:rPr>
          <w:rFonts w:hint="eastAsia"/>
        </w:rPr>
        <w:t>④解读审核</w:t>
      </w:r>
    </w:p>
    <w:p>
      <w:pPr>
        <w:ind w:firstLine="480" w:firstLineChars="200"/>
        <w:jc w:val="both"/>
      </w:pPr>
      <w:r>
        <w:rPr>
          <w:rFonts w:hint="eastAsia"/>
        </w:rPr>
        <w:t>进行政策解读的审核、校对和修改调整。</w:t>
      </w:r>
    </w:p>
    <w:p>
      <w:pPr>
        <w:ind w:firstLine="480" w:firstLineChars="200"/>
        <w:jc w:val="both"/>
      </w:pPr>
      <w:r>
        <w:rPr>
          <w:rFonts w:hint="eastAsia"/>
        </w:rPr>
        <w:t>⑤解读发布</w:t>
      </w:r>
    </w:p>
    <w:p>
      <w:pPr>
        <w:ind w:firstLine="480" w:firstLineChars="200"/>
        <w:jc w:val="both"/>
      </w:pPr>
      <w:r>
        <w:rPr>
          <w:rFonts w:hint="eastAsia"/>
        </w:rPr>
        <w:t>完成政策解读的上网审批与网站发布。</w:t>
      </w:r>
    </w:p>
    <w:p>
      <w:pPr>
        <w:ind w:firstLine="480" w:firstLineChars="200"/>
        <w:jc w:val="both"/>
        <w:outlineLvl w:val="4"/>
        <w:rPr>
          <w:b/>
        </w:rPr>
      </w:pPr>
      <w:r>
        <w:rPr>
          <w:rFonts w:hint="eastAsia"/>
          <w:b/>
        </w:rPr>
        <w:t>（3）</w:t>
      </w:r>
      <w:bookmarkStart w:id="15" w:name="_Toc109657497"/>
      <w:r>
        <w:rPr>
          <w:rFonts w:hint="eastAsia"/>
          <w:b/>
        </w:rPr>
        <w:t>网站</w:t>
      </w:r>
      <w:bookmarkEnd w:id="15"/>
      <w:r>
        <w:rPr>
          <w:rFonts w:hint="eastAsia"/>
          <w:b/>
        </w:rPr>
        <w:t>页面定制</w:t>
      </w:r>
    </w:p>
    <w:p>
      <w:pPr>
        <w:ind w:firstLine="480" w:firstLineChars="200"/>
        <w:jc w:val="both"/>
      </w:pPr>
      <w:r>
        <w:rPr>
          <w:rFonts w:hint="eastAsia"/>
        </w:rPr>
        <w:t>1）服务内容</w:t>
      </w:r>
    </w:p>
    <w:p>
      <w:pPr>
        <w:ind w:firstLine="480" w:firstLineChars="200"/>
        <w:jc w:val="both"/>
      </w:pPr>
      <w:r>
        <w:rPr>
          <w:rFonts w:hint="eastAsia"/>
        </w:rPr>
        <w:t>针对市政府门户网站和部门网站提供页面定制服务。包括网站页面优化调整、网站栏目及展示方式调整、网站图片制作、数据处理与统计分析等服务内容。</w:t>
      </w:r>
    </w:p>
    <w:p>
      <w:pPr>
        <w:spacing w:line="400" w:lineRule="exact"/>
        <w:ind w:firstLine="480" w:firstLineChars="200"/>
        <w:jc w:val="both"/>
      </w:pPr>
      <w:r>
        <w:rPr>
          <w:rFonts w:hint="eastAsia"/>
        </w:rPr>
        <w:t>2）服务要求</w:t>
      </w:r>
    </w:p>
    <w:p>
      <w:pPr>
        <w:ind w:firstLine="480" w:firstLineChars="200"/>
        <w:jc w:val="both"/>
      </w:pPr>
      <w:r>
        <w:rPr>
          <w:rFonts w:hint="eastAsia"/>
        </w:rPr>
        <w:t>网站页面定制根据实际业务需求，具体开展以下工作：</w:t>
      </w:r>
    </w:p>
    <w:p>
      <w:pPr>
        <w:ind w:firstLine="480" w:firstLineChars="200"/>
        <w:jc w:val="both"/>
      </w:pPr>
      <w:r>
        <w:rPr>
          <w:rFonts w:hint="eastAsia"/>
        </w:rPr>
        <w:t>①网站页面优化调整</w:t>
      </w:r>
    </w:p>
    <w:p>
      <w:pPr>
        <w:ind w:firstLine="480" w:firstLineChars="200"/>
        <w:jc w:val="both"/>
      </w:pPr>
      <w:r>
        <w:rPr>
          <w:rFonts w:hint="eastAsia"/>
        </w:rPr>
        <w:t>提供网站页面局部修改与调整服务，包括页面风格、页面模板、页面布局、页面链接、页面文字、页面图片等的调整。</w:t>
      </w:r>
    </w:p>
    <w:p>
      <w:pPr>
        <w:ind w:firstLine="480" w:firstLineChars="200"/>
        <w:jc w:val="both"/>
      </w:pPr>
      <w:r>
        <w:rPr>
          <w:rFonts w:hint="eastAsia"/>
        </w:rPr>
        <w:t>②网站栏目调整</w:t>
      </w:r>
    </w:p>
    <w:p>
      <w:pPr>
        <w:ind w:firstLine="480" w:firstLineChars="200"/>
        <w:jc w:val="both"/>
      </w:pPr>
      <w:r>
        <w:rPr>
          <w:rFonts w:hint="eastAsia"/>
        </w:rPr>
        <w:t>根据中省市网站检查与政务公开考核要求，以及网站实际业务需求，提供网站栏目结构调整和具体栏目的创建、修改、配置和归档等服务。</w:t>
      </w:r>
    </w:p>
    <w:p>
      <w:pPr>
        <w:ind w:firstLine="480" w:firstLineChars="200"/>
        <w:jc w:val="both"/>
      </w:pPr>
      <w:r>
        <w:rPr>
          <w:rFonts w:hint="eastAsia"/>
        </w:rPr>
        <w:t>③网站图片制作</w:t>
      </w:r>
    </w:p>
    <w:p>
      <w:pPr>
        <w:ind w:firstLine="480" w:firstLineChars="200"/>
        <w:jc w:val="both"/>
      </w:pPr>
      <w:r>
        <w:rPr>
          <w:rFonts w:hint="eastAsia"/>
        </w:rPr>
        <w:t>提供网站栏目图片、专题图片、宣传图片、节庆图片、活动图片等的创意、设计、制作、处理和发布服务。</w:t>
      </w:r>
    </w:p>
    <w:p>
      <w:pPr>
        <w:ind w:firstLine="480" w:firstLineChars="200"/>
        <w:jc w:val="both"/>
      </w:pPr>
      <w:r>
        <w:rPr>
          <w:rFonts w:hint="eastAsia"/>
        </w:rPr>
        <w:t>④数据处理与统计分析</w:t>
      </w:r>
    </w:p>
    <w:p>
      <w:pPr>
        <w:ind w:firstLine="480" w:firstLineChars="200"/>
        <w:jc w:val="both"/>
      </w:pPr>
      <w:r>
        <w:rPr>
          <w:rFonts w:hint="eastAsia"/>
        </w:rPr>
        <w:t>根据用户实际工作需要提供网站内容增删、数据处理、网站统计分析等服务。</w:t>
      </w:r>
    </w:p>
    <w:p>
      <w:pPr>
        <w:ind w:firstLine="480" w:firstLineChars="200"/>
        <w:jc w:val="both"/>
        <w:outlineLvl w:val="3"/>
        <w:rPr>
          <w:b/>
        </w:rPr>
      </w:pPr>
      <w:r>
        <w:rPr>
          <w:rFonts w:hint="eastAsia"/>
          <w:b/>
        </w:rPr>
        <w:t>2、市政府网站内容运维</w:t>
      </w:r>
    </w:p>
    <w:p>
      <w:pPr>
        <w:ind w:firstLine="480" w:firstLineChars="200"/>
        <w:jc w:val="both"/>
        <w:outlineLvl w:val="4"/>
        <w:rPr>
          <w:b/>
        </w:rPr>
      </w:pPr>
      <w:r>
        <w:rPr>
          <w:rFonts w:hint="eastAsia"/>
          <w:b/>
        </w:rPr>
        <w:t>（1）</w:t>
      </w:r>
      <w:bookmarkStart w:id="16" w:name="_Toc109657499"/>
      <w:r>
        <w:rPr>
          <w:b/>
        </w:rPr>
        <w:t>在线访谈录制发布</w:t>
      </w:r>
      <w:bookmarkEnd w:id="16"/>
    </w:p>
    <w:p>
      <w:pPr>
        <w:ind w:firstLine="480" w:firstLineChars="200"/>
        <w:jc w:val="both"/>
      </w:pPr>
      <w:r>
        <w:rPr>
          <w:rFonts w:hint="eastAsia"/>
        </w:rPr>
        <w:t>1）服务内容</w:t>
      </w:r>
    </w:p>
    <w:p>
      <w:pPr>
        <w:ind w:firstLine="480" w:firstLineChars="200"/>
        <w:jc w:val="both"/>
      </w:pPr>
      <w:r>
        <w:rPr>
          <w:rFonts w:hint="eastAsia"/>
        </w:rPr>
        <w:t>不定期开展在线访谈音视频录制，并基于市政府网站在线访谈栏目进行相关内容的编辑与发布</w:t>
      </w:r>
    </w:p>
    <w:p>
      <w:pPr>
        <w:spacing w:line="400" w:lineRule="exact"/>
        <w:ind w:firstLine="480" w:firstLineChars="200"/>
        <w:jc w:val="both"/>
      </w:pPr>
      <w:r>
        <w:rPr>
          <w:rFonts w:hint="eastAsia"/>
        </w:rPr>
        <w:t>2）服务要求</w:t>
      </w:r>
    </w:p>
    <w:p>
      <w:pPr>
        <w:ind w:firstLine="480" w:firstLineChars="200"/>
        <w:jc w:val="both"/>
      </w:pPr>
      <w:r>
        <w:rPr>
          <w:rFonts w:hint="eastAsia"/>
        </w:rPr>
        <w:t>①全年累计提供不低于6次在线访谈录制。</w:t>
      </w:r>
    </w:p>
    <w:p>
      <w:pPr>
        <w:ind w:firstLine="480" w:firstLineChars="200"/>
        <w:jc w:val="both"/>
      </w:pPr>
      <w:r>
        <w:rPr>
          <w:rFonts w:hint="eastAsia"/>
        </w:rPr>
        <w:t>②按要求完成在线访谈音视频现场录制、剪辑、编辑、发布等工作，保障市政府网站正常发布在线访谈内容。</w:t>
      </w:r>
    </w:p>
    <w:p>
      <w:pPr>
        <w:ind w:firstLine="480" w:firstLineChars="200"/>
        <w:jc w:val="both"/>
      </w:pPr>
      <w:r>
        <w:rPr>
          <w:rFonts w:hint="eastAsia"/>
        </w:rPr>
        <w:t>③提供在线直播服务。</w:t>
      </w:r>
    </w:p>
    <w:p>
      <w:pPr>
        <w:ind w:firstLine="480" w:firstLineChars="200"/>
        <w:jc w:val="both"/>
        <w:outlineLvl w:val="4"/>
        <w:rPr>
          <w:b/>
        </w:rPr>
      </w:pPr>
      <w:r>
        <w:rPr>
          <w:rFonts w:hint="eastAsia"/>
          <w:b/>
        </w:rPr>
        <w:t>（2）数据发布专栏</w:t>
      </w:r>
    </w:p>
    <w:p>
      <w:pPr>
        <w:ind w:firstLine="480" w:firstLineChars="200"/>
        <w:jc w:val="both"/>
      </w:pPr>
      <w:r>
        <w:rPr>
          <w:rFonts w:hint="eastAsia"/>
        </w:rPr>
        <w:t>1）服务内容</w:t>
      </w:r>
    </w:p>
    <w:p>
      <w:pPr>
        <w:ind w:firstLine="480" w:firstLineChars="200"/>
        <w:jc w:val="both"/>
      </w:pPr>
      <w:r>
        <w:rPr>
          <w:rFonts w:hint="eastAsia"/>
        </w:rPr>
        <w:t>在市政府网站开设数据发布专栏，建立数据报送机制，按照“职能－业务－信息－保障”的工作路径，由相关单位定期按模板内容提供各类行业数据和统计数据等，系统对各类数据进行汇总、统计和分析，并按照不同主题进行数据发布和可视化图表展现。</w:t>
      </w:r>
    </w:p>
    <w:p>
      <w:pPr>
        <w:spacing w:line="400" w:lineRule="exact"/>
        <w:ind w:firstLine="480" w:firstLineChars="200"/>
        <w:jc w:val="both"/>
      </w:pPr>
      <w:r>
        <w:rPr>
          <w:rFonts w:hint="eastAsia"/>
        </w:rPr>
        <w:t>2）服务要求</w:t>
      </w:r>
    </w:p>
    <w:p>
      <w:pPr>
        <w:ind w:firstLine="480" w:firstLineChars="200"/>
        <w:jc w:val="both"/>
      </w:pPr>
      <w:r>
        <w:rPr>
          <w:rFonts w:hint="eastAsia"/>
        </w:rPr>
        <w:t>①根据实际情况，提供经济、卫生健康、教育、科技、民政、旅游等不同主题的数据发布和多维度展现。</w:t>
      </w:r>
    </w:p>
    <w:p>
      <w:pPr>
        <w:ind w:firstLine="480" w:firstLineChars="200"/>
        <w:jc w:val="both"/>
      </w:pPr>
      <w:r>
        <w:rPr>
          <w:rFonts w:hint="eastAsia"/>
        </w:rPr>
        <w:t>②提供柱状图、折线图、饼状图等不同类型图表的数据可视化展现。</w:t>
      </w:r>
    </w:p>
    <w:p>
      <w:pPr>
        <w:ind w:firstLine="480" w:firstLineChars="200"/>
        <w:jc w:val="both"/>
      </w:pPr>
      <w:r>
        <w:rPr>
          <w:rFonts w:hint="eastAsia"/>
        </w:rPr>
        <w:t>③根据业务需求，提供相关数据按时间等维度的分类筛选和展示功能。</w:t>
      </w:r>
    </w:p>
    <w:p>
      <w:pPr>
        <w:ind w:firstLine="480" w:firstLineChars="200"/>
        <w:jc w:val="both"/>
      </w:pPr>
      <w:r>
        <w:rPr>
          <w:rFonts w:hint="eastAsia"/>
        </w:rPr>
        <w:t>④根据各类数据的更新情况，定期进行数据图表的同步更新、维护和优化。</w:t>
      </w:r>
    </w:p>
    <w:p>
      <w:pPr>
        <w:ind w:firstLine="480" w:firstLineChars="200"/>
        <w:jc w:val="both"/>
        <w:outlineLvl w:val="4"/>
        <w:rPr>
          <w:b/>
        </w:rPr>
      </w:pPr>
      <w:r>
        <w:rPr>
          <w:rFonts w:hint="eastAsia"/>
          <w:b/>
        </w:rPr>
        <w:t>（3）网站监测检查服务</w:t>
      </w:r>
    </w:p>
    <w:p>
      <w:pPr>
        <w:ind w:firstLine="480" w:firstLineChars="200"/>
        <w:jc w:val="both"/>
      </w:pPr>
      <w:r>
        <w:rPr>
          <w:rFonts w:hint="eastAsia"/>
        </w:rPr>
        <w:t>1）服务内容</w:t>
      </w:r>
    </w:p>
    <w:p>
      <w:pPr>
        <w:ind w:firstLine="480" w:firstLineChars="200"/>
        <w:jc w:val="both"/>
      </w:pPr>
      <w:r>
        <w:rPr>
          <w:rFonts w:hint="eastAsia"/>
        </w:rPr>
        <w:t>根据《政府网站发展指引》、《政府网站与政务新媒体检查指标》及陕西省具体要求，提供市政府门户网站安全/泄密事故、站点可用性、链接可用性、网站内容更新、办事服务、互动交流、网站功能等方面的监测和检查服务。</w:t>
      </w:r>
    </w:p>
    <w:p>
      <w:pPr>
        <w:spacing w:line="400" w:lineRule="exact"/>
        <w:ind w:firstLine="480" w:firstLineChars="200"/>
        <w:jc w:val="both"/>
      </w:pPr>
      <w:r>
        <w:rPr>
          <w:rFonts w:hint="eastAsia"/>
        </w:rPr>
        <w:t>2）服务要求</w:t>
      </w:r>
    </w:p>
    <w:p>
      <w:pPr>
        <w:ind w:firstLine="480" w:firstLineChars="200"/>
        <w:jc w:val="both"/>
      </w:pPr>
      <w:r>
        <w:rPr>
          <w:rFonts w:hint="eastAsia"/>
        </w:rPr>
        <w:t>（</w:t>
      </w:r>
      <w:r>
        <w:t>1</w:t>
      </w:r>
      <w:r>
        <w:rPr>
          <w:rFonts w:hint="eastAsia"/>
        </w:rPr>
        <w:t>）政府网站普查服务</w:t>
      </w:r>
    </w:p>
    <w:p>
      <w:pPr>
        <w:ind w:firstLine="480" w:firstLineChars="200"/>
        <w:jc w:val="both"/>
      </w:pPr>
      <w:r>
        <w:rPr>
          <w:rFonts w:hint="eastAsia"/>
        </w:rPr>
        <w:t>根据国务院办公厅发布的《政府网站与政务新媒体检查指标》，结合上级主管单位相关考核要求，全面检测政府网站存在的问题，包括网站可用性、信息更新、互动回应、服务实用情况、发布解读、办事服务等，按需进行复检，并提出建议。</w:t>
      </w:r>
    </w:p>
    <w:p>
      <w:pPr>
        <w:ind w:firstLine="480" w:firstLineChars="200"/>
        <w:jc w:val="both"/>
      </w:pPr>
      <w:r>
        <w:rPr>
          <w:rFonts w:hint="eastAsia"/>
        </w:rPr>
        <w:t>每季度出具报告，提供问题详细记录，包括问题具体</w:t>
      </w:r>
      <w:r>
        <w:t>URL链接、描述及截图等</w:t>
      </w:r>
      <w:r>
        <w:rPr>
          <w:rFonts w:hint="eastAsia"/>
        </w:rPr>
        <w:t>。</w:t>
      </w:r>
    </w:p>
    <w:p>
      <w:pPr>
        <w:ind w:firstLine="480" w:firstLineChars="200"/>
        <w:jc w:val="both"/>
      </w:pPr>
      <w:r>
        <w:rPr>
          <w:rFonts w:hint="eastAsia"/>
        </w:rPr>
        <w:t>（2）政府网站专项检测</w:t>
      </w:r>
    </w:p>
    <w:p>
      <w:pPr>
        <w:ind w:firstLine="480" w:firstLineChars="200"/>
        <w:jc w:val="both"/>
      </w:pPr>
      <w:r>
        <w:rPr>
          <w:rFonts w:hint="eastAsia"/>
        </w:rPr>
        <w:t>每季度对政府网站可能存在的严重表述错误、错敏信息及错误链接进行检测，并提出建议。</w:t>
      </w:r>
    </w:p>
    <w:p>
      <w:pPr>
        <w:ind w:firstLine="480" w:firstLineChars="200"/>
        <w:jc w:val="both"/>
      </w:pPr>
      <w:r>
        <w:rPr>
          <w:rFonts w:hint="eastAsia"/>
        </w:rPr>
        <w:t>每季度出具检测结果或检测报告，提供存在问题详细信息。</w:t>
      </w:r>
    </w:p>
    <w:p>
      <w:pPr>
        <w:ind w:firstLine="480" w:firstLineChars="200"/>
        <w:jc w:val="both"/>
        <w:outlineLvl w:val="4"/>
        <w:rPr>
          <w:b/>
        </w:rPr>
      </w:pPr>
      <w:r>
        <w:rPr>
          <w:rFonts w:hint="eastAsia"/>
          <w:b/>
        </w:rPr>
        <w:t>（4）网站内容维护服务</w:t>
      </w:r>
    </w:p>
    <w:p>
      <w:pPr>
        <w:ind w:firstLine="480" w:firstLineChars="200"/>
        <w:jc w:val="both"/>
      </w:pPr>
      <w:r>
        <w:rPr>
          <w:rFonts w:hint="eastAsia"/>
        </w:rPr>
        <w:t>1）服务内容</w:t>
      </w:r>
    </w:p>
    <w:p>
      <w:pPr>
        <w:ind w:firstLine="480" w:firstLineChars="200"/>
        <w:jc w:val="both"/>
      </w:pPr>
      <w:r>
        <w:rPr>
          <w:rFonts w:hint="eastAsia"/>
        </w:rPr>
        <w:t>提供市政府网站内容维护服务，主要包括网站内容采编、审核、发布和维护管理、网站断错链处理、网站错敏信息修改、网站日常检查、网站问题整改跟踪、部门沟通反馈、网站留言受理等服务。</w:t>
      </w:r>
    </w:p>
    <w:p>
      <w:pPr>
        <w:spacing w:line="400" w:lineRule="exact"/>
        <w:ind w:firstLine="480" w:firstLineChars="200"/>
        <w:jc w:val="both"/>
      </w:pPr>
      <w:r>
        <w:rPr>
          <w:rFonts w:hint="eastAsia"/>
        </w:rPr>
        <w:t>2）服务要求</w:t>
      </w:r>
    </w:p>
    <w:p>
      <w:pPr>
        <w:ind w:firstLine="480" w:firstLineChars="200"/>
        <w:jc w:val="both"/>
      </w:pPr>
      <w:r>
        <w:rPr>
          <w:rFonts w:hint="eastAsia"/>
        </w:rPr>
        <w:t>①依据《西安市政府门户网站信息审核发布制度》，开展市政府网站相关栏目内容保障工作，包括信息的采集、添加、审核、发布和维护等工作。</w:t>
      </w:r>
    </w:p>
    <w:p>
      <w:pPr>
        <w:ind w:firstLine="480" w:firstLineChars="200"/>
        <w:jc w:val="both"/>
      </w:pPr>
      <w:r>
        <w:rPr>
          <w:rFonts w:hint="eastAsia"/>
        </w:rPr>
        <w:t>②与市政府网站相关内容保障单位进行业务对接，联系、督促各单位按照栏目要求提供相关信息。</w:t>
      </w:r>
    </w:p>
    <w:p>
      <w:pPr>
        <w:ind w:firstLine="480" w:firstLineChars="200"/>
        <w:jc w:val="both"/>
      </w:pPr>
      <w:r>
        <w:rPr>
          <w:rFonts w:hint="eastAsia"/>
        </w:rPr>
        <w:t>③各内容保障单位向市政府网站报送信息的审核校对。</w:t>
      </w:r>
    </w:p>
    <w:p>
      <w:pPr>
        <w:ind w:firstLine="480" w:firstLineChars="200"/>
        <w:jc w:val="both"/>
      </w:pPr>
      <w:r>
        <w:rPr>
          <w:rFonts w:hint="eastAsia"/>
        </w:rPr>
        <w:t>④市政府网站政策图解、动漫解读的审核、校对与发布。</w:t>
      </w:r>
    </w:p>
    <w:p>
      <w:pPr>
        <w:ind w:firstLine="480" w:firstLineChars="200"/>
        <w:jc w:val="both"/>
      </w:pPr>
      <w:r>
        <w:rPr>
          <w:rFonts w:hint="eastAsia"/>
        </w:rPr>
        <w:t>⑤开展市政府网站日常检查，包括但不限于栏目信息更新及时性、链接可用性、信息格式规范性、错敏信息、隐私泄露、非法链接、内容附件等问题的检查。</w:t>
      </w:r>
    </w:p>
    <w:p>
      <w:pPr>
        <w:ind w:firstLine="480" w:firstLineChars="200"/>
        <w:jc w:val="both"/>
      </w:pPr>
      <w:r>
        <w:rPr>
          <w:rFonts w:hint="eastAsia"/>
        </w:rPr>
        <w:t>⑥市政府网站错敏信息、断错链、稿件内容等问题整改。</w:t>
      </w:r>
    </w:p>
    <w:p>
      <w:pPr>
        <w:ind w:firstLine="480" w:firstLineChars="200"/>
        <w:jc w:val="both"/>
      </w:pPr>
      <w:r>
        <w:rPr>
          <w:rFonts w:hint="eastAsia"/>
        </w:rPr>
        <w:t>⑦协助相关系统的留言办理工作，包括市政府门户网站、陕西省信访信息系统、12345市民热线服务平台、“我为政府网站找错”等4个系统中的留言回复、转派、督促、发布、统计等。</w:t>
      </w:r>
    </w:p>
    <w:p>
      <w:pPr>
        <w:pStyle w:val="3"/>
        <w:jc w:val="both"/>
      </w:pPr>
      <w:r>
        <w:t>三、</w:t>
      </w:r>
      <w:r>
        <w:rPr>
          <w:rFonts w:hint="eastAsia"/>
        </w:rPr>
        <w:t>服务要求</w:t>
      </w:r>
    </w:p>
    <w:p>
      <w:pPr>
        <w:ind w:firstLine="480" w:firstLineChars="200"/>
        <w:jc w:val="both"/>
      </w:pPr>
      <w:r>
        <w:rPr>
          <w:rFonts w:hint="eastAsia"/>
        </w:rPr>
        <w:t>（一）提供7×24小时电话支持服务，用户可通过拨打服务电话与维护服务人员联系获得相关服务。通过服务热线电话，可接收用户各类服务请求，为用户提供常见问题诊断指导、网站日常维护管理、业务咨询等多方面的服务内容，并通过服务热线电话接收用户的投诉和建议。</w:t>
      </w:r>
    </w:p>
    <w:p>
      <w:pPr>
        <w:ind w:firstLine="480" w:firstLineChars="200"/>
        <w:jc w:val="both"/>
      </w:pPr>
      <w:r>
        <w:rPr>
          <w:rFonts w:hint="eastAsia"/>
        </w:rPr>
        <w:t>（二）用户可以通过即时通讯工具如企业微信更加安全、便捷地与供应商的技术服务中心进行快速互动沟通，全面、完整地反馈业务需求并获取处理结果，提高服务效率。</w:t>
      </w:r>
    </w:p>
    <w:p>
      <w:pPr>
        <w:ind w:firstLine="480" w:firstLineChars="200"/>
        <w:jc w:val="both"/>
      </w:pPr>
      <w:r>
        <w:rPr>
          <w:rFonts w:hint="eastAsia"/>
        </w:rPr>
        <w:t>（三）供应商针对本项目设立专用电子邮箱，用户可通过发送电子邮件的方式向运维工程师咨询服务过程中遇到的问题和建议，工程师将予以答复。</w:t>
      </w:r>
    </w:p>
    <w:p>
      <w:pPr>
        <w:ind w:firstLine="480" w:firstLineChars="200"/>
        <w:jc w:val="both"/>
      </w:pPr>
      <w:r>
        <w:rPr>
          <w:rFonts w:hint="eastAsia"/>
        </w:rPr>
        <w:t>（四）当用户有服务需求或系统故障时，供应商可以通过远程服务工具接入到用户系统中提供维护服务，直接而快速的对系统进行检查或操作，完成用户相关需求或问题处理。为确保系统的安全，供应商仅在得到用户方允许并在用户方知道的情况下访问相关系统。供应商确保相关行为不会危害系统安全或违反用户的安全管理规定。</w:t>
      </w:r>
    </w:p>
    <w:p>
      <w:pPr>
        <w:ind w:firstLine="480" w:firstLineChars="200"/>
        <w:jc w:val="both"/>
      </w:pPr>
      <w:r>
        <w:rPr>
          <w:rFonts w:hint="eastAsia"/>
        </w:rPr>
        <w:t>（五）针对专项问题或重大问题，无法利用电话或远程维护方式解决，供应商在接到用户请求后派遣工程师到达用户现场提供技术支持服务：1、现场问题的诊断及分析；</w:t>
      </w:r>
      <w:r>
        <w:t>2</w:t>
      </w:r>
      <w:r>
        <w:rPr>
          <w:rFonts w:hint="eastAsia"/>
        </w:rPr>
        <w:t>、实施问题的解决方案；</w:t>
      </w:r>
      <w:r>
        <w:t>3</w:t>
      </w:r>
      <w:r>
        <w:rPr>
          <w:rFonts w:hint="eastAsia"/>
        </w:rPr>
        <w:t>、系统问题/需求的紧急处理。</w:t>
      </w:r>
    </w:p>
    <w:p>
      <w:pPr>
        <w:ind w:firstLine="480" w:firstLineChars="200"/>
        <w:jc w:val="both"/>
      </w:pPr>
      <w:r>
        <w:rPr>
          <w:rFonts w:hint="eastAsia"/>
        </w:rPr>
        <w:t>（六）提供应急处置服务，安排专门人员7×24小时响应，当网站发生重大故障或有紧急业务需求时通过远程或现场支持等方式进行及时响应和处理，保障网站安全、稳定运行。</w:t>
      </w:r>
    </w:p>
    <w:p>
      <w:pPr>
        <w:ind w:firstLine="480" w:firstLineChars="200"/>
        <w:jc w:val="both"/>
      </w:pPr>
      <w:r>
        <w:rPr>
          <w:rFonts w:hint="eastAsia"/>
        </w:rPr>
        <w:t>（七）供应商应保证在此项目服务期间有足够的人力投入，服务团队中应至少包含项目经理、技术经理、服务工程师、UI设计师、软件开发工程师、驻场人员等岗位角色。</w:t>
      </w:r>
    </w:p>
    <w:p>
      <w:pPr>
        <w:ind w:firstLine="480" w:firstLineChars="200"/>
        <w:jc w:val="both"/>
      </w:pPr>
      <w:r>
        <w:rPr>
          <w:rFonts w:ascii="Segoe UI Symbol" w:hAnsi="Segoe UI Symbol" w:cs="Segoe UI Symbol"/>
        </w:rPr>
        <w:t>★</w:t>
      </w:r>
      <w:r>
        <w:rPr>
          <w:rFonts w:hint="eastAsia"/>
        </w:rPr>
        <w:t>（八）2025年西安市人民政府办公厅站群平台将进行信创改造，为了保障站群平台迁移至信创平台后安全、稳定、高效运行，本项目供应商需全面配合站群平台信创改造事宜，同时，应承诺具备站群平台X86系统和信创系统的运维服务能力，需提供相关承诺书。</w:t>
      </w:r>
    </w:p>
    <w:p>
      <w:pPr>
        <w:pStyle w:val="3"/>
        <w:jc w:val="both"/>
      </w:pPr>
      <w:r>
        <w:rPr>
          <w:rFonts w:hint="eastAsia"/>
        </w:rPr>
        <w:t>四、商务要求</w:t>
      </w:r>
    </w:p>
    <w:p>
      <w:pPr>
        <w:ind w:firstLine="480" w:firstLineChars="200"/>
        <w:jc w:val="both"/>
      </w:pPr>
      <w:r>
        <w:rPr>
          <w:rFonts w:hint="eastAsia"/>
        </w:rPr>
        <w:t>服务期</w:t>
      </w:r>
      <w:r>
        <w:t>：</w:t>
      </w:r>
      <w:r>
        <w:rPr>
          <w:rFonts w:hint="eastAsia"/>
        </w:rPr>
        <w:t>一年，以合同签订时约定的起止时间为准。</w:t>
      </w:r>
    </w:p>
    <w:p>
      <w:r>
        <w:br w:type="page"/>
      </w:r>
    </w:p>
    <w:p>
      <w:pPr>
        <w:pStyle w:val="2"/>
        <w:spacing w:before="230" w:after="230"/>
        <w:rPr>
          <w:color w:val="C00000"/>
        </w:rPr>
      </w:pPr>
      <w:bookmarkStart w:id="17" w:name="_Toc148453731"/>
      <w:bookmarkStart w:id="18" w:name="_Toc209943448"/>
      <w:r>
        <w:rPr>
          <w:rFonts w:hint="eastAsia"/>
        </w:rPr>
        <w:t>第四章　合同</w:t>
      </w:r>
      <w:bookmarkEnd w:id="17"/>
      <w:r>
        <w:rPr>
          <w:rFonts w:hint="eastAsia"/>
        </w:rPr>
        <w:t>文本</w:t>
      </w:r>
      <w:bookmarkEnd w:id="18"/>
    </w:p>
    <w:p>
      <w:pPr>
        <w:spacing w:before="230" w:beforeLines="50"/>
        <w:ind w:firstLine="480" w:firstLineChars="200"/>
        <w:jc w:val="both"/>
        <w:rPr>
          <w:b/>
        </w:rPr>
      </w:pPr>
      <w:r>
        <w:rPr>
          <w:b/>
        </w:rPr>
        <w:t>甲方（采购人）：</w:t>
      </w:r>
      <w:r>
        <w:rPr>
          <w:b/>
          <w:color w:val="C00000"/>
          <w:u w:val="single"/>
        </w:rPr>
        <w:t>西安市人民政府办公厅</w:t>
      </w:r>
    </w:p>
    <w:p>
      <w:pPr>
        <w:ind w:firstLine="480" w:firstLineChars="200"/>
        <w:jc w:val="both"/>
        <w:rPr>
          <w:b/>
        </w:rPr>
      </w:pPr>
      <w:r>
        <w:rPr>
          <w:b/>
        </w:rPr>
        <w:t>乙方（中标供应商）：</w:t>
      </w:r>
      <w:r>
        <w:rPr>
          <w:color w:val="C00000"/>
        </w:rPr>
        <w:t>_________________</w:t>
      </w:r>
    </w:p>
    <w:p>
      <w:pPr>
        <w:spacing w:before="230" w:beforeLines="50"/>
        <w:jc w:val="both"/>
        <w:rPr>
          <w:rFonts w:cs="Calibri Light"/>
          <w:b/>
        </w:rPr>
      </w:pPr>
      <w:r>
        <w:rPr>
          <w:rFonts w:cs="Calibri Light"/>
          <w:b/>
        </w:rPr>
        <w:t>一、服务条件：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（二）服务内容：见本项目招标文件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（三）服务期：</w:t>
      </w:r>
      <w:r>
        <w:rPr>
          <w:rFonts w:hint="eastAsia" w:asciiTheme="minorHAnsi" w:hAnsiTheme="minorHAnsi" w:eastAsiaTheme="minorEastAsia"/>
          <w:sz w:val="24"/>
          <w:szCs w:val="24"/>
        </w:rPr>
        <w:t>一年，以合同签订时约定的起止时间为准。</w:t>
      </w:r>
    </w:p>
    <w:p>
      <w:pPr>
        <w:spacing w:before="230" w:beforeLines="50"/>
        <w:jc w:val="both"/>
        <w:rPr>
          <w:rFonts w:cs="Calibri Light"/>
          <w:b/>
        </w:rPr>
      </w:pPr>
      <w:r>
        <w:rPr>
          <w:rFonts w:cs="Calibri Light"/>
          <w:b/>
        </w:rPr>
        <w:t>二、合同价款</w:t>
      </w:r>
    </w:p>
    <w:p>
      <w:pPr>
        <w:ind w:firstLine="480" w:firstLineChars="200"/>
        <w:jc w:val="both"/>
      </w:pPr>
      <w:r>
        <w:t>（一）本合同项下总价款为人民币_________元（小写，精确到小数点后两位），即__________（大写）。合同履行期间，合同总价固定不变，不受市场价格变化因素的影响。</w:t>
      </w:r>
    </w:p>
    <w:p>
      <w:pPr>
        <w:ind w:firstLine="480" w:firstLineChars="200"/>
        <w:jc w:val="both"/>
      </w:pPr>
      <w:r>
        <w:t>（二）总报价包括完成本项目所需的人员工资、社会保险及按规定提取的福利费、行政办公费用、企业固定资产折旧、临时性加班的加班费用、法定税费及合理利润等全部费用。甲方不再额外承担其他任何费用。</w:t>
      </w:r>
    </w:p>
    <w:p>
      <w:pPr>
        <w:spacing w:before="230" w:beforeLines="50"/>
        <w:jc w:val="both"/>
        <w:rPr>
          <w:rFonts w:cs="Calibri Light"/>
          <w:b/>
        </w:rPr>
      </w:pPr>
      <w:r>
        <w:rPr>
          <w:rFonts w:cs="Calibri Light"/>
          <w:b/>
        </w:rPr>
        <w:t>三、款项结算</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pPr>
        <w:pStyle w:val="40"/>
        <w:spacing w:line="240" w:lineRule="auto"/>
        <w:ind w:firstLine="480" w:firstLineChars="200"/>
        <w:jc w:val="both"/>
        <w:rPr>
          <w:rFonts w:asciiTheme="minorHAnsi" w:hAnsiTheme="minorHAnsi" w:eastAsiaTheme="minorEastAsia"/>
        </w:rPr>
      </w:pPr>
      <w:r>
        <w:rPr>
          <w:rFonts w:hint="eastAsia" w:asciiTheme="minorHAnsi" w:hAnsiTheme="minorHAnsi" w:eastAsiaTheme="minorEastAsia"/>
          <w:sz w:val="24"/>
          <w:szCs w:val="24"/>
        </w:rPr>
        <w:t>服务期</w:t>
      </w:r>
      <w:r>
        <w:rPr>
          <w:rFonts w:asciiTheme="minorHAnsi" w:hAnsiTheme="minorHAnsi" w:eastAsiaTheme="minorEastAsia"/>
          <w:sz w:val="24"/>
          <w:szCs w:val="24"/>
        </w:rPr>
        <w:t>开始后，乙方向甲方递交正规合法发票后，甲方在收到后</w:t>
      </w:r>
      <w:r>
        <w:rPr>
          <w:rFonts w:hint="eastAsia" w:asciiTheme="minorHAnsi" w:hAnsiTheme="minorHAnsi" w:eastAsiaTheme="minorEastAsia"/>
          <w:sz w:val="24"/>
          <w:szCs w:val="24"/>
        </w:rPr>
        <w:t>十个工作</w:t>
      </w:r>
      <w:r>
        <w:rPr>
          <w:rFonts w:asciiTheme="minorHAnsi" w:hAnsiTheme="minorHAnsi" w:eastAsiaTheme="minorEastAsia"/>
          <w:sz w:val="24"/>
          <w:szCs w:val="24"/>
        </w:rPr>
        <w:t>日内支付</w:t>
      </w:r>
      <w:r>
        <w:rPr>
          <w:rFonts w:hint="eastAsia" w:asciiTheme="minorHAnsi" w:hAnsiTheme="minorHAnsi" w:eastAsiaTheme="minorEastAsia"/>
          <w:sz w:val="24"/>
          <w:szCs w:val="24"/>
        </w:rPr>
        <w:t>合同总价款的20%；服务期过半并验收合格后</w:t>
      </w:r>
      <w:bookmarkStart w:id="19" w:name="OLE_LINK1"/>
      <w:r>
        <w:rPr>
          <w:rFonts w:asciiTheme="minorHAnsi" w:hAnsiTheme="minorHAnsi" w:eastAsiaTheme="minorEastAsia"/>
          <w:sz w:val="24"/>
          <w:szCs w:val="24"/>
        </w:rPr>
        <w:t>乙方向甲方递交正规合法发票后</w:t>
      </w:r>
      <w:r>
        <w:rPr>
          <w:rFonts w:hint="eastAsia" w:asciiTheme="minorHAnsi" w:hAnsiTheme="minorHAnsi" w:eastAsiaTheme="minorEastAsia"/>
          <w:sz w:val="24"/>
          <w:szCs w:val="24"/>
        </w:rPr>
        <w:t>十个工作</w:t>
      </w:r>
      <w:bookmarkEnd w:id="19"/>
      <w:r>
        <w:rPr>
          <w:rFonts w:hint="eastAsia" w:asciiTheme="minorHAnsi" w:hAnsiTheme="minorHAnsi" w:eastAsiaTheme="minorEastAsia"/>
          <w:sz w:val="24"/>
          <w:szCs w:val="24"/>
        </w:rPr>
        <w:t>日内支付合同总价款的60%；服务期满并验收合格后</w:t>
      </w:r>
      <w:r>
        <w:rPr>
          <w:rFonts w:asciiTheme="minorHAnsi" w:hAnsiTheme="minorHAnsi" w:eastAsiaTheme="minorEastAsia"/>
          <w:sz w:val="24"/>
          <w:szCs w:val="24"/>
        </w:rPr>
        <w:t>乙方向甲方递交正规合法发票后</w:t>
      </w:r>
      <w:r>
        <w:rPr>
          <w:rFonts w:hint="eastAsia" w:asciiTheme="minorHAnsi" w:hAnsiTheme="minorHAnsi" w:eastAsiaTheme="minorEastAsia"/>
          <w:sz w:val="24"/>
          <w:szCs w:val="24"/>
        </w:rPr>
        <w:t>十个工作日内支付合同总价款的20%。</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pPr>
        <w:wordWrap w:val="0"/>
        <w:ind w:firstLine="480" w:firstLineChars="200"/>
        <w:jc w:val="both"/>
      </w:pPr>
      <w:r>
        <w:t>名  称：_____________________</w:t>
      </w:r>
    </w:p>
    <w:p>
      <w:pPr>
        <w:wordWrap w:val="0"/>
        <w:ind w:firstLine="480" w:firstLineChars="200"/>
        <w:jc w:val="both"/>
      </w:pPr>
      <w:r>
        <w:t>开户行：_____________________</w:t>
      </w:r>
    </w:p>
    <w:p>
      <w:pPr>
        <w:wordWrap w:val="0"/>
        <w:ind w:firstLine="480" w:firstLineChars="200"/>
        <w:jc w:val="both"/>
      </w:pPr>
      <w:r>
        <w:t>账  号：_____________________</w:t>
      </w:r>
    </w:p>
    <w:p>
      <w:pPr>
        <w:wordWrap w:val="0"/>
        <w:ind w:firstLine="480" w:firstLineChars="200"/>
        <w:jc w:val="both"/>
      </w:pPr>
      <w:r>
        <w:t>甲方仅认可上述指定账户并向该账户付款。否则甲方有权拒绝向指定账户之外的任何账户付款，并且由此导致的付款延迟责任由乙方承担。</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（三）结算方式：乙方持中标通知书、政府采购合同、发票、政府采购项目验收单，与甲方结算。</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乙方要如实开具发票，不得变更开票内容，乙方开具发票出现税务争议时，乙方需承担税款、滞纳金、罚款等赔偿责任以及其他相关责任。</w:t>
      </w:r>
    </w:p>
    <w:p>
      <w:pPr>
        <w:spacing w:before="230" w:beforeLines="50"/>
        <w:jc w:val="both"/>
        <w:rPr>
          <w:rFonts w:cs="Calibri Light"/>
          <w:b/>
        </w:rPr>
      </w:pPr>
      <w:r>
        <w:rPr>
          <w:rFonts w:hint="eastAsia" w:cs="Calibri Light"/>
          <w:b/>
        </w:rPr>
        <w:t>四</w:t>
      </w:r>
      <w:r>
        <w:rPr>
          <w:rFonts w:cs="Calibri Light"/>
          <w:b/>
        </w:rPr>
        <w:t>、质量保证</w:t>
      </w:r>
    </w:p>
    <w:p>
      <w:pPr>
        <w:wordWrap w:val="0"/>
        <w:ind w:firstLine="480" w:firstLineChars="200"/>
        <w:jc w:val="both"/>
      </w:pPr>
      <w:r>
        <w:rPr>
          <w:rFonts w:hint="eastAsia"/>
        </w:rPr>
        <w:t>（一）乙方应制定详细实施计划，包含服务标准、服务跟踪计划、系统维护、升级服务、技术支持服务及其他相关服务承诺。</w:t>
      </w:r>
    </w:p>
    <w:p>
      <w:pPr>
        <w:wordWrap w:val="0"/>
        <w:ind w:firstLine="480" w:firstLineChars="200"/>
        <w:jc w:val="both"/>
      </w:pPr>
      <w:r>
        <w:rPr>
          <w:rFonts w:hint="eastAsia"/>
        </w:rPr>
        <w:t>（二）乙方应承诺提供7*24小时技术支持服务，针对各类问题或需求响应时间不超过0.5小时, 收到现场服务请求后的2小时内到达现场，紧急故障0.5小时内修复和解决问题，确保平台安全、稳定、高效运行。</w:t>
      </w:r>
    </w:p>
    <w:p>
      <w:pPr>
        <w:wordWrap w:val="0"/>
        <w:ind w:firstLine="480" w:firstLineChars="200"/>
        <w:jc w:val="both"/>
      </w:pPr>
      <w:r>
        <w:rPr>
          <w:rFonts w:hint="eastAsia"/>
        </w:rPr>
        <w:t>（三）乙方应保证服务期内有足够的人力投入，服务团队中应至少包含项目经理、技术经理、服务工程师、UI设计师、软件开发工程师、驻场人员等岗位角色。</w:t>
      </w:r>
    </w:p>
    <w:p>
      <w:pPr>
        <w:spacing w:before="230" w:beforeLines="50"/>
        <w:jc w:val="both"/>
        <w:rPr>
          <w:rFonts w:cs="Calibri Light"/>
          <w:b/>
        </w:rPr>
      </w:pPr>
      <w:r>
        <w:rPr>
          <w:rFonts w:hint="eastAsia" w:cs="Calibri Light"/>
          <w:b/>
        </w:rPr>
        <w:t>五</w:t>
      </w:r>
      <w:r>
        <w:rPr>
          <w:rFonts w:cs="Calibri Light"/>
          <w:b/>
        </w:rPr>
        <w:t>、双方的权利和义务</w:t>
      </w:r>
    </w:p>
    <w:p>
      <w:pPr>
        <w:wordWrap w:val="0"/>
        <w:ind w:firstLine="480" w:firstLineChars="200"/>
        <w:jc w:val="both"/>
      </w:pPr>
      <w:r>
        <w:rPr>
          <w:rFonts w:hint="eastAsia"/>
        </w:rPr>
        <w:t>（一）甲方权利义务</w:t>
      </w:r>
    </w:p>
    <w:p>
      <w:pPr>
        <w:wordWrap w:val="0"/>
        <w:ind w:firstLine="480" w:firstLineChars="200"/>
        <w:jc w:val="both"/>
      </w:pPr>
      <w:r>
        <w:rPr>
          <w:rFonts w:hint="eastAsia"/>
        </w:rPr>
        <w:t>1、甲方有权对乙方承诺的服务事项进行监督并提出合理化建议。对乙方未按合同约定履行服务义务，有权要求乙方整改到位。如因乙方管理不善，造成重大经济损失或管理失误，甲方有权终止合同。</w:t>
      </w:r>
    </w:p>
    <w:p>
      <w:pPr>
        <w:wordWrap w:val="0"/>
        <w:ind w:firstLine="480" w:firstLineChars="200"/>
        <w:jc w:val="both"/>
      </w:pPr>
      <w:r>
        <w:rPr>
          <w:rFonts w:hint="eastAsia"/>
        </w:rPr>
        <w:t>2、甲方不得干涉乙方依法或依本合同规定内容所进行的管理和经营活动。</w:t>
      </w:r>
    </w:p>
    <w:p>
      <w:pPr>
        <w:wordWrap w:val="0"/>
        <w:ind w:firstLine="480" w:firstLineChars="200"/>
        <w:jc w:val="both"/>
      </w:pPr>
      <w:r>
        <w:rPr>
          <w:rFonts w:hint="eastAsia"/>
        </w:rPr>
        <w:t>3、甲方应按照合同规定，按时足额向乙方缴纳本合同项下的服务费及其它应付费用。</w:t>
      </w:r>
    </w:p>
    <w:p>
      <w:pPr>
        <w:wordWrap w:val="0"/>
        <w:ind w:firstLine="480" w:firstLineChars="200"/>
        <w:jc w:val="both"/>
      </w:pPr>
      <w:r>
        <w:rPr>
          <w:rFonts w:hint="eastAsia"/>
        </w:rPr>
        <w:t>（二）乙方权利义务</w:t>
      </w:r>
      <w:r>
        <w:rPr>
          <w:rFonts w:hint="eastAsia"/>
        </w:rPr>
        <w:tab/>
      </w:r>
    </w:p>
    <w:p>
      <w:pPr>
        <w:wordWrap w:val="0"/>
        <w:ind w:firstLine="480" w:firstLineChars="200"/>
        <w:jc w:val="both"/>
      </w:pPr>
      <w:r>
        <w:rPr>
          <w:rFonts w:hint="eastAsia"/>
        </w:rPr>
        <w:t>1、根据有关法律法规及本合同的约定，制订具体工作计划及人员安排；</w:t>
      </w:r>
    </w:p>
    <w:p>
      <w:pPr>
        <w:wordWrap w:val="0"/>
        <w:ind w:firstLine="480" w:firstLineChars="200"/>
        <w:jc w:val="both"/>
      </w:pPr>
      <w:r>
        <w:rPr>
          <w:rFonts w:hint="eastAsia"/>
        </w:rPr>
        <w:t>2、遵守各项管理法规和合同规定的责任要求，根据甲方授权，对本项目进行运维服务，并承担相应责任，自觉接受甲方检查监督；</w:t>
      </w:r>
    </w:p>
    <w:p>
      <w:pPr>
        <w:wordWrap w:val="0"/>
        <w:ind w:firstLine="480" w:firstLineChars="200"/>
        <w:jc w:val="both"/>
      </w:pPr>
      <w:r>
        <w:rPr>
          <w:rFonts w:hint="eastAsia"/>
        </w:rPr>
        <w:t>3、及时向甲方介绍汇报项目执行情况；</w:t>
      </w:r>
      <w:r>
        <w:rPr>
          <w:rFonts w:hint="eastAsia"/>
        </w:rPr>
        <w:tab/>
      </w:r>
    </w:p>
    <w:p>
      <w:pPr>
        <w:wordWrap w:val="0"/>
        <w:ind w:firstLine="480" w:firstLineChars="200"/>
        <w:jc w:val="both"/>
      </w:pPr>
      <w:r>
        <w:rPr>
          <w:rFonts w:hint="eastAsia"/>
        </w:rPr>
        <w:t>4、妥善保管和正确使用甲方提供的相关档案资料，及时记载有关变更信息，不得泄露甲方任何个人信息或将信息用于项目执行之外的其他用途；</w:t>
      </w:r>
    </w:p>
    <w:p>
      <w:pPr>
        <w:wordWrap w:val="0"/>
        <w:ind w:firstLine="480" w:firstLineChars="200"/>
        <w:jc w:val="both"/>
      </w:pPr>
      <w:r>
        <w:rPr>
          <w:rFonts w:hint="eastAsia"/>
        </w:rPr>
        <w:t>5、服务期满时向甲方移交全部项目相关资料；</w:t>
      </w:r>
    </w:p>
    <w:p>
      <w:pPr>
        <w:wordWrap w:val="0"/>
        <w:ind w:firstLine="480" w:firstLineChars="200"/>
        <w:jc w:val="both"/>
      </w:pPr>
      <w:r>
        <w:rPr>
          <w:rFonts w:hint="eastAsia"/>
        </w:rPr>
        <w:t>6、本合同执行期间，如遇不可抗力，致使合同无法履行时，双方应按有关法律规定及时协商处理。</w:t>
      </w:r>
    </w:p>
    <w:p>
      <w:pPr>
        <w:spacing w:before="230" w:beforeLines="50"/>
        <w:jc w:val="both"/>
        <w:rPr>
          <w:rFonts w:cs="Calibri Light"/>
          <w:b/>
        </w:rPr>
      </w:pPr>
      <w:r>
        <w:rPr>
          <w:rFonts w:hint="eastAsia" w:cs="Calibri Light"/>
          <w:b/>
        </w:rPr>
        <w:t>六</w:t>
      </w:r>
      <w:r>
        <w:rPr>
          <w:rFonts w:cs="Calibri Light"/>
          <w:b/>
        </w:rPr>
        <w:t>、知识产权及承诺</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（一）乙方保证所提供的服务或其任何一部分均不会侵犯任何第三方的专利权、商标权、著作权或其他合法权益，否则视为乙方违约，由此产生的一切损失由乙方承担。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（二）经甲乙双方协商一致，本项目产生的知识产权归甲方拥有。</w:t>
      </w:r>
    </w:p>
    <w:p>
      <w:pPr>
        <w:spacing w:before="230" w:beforeLines="50"/>
        <w:jc w:val="both"/>
        <w:rPr>
          <w:rFonts w:cs="Calibri Light"/>
          <w:b/>
        </w:rPr>
      </w:pPr>
      <w:r>
        <w:rPr>
          <w:rFonts w:hint="eastAsia" w:cs="Calibri Light"/>
          <w:b/>
        </w:rPr>
        <w:t>七</w:t>
      </w:r>
      <w:r>
        <w:rPr>
          <w:rFonts w:cs="Calibri Light"/>
          <w:b/>
        </w:rPr>
        <w:t>、验收</w:t>
      </w:r>
    </w:p>
    <w:p>
      <w:pPr>
        <w:wordWrap w:val="0"/>
        <w:ind w:firstLine="480" w:firstLineChars="200"/>
        <w:jc w:val="both"/>
      </w:pPr>
      <w:r>
        <w:t>（一）服务期满后，甲方根据招标文件和投标文件及相关文件，进行验收，确认服务标准和服务方式是否达到采购要求。</w:t>
      </w:r>
    </w:p>
    <w:p>
      <w:pPr>
        <w:wordWrap w:val="0"/>
        <w:ind w:firstLine="480" w:firstLineChars="200"/>
        <w:jc w:val="both"/>
      </w:pPr>
      <w:r>
        <w:t>（二）甲方组织乙方（必要时请有关专家）进行验收，验收合格后，填写政府采购项目验收单（一式伍份）作为对项目的最终认可。</w:t>
      </w:r>
    </w:p>
    <w:p>
      <w:pPr>
        <w:wordWrap w:val="0"/>
        <w:ind w:firstLine="480" w:firstLineChars="200"/>
        <w:jc w:val="both"/>
      </w:pPr>
      <w:r>
        <w:t>（三）乙方向甲方提供服务过程中的所有资料，以便甲方日后管理。</w:t>
      </w:r>
    </w:p>
    <w:p>
      <w:pPr>
        <w:wordWrap w:val="0"/>
        <w:ind w:firstLine="480" w:firstLineChars="200"/>
        <w:jc w:val="both"/>
      </w:pPr>
      <w:r>
        <w:t>（四）验收依据：</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1．招标文件、投标文件、澄清表（函）；</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2．本合同及附件文本；</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3．国家相应的标准、规范。</w:t>
      </w:r>
    </w:p>
    <w:p>
      <w:pPr>
        <w:spacing w:before="230" w:beforeLines="50"/>
        <w:jc w:val="both"/>
        <w:rPr>
          <w:rFonts w:cs="Calibri Light"/>
          <w:b/>
        </w:rPr>
      </w:pPr>
      <w:r>
        <w:rPr>
          <w:rFonts w:hint="eastAsia" w:cs="Calibri Light"/>
          <w:b/>
        </w:rPr>
        <w:t>八</w:t>
      </w:r>
      <w:r>
        <w:rPr>
          <w:rFonts w:cs="Calibri Light"/>
          <w:b/>
        </w:rPr>
        <w:t>、违约责任</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（一）服务期间，乙方不得无故终止本合同，否则应当向甲方支付合同价款的30%作为违约金，同时应赔偿甲方因此遭受的所有损失，包括但不限于临时雇佣或安排第三方进驻、物品采购等造成的全部损失。</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或其员工、代表、代理等所有相关人员，在履行本合同项下义务时，因行为、过失或疏忽造成的任何损失和损害，乙方应承担与其过错相应的责任，并应向甲方支付合同价款的5%作为违约金。违约金不足以弥补损失的，应据实赔偿。</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给甲方造成损失的，甲方有权要求其承担违约赔偿责任。同时，政府采购监管部门有权依据《政府采购法》及相关法律法规对乙方的违法行为进行相应的处罚。</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（四）以下情况甲方不承担责任：</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1．乙方因工作失误造成的事故责任和经济损失；</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2．乙方未依法规范用工行为，未按国家相关规定办理人员的社保和相关福利等，未杜绝非法用工造成的用工纠纷和不良后果；</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3．乙方将本项目转包他人的。</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（五）乙方未能达到服务标准，甲方有权要求乙方限期整改，逾期不整改的，甲方有权终止合同，造成甲方经济损失的，乙方应给予甲方经济赔偿。</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（六）合同生效后，甲方、乙方双方应按合同规定认真履约。合同履约责任只涉及甲方、乙方双方，不考虑第三方因素。</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（七）如乙方提供的服务构成第三方知识产权侵权，由乙方承担全部责任。</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（八）除不可抗力原因外，如遇下列情况之一者，中标人所缴纳的履约保证金甲方有权不予退还，作为对甲方的赔偿：</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（1）合同签订后不能按合同时限要求提供服务；</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（2）所提供服务与合同不符；</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（3）不能按合同履约；</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（4）项目验收不合格</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（九</w:t>
      </w:r>
      <w:r>
        <w:rPr>
          <w:rFonts w:asciiTheme="minorHAnsi" w:hAnsiTheme="minorHAnsi" w:eastAsiaTheme="minorEastAsia"/>
          <w:sz w:val="24"/>
          <w:szCs w:val="24"/>
        </w:rPr>
        <w:t>）</w:t>
      </w:r>
      <w:r>
        <w:rPr>
          <w:rFonts w:hint="eastAsia" w:asciiTheme="minorHAnsi" w:hAnsiTheme="minorHAnsi" w:eastAsiaTheme="minorEastAsia"/>
          <w:sz w:val="24"/>
          <w:szCs w:val="24"/>
        </w:rPr>
        <w:t>其他未尽事宜，按《民法典》中的相关条款执行。</w:t>
      </w:r>
    </w:p>
    <w:p>
      <w:pPr>
        <w:spacing w:before="230" w:beforeLines="50"/>
        <w:jc w:val="both"/>
        <w:rPr>
          <w:rFonts w:cs="Calibri Light"/>
          <w:b/>
        </w:rPr>
      </w:pPr>
      <w:r>
        <w:rPr>
          <w:rFonts w:hint="eastAsia" w:cs="Calibri Light"/>
          <w:b/>
        </w:rPr>
        <w:t>九</w:t>
      </w:r>
      <w:r>
        <w:rPr>
          <w:rFonts w:cs="Calibri Light"/>
          <w:b/>
        </w:rPr>
        <w:t>、合同的变更和修改、中止和终止</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（二）甲方因乙方不履约或乙方其他原因而解除合同的，乙方须返还甲方全部费用、赔偿甲方由此产生的损失并承担其他相关责任，相应责任承担方式按照本合同第8条约定执行。</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（三）乙方因甲方不履约或甲方其他原因而解除合同的，乙方不予返还甲方已付乙方已提供相应服务的费用款项，甲方赔偿乙方由此产生的损失并承担其他相关责任。</w:t>
      </w:r>
    </w:p>
    <w:p>
      <w:pPr>
        <w:spacing w:before="230" w:beforeLines="50"/>
        <w:jc w:val="both"/>
        <w:rPr>
          <w:rFonts w:cs="Calibri Light"/>
          <w:b/>
        </w:rPr>
      </w:pPr>
      <w:r>
        <w:rPr>
          <w:rFonts w:hint="eastAsia" w:cs="Calibri Light"/>
          <w:b/>
        </w:rPr>
        <w:t>十</w:t>
      </w:r>
      <w:r>
        <w:rPr>
          <w:rFonts w:cs="Calibri Light"/>
          <w:b/>
        </w:rPr>
        <w:t>、保密条款</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（一）乙方应遵守国家有关保密的法律法规和行业规定，并对甲方提供的资料负有保密义务。</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（二）本条款为独立条款，本合同的无效、变更、解除和终止均不影响本条款的效力。</w:t>
      </w:r>
    </w:p>
    <w:p>
      <w:pPr>
        <w:spacing w:before="230" w:beforeLines="50"/>
        <w:jc w:val="both"/>
        <w:rPr>
          <w:rFonts w:cs="Calibri Light"/>
          <w:b/>
        </w:rPr>
      </w:pPr>
      <w:r>
        <w:rPr>
          <w:rFonts w:cs="Calibri Light"/>
          <w:b/>
        </w:rPr>
        <w:t>十</w:t>
      </w:r>
      <w:r>
        <w:rPr>
          <w:rFonts w:hint="eastAsia" w:cs="Calibri Light"/>
          <w:b/>
        </w:rPr>
        <w:t>一</w:t>
      </w:r>
      <w:r>
        <w:rPr>
          <w:rFonts w:cs="Calibri Light"/>
          <w:b/>
        </w:rPr>
        <w:t>、争议解决</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pPr>
        <w:wordWrap w:val="0"/>
        <w:ind w:firstLine="480" w:firstLineChars="200"/>
        <w:jc w:val="both"/>
      </w:pPr>
      <w:r>
        <w:t>（二）凡与本合同有关的一切争议，双方应通过友好协商解决。如协商后仍不能达成协议时，按下列第___种方式解决。</w:t>
      </w:r>
    </w:p>
    <w:p>
      <w:pPr>
        <w:wordWrap w:val="0"/>
        <w:ind w:firstLine="480" w:firstLineChars="200"/>
        <w:jc w:val="both"/>
      </w:pPr>
      <w:r>
        <w:t>1．提交西安仲裁委员会。</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pPr>
        <w:spacing w:before="230" w:beforeLines="50"/>
        <w:jc w:val="both"/>
        <w:rPr>
          <w:rFonts w:cs="Calibri Light"/>
          <w:b/>
        </w:rPr>
      </w:pPr>
      <w:r>
        <w:rPr>
          <w:rFonts w:cs="Calibri Light"/>
          <w:b/>
        </w:rPr>
        <w:t>十</w:t>
      </w:r>
      <w:r>
        <w:rPr>
          <w:rFonts w:hint="eastAsia" w:cs="Calibri Light"/>
          <w:b/>
        </w:rPr>
        <w:t>二</w:t>
      </w:r>
      <w:r>
        <w:rPr>
          <w:rFonts w:cs="Calibri Light"/>
          <w:b/>
        </w:rPr>
        <w:t>、不可抗力</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（三）当不可抗力发生后，如果服务并未因此中断或受到影响的，则就本合同执行来说，视为不可抗力未发生。</w:t>
      </w:r>
    </w:p>
    <w:p>
      <w:pPr>
        <w:spacing w:before="230" w:beforeLines="50"/>
        <w:jc w:val="both"/>
        <w:rPr>
          <w:rFonts w:cs="Calibri Light"/>
          <w:b/>
        </w:rPr>
      </w:pPr>
      <w:r>
        <w:rPr>
          <w:rFonts w:cs="Calibri Light"/>
          <w:b/>
        </w:rPr>
        <w:t>十</w:t>
      </w:r>
      <w:r>
        <w:rPr>
          <w:rFonts w:hint="eastAsia" w:cs="Calibri Light"/>
          <w:b/>
        </w:rPr>
        <w:t>三</w:t>
      </w:r>
      <w:r>
        <w:rPr>
          <w:rFonts w:cs="Calibri Light"/>
          <w:b/>
        </w:rPr>
        <w:t>、合同生效及其他</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份，甲方</w:t>
      </w:r>
      <w:r>
        <w:rPr>
          <w:rFonts w:hint="eastAsia" w:asciiTheme="minorHAnsi" w:hAnsiTheme="minorHAnsi" w:eastAsiaTheme="minorEastAsia"/>
          <w:sz w:val="24"/>
          <w:szCs w:val="24"/>
          <w:u w:val="single"/>
        </w:rPr>
        <w:t xml:space="preserve"> </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份</w:t>
      </w:r>
      <w:r>
        <w:rPr>
          <w:rFonts w:asciiTheme="minorHAnsi" w:hAnsiTheme="minorHAnsi" w:eastAsiaTheme="minorEastAsia"/>
          <w:sz w:val="24"/>
          <w:szCs w:val="24"/>
        </w:rPr>
        <w:t>，乙方</w:t>
      </w:r>
      <w:r>
        <w:rPr>
          <w:rFonts w:hint="eastAsia" w:asciiTheme="minorHAnsi" w:hAnsiTheme="minorHAnsi" w:eastAsiaTheme="minorEastAsia"/>
          <w:sz w:val="24"/>
          <w:szCs w:val="24"/>
          <w:u w:val="single"/>
        </w:rPr>
        <w:t xml:space="preserve"> </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（三）未尽事宜由双方在签订合同时具体明确或签订补充合同。</w:t>
      </w:r>
    </w:p>
    <w:p/>
    <w:p>
      <w:p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20" w:name="_Toc209943449"/>
      <w:r>
        <w:rPr>
          <w:rFonts w:hint="eastAsia"/>
        </w:rPr>
        <w:t>第五章　投标文件构成及格式</w:t>
      </w:r>
      <w:bookmarkEnd w:id="20"/>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p>
      <w:pPr>
        <w:jc w:val="center"/>
        <w:rPr>
          <w:rFonts w:cstheme="minorHAnsi"/>
          <w:b/>
          <w:color w:val="C00000"/>
          <w:sz w:val="44"/>
          <w:szCs w:val="44"/>
        </w:rPr>
      </w:pPr>
      <w:r>
        <w:rPr>
          <w:rFonts w:cstheme="minorHAnsi"/>
          <w:b/>
          <w:color w:val="C00000"/>
          <w:sz w:val="44"/>
          <w:szCs w:val="44"/>
        </w:rPr>
        <w:t>2025年度西安市人民政府办公厅站群平台运维项目</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CZX2025-0151）</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p>
    <w:p>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1．我方已详细阅读了招标文件，完全理解并同意招标文件的所有事项及内容。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4．我方理解最低价不是中标的唯一条件，并尊重评标委员会的评审结果。</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．若我方中标，我方承诺：</w:t>
      </w:r>
    </w:p>
    <w:p>
      <w:pPr>
        <w:ind w:firstLine="567"/>
        <w:jc w:val="both"/>
        <w:rPr>
          <w:rFonts w:cstheme="minorHAnsi"/>
          <w:color w:val="000000"/>
        </w:rPr>
      </w:pPr>
      <w:r>
        <w:rPr>
          <w:rFonts w:hint="eastAsia" w:cstheme="minorHAnsi"/>
          <w:color w:val="000000"/>
        </w:rPr>
        <w:t>（1）将投标文件有效期延长至合同执行完毕；</w:t>
      </w:r>
    </w:p>
    <w:p>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pPr>
        <w:ind w:firstLine="567"/>
        <w:jc w:val="both"/>
        <w:rPr>
          <w:rFonts w:cstheme="minorHAnsi"/>
          <w:color w:val="000000"/>
        </w:rPr>
      </w:pPr>
      <w:r>
        <w:rPr>
          <w:rFonts w:hint="eastAsia" w:cstheme="minorHAnsi"/>
          <w:color w:val="000000"/>
        </w:rPr>
        <w:t>（3）遵照招标文件中的要求，完成本项目的合同责任和义务。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pPr>
      <w:r>
        <w:t>日</w:t>
      </w:r>
      <w:r>
        <w:rPr>
          <w:rFonts w:hint="eastAsia"/>
        </w:rPr>
        <w:t>　</w:t>
      </w:r>
      <w:r>
        <w:t>期：　　年　月　日</w:t>
      </w:r>
    </w:p>
    <w:p>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pPr>
        <w:jc w:val="center"/>
        <w:rPr>
          <w:rFonts w:ascii="Calibri" w:hAnsi="Calibri" w:eastAsia="黑体"/>
          <w:kern w:val="32"/>
          <w:sz w:val="32"/>
        </w:rPr>
      </w:pPr>
      <w:r>
        <w:rPr>
          <w:rFonts w:ascii="Calibri" w:hAnsi="Calibri" w:eastAsia="黑体"/>
          <w:kern w:val="32"/>
          <w:sz w:val="32"/>
        </w:rPr>
        <w:t>开标一览表</w:t>
      </w: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b/>
              </w:rPr>
            </w:pPr>
            <w:r>
              <w:rPr>
                <w:rFonts w:hint="eastAsia"/>
                <w:b/>
              </w:rPr>
              <w:t>投标报价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pPr>
              <w:jc w:val="center"/>
              <w:rPr>
                <w:b/>
              </w:rPr>
            </w:pPr>
            <w:r>
              <w:rPr>
                <w:rFonts w:hint="eastAsia"/>
                <w:b/>
              </w:rPr>
              <w:t>服务</w:t>
            </w:r>
            <w:r>
              <w:rPr>
                <w:b/>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p>
            <w:pPr>
              <w:spacing w:line="440" w:lineRule="exact"/>
              <w:jc w:val="center"/>
              <w:rPr>
                <w:rFonts w:cstheme="minorHAnsi"/>
                <w:b/>
                <w:color w:val="000000"/>
              </w:rPr>
            </w:pPr>
            <w:r>
              <w:rPr>
                <w:rFonts w:hint="eastAsia" w:cstheme="minorHAnsi"/>
                <w:color w:val="C00000"/>
              </w:rPr>
              <w:t>采购包</w:t>
            </w:r>
            <w:r>
              <w:rPr>
                <w:rFonts w:cstheme="minorHAnsi"/>
                <w:color w:val="C00000"/>
              </w:rPr>
              <w:t>［___］</w:t>
            </w: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b/>
                <w:color w:val="000000"/>
              </w:rPr>
            </w:pPr>
            <w:r>
              <w:rPr>
                <w:rFonts w:hint="eastAsia" w:cstheme="minorHAnsi"/>
                <w:b/>
                <w:color w:val="000000"/>
              </w:rPr>
              <w:t>投标报价</w:t>
            </w:r>
            <w:r>
              <w:rPr>
                <w:rFonts w:cstheme="minorHAnsi"/>
                <w:b/>
                <w:color w:val="000000"/>
              </w:rPr>
              <w:t>（大写）</w:t>
            </w:r>
          </w:p>
        </w:tc>
        <w:tc>
          <w:tcPr>
            <w:tcW w:w="5848" w:type="dxa"/>
            <w:gridSpan w:val="2"/>
            <w:tcBorders>
              <w:top w:val="single" w:color="auto" w:sz="2" w:space="0"/>
              <w:left w:val="single" w:color="auto" w:sz="2" w:space="0"/>
              <w:bottom w:val="single" w:color="auto" w:sz="2" w:space="0"/>
              <w:right w:val="single" w:color="auto" w:sz="2" w:space="0"/>
            </w:tcBorders>
          </w:tcPr>
          <w:p>
            <w:pPr>
              <w:spacing w:line="440" w:lineRule="exact"/>
              <w:rPr>
                <w:rFonts w:cstheme="minorHAnsi"/>
                <w:color w:val="FF0000"/>
              </w:rPr>
            </w:p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jc w:val="both"/>
        <w:rPr>
          <w:kern w:val="24"/>
        </w:rPr>
      </w:pPr>
    </w:p>
    <w:p>
      <w:pPr>
        <w:jc w:val="both"/>
        <w:rPr>
          <w:kern w:val="24"/>
        </w:rPr>
      </w:pPr>
      <w:r>
        <w:rPr>
          <w:kern w:val="24"/>
        </w:rPr>
        <w:t>〖注〗以下情况按无效投标处理：</w:t>
      </w:r>
    </w:p>
    <w:p>
      <w:pPr>
        <w:ind w:firstLine="480" w:firstLineChars="200"/>
        <w:jc w:val="both"/>
        <w:rPr>
          <w:kern w:val="24"/>
        </w:rPr>
      </w:pPr>
      <w:r>
        <w:rPr>
          <w:kern w:val="24"/>
        </w:rPr>
        <w:t>1．A栏未按阿拉伯小写金额样式填写，B栏未填写</w:t>
      </w:r>
      <w:r>
        <w:rPr>
          <w:rFonts w:hint="eastAsia"/>
          <w:kern w:val="24"/>
        </w:rPr>
        <w:t>服务</w:t>
      </w:r>
      <w:r>
        <w:rPr>
          <w:kern w:val="24"/>
        </w:rPr>
        <w:t>期。</w:t>
      </w:r>
    </w:p>
    <w:p>
      <w:pPr>
        <w:ind w:firstLine="480" w:firstLineChars="200"/>
        <w:jc w:val="both"/>
        <w:rPr>
          <w:kern w:val="24"/>
        </w:rPr>
      </w:pPr>
      <w:r>
        <w:rPr>
          <w:kern w:val="24"/>
        </w:rPr>
        <w:t>2．本表A栏值与</w:t>
      </w:r>
      <w:r>
        <w:rPr>
          <w:rFonts w:hint="eastAsia"/>
          <w:kern w:val="24"/>
        </w:rPr>
        <w:t>费用明细</w:t>
      </w:r>
      <w:r>
        <w:rPr>
          <w:kern w:val="24"/>
        </w:rPr>
        <w:t>表中的“合计”值不一致的。</w:t>
      </w:r>
    </w:p>
    <w:p>
      <w:pPr>
        <w:ind w:firstLine="480" w:firstLineChars="200"/>
        <w:jc w:val="both"/>
        <w:rPr>
          <w:kern w:val="24"/>
        </w:rPr>
      </w:pPr>
      <w:r>
        <w:rPr>
          <w:kern w:val="24"/>
        </w:rPr>
        <w:t>3．合计超过本</w:t>
      </w:r>
      <w:r>
        <w:rPr>
          <w:rFonts w:hint="eastAsia"/>
          <w:kern w:val="24"/>
        </w:rPr>
        <w:t>项目</w:t>
      </w:r>
      <w:r>
        <w:rPr>
          <w:kern w:val="24"/>
        </w:rPr>
        <w:t>预算的。</w:t>
      </w:r>
    </w:p>
    <w:p>
      <w:pPr>
        <w:pStyle w:val="40"/>
        <w:jc w:val="both"/>
        <w:rPr>
          <w:rFonts w:hAnsi="华文仿宋"/>
        </w:rPr>
      </w:pPr>
    </w:p>
    <w:p>
      <w:pPr>
        <w:pStyle w:val="40"/>
        <w:ind w:firstLine="560" w:firstLineChars="200"/>
        <w:jc w:val="both"/>
        <w:rPr>
          <w:rFonts w:hAnsi="华文仿宋"/>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费用明细</w:t>
      </w:r>
      <w:r>
        <w:rPr>
          <w:rFonts w:ascii="黑体" w:hAnsi="黑体" w:eastAsia="黑体" w:cs="Calibri Light"/>
          <w:color w:val="1F4E79"/>
          <w:sz w:val="32"/>
          <w:szCs w:val="36"/>
        </w:rPr>
        <w:t>表</w:t>
      </w:r>
    </w:p>
    <w:p>
      <w:pPr>
        <w:jc w:val="both"/>
        <w:rPr>
          <w:rFonts w:cs="Calibri Light"/>
          <w:b/>
          <w:color w:val="000000"/>
        </w:rPr>
      </w:pPr>
      <w:r>
        <w:rPr>
          <w:rFonts w:hint="eastAsia" w:cstheme="minorHAnsi"/>
          <w:color w:val="C00000"/>
        </w:rPr>
        <w:t>采购包</w:t>
      </w:r>
      <w:r>
        <w:rPr>
          <w:rFonts w:cstheme="minorHAnsi"/>
          <w:color w:val="C00000"/>
        </w:rPr>
        <w:t>［___］</w:t>
      </w: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pPr>
              <w:spacing w:line="320" w:lineRule="exact"/>
              <w:jc w:val="center"/>
              <w:rPr>
                <w:rFonts w:cs="Calibri Light"/>
                <w:b/>
                <w:color w:val="000000"/>
                <w:sz w:val="21"/>
                <w:szCs w:val="21"/>
              </w:rPr>
            </w:pPr>
            <w:r>
              <w:rPr>
                <w:rFonts w:cs="Calibri Light"/>
                <w:b/>
                <w:color w:val="000000"/>
                <w:sz w:val="21"/>
                <w:szCs w:val="21"/>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pPr>
              <w:spacing w:line="440" w:lineRule="exact"/>
              <w:jc w:val="center"/>
              <w:rPr>
                <w:rFonts w:cs="Calibri Light"/>
                <w:b/>
                <w:bCs/>
                <w:color w:val="000000"/>
                <w:sz w:val="21"/>
                <w:szCs w:val="21"/>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wordWrap w:val="0"/>
        <w:spacing w:line="400" w:lineRule="exact"/>
        <w:jc w:val="both"/>
      </w:pPr>
      <w:r>
        <w:t>说明：1．此表各项费用由供应商自行列支，仅供参考；</w:t>
      </w:r>
    </w:p>
    <w:p>
      <w:pPr>
        <w:tabs>
          <w:tab w:val="right" w:pos="9070"/>
        </w:tabs>
        <w:spacing w:line="440" w:lineRule="exact"/>
        <w:ind w:firstLine="720" w:firstLineChars="300"/>
      </w:pPr>
      <w:r>
        <w:t>2．表格空间不足时，可以自行扩展。</w:t>
      </w:r>
    </w:p>
    <w:p>
      <w:pPr>
        <w:jc w:val="both"/>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w:t>
      </w:r>
      <w:r>
        <w:rPr>
          <w:rFonts w:hint="eastAsia" w:cstheme="minorHAnsi"/>
          <w:color w:val="000000"/>
          <w:kern w:val="24"/>
        </w:rPr>
        <w:t>投标</w:t>
      </w:r>
      <w:r>
        <w:rPr>
          <w:rFonts w:cstheme="minorHAnsi"/>
          <w:color w:val="000000"/>
          <w:kern w:val="24"/>
        </w:rPr>
        <w:t>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w:t>
      </w:r>
      <w:r>
        <w:rPr>
          <w:rFonts w:hint="eastAsia" w:cstheme="minorHAnsi"/>
          <w:color w:val="000000"/>
          <w:kern w:val="24"/>
        </w:rPr>
        <w:t>投标</w:t>
      </w:r>
      <w:r>
        <w:rPr>
          <w:rFonts w:cstheme="minorHAnsi"/>
          <w:color w:val="000000"/>
          <w:kern w:val="24"/>
        </w:rPr>
        <w:t>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）特定资格条件（如有）</w:t>
      </w:r>
    </w:p>
    <w:p>
      <w:pPr>
        <w:spacing w:line="440" w:lineRule="exact"/>
        <w:ind w:firstLine="480" w:firstLineChars="200"/>
        <w:jc w:val="both"/>
        <w:rPr>
          <w:rFonts w:cstheme="minorHAnsi"/>
          <w:color w:val="000000"/>
        </w:rPr>
      </w:pPr>
    </w:p>
    <w:p>
      <w:pPr>
        <w:jc w:val="both"/>
        <w:rPr>
          <w:rFonts w:ascii="Calibri" w:hAnsi="Calibri" w:eastAsia="黑体"/>
          <w:kern w:val="28"/>
          <w:sz w:val="28"/>
        </w:rPr>
      </w:pPr>
    </w:p>
    <w:p>
      <w:pPr>
        <w:jc w:val="both"/>
        <w:rPr>
          <w:rFonts w:ascii="Calibri" w:hAnsi="Calibri" w:eastAsia="黑体"/>
          <w:kern w:val="28"/>
          <w:sz w:val="28"/>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p>
      <w:pPr>
        <w:rPr>
          <w:rFonts w:cstheme="minorHAnsi"/>
        </w:rPr>
      </w:pPr>
    </w:p>
    <w:p>
      <w:pPr>
        <w:rPr>
          <w:rFonts w:cstheme="minorHAnsi"/>
        </w:rPr>
      </w:pPr>
    </w:p>
    <w:p>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pPr>
        <w:outlineLvl w:val="2"/>
        <w:rPr>
          <w:rFonts w:asciiTheme="minorEastAsia" w:hAnsiTheme="minorEastAsia"/>
        </w:rPr>
      </w:pPr>
      <w:r>
        <w:rPr>
          <w:rFonts w:asciiTheme="minorEastAsia" w:hAnsiTheme="minorEastAsia"/>
        </w:rPr>
        <w:t>（一）技术（服务）条款响应（暗标盲评部分）</w:t>
      </w:r>
    </w:p>
    <w:p>
      <w:pPr>
        <w:ind w:firstLine="480" w:firstLineChars="200"/>
        <w:rPr>
          <w:rFonts w:asciiTheme="minorEastAsia" w:hAnsiTheme="minorEastAsia"/>
        </w:rPr>
      </w:pPr>
      <w:r>
        <w:rPr>
          <w:rFonts w:asciiTheme="minorEastAsia" w:hAnsiTheme="minorEastAsia"/>
        </w:rPr>
        <w:t>特别提醒：</w:t>
      </w:r>
    </w:p>
    <w:p>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pPr>
        <w:rPr>
          <w:i/>
          <w:color w:val="C00000"/>
        </w:rPr>
      </w:pPr>
      <w:r>
        <w:rPr>
          <w:rFonts w:hint="eastAsia"/>
          <w:i/>
          <w:color w:val="C00000"/>
        </w:rPr>
        <w:t>供应商结合第三章《招标内容及要求》相关要求及第二章《评审要素及分值一览表》暗标部分中各评审要素逐项编写方案。</w:t>
      </w:r>
    </w:p>
    <w:p>
      <w:pPr>
        <w:rPr>
          <w:i/>
          <w:color w:val="C00000"/>
        </w:rPr>
      </w:pPr>
    </w:p>
    <w:p>
      <w:pPr>
        <w:rPr>
          <w:i/>
          <w:color w:val="C00000"/>
        </w:rPr>
      </w:pPr>
      <w:r>
        <w:rPr>
          <w:rFonts w:hint="eastAsia"/>
          <w:i/>
          <w:color w:val="C00000"/>
        </w:rPr>
        <w:t>示例：</w:t>
      </w:r>
    </w:p>
    <w:p>
      <w:pPr>
        <w:rPr>
          <w:rFonts w:asciiTheme="minorEastAsia" w:hAnsiTheme="minorEastAsia"/>
        </w:rPr>
      </w:pPr>
      <w:r>
        <w:rPr>
          <w:rFonts w:hint="eastAsia" w:asciiTheme="minorEastAsia" w:hAnsiTheme="minorEastAsia"/>
        </w:rPr>
        <w:t>1．总体方案</w:t>
      </w:r>
    </w:p>
    <w:p>
      <w:pPr>
        <w:rPr>
          <w:rFonts w:asciiTheme="minorEastAsia" w:hAnsiTheme="minorEastAsia"/>
        </w:rPr>
      </w:pPr>
    </w:p>
    <w:p>
      <w:pPr>
        <w:rPr>
          <w:rFonts w:asciiTheme="minorEastAsia" w:hAnsiTheme="minorEastAsia"/>
        </w:rPr>
      </w:pPr>
      <w:r>
        <w:rPr>
          <w:rFonts w:asciiTheme="minorEastAsia" w:hAnsiTheme="minorEastAsia"/>
        </w:rPr>
        <w:t>2</w:t>
      </w:r>
      <w:r>
        <w:rPr>
          <w:rFonts w:hint="eastAsia" w:asciiTheme="minorEastAsia" w:hAnsiTheme="minorEastAsia"/>
        </w:rPr>
        <w:t>．平台技术运维服务方案</w:t>
      </w:r>
    </w:p>
    <w:p>
      <w:pPr>
        <w:rPr>
          <w:rFonts w:asciiTheme="minorEastAsia" w:hAnsiTheme="minorEastAsia"/>
        </w:rPr>
      </w:pPr>
    </w:p>
    <w:p>
      <w:pPr>
        <w:rPr>
          <w:rFonts w:asciiTheme="minorEastAsia" w:hAnsiTheme="minorEastAsia"/>
        </w:rPr>
      </w:pPr>
    </w:p>
    <w:p>
      <w:pPr>
        <w:rPr>
          <w:rFonts w:asciiTheme="minorEastAsia" w:hAnsiTheme="minorEastAsia"/>
        </w:rPr>
      </w:pPr>
      <w:r>
        <w:rPr>
          <w:rFonts w:hint="eastAsia" w:asciiTheme="minorEastAsia" w:hAnsiTheme="minorEastAsia"/>
        </w:rPr>
        <w:t>3.</w:t>
      </w:r>
      <w:r>
        <w:rPr>
          <w:rFonts w:hint="eastAsia"/>
        </w:rPr>
        <w:t xml:space="preserve"> </w:t>
      </w:r>
      <w:r>
        <w:rPr>
          <w:rFonts w:hint="eastAsia" w:asciiTheme="minorEastAsia" w:hAnsiTheme="minorEastAsia"/>
        </w:rPr>
        <w:t>网站内容运维服务方案</w:t>
      </w:r>
    </w:p>
    <w:p>
      <w:pPr>
        <w:rPr>
          <w:rFonts w:asciiTheme="minorEastAsia" w:hAnsiTheme="minorEastAsia"/>
        </w:rPr>
      </w:pPr>
    </w:p>
    <w:p>
      <w:pPr>
        <w:rPr>
          <w:rFonts w:asciiTheme="minorEastAsia" w:hAnsiTheme="minorEastAsia"/>
        </w:rPr>
      </w:pP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ascii="Calibri" w:hAnsi="Calibri" w:eastAsia="宋体" w:cstheme="minorHAnsi"/>
          <w:color w:val="000000"/>
          <w:kern w:val="24"/>
        </w:rPr>
      </w:pPr>
      <w:r>
        <w:rPr>
          <w:rFonts w:hint="eastAsia" w:ascii="Calibri" w:hAnsi="Calibri" w:eastAsia="宋体" w:cstheme="minorHAnsi"/>
          <w:color w:val="000000"/>
          <w:kern w:val="24"/>
        </w:rPr>
        <w:t>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pPr>
              <w:jc w:val="center"/>
              <w:rPr>
                <w:sz w:val="21"/>
                <w:szCs w:val="21"/>
              </w:rPr>
            </w:pPr>
            <w:r>
              <w:rPr>
                <w:sz w:val="21"/>
                <w:szCs w:val="21"/>
              </w:rPr>
              <w:t>序号</w:t>
            </w:r>
          </w:p>
        </w:tc>
        <w:tc>
          <w:tcPr>
            <w:tcW w:w="3126" w:type="dxa"/>
            <w:shd w:val="clear" w:color="auto" w:fill="F1F1F1" w:themeFill="background1" w:themeFillShade="F2"/>
            <w:vAlign w:val="center"/>
          </w:tcPr>
          <w:p>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pPr>
              <w:jc w:val="center"/>
              <w:rPr>
                <w:sz w:val="21"/>
                <w:szCs w:val="21"/>
              </w:rPr>
            </w:pPr>
            <w:r>
              <w:rPr>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pPr>
              <w:jc w:val="center"/>
              <w:rPr>
                <w:sz w:val="21"/>
                <w:szCs w:val="21"/>
              </w:rPr>
            </w:pPr>
          </w:p>
        </w:tc>
        <w:tc>
          <w:tcPr>
            <w:tcW w:w="3126" w:type="dxa"/>
            <w:shd w:val="clear" w:color="auto" w:fill="F1F1F1" w:themeFill="background1" w:themeFillShade="F2"/>
            <w:vAlign w:val="center"/>
          </w:tcPr>
          <w:p>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r>
              <w:rPr>
                <w:sz w:val="21"/>
                <w:szCs w:val="21"/>
              </w:rPr>
              <w:t>备注</w:t>
            </w:r>
          </w:p>
        </w:tc>
        <w:tc>
          <w:tcPr>
            <w:tcW w:w="8381" w:type="dxa"/>
            <w:gridSpan w:val="3"/>
            <w:vAlign w:val="center"/>
          </w:tcPr>
          <w:p>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pPr>
              <w:jc w:val="both"/>
              <w:rPr>
                <w:sz w:val="21"/>
                <w:szCs w:val="21"/>
              </w:rPr>
            </w:pPr>
            <w:r>
              <w:rPr>
                <w:rFonts w:hint="eastAsia" w:asciiTheme="minorEastAsia" w:hAnsiTheme="minorEastAsia"/>
                <w:sz w:val="21"/>
                <w:szCs w:val="21"/>
              </w:rPr>
              <w:t>④ 表格中“示例”部分仅供参考，供应商在响应时请自行清除。</w:t>
            </w:r>
          </w:p>
        </w:tc>
      </w:tr>
    </w:tbl>
    <w:p>
      <w:pPr>
        <w:rPr>
          <w:rFonts w:asciiTheme="minorEastAsia" w:hAnsiTheme="minorEastAsia" w:cstheme="minorHAnsi"/>
          <w:b/>
          <w:color w:val="000000"/>
          <w:kern w:val="24"/>
        </w:rPr>
      </w:pPr>
    </w:p>
    <w:p>
      <w:pPr>
        <w:jc w:val="center"/>
        <w:rPr>
          <w:rFonts w:cstheme="minorHAnsi"/>
          <w:b/>
        </w:rPr>
      </w:pPr>
      <w:r>
        <w:rPr>
          <w:rFonts w:cstheme="minorHAnsi"/>
          <w:b/>
        </w:rPr>
        <w:t>2</w:t>
      </w:r>
      <w:r>
        <w:rPr>
          <w:rFonts w:hint="eastAsia" w:cstheme="minorHAnsi"/>
          <w:b/>
        </w:rPr>
        <w:t>.商务评审部分响应方案</w:t>
      </w:r>
    </w:p>
    <w:p>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pPr>
        <w:tabs>
          <w:tab w:val="center" w:pos="4395"/>
        </w:tabs>
        <w:rPr>
          <w:i/>
          <w:color w:val="C00000"/>
        </w:rPr>
      </w:pPr>
    </w:p>
    <w:p>
      <w:pPr>
        <w:rPr>
          <w:i/>
          <w:color w:val="C00000"/>
        </w:rPr>
      </w:pPr>
      <w:r>
        <w:rPr>
          <w:rFonts w:hint="eastAsia"/>
          <w:i/>
          <w:color w:val="C00000"/>
        </w:rPr>
        <w:t>示例：</w:t>
      </w:r>
    </w:p>
    <w:p>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w:t>
      </w:r>
      <w:r>
        <w:rPr>
          <w:rFonts w:hint="eastAsia" w:asciiTheme="minorEastAsia" w:hAnsiTheme="minorEastAsia" w:cstheme="minorHAnsi"/>
          <w:b/>
          <w:bCs/>
          <w:color w:val="000000"/>
          <w:kern w:val="24"/>
        </w:rPr>
        <w:t>管理制度</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w:t>
      </w:r>
      <w:r>
        <w:rPr>
          <w:rFonts w:hint="eastAsia" w:asciiTheme="minorEastAsia" w:hAnsiTheme="minorEastAsia" w:cstheme="minorHAnsi"/>
          <w:b/>
          <w:bCs/>
          <w:color w:val="000000"/>
          <w:kern w:val="24"/>
        </w:rPr>
        <w:t>服务承诺</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3．</w:t>
      </w:r>
      <w:r>
        <w:rPr>
          <w:rFonts w:hint="eastAsia" w:asciiTheme="minorEastAsia" w:hAnsiTheme="minorEastAsia" w:cstheme="minorHAnsi"/>
          <w:b/>
          <w:bCs/>
          <w:color w:val="000000"/>
          <w:kern w:val="24"/>
        </w:rPr>
        <w:t>运维服务</w:t>
      </w:r>
      <w:r>
        <w:rPr>
          <w:rFonts w:asciiTheme="minorEastAsia" w:hAnsiTheme="minorEastAsia" w:cstheme="minorHAnsi"/>
          <w:b/>
          <w:bCs/>
          <w:color w:val="000000"/>
          <w:kern w:val="24"/>
        </w:rPr>
        <w:t>质量保证</w:t>
      </w:r>
      <w:r>
        <w:rPr>
          <w:rFonts w:hint="eastAsia" w:asciiTheme="minorEastAsia" w:hAnsiTheme="minorEastAsia" w:cstheme="minorHAnsi"/>
          <w:b/>
          <w:bCs/>
          <w:color w:val="000000"/>
          <w:kern w:val="24"/>
        </w:rPr>
        <w:t>方案</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4．</w:t>
      </w:r>
      <w:r>
        <w:rPr>
          <w:rFonts w:hint="eastAsia" w:asciiTheme="minorEastAsia" w:hAnsiTheme="minorEastAsia" w:cstheme="minorHAnsi"/>
          <w:b/>
          <w:bCs/>
          <w:color w:val="000000"/>
          <w:kern w:val="24"/>
        </w:rPr>
        <w:t>服务体系</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5．</w:t>
      </w:r>
      <w:r>
        <w:rPr>
          <w:rFonts w:hint="eastAsia" w:asciiTheme="minorEastAsia" w:hAnsiTheme="minorEastAsia" w:cstheme="minorHAnsi"/>
          <w:b/>
          <w:bCs/>
          <w:color w:val="000000"/>
          <w:kern w:val="24"/>
        </w:rPr>
        <w:t>软件著作权</w:t>
      </w:r>
      <w:r>
        <w:rPr>
          <w:rFonts w:asciiTheme="minorEastAsia" w:hAnsiTheme="minorEastAsia" w:cstheme="minorHAnsi"/>
          <w:b/>
          <w:bCs/>
          <w:color w:val="000000"/>
          <w:kern w:val="24"/>
        </w:rPr>
        <w:t>证书</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rPr>
          <w:rFonts w:asciiTheme="minorEastAsia" w:hAnsiTheme="minorEastAsia" w:cstheme="minorHAnsi"/>
          <w:b/>
        </w:rPr>
      </w:pPr>
      <w:r>
        <w:rPr>
          <w:rFonts w:asciiTheme="minorEastAsia" w:hAnsiTheme="minorEastAsia" w:cstheme="minorHAnsi"/>
          <w:b/>
          <w:color w:val="000000"/>
          <w:kern w:val="24"/>
        </w:rPr>
        <w:t>6</w:t>
      </w:r>
      <w:r>
        <w:rPr>
          <w:rFonts w:hint="eastAsia" w:asciiTheme="minorEastAsia" w:hAnsiTheme="minorEastAsia" w:cstheme="minorHAnsi"/>
          <w:b/>
          <w:color w:val="000000"/>
          <w:kern w:val="24"/>
        </w:rPr>
        <w:t>．</w:t>
      </w:r>
      <w:r>
        <w:rPr>
          <w:rFonts w:hint="eastAsia" w:asciiTheme="minorEastAsia" w:hAnsiTheme="minorEastAsia" w:cstheme="minorHAnsi"/>
          <w:b/>
          <w:bCs/>
          <w:color w:val="000000"/>
          <w:kern w:val="24"/>
        </w:rPr>
        <w:t>业绩要求</w:t>
      </w:r>
    </w:p>
    <w:p>
      <w:pPr>
        <w:rPr>
          <w:rFonts w:asciiTheme="minorEastAsia" w:hAnsiTheme="minorEastAsia" w:cstheme="minorHAnsi"/>
          <w:b/>
        </w:rPr>
      </w:pPr>
    </w:p>
    <w:p>
      <w:pPr>
        <w:rPr>
          <w:rFonts w:cstheme="minorHAnsi"/>
          <w:b/>
        </w:rPr>
      </w:pPr>
      <w:r>
        <w:rPr>
          <w:rFonts w:cstheme="minorHAnsi"/>
          <w:b/>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Calibri" w:hAnsi="华文仿宋"/>
          <w:b/>
        </w:rPr>
      </w:pPr>
    </w:p>
    <w:p>
      <w:pPr>
        <w:rPr>
          <w:rFonts w:cstheme="minorHAnsi"/>
        </w:rPr>
      </w:pPr>
    </w:p>
    <w:p>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1"/>
        <w:ind w:firstLine="480"/>
        <w:rPr>
          <w:i/>
          <w:color w:val="7030A0"/>
        </w:rPr>
      </w:pPr>
      <w:r>
        <w:rPr>
          <w:i/>
          <w:color w:val="7030A0"/>
        </w:rPr>
        <w:t>未签署下列承诺书的，将被视为无效投标，其责任由供应商自行承担。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rPr>
          <w:rFonts w:ascii="Calibri Light" w:hAnsi="Calibri Light" w:eastAsia="华文仿宋" w:cs="Calibri Light"/>
          <w:color w:val="000000"/>
          <w:sz w:val="28"/>
          <w:szCs w:val="28"/>
        </w:rPr>
        <w:sectPr>
          <w:footerReference r:id="rId31" w:type="default"/>
          <w:footerReference r:id="rId32" w:type="even"/>
          <w:pgSz w:w="11906" w:h="16838"/>
          <w:pgMar w:top="1418" w:right="1418" w:bottom="1418" w:left="1418" w:header="851" w:footer="992" w:gutter="0"/>
          <w:cols w:space="425" w:num="1"/>
          <w:docGrid w:type="linesAndChars" w:linePitch="460" w:charSpace="0"/>
        </w:sectPr>
      </w:pPr>
    </w:p>
    <w:p>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）享受</w:t>
      </w:r>
      <w:r>
        <w:rPr>
          <w:rFonts w:hint="eastAsia" w:ascii="Calibri" w:hAnsi="Calibri" w:eastAsia="黑体"/>
          <w:kern w:val="28"/>
          <w:sz w:val="28"/>
        </w:rPr>
        <w:t>政府采购优惠政策需要提供的资料</w:t>
      </w:r>
    </w:p>
    <w:p>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pPr>
        <w:ind w:firstLine="480" w:firstLineChars="200"/>
        <w:jc w:val="both"/>
      </w:pPr>
      <w:r>
        <w:rPr>
          <w:rFonts w:hint="eastAsia"/>
        </w:rPr>
        <w:t>中标供应商享受了政府采购优惠政策的，将随中标结果公开其声明函\证明函，接受社会监督。</w:t>
      </w:r>
    </w:p>
    <w:p>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0"/>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pPr>
        <w:tabs>
          <w:tab w:val="left" w:pos="5670"/>
        </w:tabs>
        <w:jc w:val="center"/>
        <w:rPr>
          <w:rFonts w:cs="Calibri Light"/>
          <w:b/>
          <w:color w:val="1F4E79"/>
          <w:sz w:val="28"/>
          <w:szCs w:val="36"/>
        </w:rPr>
      </w:pPr>
      <w:r>
        <w:rPr>
          <w:rFonts w:cs="Calibri Light"/>
          <w:b/>
          <w:color w:val="1F4E79"/>
          <w:sz w:val="28"/>
          <w:szCs w:val="36"/>
        </w:rPr>
        <w:t>『中小企业声明函』（服务类格式）</w:t>
      </w:r>
    </w:p>
    <w:p>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pPr>
        <w:tabs>
          <w:tab w:val="left" w:pos="5670"/>
        </w:tabs>
        <w:ind w:firstLine="480" w:firstLineChars="200"/>
        <w:jc w:val="both"/>
        <w:rPr>
          <w:rFonts w:cs="Calibri Light"/>
          <w:color w:val="000000"/>
        </w:rPr>
      </w:pPr>
      <w:r>
        <w:rPr>
          <w:rFonts w:cs="Calibri Light"/>
          <w:color w:val="000000"/>
        </w:rPr>
        <w:t>日　期：　　年　月　日</w:t>
      </w:r>
    </w:p>
    <w:p>
      <w:pPr>
        <w:tabs>
          <w:tab w:val="left" w:pos="5670"/>
        </w:tabs>
        <w:ind w:firstLine="480" w:firstLineChars="200"/>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sectPr>
      <w:footerReference r:id="rId33" w:type="default"/>
      <w:footerReference r:id="rId34"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ascii="宋体" w:hAnsi="宋体" w:eastAsia="宋体"/>
      </w:rPr>
      <w:t>2025年度西安市人民政府办公厅站群平台运维项目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right"/>
      <w:rPr>
        <w:rFonts w:ascii="宋体" w:hAnsi="宋体" w:eastAsia="宋体"/>
      </w:rPr>
    </w:pPr>
    <w:r>
      <w:rPr>
        <w:rFonts w:ascii="宋体" w:hAnsi="宋体" w:eastAsia="宋体"/>
      </w:rPr>
      <w:t>2025年度西安市人民政府办公厅站群平台运维项目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ascii="宋体" w:hAnsi="宋体" w:eastAsia="宋体"/>
      </w:rPr>
      <w:t>2025年度西安市人民政府办公厅站群平台运维项目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EEF"/>
    <w:rsid w:val="00064071"/>
    <w:rsid w:val="00064386"/>
    <w:rsid w:val="00067A39"/>
    <w:rsid w:val="00067C32"/>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7AA"/>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D4A"/>
    <w:rsid w:val="0013712F"/>
    <w:rsid w:val="00137CD5"/>
    <w:rsid w:val="00137E7B"/>
    <w:rsid w:val="00140177"/>
    <w:rsid w:val="00142244"/>
    <w:rsid w:val="001454AD"/>
    <w:rsid w:val="001455F6"/>
    <w:rsid w:val="001456C7"/>
    <w:rsid w:val="00145DA0"/>
    <w:rsid w:val="0014764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382"/>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127F"/>
    <w:rsid w:val="001A2103"/>
    <w:rsid w:val="001A5309"/>
    <w:rsid w:val="001A5764"/>
    <w:rsid w:val="001B0699"/>
    <w:rsid w:val="001B0C7B"/>
    <w:rsid w:val="001B15EA"/>
    <w:rsid w:val="001B2019"/>
    <w:rsid w:val="001B4790"/>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5B35"/>
    <w:rsid w:val="002174B0"/>
    <w:rsid w:val="002201A0"/>
    <w:rsid w:val="00220787"/>
    <w:rsid w:val="002209DE"/>
    <w:rsid w:val="00221727"/>
    <w:rsid w:val="00223AA8"/>
    <w:rsid w:val="00223E30"/>
    <w:rsid w:val="00223EFE"/>
    <w:rsid w:val="00224257"/>
    <w:rsid w:val="00224D12"/>
    <w:rsid w:val="002258BD"/>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0CB6"/>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511"/>
    <w:rsid w:val="002C45C3"/>
    <w:rsid w:val="002C4DAE"/>
    <w:rsid w:val="002C6405"/>
    <w:rsid w:val="002C6442"/>
    <w:rsid w:val="002C6F4A"/>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11862"/>
    <w:rsid w:val="00315042"/>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6EFD"/>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665"/>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14BB"/>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1CB2"/>
    <w:rsid w:val="00412CBC"/>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F40"/>
    <w:rsid w:val="00457142"/>
    <w:rsid w:val="004574A4"/>
    <w:rsid w:val="00460822"/>
    <w:rsid w:val="00463236"/>
    <w:rsid w:val="00463834"/>
    <w:rsid w:val="004657D3"/>
    <w:rsid w:val="0046690A"/>
    <w:rsid w:val="0046782F"/>
    <w:rsid w:val="00471E1E"/>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15D1"/>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0D52"/>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3EDB"/>
    <w:rsid w:val="005642D3"/>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A55"/>
    <w:rsid w:val="00611427"/>
    <w:rsid w:val="00611AC2"/>
    <w:rsid w:val="00611FFE"/>
    <w:rsid w:val="00612626"/>
    <w:rsid w:val="00613BB6"/>
    <w:rsid w:val="0061572C"/>
    <w:rsid w:val="00615E79"/>
    <w:rsid w:val="00616D0D"/>
    <w:rsid w:val="0061777B"/>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1307"/>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3F7A"/>
    <w:rsid w:val="00704218"/>
    <w:rsid w:val="0070472C"/>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357"/>
    <w:rsid w:val="00761C27"/>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13A"/>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676"/>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898"/>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311C"/>
    <w:rsid w:val="00856715"/>
    <w:rsid w:val="0085674D"/>
    <w:rsid w:val="00856DC0"/>
    <w:rsid w:val="008607CA"/>
    <w:rsid w:val="00861CE7"/>
    <w:rsid w:val="00862E46"/>
    <w:rsid w:val="00863FDF"/>
    <w:rsid w:val="00864D01"/>
    <w:rsid w:val="00865BFC"/>
    <w:rsid w:val="00870585"/>
    <w:rsid w:val="0087254B"/>
    <w:rsid w:val="00872837"/>
    <w:rsid w:val="0087394A"/>
    <w:rsid w:val="00873EAC"/>
    <w:rsid w:val="00874D32"/>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213C"/>
    <w:rsid w:val="00903937"/>
    <w:rsid w:val="0090408F"/>
    <w:rsid w:val="00905332"/>
    <w:rsid w:val="009066DC"/>
    <w:rsid w:val="00906F8A"/>
    <w:rsid w:val="009104E4"/>
    <w:rsid w:val="00910A37"/>
    <w:rsid w:val="00910FFE"/>
    <w:rsid w:val="00911C4C"/>
    <w:rsid w:val="00913EA0"/>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1A1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19E5"/>
    <w:rsid w:val="00B12AB6"/>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FF2"/>
    <w:rsid w:val="00B4240C"/>
    <w:rsid w:val="00B4289E"/>
    <w:rsid w:val="00B4334F"/>
    <w:rsid w:val="00B43464"/>
    <w:rsid w:val="00B45223"/>
    <w:rsid w:val="00B45C7D"/>
    <w:rsid w:val="00B461F3"/>
    <w:rsid w:val="00B46382"/>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3AF8"/>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4912"/>
    <w:rsid w:val="00BD5316"/>
    <w:rsid w:val="00BD6613"/>
    <w:rsid w:val="00BD6787"/>
    <w:rsid w:val="00BD7A29"/>
    <w:rsid w:val="00BE1F49"/>
    <w:rsid w:val="00BE41BE"/>
    <w:rsid w:val="00BE4EBB"/>
    <w:rsid w:val="00BE6F8C"/>
    <w:rsid w:val="00BE735F"/>
    <w:rsid w:val="00BF078B"/>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3D5F"/>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6B9D"/>
    <w:rsid w:val="00C56D79"/>
    <w:rsid w:val="00C60706"/>
    <w:rsid w:val="00C61A1B"/>
    <w:rsid w:val="00C6464D"/>
    <w:rsid w:val="00C6491B"/>
    <w:rsid w:val="00C64FE6"/>
    <w:rsid w:val="00C66713"/>
    <w:rsid w:val="00C67BE9"/>
    <w:rsid w:val="00C70E74"/>
    <w:rsid w:val="00C71217"/>
    <w:rsid w:val="00C72672"/>
    <w:rsid w:val="00C72DBC"/>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058E"/>
    <w:rsid w:val="00D41D8D"/>
    <w:rsid w:val="00D42370"/>
    <w:rsid w:val="00D42755"/>
    <w:rsid w:val="00D46FE0"/>
    <w:rsid w:val="00D51C08"/>
    <w:rsid w:val="00D51F3E"/>
    <w:rsid w:val="00D52B8F"/>
    <w:rsid w:val="00D54E2F"/>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173B"/>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29"/>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5256"/>
    <w:rsid w:val="00F8751C"/>
    <w:rsid w:val="00F87572"/>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568F"/>
    <w:rsid w:val="00FF756F"/>
    <w:rsid w:val="104D0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paragraph" w:customStyle="1" w:styleId="99">
    <w:name w:val="@新正文"/>
    <w:basedOn w:val="40"/>
    <w:qFormat/>
    <w:uiPriority w:val="0"/>
    <w:pPr>
      <w:wordWrap/>
      <w:spacing w:line="240" w:lineRule="auto"/>
      <w:ind w:firstLine="200" w:firstLineChars="200"/>
    </w:pPr>
    <w:rPr>
      <w:rFonts w:ascii="Calibri" w:hAnsi="Calibri" w:eastAsia="宋体" w:cstheme="minorHAnsi"/>
      <w:color w:val="000000"/>
      <w:kern w:val="24"/>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theme" Target="theme/theme1.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267BE"/>
    <w:rsid w:val="000C53F4"/>
    <w:rsid w:val="00117AA1"/>
    <w:rsid w:val="0016149B"/>
    <w:rsid w:val="00173537"/>
    <w:rsid w:val="00193516"/>
    <w:rsid w:val="001C56D8"/>
    <w:rsid w:val="001E1C14"/>
    <w:rsid w:val="00203DA1"/>
    <w:rsid w:val="00206ACB"/>
    <w:rsid w:val="00211A06"/>
    <w:rsid w:val="00232564"/>
    <w:rsid w:val="003326D5"/>
    <w:rsid w:val="003C3F85"/>
    <w:rsid w:val="003C7EB3"/>
    <w:rsid w:val="004419FE"/>
    <w:rsid w:val="00454061"/>
    <w:rsid w:val="00506232"/>
    <w:rsid w:val="00580B99"/>
    <w:rsid w:val="005E51DE"/>
    <w:rsid w:val="0061457B"/>
    <w:rsid w:val="00616529"/>
    <w:rsid w:val="00626103"/>
    <w:rsid w:val="00636120"/>
    <w:rsid w:val="00653AFD"/>
    <w:rsid w:val="006767D6"/>
    <w:rsid w:val="006D613E"/>
    <w:rsid w:val="006E4CF7"/>
    <w:rsid w:val="006F4890"/>
    <w:rsid w:val="0072520E"/>
    <w:rsid w:val="007269F0"/>
    <w:rsid w:val="00756673"/>
    <w:rsid w:val="00777510"/>
    <w:rsid w:val="00792F70"/>
    <w:rsid w:val="007B6484"/>
    <w:rsid w:val="00804CEF"/>
    <w:rsid w:val="008C0F26"/>
    <w:rsid w:val="008C25B5"/>
    <w:rsid w:val="008E12FD"/>
    <w:rsid w:val="008F0507"/>
    <w:rsid w:val="0091562D"/>
    <w:rsid w:val="00916B2A"/>
    <w:rsid w:val="00921D95"/>
    <w:rsid w:val="00946FAF"/>
    <w:rsid w:val="009913AD"/>
    <w:rsid w:val="00992D87"/>
    <w:rsid w:val="009A1BF6"/>
    <w:rsid w:val="009B4D8A"/>
    <w:rsid w:val="009C0A4E"/>
    <w:rsid w:val="009D73E7"/>
    <w:rsid w:val="009E1D2C"/>
    <w:rsid w:val="009F2A1D"/>
    <w:rsid w:val="009F6A20"/>
    <w:rsid w:val="00A36E62"/>
    <w:rsid w:val="00A96CE4"/>
    <w:rsid w:val="00AD148E"/>
    <w:rsid w:val="00B22452"/>
    <w:rsid w:val="00BB518A"/>
    <w:rsid w:val="00BD6ED3"/>
    <w:rsid w:val="00BF29FE"/>
    <w:rsid w:val="00C04372"/>
    <w:rsid w:val="00CB0283"/>
    <w:rsid w:val="00CE439C"/>
    <w:rsid w:val="00CF08BA"/>
    <w:rsid w:val="00D031D8"/>
    <w:rsid w:val="00D201AC"/>
    <w:rsid w:val="00D938D8"/>
    <w:rsid w:val="00D93CA3"/>
    <w:rsid w:val="00DD1067"/>
    <w:rsid w:val="00DD6CE7"/>
    <w:rsid w:val="00DE5ECF"/>
    <w:rsid w:val="00E9317C"/>
    <w:rsid w:val="00EF03E4"/>
    <w:rsid w:val="00F000CF"/>
    <w:rsid w:val="00F049F8"/>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qFormat/>
    <w:uiPriority w:val="0"/>
    <w:rPr>
      <w:rFonts w:cs="Times New Roman" w:asciiTheme="minorHAnsi" w:hAnsiTheme="minorHAnsi" w:eastAsiaTheme="minorEastAsia"/>
      <w:kern w:val="0"/>
      <w:sz w:val="24"/>
      <w:szCs w:val="24"/>
      <w:lang w:val="en-US" w:eastAsia="zh-CN" w:bidi="ar-SA"/>
    </w:rPr>
  </w:style>
  <w:style w:type="paragraph" w:customStyle="1" w:styleId="7">
    <w:name w:val="CF80FDE9826E4517B8C173999F8F68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6BA27-3304-4A80-8CBA-76F26B67C3F3}">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28</Pages>
  <Words>6758</Words>
  <Characters>38527</Characters>
  <Lines>321</Lines>
  <Paragraphs>90</Paragraphs>
  <TotalTime>3</TotalTime>
  <ScaleCrop>false</ScaleCrop>
  <LinksUpToDate>false</LinksUpToDate>
  <CharactersWithSpaces>45195</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2025-09-30T01:10:00Z</dcterms:created>
  <dc:creator>admin</dc:creator>
  <cp:lastModifiedBy>趋之若鹜</cp:lastModifiedBy>
  <cp:lastPrinted>2025-09-28T01:28:00Z</cp:lastPrinted>
  <dcterms:modified xsi:type="dcterms:W3CDTF">2025-11-05T03:41:23Z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9385F5A66F9A4C18B8BBABC4D58B5A42</vt:lpwstr>
  </property>
</Properties>
</file>