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264D5">
      <w:pPr>
        <w:widowControl/>
        <w:jc w:val="center"/>
        <w:rPr>
          <w:rFonts w:ascii="仿宋" w:hAnsi="仿宋" w:eastAsia="仿宋"/>
          <w:b/>
          <w:sz w:val="32"/>
          <w:szCs w:val="32"/>
        </w:rPr>
      </w:pPr>
      <w:r>
        <w:rPr>
          <w:rFonts w:hint="eastAsia" w:ascii="仿宋" w:hAnsi="仿宋" w:eastAsia="仿宋"/>
          <w:b/>
          <w:sz w:val="32"/>
          <w:szCs w:val="32"/>
          <w:lang w:val="en-US" w:eastAsia="zh-CN"/>
        </w:rPr>
        <w:t>西安市</w:t>
      </w:r>
      <w:r>
        <w:rPr>
          <w:rFonts w:hint="eastAsia" w:ascii="仿宋" w:hAnsi="仿宋" w:eastAsia="仿宋"/>
          <w:b/>
          <w:sz w:val="32"/>
          <w:szCs w:val="32"/>
        </w:rPr>
        <w:t>阎良区农业技术推广中心</w:t>
      </w:r>
    </w:p>
    <w:p w14:paraId="30B9F8DB">
      <w:pPr>
        <w:widowControl/>
        <w:jc w:val="center"/>
        <w:rPr>
          <w:rFonts w:ascii="仿宋" w:hAnsi="仿宋" w:eastAsia="仿宋"/>
          <w:b/>
          <w:sz w:val="32"/>
          <w:szCs w:val="32"/>
        </w:rPr>
      </w:pPr>
      <w:r>
        <w:rPr>
          <w:rFonts w:hint="eastAsia" w:ascii="仿宋" w:hAnsi="仿宋" w:eastAsia="仿宋"/>
          <w:b/>
          <w:sz w:val="32"/>
          <w:szCs w:val="32"/>
        </w:rPr>
        <w:t>202</w:t>
      </w:r>
      <w:r>
        <w:rPr>
          <w:rFonts w:hint="eastAsia" w:ascii="仿宋" w:hAnsi="仿宋" w:eastAsia="仿宋"/>
          <w:b/>
          <w:sz w:val="32"/>
          <w:szCs w:val="32"/>
          <w:lang w:val="en-US" w:eastAsia="zh-CN"/>
        </w:rPr>
        <w:t>5</w:t>
      </w:r>
      <w:r>
        <w:rPr>
          <w:rFonts w:hint="eastAsia" w:ascii="仿宋" w:hAnsi="仿宋" w:eastAsia="仿宋"/>
          <w:b/>
          <w:sz w:val="32"/>
          <w:szCs w:val="32"/>
        </w:rPr>
        <w:t>年第一批市级农业专项</w:t>
      </w:r>
      <w:r>
        <w:rPr>
          <w:rFonts w:hint="eastAsia" w:ascii="仿宋" w:hAnsi="仿宋" w:eastAsia="仿宋"/>
          <w:b/>
          <w:sz w:val="32"/>
          <w:szCs w:val="32"/>
          <w:lang w:val="en-US" w:eastAsia="zh-CN"/>
        </w:rPr>
        <w:t>资金（阎良区</w:t>
      </w:r>
      <w:r>
        <w:rPr>
          <w:rFonts w:hint="eastAsia" w:ascii="仿宋" w:hAnsi="仿宋" w:eastAsia="仿宋"/>
          <w:b/>
          <w:sz w:val="32"/>
          <w:szCs w:val="32"/>
        </w:rPr>
        <w:t>农作物重大病虫应急防控</w:t>
      </w:r>
      <w:r>
        <w:rPr>
          <w:rFonts w:hint="eastAsia" w:ascii="仿宋" w:hAnsi="仿宋" w:eastAsia="仿宋"/>
          <w:b/>
          <w:sz w:val="32"/>
          <w:szCs w:val="32"/>
          <w:lang w:eastAsia="zh-CN"/>
        </w:rPr>
        <w:t>）</w:t>
      </w:r>
      <w:r>
        <w:rPr>
          <w:rFonts w:hint="eastAsia" w:ascii="仿宋" w:hAnsi="仿宋" w:eastAsia="仿宋"/>
          <w:b/>
          <w:sz w:val="32"/>
          <w:szCs w:val="32"/>
        </w:rPr>
        <w:t>项目政府采购需求书</w:t>
      </w:r>
    </w:p>
    <w:tbl>
      <w:tblPr>
        <w:tblStyle w:val="7"/>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763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B95E922">
            <w:pPr>
              <w:snapToGrid w:val="0"/>
              <w:jc w:val="center"/>
              <w:rPr>
                <w:rFonts w:ascii="宋体" w:hAnsi="宋体"/>
                <w:b/>
                <w:sz w:val="24"/>
              </w:rPr>
            </w:pPr>
            <w:r>
              <w:rPr>
                <w:rFonts w:hint="eastAsia" w:ascii="宋体" w:hAnsi="宋体"/>
                <w:b/>
                <w:sz w:val="28"/>
                <w:szCs w:val="28"/>
                <w:lang w:val="zh-CN"/>
              </w:rPr>
              <w:t>序号</w:t>
            </w:r>
          </w:p>
        </w:tc>
        <w:tc>
          <w:tcPr>
            <w:tcW w:w="1556" w:type="dxa"/>
            <w:vAlign w:val="center"/>
          </w:tcPr>
          <w:p w14:paraId="5F94DCF0">
            <w:pPr>
              <w:pStyle w:val="31"/>
              <w:ind w:left="38"/>
              <w:jc w:val="center"/>
              <w:rPr>
                <w:b/>
                <w:kern w:val="2"/>
                <w:lang w:val="zh-CN"/>
              </w:rPr>
            </w:pPr>
            <w:r>
              <w:rPr>
                <w:rFonts w:hint="eastAsia"/>
                <w:b/>
                <w:kern w:val="2"/>
                <w:sz w:val="28"/>
                <w:szCs w:val="28"/>
                <w:lang w:val="zh-CN"/>
              </w:rPr>
              <w:t>关键事项</w:t>
            </w:r>
          </w:p>
        </w:tc>
        <w:tc>
          <w:tcPr>
            <w:tcW w:w="7067" w:type="dxa"/>
            <w:vAlign w:val="center"/>
          </w:tcPr>
          <w:p w14:paraId="50E47180">
            <w:pPr>
              <w:pStyle w:val="31"/>
              <w:jc w:val="center"/>
              <w:rPr>
                <w:b/>
                <w:kern w:val="2"/>
                <w:lang w:val="zh-CN"/>
              </w:rPr>
            </w:pPr>
            <w:r>
              <w:rPr>
                <w:rFonts w:hint="eastAsia"/>
                <w:b/>
                <w:kern w:val="2"/>
                <w:sz w:val="28"/>
                <w:szCs w:val="28"/>
                <w:lang w:val="zh-CN"/>
              </w:rPr>
              <w:t>说明和要求</w:t>
            </w:r>
          </w:p>
        </w:tc>
      </w:tr>
      <w:tr w14:paraId="273B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F7D7076">
            <w:pPr>
              <w:snapToGrid w:val="0"/>
              <w:spacing w:after="200"/>
              <w:jc w:val="center"/>
              <w:rPr>
                <w:rFonts w:ascii="宋体" w:hAnsi="宋体"/>
                <w:sz w:val="28"/>
                <w:szCs w:val="28"/>
                <w:lang w:val="zh-CN"/>
              </w:rPr>
            </w:pPr>
            <w:r>
              <w:rPr>
                <w:rFonts w:ascii="宋体" w:hAnsi="宋体"/>
                <w:sz w:val="28"/>
                <w:szCs w:val="28"/>
                <w:lang w:val="zh-CN"/>
              </w:rPr>
              <w:t>1</w:t>
            </w:r>
          </w:p>
        </w:tc>
        <w:tc>
          <w:tcPr>
            <w:tcW w:w="1556" w:type="dxa"/>
            <w:vAlign w:val="center"/>
          </w:tcPr>
          <w:p w14:paraId="1C05D23F">
            <w:pPr>
              <w:pStyle w:val="31"/>
              <w:ind w:left="38"/>
              <w:jc w:val="center"/>
              <w:rPr>
                <w:kern w:val="2"/>
                <w:lang w:val="zh-CN"/>
              </w:rPr>
            </w:pPr>
            <w:r>
              <w:rPr>
                <w:rFonts w:hint="eastAsia"/>
                <w:kern w:val="2"/>
                <w:lang w:val="zh-CN"/>
              </w:rPr>
              <w:t>采购预算</w:t>
            </w:r>
          </w:p>
        </w:tc>
        <w:tc>
          <w:tcPr>
            <w:tcW w:w="7067" w:type="dxa"/>
            <w:vAlign w:val="center"/>
          </w:tcPr>
          <w:p w14:paraId="359517EF">
            <w:pPr>
              <w:pStyle w:val="31"/>
              <w:jc w:val="both"/>
              <w:rPr>
                <w:b/>
                <w:kern w:val="2"/>
                <w:lang w:val="zh-CN"/>
              </w:rPr>
            </w:pPr>
            <w:r>
              <w:rPr>
                <w:rFonts w:hint="eastAsia"/>
                <w:b/>
                <w:kern w:val="2"/>
                <w:lang w:val="zh-CN"/>
              </w:rPr>
              <w:t>人民币</w:t>
            </w:r>
            <w:r>
              <w:rPr>
                <w:rFonts w:hint="eastAsia"/>
                <w:b/>
                <w:kern w:val="2"/>
                <w:lang w:val="en-US" w:eastAsia="zh-CN"/>
              </w:rPr>
              <w:t xml:space="preserve"> </w:t>
            </w:r>
            <w:r>
              <w:rPr>
                <w:rFonts w:hint="eastAsia"/>
                <w:b/>
                <w:kern w:val="2"/>
                <w:u w:val="single"/>
                <w:lang w:val="zh-CN"/>
              </w:rPr>
              <w:t>4</w:t>
            </w:r>
            <w:r>
              <w:rPr>
                <w:rFonts w:hint="eastAsia"/>
                <w:b/>
                <w:kern w:val="2"/>
                <w:u w:val="single"/>
                <w:lang w:val="en-US" w:eastAsia="zh-CN"/>
              </w:rPr>
              <w:t>500</w:t>
            </w:r>
            <w:r>
              <w:rPr>
                <w:rFonts w:hint="eastAsia"/>
                <w:b/>
                <w:kern w:val="2"/>
                <w:u w:val="single"/>
                <w:lang w:val="zh-CN"/>
              </w:rPr>
              <w:t>00</w:t>
            </w:r>
            <w:r>
              <w:rPr>
                <w:b/>
                <w:kern w:val="2"/>
                <w:u w:val="single"/>
                <w:lang w:val="zh-CN"/>
              </w:rPr>
              <w:t>_</w:t>
            </w:r>
            <w:r>
              <w:rPr>
                <w:rFonts w:hint="eastAsia"/>
                <w:b/>
                <w:kern w:val="2"/>
                <w:lang w:val="zh-CN"/>
              </w:rPr>
              <w:t>元</w:t>
            </w:r>
          </w:p>
          <w:p w14:paraId="11CBC16B">
            <w:pPr>
              <w:pStyle w:val="31"/>
              <w:jc w:val="both"/>
              <w:rPr>
                <w:b/>
                <w:kern w:val="2"/>
                <w:lang w:val="zh-CN"/>
              </w:rPr>
            </w:pPr>
            <w:r>
              <w:rPr>
                <w:rFonts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4F48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FA7B0D2">
            <w:pPr>
              <w:snapToGrid w:val="0"/>
              <w:spacing w:after="200"/>
              <w:jc w:val="center"/>
              <w:rPr>
                <w:rFonts w:ascii="宋体" w:hAnsi="宋体"/>
                <w:sz w:val="28"/>
                <w:szCs w:val="28"/>
                <w:lang w:val="zh-CN"/>
              </w:rPr>
            </w:pPr>
            <w:r>
              <w:rPr>
                <w:rFonts w:ascii="宋体" w:hAnsi="宋体"/>
                <w:sz w:val="28"/>
                <w:szCs w:val="28"/>
                <w:lang w:val="zh-CN"/>
              </w:rPr>
              <w:t>2</w:t>
            </w:r>
          </w:p>
        </w:tc>
        <w:tc>
          <w:tcPr>
            <w:tcW w:w="1556" w:type="dxa"/>
            <w:vAlign w:val="center"/>
          </w:tcPr>
          <w:p w14:paraId="731B57D8">
            <w:pPr>
              <w:pStyle w:val="31"/>
              <w:ind w:left="38"/>
              <w:jc w:val="center"/>
              <w:rPr>
                <w:kern w:val="2"/>
                <w:lang w:val="zh-CN"/>
              </w:rPr>
            </w:pPr>
            <w:r>
              <w:rPr>
                <w:rFonts w:hint="eastAsia"/>
                <w:kern w:val="2"/>
                <w:lang w:val="zh-CN"/>
              </w:rPr>
              <w:t>最高限价</w:t>
            </w:r>
          </w:p>
        </w:tc>
        <w:tc>
          <w:tcPr>
            <w:tcW w:w="7067" w:type="dxa"/>
            <w:vAlign w:val="center"/>
          </w:tcPr>
          <w:p w14:paraId="3C37A510">
            <w:pPr>
              <w:pStyle w:val="31"/>
              <w:jc w:val="both"/>
              <w:rPr>
                <w:b/>
                <w:kern w:val="2"/>
                <w:lang w:val="zh-CN"/>
              </w:rPr>
            </w:pPr>
            <w:r>
              <w:rPr>
                <w:rFonts w:hint="eastAsia"/>
                <w:b/>
                <w:kern w:val="2"/>
                <w:lang w:val="zh-CN"/>
              </w:rPr>
              <w:t>人民币</w:t>
            </w:r>
            <w:r>
              <w:rPr>
                <w:rFonts w:hint="eastAsia"/>
                <w:b/>
                <w:kern w:val="2"/>
                <w:lang w:val="en-US" w:eastAsia="zh-CN"/>
              </w:rPr>
              <w:t xml:space="preserve"> </w:t>
            </w:r>
            <w:r>
              <w:rPr>
                <w:rFonts w:hint="eastAsia"/>
                <w:b/>
                <w:kern w:val="2"/>
                <w:u w:val="single"/>
                <w:lang w:val="zh-CN"/>
              </w:rPr>
              <w:t>4</w:t>
            </w:r>
            <w:r>
              <w:rPr>
                <w:rFonts w:hint="eastAsia"/>
                <w:b/>
                <w:kern w:val="2"/>
                <w:u w:val="single"/>
                <w:lang w:val="en-US" w:eastAsia="zh-CN"/>
              </w:rPr>
              <w:t>500</w:t>
            </w:r>
            <w:r>
              <w:rPr>
                <w:rFonts w:hint="eastAsia"/>
                <w:b/>
                <w:kern w:val="2"/>
                <w:u w:val="single"/>
                <w:lang w:val="zh-CN"/>
              </w:rPr>
              <w:t>00</w:t>
            </w:r>
            <w:r>
              <w:rPr>
                <w:b/>
                <w:kern w:val="2"/>
                <w:u w:val="single"/>
                <w:lang w:val="zh-CN"/>
              </w:rPr>
              <w:t>_</w:t>
            </w:r>
            <w:r>
              <w:rPr>
                <w:rFonts w:hint="eastAsia"/>
                <w:b/>
                <w:kern w:val="2"/>
                <w:lang w:val="zh-CN"/>
              </w:rPr>
              <w:t>元</w:t>
            </w:r>
          </w:p>
          <w:p w14:paraId="432D0088">
            <w:pPr>
              <w:pStyle w:val="31"/>
              <w:ind w:left="38"/>
              <w:jc w:val="both"/>
              <w:rPr>
                <w:b/>
                <w:kern w:val="2"/>
                <w:lang w:val="zh-CN"/>
              </w:rPr>
            </w:pPr>
            <w:r>
              <w:rPr>
                <w:rFonts w:hint="eastAsia"/>
                <w:kern w:val="2"/>
                <w:sz w:val="21"/>
                <w:szCs w:val="21"/>
                <w:lang w:val="zh-CN"/>
              </w:rPr>
              <w:t>供应商投标报价高于最高限价的则其投标文件将按无效投标文件处理。</w:t>
            </w:r>
          </w:p>
        </w:tc>
      </w:tr>
      <w:tr w14:paraId="776A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730B6794">
            <w:pPr>
              <w:snapToGrid w:val="0"/>
              <w:spacing w:after="200"/>
              <w:jc w:val="center"/>
              <w:rPr>
                <w:rFonts w:ascii="宋体" w:hAnsi="宋体"/>
                <w:sz w:val="28"/>
                <w:szCs w:val="28"/>
                <w:lang w:val="zh-CN"/>
              </w:rPr>
            </w:pPr>
            <w:r>
              <w:rPr>
                <w:rFonts w:ascii="宋体" w:hAnsi="宋体"/>
                <w:sz w:val="28"/>
                <w:szCs w:val="28"/>
                <w:lang w:val="zh-CN"/>
              </w:rPr>
              <w:t>3</w:t>
            </w:r>
          </w:p>
        </w:tc>
        <w:tc>
          <w:tcPr>
            <w:tcW w:w="1556" w:type="dxa"/>
            <w:vMerge w:val="restart"/>
            <w:vAlign w:val="center"/>
          </w:tcPr>
          <w:p w14:paraId="5F18BCDE">
            <w:pPr>
              <w:pStyle w:val="31"/>
              <w:ind w:left="38"/>
              <w:jc w:val="center"/>
              <w:rPr>
                <w:kern w:val="2"/>
                <w:lang w:val="zh-CN"/>
              </w:rPr>
            </w:pPr>
            <w:r>
              <w:rPr>
                <w:rFonts w:hint="eastAsia"/>
                <w:kern w:val="2"/>
                <w:lang w:val="zh-CN"/>
              </w:rPr>
              <w:t>项目性质</w:t>
            </w:r>
          </w:p>
        </w:tc>
        <w:tc>
          <w:tcPr>
            <w:tcW w:w="7067" w:type="dxa"/>
            <w:vAlign w:val="center"/>
          </w:tcPr>
          <w:p w14:paraId="05F58145">
            <w:pPr>
              <w:pStyle w:val="31"/>
              <w:jc w:val="both"/>
              <w:rPr>
                <w:b/>
                <w:kern w:val="2"/>
                <w:lang w:val="zh-CN"/>
              </w:rPr>
            </w:pPr>
            <w:r>
              <w:rPr>
                <w:rFonts w:hint="eastAsia"/>
                <w:b/>
                <w:kern w:val="2"/>
                <w:lang w:val="zh-CN"/>
              </w:rPr>
              <w:t>√专门面向中小企业采购</w:t>
            </w:r>
          </w:p>
          <w:p w14:paraId="3A4A10D7">
            <w:pPr>
              <w:pStyle w:val="31"/>
              <w:ind w:left="38"/>
              <w:jc w:val="both"/>
              <w:rPr>
                <w:b/>
                <w:kern w:val="2"/>
                <w:lang w:val="zh-CN"/>
              </w:rPr>
            </w:pPr>
            <w:r>
              <w:rPr>
                <w:rFonts w:hint="eastAsia"/>
                <w:kern w:val="2"/>
                <w:sz w:val="21"/>
                <w:szCs w:val="21"/>
                <w:lang w:val="zh-CN"/>
              </w:rPr>
              <w:t>仅允许中小企业或小型、微型企业参与投标。</w:t>
            </w:r>
          </w:p>
        </w:tc>
      </w:tr>
      <w:tr w14:paraId="3332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1B20D36F">
            <w:pPr>
              <w:snapToGrid w:val="0"/>
              <w:spacing w:after="200"/>
              <w:ind w:left="142"/>
              <w:jc w:val="center"/>
              <w:rPr>
                <w:rFonts w:ascii="宋体" w:hAnsi="宋体"/>
                <w:b/>
                <w:sz w:val="28"/>
                <w:szCs w:val="28"/>
                <w:lang w:val="zh-CN"/>
              </w:rPr>
            </w:pPr>
          </w:p>
        </w:tc>
        <w:tc>
          <w:tcPr>
            <w:tcW w:w="1556" w:type="dxa"/>
            <w:vMerge w:val="continue"/>
            <w:vAlign w:val="center"/>
          </w:tcPr>
          <w:p w14:paraId="45D1F3F7">
            <w:pPr>
              <w:pStyle w:val="31"/>
              <w:ind w:left="96"/>
              <w:jc w:val="center"/>
              <w:rPr>
                <w:kern w:val="2"/>
                <w:lang w:val="zh-CN"/>
              </w:rPr>
            </w:pPr>
          </w:p>
        </w:tc>
        <w:tc>
          <w:tcPr>
            <w:tcW w:w="7067" w:type="dxa"/>
            <w:vAlign w:val="center"/>
          </w:tcPr>
          <w:p w14:paraId="5FBB2E0D">
            <w:pPr>
              <w:rPr>
                <w:rFonts w:ascii="宋体" w:hAnsi="宋体" w:cs="宋体"/>
                <w:b/>
                <w:sz w:val="24"/>
                <w:szCs w:val="24"/>
                <w:lang w:val="zh-CN"/>
              </w:rPr>
            </w:pPr>
            <w:r>
              <w:rPr>
                <w:rFonts w:ascii="宋体" w:hAnsi="宋体" w:cs="宋体"/>
                <w:b/>
                <w:sz w:val="24"/>
                <w:szCs w:val="24"/>
                <w:lang w:val="zh-CN"/>
              </w:rPr>
              <w:t>○</w:t>
            </w:r>
            <w:r>
              <w:rPr>
                <w:rFonts w:hint="eastAsia" w:ascii="宋体" w:hAnsi="宋体" w:cs="宋体"/>
                <w:b/>
                <w:sz w:val="24"/>
                <w:szCs w:val="24"/>
                <w:lang w:val="zh-CN"/>
              </w:rPr>
              <w:t>非专门面向中小企业采购</w:t>
            </w:r>
          </w:p>
          <w:p w14:paraId="3855D129">
            <w:pPr>
              <w:ind w:right="94" w:rightChars="45"/>
              <w:rPr>
                <w:rFonts w:ascii="宋体" w:hAnsi="宋体"/>
                <w:b/>
                <w:szCs w:val="21"/>
              </w:rPr>
            </w:pPr>
            <w:r>
              <w:rPr>
                <w:rFonts w:hint="eastAsia" w:ascii="宋体" w:hAnsi="宋体" w:cs="宋体"/>
                <w:bCs/>
                <w:color w:val="000000"/>
                <w:kern w:val="0"/>
                <w:szCs w:val="21"/>
                <w:lang w:val="zh-CN"/>
              </w:rPr>
              <w:t>对符合《财政部关于进一步加大政府采购支持中小企业力度的通知》（财库〔2022〕19号）规定的小微企业（监狱企业视同小型、微型企业）的报价</w:t>
            </w:r>
            <w:r>
              <w:rPr>
                <w:rFonts w:hint="eastAsia" w:ascii="宋体" w:hAnsi="宋体" w:cs="宋体"/>
                <w:b/>
                <w:color w:val="000000"/>
                <w:kern w:val="0"/>
                <w:szCs w:val="21"/>
                <w:lang w:val="zh-CN"/>
              </w:rPr>
              <w:t>给予___%（10%-20</w:t>
            </w:r>
            <w:r>
              <w:rPr>
                <w:rFonts w:ascii="宋体" w:hAnsi="宋体" w:cs="宋体"/>
                <w:b/>
                <w:color w:val="000000"/>
                <w:kern w:val="0"/>
                <w:szCs w:val="21"/>
                <w:lang w:val="zh-CN"/>
              </w:rPr>
              <w:t>%</w:t>
            </w:r>
            <w:r>
              <w:rPr>
                <w:rFonts w:hint="eastAsia" w:ascii="宋体" w:hAnsi="宋体" w:cs="宋体"/>
                <w:b/>
                <w:color w:val="000000"/>
                <w:kern w:val="0"/>
                <w:szCs w:val="21"/>
                <w:lang w:val="zh-CN"/>
              </w:rPr>
              <w:t>）的扣除</w:t>
            </w:r>
            <w:r>
              <w:rPr>
                <w:rFonts w:hint="eastAsia" w:ascii="宋体" w:hAnsi="宋体" w:cs="宋体"/>
                <w:bCs/>
                <w:color w:val="000000"/>
                <w:kern w:val="0"/>
                <w:szCs w:val="21"/>
                <w:lang w:val="zh-CN"/>
              </w:rPr>
              <w:t>，用扣除后的价格参加评审。</w:t>
            </w:r>
          </w:p>
        </w:tc>
      </w:tr>
      <w:tr w14:paraId="5EB1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9201182">
            <w:pPr>
              <w:snapToGrid w:val="0"/>
              <w:spacing w:after="200"/>
              <w:jc w:val="center"/>
              <w:rPr>
                <w:rFonts w:ascii="宋体" w:hAnsi="宋体"/>
                <w:sz w:val="24"/>
              </w:rPr>
            </w:pPr>
            <w:r>
              <w:rPr>
                <w:rFonts w:ascii="宋体" w:hAnsi="宋体"/>
                <w:sz w:val="24"/>
              </w:rPr>
              <w:t>4</w:t>
            </w:r>
          </w:p>
        </w:tc>
        <w:tc>
          <w:tcPr>
            <w:tcW w:w="1556" w:type="dxa"/>
            <w:vAlign w:val="center"/>
          </w:tcPr>
          <w:p w14:paraId="00FD4EC7">
            <w:pPr>
              <w:pStyle w:val="31"/>
              <w:ind w:left="96"/>
              <w:jc w:val="center"/>
              <w:rPr>
                <w:kern w:val="2"/>
                <w:lang w:val="zh-CN"/>
              </w:rPr>
            </w:pPr>
            <w:r>
              <w:rPr>
                <w:kern w:val="2"/>
                <w:lang w:val="zh-CN"/>
              </w:rPr>
              <w:t>对供应商的</w:t>
            </w:r>
            <w:r>
              <w:rPr>
                <w:kern w:val="2"/>
                <w:lang w:val="zh-CN"/>
              </w:rPr>
              <w:br w:type="textWrapping"/>
            </w:r>
            <w:r>
              <w:rPr>
                <w:kern w:val="2"/>
                <w:lang w:val="zh-CN"/>
              </w:rPr>
              <w:t>资格要求</w:t>
            </w:r>
          </w:p>
        </w:tc>
        <w:tc>
          <w:tcPr>
            <w:tcW w:w="7067" w:type="dxa"/>
            <w:vAlign w:val="center"/>
          </w:tcPr>
          <w:p w14:paraId="1C66D8FA">
            <w:pPr>
              <w:pStyle w:val="31"/>
              <w:jc w:val="both"/>
              <w:rPr>
                <w:b/>
                <w:kern w:val="2"/>
                <w:lang w:val="zh-CN"/>
              </w:rPr>
            </w:pPr>
            <w:r>
              <w:rPr>
                <w:rFonts w:hint="eastAsia"/>
                <w:b/>
                <w:kern w:val="2"/>
                <w:lang w:val="zh-CN"/>
              </w:rPr>
              <w:t>1、</w:t>
            </w:r>
            <w:r>
              <w:rPr>
                <w:rFonts w:hint="eastAsia"/>
                <w:b/>
                <w:kern w:val="2"/>
                <w:u w:val="single"/>
                <w:lang w:val="zh-CN"/>
              </w:rPr>
              <w:t>符合《中华人民共和国政府采购法》第二十二条规定的具有该项目资质能力的企业。</w:t>
            </w:r>
          </w:p>
          <w:p w14:paraId="53549AA6">
            <w:pPr>
              <w:pStyle w:val="31"/>
              <w:jc w:val="both"/>
              <w:rPr>
                <w:b/>
                <w:kern w:val="2"/>
                <w:lang w:val="zh-CN"/>
              </w:rPr>
            </w:pPr>
            <w:r>
              <w:rPr>
                <w:rFonts w:hint="eastAsia"/>
                <w:b/>
                <w:kern w:val="2"/>
                <w:lang w:val="zh-CN"/>
              </w:rPr>
              <w:t>2、</w:t>
            </w:r>
            <w:r>
              <w:rPr>
                <w:rFonts w:hint="eastAsia"/>
                <w:b/>
                <w:kern w:val="2"/>
                <w:u w:val="single"/>
                <w:lang w:val="zh-CN"/>
              </w:rPr>
              <w:t>针对本项目特定的资格要求_</w:t>
            </w:r>
          </w:p>
          <w:p w14:paraId="6D7D432A">
            <w:pPr>
              <w:pStyle w:val="31"/>
              <w:jc w:val="both"/>
              <w:rPr>
                <w:kern w:val="2"/>
                <w:lang w:val="zh-CN"/>
              </w:rPr>
            </w:pPr>
            <w:r>
              <w:rPr>
                <w:rFonts w:hint="eastAsia"/>
                <w:kern w:val="2"/>
                <w:sz w:val="21"/>
                <w:szCs w:val="21"/>
                <w:lang w:val="zh-CN"/>
              </w:rPr>
              <w:t>根据《政府采购促进中小企业发展管理办法》（财库〔2020〕46号）的规定,不得以企业注册资本、资产总额、营业收入、从业人员、利润、纳税额等规模条件和财务指标作为供应商的资格要求或者评审因素，不得在企业股权结构、经营年限等方面对中小企业实行差别待遇或者歧视待遇。</w:t>
            </w:r>
          </w:p>
        </w:tc>
      </w:tr>
      <w:tr w14:paraId="5B12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0FA8B11E">
            <w:pPr>
              <w:snapToGrid w:val="0"/>
              <w:spacing w:after="200"/>
              <w:jc w:val="center"/>
              <w:rPr>
                <w:rFonts w:ascii="宋体" w:hAnsi="宋体"/>
                <w:sz w:val="24"/>
              </w:rPr>
            </w:pPr>
            <w:r>
              <w:rPr>
                <w:rFonts w:ascii="宋体" w:hAnsi="宋体"/>
                <w:sz w:val="24"/>
              </w:rPr>
              <w:t>5</w:t>
            </w:r>
          </w:p>
        </w:tc>
        <w:tc>
          <w:tcPr>
            <w:tcW w:w="1556" w:type="dxa"/>
            <w:vMerge w:val="restart"/>
            <w:vAlign w:val="center"/>
          </w:tcPr>
          <w:p w14:paraId="20FEDA0C">
            <w:pPr>
              <w:pStyle w:val="31"/>
              <w:ind w:left="96"/>
              <w:jc w:val="center"/>
              <w:rPr>
                <w:kern w:val="2"/>
                <w:lang w:val="zh-CN"/>
              </w:rPr>
            </w:pPr>
            <w:r>
              <w:rPr>
                <w:kern w:val="2"/>
                <w:lang w:val="zh-CN"/>
              </w:rPr>
              <w:t>是否</w:t>
            </w:r>
            <w:r>
              <w:rPr>
                <w:rFonts w:hint="eastAsia"/>
                <w:kern w:val="2"/>
                <w:lang w:val="zh-CN"/>
              </w:rPr>
              <w:t>接受</w:t>
            </w:r>
            <w:r>
              <w:rPr>
                <w:kern w:val="2"/>
                <w:lang w:val="zh-CN"/>
              </w:rPr>
              <w:br w:type="textWrapping"/>
            </w:r>
            <w:r>
              <w:rPr>
                <w:kern w:val="2"/>
                <w:lang w:val="zh-CN"/>
              </w:rPr>
              <w:t>联合体投标</w:t>
            </w:r>
          </w:p>
        </w:tc>
        <w:tc>
          <w:tcPr>
            <w:tcW w:w="7067" w:type="dxa"/>
            <w:vAlign w:val="center"/>
          </w:tcPr>
          <w:p w14:paraId="2C896289">
            <w:pPr>
              <w:pStyle w:val="31"/>
              <w:jc w:val="both"/>
              <w:rPr>
                <w:b/>
                <w:kern w:val="2"/>
                <w:lang w:val="zh-CN"/>
              </w:rPr>
            </w:pPr>
            <w:r>
              <w:rPr>
                <w:rFonts w:hint="eastAsia"/>
                <w:b/>
                <w:kern w:val="2"/>
                <w:lang w:val="zh-CN"/>
              </w:rPr>
              <w:t>○接受</w:t>
            </w:r>
          </w:p>
          <w:p w14:paraId="0014AE4F">
            <w:pPr>
              <w:pStyle w:val="31"/>
              <w:jc w:val="both"/>
              <w:rPr>
                <w:b/>
                <w:kern w:val="2"/>
                <w:lang w:val="zh-CN"/>
              </w:rPr>
            </w:pPr>
            <w:r>
              <w:rPr>
                <w:rFonts w:hint="eastAsia"/>
                <w:kern w:val="2"/>
                <w:sz w:val="21"/>
                <w:szCs w:val="21"/>
                <w:lang w:val="zh-CN"/>
              </w:rPr>
              <w:t>对于联合体协议或者分包意向协议约定小微企业的合同份额占到合同总金额30%以上的，对联合体或者大中型企业的报价</w:t>
            </w:r>
            <w:r>
              <w:rPr>
                <w:rFonts w:hint="eastAsia"/>
                <w:b/>
                <w:kern w:val="2"/>
                <w:sz w:val="21"/>
                <w:szCs w:val="21"/>
                <w:lang w:val="zh-CN"/>
              </w:rPr>
              <w:t>给予___%（</w:t>
            </w:r>
            <w:r>
              <w:rPr>
                <w:b/>
                <w:kern w:val="2"/>
                <w:sz w:val="21"/>
                <w:szCs w:val="21"/>
                <w:lang w:val="zh-CN"/>
              </w:rPr>
              <w:t>4%</w:t>
            </w:r>
            <w:r>
              <w:rPr>
                <w:rFonts w:hint="eastAsia"/>
                <w:b/>
                <w:kern w:val="2"/>
                <w:sz w:val="21"/>
                <w:szCs w:val="21"/>
                <w:lang w:val="zh-CN"/>
              </w:rPr>
              <w:t>—</w:t>
            </w:r>
            <w:r>
              <w:rPr>
                <w:b/>
                <w:kern w:val="2"/>
                <w:sz w:val="21"/>
                <w:szCs w:val="21"/>
                <w:lang w:val="zh-CN"/>
              </w:rPr>
              <w:t>6%</w:t>
            </w:r>
            <w:r>
              <w:rPr>
                <w:rFonts w:hint="eastAsia"/>
                <w:b/>
                <w:kern w:val="2"/>
                <w:sz w:val="21"/>
                <w:szCs w:val="21"/>
                <w:lang w:val="zh-CN"/>
              </w:rPr>
              <w:t>）的扣除</w:t>
            </w:r>
            <w:r>
              <w:rPr>
                <w:rFonts w:hint="eastAsia"/>
                <w:kern w:val="2"/>
                <w:sz w:val="21"/>
                <w:szCs w:val="21"/>
                <w:lang w:val="zh-CN"/>
              </w:rPr>
              <w:t>，用扣除后的报价参加评审。</w:t>
            </w:r>
          </w:p>
        </w:tc>
      </w:tr>
      <w:tr w14:paraId="52D3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00CBE4B3">
            <w:pPr>
              <w:snapToGrid w:val="0"/>
              <w:spacing w:after="200"/>
              <w:ind w:left="142"/>
              <w:jc w:val="center"/>
              <w:rPr>
                <w:rFonts w:ascii="宋体" w:hAnsi="宋体"/>
                <w:sz w:val="24"/>
              </w:rPr>
            </w:pPr>
          </w:p>
        </w:tc>
        <w:tc>
          <w:tcPr>
            <w:tcW w:w="1556" w:type="dxa"/>
            <w:vMerge w:val="continue"/>
            <w:vAlign w:val="center"/>
          </w:tcPr>
          <w:p w14:paraId="20321E6C">
            <w:pPr>
              <w:pStyle w:val="31"/>
              <w:ind w:left="96"/>
              <w:jc w:val="center"/>
              <w:rPr>
                <w:kern w:val="2"/>
                <w:lang w:val="zh-CN"/>
              </w:rPr>
            </w:pPr>
          </w:p>
        </w:tc>
        <w:tc>
          <w:tcPr>
            <w:tcW w:w="7067" w:type="dxa"/>
            <w:vAlign w:val="center"/>
          </w:tcPr>
          <w:p w14:paraId="6357DBCA">
            <w:pPr>
              <w:pStyle w:val="31"/>
              <w:jc w:val="both"/>
              <w:rPr>
                <w:b/>
                <w:kern w:val="2"/>
                <w:lang w:val="zh-CN"/>
              </w:rPr>
            </w:pPr>
            <w:r>
              <w:rPr>
                <w:rFonts w:hint="eastAsia"/>
                <w:b/>
              </w:rPr>
              <w:t>√</w:t>
            </w:r>
            <w:r>
              <w:rPr>
                <w:rFonts w:hint="eastAsia"/>
                <w:b/>
                <w:kern w:val="2"/>
                <w:lang w:val="zh-CN"/>
              </w:rPr>
              <w:t>不接受</w:t>
            </w:r>
          </w:p>
        </w:tc>
      </w:tr>
      <w:tr w14:paraId="5E05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2EDC1D4D">
            <w:pPr>
              <w:snapToGrid w:val="0"/>
              <w:spacing w:after="200"/>
              <w:jc w:val="center"/>
              <w:rPr>
                <w:rFonts w:ascii="宋体" w:hAnsi="宋体"/>
                <w:sz w:val="24"/>
              </w:rPr>
            </w:pPr>
            <w:r>
              <w:rPr>
                <w:rFonts w:ascii="宋体" w:hAnsi="宋体"/>
                <w:sz w:val="24"/>
              </w:rPr>
              <w:t>6</w:t>
            </w:r>
          </w:p>
        </w:tc>
        <w:tc>
          <w:tcPr>
            <w:tcW w:w="1556" w:type="dxa"/>
            <w:vMerge w:val="restart"/>
            <w:vAlign w:val="center"/>
          </w:tcPr>
          <w:p w14:paraId="7FF0E9A3">
            <w:pPr>
              <w:pStyle w:val="31"/>
              <w:ind w:left="96"/>
              <w:jc w:val="center"/>
              <w:rPr>
                <w:kern w:val="2"/>
                <w:lang w:val="zh-CN"/>
              </w:rPr>
            </w:pPr>
            <w:r>
              <w:rPr>
                <w:kern w:val="2"/>
                <w:lang w:val="zh-CN"/>
              </w:rPr>
              <w:t>履约保证金</w:t>
            </w:r>
          </w:p>
        </w:tc>
        <w:tc>
          <w:tcPr>
            <w:tcW w:w="7067" w:type="dxa"/>
            <w:vAlign w:val="center"/>
          </w:tcPr>
          <w:p w14:paraId="65EF4361">
            <w:pPr>
              <w:ind w:right="94" w:rightChars="45"/>
              <w:rPr>
                <w:rFonts w:ascii="宋体" w:hAnsi="宋体"/>
                <w:b/>
                <w:sz w:val="24"/>
              </w:rPr>
            </w:pPr>
            <w:r>
              <w:rPr>
                <w:rFonts w:ascii="宋体" w:hAnsi="宋体"/>
                <w:b/>
                <w:sz w:val="24"/>
              </w:rPr>
              <w:t>占政府采购合同金额的</w:t>
            </w:r>
            <w:r>
              <w:rPr>
                <w:rFonts w:hint="eastAsia" w:ascii="宋体" w:hAnsi="宋体"/>
                <w:b/>
                <w:sz w:val="24"/>
              </w:rPr>
              <w:t>_</w:t>
            </w:r>
            <w:r>
              <w:rPr>
                <w:rFonts w:hint="eastAsia" w:ascii="宋体" w:hAnsi="宋体"/>
                <w:b/>
                <w:sz w:val="24"/>
                <w:u w:val="single"/>
              </w:rPr>
              <w:t xml:space="preserve">1 </w:t>
            </w:r>
            <w:r>
              <w:rPr>
                <w:rFonts w:hint="eastAsia" w:ascii="宋体" w:hAnsi="宋体"/>
                <w:b/>
                <w:sz w:val="24"/>
              </w:rPr>
              <w:t>%</w:t>
            </w:r>
          </w:p>
          <w:p w14:paraId="121E4A26">
            <w:pPr>
              <w:ind w:right="94" w:rightChars="45"/>
              <w:rPr>
                <w:rFonts w:ascii="宋体" w:hAnsi="宋体"/>
                <w:szCs w:val="21"/>
              </w:rPr>
            </w:pPr>
            <w:r>
              <w:rPr>
                <w:rFonts w:hint="eastAsia" w:ascii="宋体" w:hAnsi="宋体"/>
                <w:szCs w:val="21"/>
              </w:rPr>
              <w:t>履约保证金的数额不得超过政府采购合同金额的5%；对于单价合同，其数额不得超过采购预算的5%。</w:t>
            </w:r>
          </w:p>
        </w:tc>
      </w:tr>
      <w:tr w14:paraId="5EA8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7C91AD90">
            <w:pPr>
              <w:snapToGrid w:val="0"/>
              <w:spacing w:after="200"/>
              <w:ind w:left="142"/>
              <w:jc w:val="center"/>
              <w:rPr>
                <w:rFonts w:ascii="宋体" w:hAnsi="宋体"/>
                <w:sz w:val="24"/>
              </w:rPr>
            </w:pPr>
          </w:p>
        </w:tc>
        <w:tc>
          <w:tcPr>
            <w:tcW w:w="1556" w:type="dxa"/>
            <w:vMerge w:val="continue"/>
            <w:vAlign w:val="center"/>
          </w:tcPr>
          <w:p w14:paraId="4F35AB3C">
            <w:pPr>
              <w:pStyle w:val="31"/>
              <w:ind w:left="96"/>
              <w:jc w:val="center"/>
              <w:rPr>
                <w:kern w:val="2"/>
                <w:lang w:val="zh-CN"/>
              </w:rPr>
            </w:pPr>
          </w:p>
        </w:tc>
        <w:tc>
          <w:tcPr>
            <w:tcW w:w="7067" w:type="dxa"/>
            <w:vAlign w:val="center"/>
          </w:tcPr>
          <w:p w14:paraId="2AF53C08">
            <w:pPr>
              <w:ind w:right="94" w:rightChars="45"/>
              <w:rPr>
                <w:rFonts w:ascii="宋体" w:hAnsi="宋体"/>
                <w:b/>
                <w:sz w:val="24"/>
              </w:rPr>
            </w:pPr>
            <w:r>
              <w:rPr>
                <w:rFonts w:ascii="Arial" w:hAnsi="Arial" w:cs="Arial"/>
                <w:b/>
                <w:lang w:val="zh-CN"/>
              </w:rPr>
              <w:t>√</w:t>
            </w:r>
            <w:r>
              <w:rPr>
                <w:rFonts w:ascii="宋体" w:hAnsi="宋体"/>
                <w:b/>
                <w:sz w:val="24"/>
              </w:rPr>
              <w:t>由采购单位自行收退</w:t>
            </w:r>
          </w:p>
          <w:p w14:paraId="7BDC2090">
            <w:pPr>
              <w:ind w:right="94" w:rightChars="45"/>
              <w:rPr>
                <w:rFonts w:ascii="宋体" w:hAnsi="宋体"/>
                <w:b/>
                <w:sz w:val="24"/>
              </w:rPr>
            </w:pPr>
            <w:r>
              <w:rPr>
                <w:rFonts w:ascii="宋体" w:hAnsi="宋体"/>
                <w:b/>
                <w:sz w:val="24"/>
              </w:rPr>
              <w:t>○由代理机构负责收退</w:t>
            </w:r>
          </w:p>
        </w:tc>
      </w:tr>
      <w:tr w14:paraId="4258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129B45B">
            <w:pPr>
              <w:snapToGrid w:val="0"/>
              <w:spacing w:after="200"/>
              <w:jc w:val="center"/>
              <w:rPr>
                <w:rFonts w:ascii="宋体" w:hAnsi="宋体"/>
                <w:sz w:val="24"/>
              </w:rPr>
            </w:pPr>
            <w:r>
              <w:rPr>
                <w:rFonts w:ascii="宋体" w:hAnsi="宋体"/>
                <w:sz w:val="24"/>
              </w:rPr>
              <w:t>7</w:t>
            </w:r>
          </w:p>
        </w:tc>
        <w:tc>
          <w:tcPr>
            <w:tcW w:w="1556" w:type="dxa"/>
            <w:vAlign w:val="center"/>
          </w:tcPr>
          <w:p w14:paraId="463E82CB">
            <w:pPr>
              <w:pStyle w:val="31"/>
              <w:ind w:left="96"/>
              <w:jc w:val="center"/>
              <w:rPr>
                <w:kern w:val="2"/>
                <w:lang w:val="zh-CN"/>
              </w:rPr>
            </w:pPr>
            <w:r>
              <w:rPr>
                <w:kern w:val="2"/>
                <w:lang w:val="zh-CN"/>
              </w:rPr>
              <w:t>集中答疑</w:t>
            </w:r>
          </w:p>
        </w:tc>
        <w:tc>
          <w:tcPr>
            <w:tcW w:w="7067" w:type="dxa"/>
            <w:vAlign w:val="center"/>
          </w:tcPr>
          <w:p w14:paraId="4FF10117">
            <w:pPr>
              <w:ind w:right="94" w:rightChars="45"/>
              <w:rPr>
                <w:rFonts w:ascii="宋体" w:hAnsi="宋体"/>
                <w:b/>
                <w:sz w:val="24"/>
              </w:rPr>
            </w:pPr>
            <w:r>
              <w:rPr>
                <w:rFonts w:ascii="宋体" w:hAnsi="宋体"/>
                <w:b/>
                <w:sz w:val="24"/>
              </w:rPr>
              <w:t>○组织，答疑地点为：</w:t>
            </w:r>
            <w:r>
              <w:rPr>
                <w:rFonts w:hint="eastAsia" w:ascii="宋体" w:hAnsi="宋体"/>
                <w:b/>
                <w:sz w:val="24"/>
              </w:rPr>
              <w:t>_______________________</w:t>
            </w:r>
          </w:p>
          <w:p w14:paraId="7FE4DBF2">
            <w:pPr>
              <w:ind w:right="94" w:rightChars="45"/>
              <w:rPr>
                <w:rFonts w:ascii="宋体" w:hAnsi="宋体"/>
                <w:b/>
                <w:sz w:val="24"/>
              </w:rPr>
            </w:pPr>
            <w:r>
              <w:rPr>
                <w:rFonts w:ascii="Arial" w:hAnsi="Arial" w:cs="Arial"/>
                <w:b/>
                <w:lang w:val="zh-CN"/>
              </w:rPr>
              <w:t>√</w:t>
            </w:r>
            <w:r>
              <w:rPr>
                <w:rFonts w:ascii="宋体" w:hAnsi="宋体"/>
                <w:b/>
                <w:sz w:val="24"/>
              </w:rPr>
              <w:t>不组织</w:t>
            </w:r>
          </w:p>
        </w:tc>
      </w:tr>
      <w:tr w14:paraId="41DB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A2DD188">
            <w:pPr>
              <w:snapToGrid w:val="0"/>
              <w:spacing w:after="200"/>
              <w:jc w:val="center"/>
              <w:rPr>
                <w:rFonts w:ascii="宋体" w:hAnsi="宋体"/>
                <w:sz w:val="24"/>
              </w:rPr>
            </w:pPr>
            <w:r>
              <w:rPr>
                <w:rFonts w:ascii="宋体" w:hAnsi="宋体"/>
                <w:sz w:val="24"/>
              </w:rPr>
              <w:t>8</w:t>
            </w:r>
          </w:p>
        </w:tc>
        <w:tc>
          <w:tcPr>
            <w:tcW w:w="1556" w:type="dxa"/>
            <w:vAlign w:val="center"/>
          </w:tcPr>
          <w:p w14:paraId="0E0007C8">
            <w:pPr>
              <w:pStyle w:val="31"/>
              <w:ind w:left="96"/>
              <w:jc w:val="center"/>
              <w:rPr>
                <w:kern w:val="2"/>
                <w:lang w:val="zh-CN"/>
              </w:rPr>
            </w:pPr>
            <w:r>
              <w:rPr>
                <w:kern w:val="2"/>
                <w:lang w:val="zh-CN"/>
              </w:rPr>
              <w:t>价格分比重</w:t>
            </w:r>
          </w:p>
        </w:tc>
        <w:tc>
          <w:tcPr>
            <w:tcW w:w="7067" w:type="dxa"/>
            <w:vAlign w:val="center"/>
          </w:tcPr>
          <w:p w14:paraId="1BC9297B">
            <w:pPr>
              <w:widowControl/>
              <w:rPr>
                <w:rFonts w:ascii="宋体" w:hAnsi="宋体" w:cs="宋体"/>
                <w:b/>
                <w:kern w:val="0"/>
                <w:sz w:val="24"/>
                <w:szCs w:val="24"/>
                <w:lang w:val="zh-CN"/>
              </w:rPr>
            </w:pPr>
            <w:r>
              <w:rPr>
                <w:rFonts w:ascii="宋体" w:hAnsi="宋体" w:cs="宋体"/>
                <w:b/>
                <w:kern w:val="0"/>
                <w:sz w:val="24"/>
                <w:szCs w:val="24"/>
                <w:lang w:val="zh-CN"/>
              </w:rPr>
              <w:t>占总分值的</w:t>
            </w:r>
            <w:r>
              <w:rPr>
                <w:rFonts w:hint="eastAsia" w:ascii="宋体" w:hAnsi="宋体" w:cs="宋体"/>
                <w:b/>
                <w:kern w:val="0"/>
                <w:sz w:val="24"/>
                <w:szCs w:val="24"/>
                <w:lang w:val="zh-CN"/>
              </w:rPr>
              <w:t>__</w:t>
            </w:r>
            <w:r>
              <w:rPr>
                <w:rFonts w:hint="eastAsia" w:ascii="宋体" w:hAnsi="宋体" w:cs="宋体"/>
                <w:b/>
                <w:kern w:val="0"/>
                <w:sz w:val="24"/>
                <w:szCs w:val="24"/>
                <w:u w:val="single"/>
                <w:lang w:val="zh-CN"/>
              </w:rPr>
              <w:t>15_</w:t>
            </w:r>
            <w:r>
              <w:rPr>
                <w:rFonts w:hint="eastAsia" w:ascii="宋体" w:hAnsi="宋体" w:cs="宋体"/>
                <w:b/>
                <w:kern w:val="0"/>
                <w:sz w:val="24"/>
                <w:szCs w:val="24"/>
                <w:lang w:val="zh-CN"/>
              </w:rPr>
              <w:t>_%</w:t>
            </w:r>
          </w:p>
          <w:p w14:paraId="5E3B4008">
            <w:pPr>
              <w:widowControl/>
              <w:rPr>
                <w:rFonts w:ascii="宋体" w:hAnsi="宋体" w:cs="宋体"/>
                <w:kern w:val="0"/>
                <w:szCs w:val="21"/>
                <w:lang w:val="zh-CN"/>
              </w:rPr>
            </w:pPr>
            <w:r>
              <w:rPr>
                <w:rFonts w:hint="eastAsia" w:ascii="宋体" w:hAnsi="宋体" w:cs="宋体"/>
                <w:kern w:val="0"/>
                <w:szCs w:val="21"/>
                <w:lang w:val="zh-CN"/>
              </w:rPr>
              <w:t>[招标]根据《政府采购货物和服务招标投标管理办法》（财政部87号令）的规定，综合</w:t>
            </w:r>
            <w:r>
              <w:rPr>
                <w:rFonts w:ascii="宋体" w:hAnsi="宋体" w:cs="宋体"/>
                <w:kern w:val="0"/>
                <w:szCs w:val="21"/>
                <w:lang w:val="zh-CN"/>
              </w:rPr>
              <w:t>评分法服务</w:t>
            </w:r>
            <w:r>
              <w:rPr>
                <w:rFonts w:hint="eastAsia" w:ascii="宋体" w:hAnsi="宋体" w:cs="宋体"/>
                <w:kern w:val="0"/>
                <w:szCs w:val="21"/>
                <w:lang w:val="zh-CN"/>
              </w:rPr>
              <w:t>项目的价格分值占总分值的比重不得低于</w:t>
            </w:r>
            <w:r>
              <w:rPr>
                <w:rFonts w:ascii="宋体" w:hAnsi="宋体" w:cs="宋体"/>
                <w:kern w:val="0"/>
                <w:szCs w:val="21"/>
                <w:lang w:val="zh-CN"/>
              </w:rPr>
              <w:t>1</w:t>
            </w:r>
            <w:r>
              <w:rPr>
                <w:rFonts w:hint="eastAsia" w:ascii="宋体" w:hAnsi="宋体" w:cs="宋体"/>
                <w:kern w:val="0"/>
                <w:szCs w:val="21"/>
                <w:lang w:val="zh-CN"/>
              </w:rPr>
              <w:t>0%。执行国家统一定价标准和采用固定价格采购的项目，其价格不列为评审因素。</w:t>
            </w:r>
          </w:p>
          <w:p w14:paraId="583A47DC">
            <w:pPr>
              <w:widowControl/>
              <w:rPr>
                <w:rFonts w:ascii="宋体" w:hAnsi="宋体" w:cs="宋体"/>
                <w:kern w:val="0"/>
                <w:szCs w:val="21"/>
                <w:lang w:val="zh-CN"/>
              </w:rPr>
            </w:pPr>
            <w:r>
              <w:rPr>
                <w:rFonts w:ascii="宋体" w:hAnsi="宋体" w:cs="宋体"/>
                <w:kern w:val="0"/>
                <w:szCs w:val="21"/>
                <w:lang w:val="zh-CN"/>
              </w:rPr>
              <w:t>[磋商</w:t>
            </w:r>
            <w:r>
              <w:rPr>
                <w:rFonts w:hint="eastAsia" w:ascii="宋体" w:hAnsi="宋体" w:cs="宋体"/>
                <w:kern w:val="0"/>
                <w:szCs w:val="21"/>
                <w:lang w:val="zh-CN"/>
              </w:rPr>
              <w:t>]根据《政府采购竞争性磋商采购方式管理暂行办法》（财库〔2014〕214号）的规定，服务项目的价格分值占总分值的比重(即权值)为</w:t>
            </w:r>
            <w:r>
              <w:rPr>
                <w:rFonts w:ascii="宋体" w:hAnsi="宋体" w:cs="宋体"/>
                <w:kern w:val="0"/>
                <w:szCs w:val="21"/>
                <w:lang w:val="zh-CN"/>
              </w:rPr>
              <w:t>1</w:t>
            </w:r>
            <w:r>
              <w:rPr>
                <w:rFonts w:hint="eastAsia" w:ascii="宋体" w:hAnsi="宋体" w:cs="宋体"/>
                <w:kern w:val="0"/>
                <w:szCs w:val="21"/>
                <w:lang w:val="zh-CN"/>
              </w:rPr>
              <w:t>0%-</w:t>
            </w:r>
            <w:r>
              <w:rPr>
                <w:rFonts w:ascii="宋体" w:hAnsi="宋体" w:cs="宋体"/>
                <w:kern w:val="0"/>
                <w:szCs w:val="21"/>
                <w:lang w:val="zh-CN"/>
              </w:rPr>
              <w:t>3</w:t>
            </w:r>
            <w:r>
              <w:rPr>
                <w:rFonts w:hint="eastAsia" w:ascii="宋体" w:hAnsi="宋体" w:cs="宋体"/>
                <w:kern w:val="0"/>
                <w:szCs w:val="21"/>
                <w:lang w:val="zh-CN"/>
              </w:rPr>
              <w:t>0%。</w:t>
            </w:r>
          </w:p>
          <w:p w14:paraId="242A0E7A">
            <w:pPr>
              <w:widowControl/>
              <w:rPr>
                <w:rFonts w:ascii="宋体" w:hAnsi="宋体" w:cs="宋体"/>
                <w:kern w:val="0"/>
                <w:szCs w:val="21"/>
                <w:lang w:val="zh-CN"/>
              </w:rPr>
            </w:pPr>
            <w:r>
              <w:rPr>
                <w:rFonts w:hint="eastAsia" w:ascii="宋体" w:hAnsi="宋体" w:cs="宋体"/>
                <w:kern w:val="0"/>
                <w:szCs w:val="21"/>
                <w:lang w:val="zh-CN"/>
              </w:rPr>
              <w:t>[其他采购方式]无须设置。</w:t>
            </w:r>
          </w:p>
        </w:tc>
      </w:tr>
      <w:tr w14:paraId="2D2F2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0CCB6F1">
            <w:pPr>
              <w:snapToGrid w:val="0"/>
              <w:spacing w:after="200"/>
              <w:jc w:val="center"/>
              <w:rPr>
                <w:rFonts w:ascii="宋体" w:hAnsi="宋体"/>
                <w:sz w:val="24"/>
              </w:rPr>
            </w:pPr>
            <w:r>
              <w:rPr>
                <w:rFonts w:ascii="宋体" w:hAnsi="宋体"/>
                <w:sz w:val="24"/>
              </w:rPr>
              <w:t>9</w:t>
            </w:r>
          </w:p>
        </w:tc>
        <w:tc>
          <w:tcPr>
            <w:tcW w:w="1556" w:type="dxa"/>
            <w:vAlign w:val="center"/>
          </w:tcPr>
          <w:p w14:paraId="14B0B828">
            <w:pPr>
              <w:pStyle w:val="31"/>
              <w:ind w:left="96"/>
              <w:jc w:val="center"/>
              <w:rPr>
                <w:kern w:val="2"/>
                <w:lang w:val="zh-CN"/>
              </w:rPr>
            </w:pPr>
            <w:r>
              <w:rPr>
                <w:kern w:val="2"/>
                <w:lang w:val="zh-CN"/>
              </w:rPr>
              <w:t>合同类型</w:t>
            </w:r>
          </w:p>
        </w:tc>
        <w:tc>
          <w:tcPr>
            <w:tcW w:w="7067" w:type="dxa"/>
            <w:vAlign w:val="center"/>
          </w:tcPr>
          <w:p w14:paraId="40E110C2">
            <w:pPr>
              <w:rPr>
                <w:rFonts w:ascii="宋体" w:hAnsi="宋体"/>
                <w:b/>
                <w:sz w:val="24"/>
                <w:lang w:val="zh-CN"/>
              </w:rPr>
            </w:pPr>
            <w:r>
              <w:rPr>
                <w:rFonts w:hint="eastAsia" w:ascii="宋体" w:hAnsi="宋体"/>
                <w:b/>
                <w:sz w:val="24"/>
                <w:lang w:val="zh-CN"/>
              </w:rPr>
              <w:t>√</w:t>
            </w:r>
            <w:r>
              <w:rPr>
                <w:rFonts w:ascii="宋体" w:hAnsi="宋体"/>
                <w:b/>
                <w:sz w:val="24"/>
                <w:lang w:val="zh-CN"/>
              </w:rPr>
              <w:t>固定总价</w:t>
            </w:r>
          </w:p>
          <w:p w14:paraId="549A9829">
            <w:pPr>
              <w:rPr>
                <w:rFonts w:ascii="宋体" w:hAnsi="宋体"/>
                <w:b/>
                <w:sz w:val="24"/>
                <w:lang w:val="zh-CN"/>
              </w:rPr>
            </w:pPr>
            <w:r>
              <w:rPr>
                <w:rFonts w:ascii="宋体" w:hAnsi="宋体"/>
                <w:b/>
                <w:sz w:val="24"/>
                <w:lang w:val="zh-CN"/>
              </w:rPr>
              <w:t>○固定单价（适用于采购数量不定的情形）</w:t>
            </w:r>
          </w:p>
          <w:p w14:paraId="1EA37E88">
            <w:pPr>
              <w:rPr>
                <w:rFonts w:ascii="宋体" w:hAnsi="宋体"/>
                <w:sz w:val="24"/>
                <w:lang w:val="zh-CN"/>
              </w:rPr>
            </w:pPr>
            <w:r>
              <w:rPr>
                <w:rFonts w:ascii="宋体" w:hAnsi="宋体"/>
                <w:b/>
                <w:sz w:val="24"/>
                <w:lang w:val="zh-CN"/>
              </w:rPr>
              <w:t>○其他</w:t>
            </w:r>
            <w:r>
              <w:rPr>
                <w:rFonts w:hint="eastAsia" w:ascii="宋体" w:hAnsi="宋体"/>
                <w:b/>
                <w:sz w:val="24"/>
                <w:lang w:val="zh-CN"/>
              </w:rPr>
              <w:t>：_____________________________</w:t>
            </w:r>
          </w:p>
        </w:tc>
      </w:tr>
      <w:tr w14:paraId="5998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751FD1CB">
            <w:pPr>
              <w:snapToGrid w:val="0"/>
              <w:spacing w:after="200"/>
              <w:jc w:val="center"/>
              <w:rPr>
                <w:rFonts w:ascii="宋体" w:hAnsi="宋体"/>
                <w:sz w:val="24"/>
              </w:rPr>
            </w:pPr>
            <w:r>
              <w:rPr>
                <w:rFonts w:ascii="宋体" w:hAnsi="宋体"/>
                <w:sz w:val="24"/>
              </w:rPr>
              <w:t>10</w:t>
            </w:r>
          </w:p>
        </w:tc>
        <w:tc>
          <w:tcPr>
            <w:tcW w:w="1556" w:type="dxa"/>
            <w:vAlign w:val="center"/>
          </w:tcPr>
          <w:p w14:paraId="47FE1730">
            <w:pPr>
              <w:tabs>
                <w:tab w:val="left" w:pos="7665"/>
              </w:tabs>
              <w:snapToGrid w:val="0"/>
              <w:jc w:val="center"/>
              <w:rPr>
                <w:rFonts w:ascii="宋体" w:hAnsi="宋体"/>
                <w:sz w:val="24"/>
              </w:rPr>
            </w:pPr>
            <w:r>
              <w:rPr>
                <w:rFonts w:ascii="宋体" w:hAnsi="宋体"/>
                <w:sz w:val="24"/>
              </w:rPr>
              <w:t>争议解决途径</w:t>
            </w:r>
          </w:p>
        </w:tc>
        <w:tc>
          <w:tcPr>
            <w:tcW w:w="7067" w:type="dxa"/>
            <w:vAlign w:val="center"/>
          </w:tcPr>
          <w:p w14:paraId="170C7AE9">
            <w:pPr>
              <w:tabs>
                <w:tab w:val="left" w:pos="7665"/>
              </w:tabs>
              <w:snapToGrid w:val="0"/>
              <w:rPr>
                <w:rFonts w:ascii="宋体" w:hAnsi="宋体"/>
                <w:b/>
                <w:sz w:val="24"/>
              </w:rPr>
            </w:pPr>
            <w:r>
              <w:rPr>
                <w:rFonts w:hint="eastAsia" w:ascii="宋体" w:hAnsi="宋体"/>
                <w:b/>
                <w:sz w:val="24"/>
              </w:rPr>
              <w:t>√</w:t>
            </w:r>
            <w:r>
              <w:rPr>
                <w:rFonts w:ascii="宋体" w:hAnsi="宋体"/>
                <w:b/>
                <w:sz w:val="24"/>
              </w:rPr>
              <w:t>向有管辖权的人民法院提起诉讼</w:t>
            </w:r>
          </w:p>
          <w:p w14:paraId="025CB99A">
            <w:pPr>
              <w:tabs>
                <w:tab w:val="left" w:pos="7665"/>
              </w:tabs>
              <w:snapToGrid w:val="0"/>
              <w:rPr>
                <w:rFonts w:ascii="宋体" w:hAnsi="宋体"/>
                <w:b/>
                <w:sz w:val="24"/>
              </w:rPr>
            </w:pPr>
            <w:r>
              <w:rPr>
                <w:rFonts w:ascii="宋体" w:hAnsi="宋体"/>
                <w:b/>
                <w:sz w:val="24"/>
              </w:rPr>
              <w:t>○向西安仲裁委员会提请仲裁</w:t>
            </w:r>
          </w:p>
          <w:p w14:paraId="4F27960F">
            <w:pPr>
              <w:tabs>
                <w:tab w:val="left" w:pos="7665"/>
              </w:tabs>
              <w:snapToGrid w:val="0"/>
              <w:rPr>
                <w:rFonts w:ascii="宋体" w:hAnsi="宋体"/>
                <w:sz w:val="24"/>
              </w:rPr>
            </w:pPr>
            <w:r>
              <w:rPr>
                <w:rFonts w:ascii="宋体" w:hAnsi="宋体"/>
                <w:b/>
                <w:sz w:val="24"/>
              </w:rPr>
              <w:t>○由供应商做出选择</w:t>
            </w:r>
          </w:p>
        </w:tc>
      </w:tr>
      <w:tr w14:paraId="585A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2611A1C">
            <w:pPr>
              <w:snapToGrid w:val="0"/>
              <w:spacing w:after="200"/>
              <w:jc w:val="center"/>
              <w:rPr>
                <w:rFonts w:ascii="宋体" w:hAnsi="宋体"/>
                <w:sz w:val="24"/>
              </w:rPr>
            </w:pPr>
            <w:r>
              <w:rPr>
                <w:rFonts w:ascii="宋体" w:hAnsi="宋体"/>
                <w:sz w:val="24"/>
              </w:rPr>
              <w:t>11</w:t>
            </w:r>
          </w:p>
        </w:tc>
        <w:tc>
          <w:tcPr>
            <w:tcW w:w="1556" w:type="dxa"/>
            <w:vAlign w:val="center"/>
          </w:tcPr>
          <w:p w14:paraId="633F467F">
            <w:pPr>
              <w:snapToGrid w:val="0"/>
              <w:jc w:val="center"/>
              <w:rPr>
                <w:rFonts w:ascii="宋体" w:hAnsi="宋体"/>
                <w:sz w:val="24"/>
              </w:rPr>
            </w:pPr>
            <w:r>
              <w:rPr>
                <w:rFonts w:hint="eastAsia" w:ascii="宋体" w:hAnsi="宋体"/>
                <w:sz w:val="24"/>
              </w:rPr>
              <w:t>联系方式</w:t>
            </w:r>
          </w:p>
        </w:tc>
        <w:tc>
          <w:tcPr>
            <w:tcW w:w="7067" w:type="dxa"/>
            <w:vAlign w:val="center"/>
          </w:tcPr>
          <w:p w14:paraId="19BAF8A9">
            <w:pPr>
              <w:tabs>
                <w:tab w:val="left" w:pos="7665"/>
              </w:tabs>
              <w:snapToGrid w:val="0"/>
              <w:rPr>
                <w:rFonts w:ascii="宋体" w:hAnsi="宋体"/>
                <w:b/>
                <w:bCs/>
                <w:sz w:val="24"/>
              </w:rPr>
            </w:pPr>
            <w:r>
              <w:rPr>
                <w:rFonts w:hint="eastAsia" w:ascii="宋体" w:hAnsi="宋体"/>
                <w:b/>
                <w:bCs/>
                <w:sz w:val="24"/>
              </w:rPr>
              <w:t>项目对接人：</w:t>
            </w:r>
            <w:r>
              <w:rPr>
                <w:rFonts w:hint="eastAsia" w:ascii="宋体" w:hAnsi="宋体"/>
                <w:b/>
                <w:bCs/>
                <w:sz w:val="24"/>
                <w:u w:val="single"/>
              </w:rPr>
              <w:t>朱桂强</w:t>
            </w:r>
          </w:p>
          <w:p w14:paraId="3D8D9902">
            <w:pPr>
              <w:tabs>
                <w:tab w:val="left" w:pos="7665"/>
              </w:tabs>
              <w:snapToGrid w:val="0"/>
              <w:rPr>
                <w:rFonts w:ascii="宋体" w:hAnsi="宋体"/>
                <w:b/>
                <w:bCs/>
                <w:sz w:val="24"/>
                <w:u w:val="single"/>
              </w:rPr>
            </w:pPr>
            <w:r>
              <w:rPr>
                <w:rFonts w:ascii="宋体" w:hAnsi="宋体"/>
                <w:b/>
                <w:bCs/>
                <w:sz w:val="24"/>
              </w:rPr>
              <w:t>联系电话：</w:t>
            </w:r>
            <w:r>
              <w:rPr>
                <w:rFonts w:hint="eastAsia" w:ascii="宋体" w:hAnsi="宋体"/>
                <w:b/>
                <w:bCs/>
                <w:sz w:val="24"/>
                <w:u w:val="single"/>
              </w:rPr>
              <w:t>13891994468</w:t>
            </w:r>
          </w:p>
          <w:p w14:paraId="72FFAA03">
            <w:pPr>
              <w:tabs>
                <w:tab w:val="left" w:pos="7665"/>
              </w:tabs>
              <w:snapToGrid w:val="0"/>
              <w:rPr>
                <w:rFonts w:ascii="宋体" w:hAnsi="宋体"/>
                <w:sz w:val="24"/>
              </w:rPr>
            </w:pPr>
            <w:r>
              <w:rPr>
                <w:rFonts w:ascii="宋体" w:hAnsi="宋体"/>
                <w:b/>
                <w:bCs/>
                <w:sz w:val="24"/>
              </w:rPr>
              <w:t>电子邮箱：</w:t>
            </w:r>
            <w:r>
              <w:rPr>
                <w:rFonts w:hint="eastAsia" w:ascii="宋体" w:hAnsi="宋体"/>
                <w:b/>
                <w:bCs/>
                <w:sz w:val="24"/>
                <w:u w:val="single"/>
              </w:rPr>
              <w:t>2393228990@qq.com</w:t>
            </w:r>
          </w:p>
        </w:tc>
      </w:tr>
    </w:tbl>
    <w:p w14:paraId="5484F48A">
      <w:pPr>
        <w:widowControl/>
        <w:jc w:val="center"/>
        <w:rPr>
          <w:rFonts w:ascii="仿宋" w:hAnsi="仿宋" w:eastAsia="仿宋"/>
          <w:b/>
          <w:sz w:val="32"/>
          <w:szCs w:val="32"/>
        </w:rPr>
      </w:pPr>
    </w:p>
    <w:p w14:paraId="786C264B">
      <w:pPr>
        <w:widowControl/>
        <w:jc w:val="center"/>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（服务类</w:t>
      </w:r>
      <w:r>
        <w:rPr>
          <w:rFonts w:ascii="仿宋" w:hAnsi="仿宋" w:eastAsia="仿宋"/>
          <w:b/>
          <w:sz w:val="32"/>
          <w:szCs w:val="32"/>
        </w:rPr>
        <w:t>）</w:t>
      </w:r>
    </w:p>
    <w:p w14:paraId="4726764E">
      <w:pPr>
        <w:pBdr>
          <w:bottom w:val="single" w:color="auto" w:sz="4" w:space="1"/>
        </w:pBdr>
        <w:spacing w:beforeLines="100"/>
        <w:ind w:left="420" w:hanging="420"/>
        <w:rPr>
          <w:rFonts w:ascii="仿宋" w:hAnsi="仿宋" w:eastAsia="仿宋"/>
          <w:b/>
          <w:sz w:val="28"/>
          <w:szCs w:val="28"/>
        </w:rPr>
      </w:pPr>
      <w:r>
        <w:rPr>
          <w:rFonts w:ascii="仿宋" w:hAnsi="仿宋" w:eastAsia="仿宋"/>
          <w:b/>
          <w:sz w:val="28"/>
          <w:szCs w:val="28"/>
        </w:rPr>
        <w:t>一、项目</w:t>
      </w:r>
      <w:r>
        <w:rPr>
          <w:rFonts w:hint="eastAsia" w:ascii="仿宋" w:hAnsi="仿宋" w:eastAsia="仿宋"/>
          <w:b/>
          <w:sz w:val="28"/>
          <w:szCs w:val="28"/>
        </w:rPr>
        <w:t>概况</w:t>
      </w:r>
    </w:p>
    <w:p w14:paraId="344F4547">
      <w:pPr>
        <w:jc w:val="left"/>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5</w:t>
      </w:r>
      <w:r>
        <w:rPr>
          <w:rFonts w:hint="eastAsia" w:ascii="仿宋" w:hAnsi="仿宋" w:eastAsia="仿宋"/>
          <w:sz w:val="28"/>
          <w:szCs w:val="28"/>
        </w:rPr>
        <w:t>年第一批市级农业专项</w:t>
      </w:r>
      <w:r>
        <w:rPr>
          <w:rFonts w:hint="eastAsia" w:ascii="仿宋" w:hAnsi="仿宋" w:eastAsia="仿宋"/>
          <w:sz w:val="28"/>
          <w:szCs w:val="28"/>
          <w:lang w:val="en-US" w:eastAsia="zh-CN"/>
        </w:rPr>
        <w:t>资金（阎良区</w:t>
      </w:r>
      <w:r>
        <w:rPr>
          <w:rFonts w:hint="eastAsia" w:ascii="仿宋" w:hAnsi="仿宋" w:eastAsia="仿宋"/>
          <w:sz w:val="28"/>
          <w:szCs w:val="28"/>
        </w:rPr>
        <w:t>农作物重大病虫应急防控</w:t>
      </w:r>
      <w:r>
        <w:rPr>
          <w:rFonts w:hint="eastAsia" w:ascii="仿宋" w:hAnsi="仿宋" w:eastAsia="仿宋"/>
          <w:sz w:val="28"/>
          <w:szCs w:val="28"/>
          <w:lang w:eastAsia="zh-CN"/>
        </w:rPr>
        <w:t>）</w:t>
      </w:r>
      <w:r>
        <w:rPr>
          <w:rFonts w:hint="eastAsia" w:ascii="仿宋" w:hAnsi="仿宋" w:eastAsia="仿宋"/>
          <w:sz w:val="28"/>
          <w:szCs w:val="28"/>
        </w:rPr>
        <w:t>项目</w:t>
      </w:r>
    </w:p>
    <w:p w14:paraId="6B2A7C39">
      <w:pPr>
        <w:jc w:val="left"/>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val="en-US" w:eastAsia="zh-CN"/>
        </w:rPr>
        <w:t>竞争性</w:t>
      </w:r>
      <w:r>
        <w:rPr>
          <w:rFonts w:hint="eastAsia" w:ascii="仿宋" w:hAnsi="仿宋" w:eastAsia="仿宋"/>
          <w:sz w:val="28"/>
          <w:szCs w:val="28"/>
        </w:rPr>
        <w:t>磋商</w:t>
      </w:r>
    </w:p>
    <w:p w14:paraId="64AEAF8E">
      <w:pPr>
        <w:jc w:val="left"/>
        <w:rPr>
          <w:rFonts w:ascii="仿宋" w:hAnsi="仿宋" w:eastAsia="仿宋"/>
          <w:sz w:val="28"/>
          <w:szCs w:val="28"/>
        </w:rPr>
      </w:pPr>
      <w:r>
        <w:rPr>
          <w:rFonts w:hint="eastAsia" w:ascii="仿宋" w:hAnsi="仿宋" w:eastAsia="仿宋"/>
          <w:sz w:val="28"/>
          <w:szCs w:val="28"/>
        </w:rPr>
        <w:t>预算金额：4</w:t>
      </w:r>
      <w:r>
        <w:rPr>
          <w:rFonts w:hint="eastAsia" w:ascii="仿宋" w:hAnsi="仿宋" w:eastAsia="仿宋"/>
          <w:sz w:val="28"/>
          <w:szCs w:val="28"/>
          <w:lang w:val="en-US" w:eastAsia="zh-CN"/>
        </w:rPr>
        <w:t>500</w:t>
      </w:r>
      <w:r>
        <w:rPr>
          <w:rFonts w:hint="eastAsia" w:ascii="仿宋" w:hAnsi="仿宋" w:eastAsia="仿宋"/>
          <w:sz w:val="28"/>
          <w:szCs w:val="28"/>
        </w:rPr>
        <w:t>00.00元</w:t>
      </w:r>
    </w:p>
    <w:p w14:paraId="1F82B1D3">
      <w:pPr>
        <w:pBdr>
          <w:bottom w:val="single" w:color="auto" w:sz="4" w:space="1"/>
        </w:pBdr>
        <w:spacing w:beforeLines="100"/>
        <w:ind w:left="420" w:hanging="420"/>
        <w:rPr>
          <w:rFonts w:ascii="仿宋" w:hAnsi="仿宋" w:eastAsia="仿宋"/>
          <w:b/>
          <w:sz w:val="28"/>
          <w:szCs w:val="28"/>
        </w:rPr>
      </w:pPr>
      <w:r>
        <w:rPr>
          <w:rFonts w:hint="eastAsia" w:ascii="仿宋" w:hAnsi="仿宋" w:eastAsia="仿宋"/>
          <w:b/>
          <w:sz w:val="28"/>
          <w:szCs w:val="28"/>
        </w:rPr>
        <w:t>二、服务内容（包括工作区域、工作内容等）</w:t>
      </w:r>
    </w:p>
    <w:p w14:paraId="1DF8D478">
      <w:pPr>
        <w:wordWrap/>
        <w:autoSpaceDE w:val="0"/>
        <w:autoSpaceDN w:val="0"/>
        <w:adjustRightInd w:val="0"/>
        <w:snapToGrid/>
        <w:spacing w:line="360" w:lineRule="auto"/>
        <w:ind w:firstLine="660"/>
        <w:textAlignment w:val="auto"/>
        <w:rPr>
          <w:rFonts w:ascii="仿宋" w:hAnsi="仿宋" w:eastAsia="仿宋"/>
          <w:sz w:val="28"/>
          <w:szCs w:val="28"/>
        </w:rPr>
      </w:pPr>
      <w:r>
        <w:rPr>
          <w:rFonts w:hint="eastAsia" w:ascii="仿宋" w:hAnsi="仿宋" w:eastAsia="仿宋"/>
          <w:sz w:val="28"/>
          <w:szCs w:val="28"/>
        </w:rPr>
        <w:t>在阎良区粮食种植街办，</w:t>
      </w:r>
      <w:r>
        <w:rPr>
          <w:rFonts w:hint="eastAsia" w:ascii="仿宋_GB2312" w:hAnsi="宋体" w:eastAsia="仿宋_GB2312"/>
          <w:kern w:val="0"/>
          <w:sz w:val="32"/>
          <w:szCs w:val="32"/>
          <w:lang w:eastAsia="zh-CN"/>
        </w:rPr>
        <w:t>全区</w:t>
      </w:r>
      <w:r>
        <w:rPr>
          <w:rFonts w:hint="eastAsia" w:ascii="仿宋_GB2312" w:hAnsi="宋体" w:eastAsia="仿宋_GB2312"/>
          <w:kern w:val="0"/>
          <w:sz w:val="32"/>
          <w:szCs w:val="32"/>
          <w:lang w:val="en-US" w:eastAsia="zh-CN"/>
        </w:rPr>
        <w:t>小麦</w:t>
      </w:r>
      <w:r>
        <w:rPr>
          <w:rFonts w:hint="eastAsia" w:ascii="仿宋_GB2312" w:hAnsi="宋体" w:eastAsia="仿宋_GB2312"/>
          <w:kern w:val="0"/>
          <w:sz w:val="32"/>
          <w:szCs w:val="32"/>
          <w:lang w:eastAsia="zh-CN"/>
        </w:rPr>
        <w:t>种植区域按照粮食种植面积进行分配，</w:t>
      </w:r>
      <w:r>
        <w:rPr>
          <w:rFonts w:hint="eastAsia" w:ascii="仿宋_GB2312" w:hAnsi="宋体" w:eastAsia="仿宋_GB2312"/>
          <w:kern w:val="0"/>
          <w:sz w:val="32"/>
          <w:szCs w:val="32"/>
        </w:rPr>
        <w:t>开展</w:t>
      </w:r>
      <w:r>
        <w:rPr>
          <w:rFonts w:hint="eastAsia" w:ascii="仿宋" w:hAnsi="仿宋" w:eastAsia="仿宋"/>
          <w:kern w:val="0"/>
          <w:sz w:val="32"/>
          <w:szCs w:val="32"/>
          <w:lang w:val="en-US" w:eastAsia="zh-CN"/>
        </w:rPr>
        <w:t>小麦条锈病、赤霉病</w:t>
      </w:r>
      <w:r>
        <w:rPr>
          <w:rFonts w:hint="eastAsia" w:ascii="仿宋" w:hAnsi="仿宋" w:eastAsia="仿宋"/>
          <w:kern w:val="0"/>
          <w:sz w:val="32"/>
          <w:szCs w:val="32"/>
        </w:rPr>
        <w:t>等为主的重大病虫害统防统治</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防止农作物病虫发生危害蔓延，确保粮食生产安全。</w:t>
      </w:r>
    </w:p>
    <w:p w14:paraId="40A64726">
      <w:pPr>
        <w:numPr>
          <w:ilvl w:val="0"/>
          <w:numId w:val="1"/>
        </w:numPr>
        <w:pBdr>
          <w:bottom w:val="single" w:color="auto" w:sz="4" w:space="1"/>
        </w:pBdr>
        <w:spacing w:beforeLines="100"/>
        <w:ind w:left="420" w:hanging="420"/>
        <w:rPr>
          <w:rFonts w:ascii="仿宋" w:hAnsi="仿宋" w:eastAsia="仿宋"/>
          <w:b/>
          <w:sz w:val="28"/>
          <w:szCs w:val="28"/>
        </w:rPr>
      </w:pPr>
      <w:r>
        <w:rPr>
          <w:rFonts w:hint="eastAsia" w:ascii="仿宋" w:hAnsi="仿宋" w:eastAsia="仿宋"/>
          <w:b/>
          <w:sz w:val="28"/>
          <w:szCs w:val="28"/>
        </w:rPr>
        <w:t>技术要求（如有，一般适合于技术服务项目）</w:t>
      </w:r>
    </w:p>
    <w:tbl>
      <w:tblPr>
        <w:tblStyle w:val="8"/>
        <w:tblpPr w:leftFromText="180" w:rightFromText="180" w:vertAnchor="text" w:horzAnchor="margin" w:tblpXSpec="left" w:tblpY="3250"/>
        <w:tblOverlap w:val="never"/>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724"/>
        <w:gridCol w:w="1196"/>
        <w:gridCol w:w="4293"/>
        <w:gridCol w:w="914"/>
      </w:tblGrid>
      <w:tr w14:paraId="0E6F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633" w:type="dxa"/>
            <w:vAlign w:val="center"/>
          </w:tcPr>
          <w:p w14:paraId="0262D592">
            <w:pPr>
              <w:jc w:val="left"/>
              <w:rPr>
                <w:rFonts w:ascii="仿宋" w:hAnsi="仿宋" w:eastAsia="仿宋"/>
                <w:sz w:val="28"/>
                <w:szCs w:val="28"/>
              </w:rPr>
            </w:pPr>
            <w:r>
              <w:rPr>
                <w:rFonts w:hint="eastAsia" w:ascii="仿宋" w:hAnsi="仿宋" w:eastAsia="仿宋"/>
                <w:sz w:val="28"/>
                <w:szCs w:val="28"/>
              </w:rPr>
              <w:t>序号</w:t>
            </w:r>
          </w:p>
        </w:tc>
        <w:tc>
          <w:tcPr>
            <w:tcW w:w="1724" w:type="dxa"/>
            <w:vAlign w:val="center"/>
          </w:tcPr>
          <w:p w14:paraId="4FFA3DC0">
            <w:pPr>
              <w:jc w:val="center"/>
              <w:rPr>
                <w:rFonts w:ascii="仿宋" w:hAnsi="仿宋" w:eastAsia="仿宋"/>
                <w:sz w:val="28"/>
                <w:szCs w:val="28"/>
              </w:rPr>
            </w:pPr>
            <w:r>
              <w:rPr>
                <w:rFonts w:hint="eastAsia" w:ascii="仿宋" w:hAnsi="仿宋" w:eastAsia="仿宋"/>
                <w:sz w:val="28"/>
                <w:szCs w:val="28"/>
              </w:rPr>
              <w:t>内容</w:t>
            </w:r>
          </w:p>
        </w:tc>
        <w:tc>
          <w:tcPr>
            <w:tcW w:w="1196" w:type="dxa"/>
            <w:vAlign w:val="center"/>
          </w:tcPr>
          <w:p w14:paraId="58C569D7">
            <w:pPr>
              <w:jc w:val="center"/>
              <w:rPr>
                <w:rFonts w:ascii="仿宋" w:hAnsi="仿宋" w:eastAsia="仿宋"/>
                <w:sz w:val="28"/>
                <w:szCs w:val="28"/>
              </w:rPr>
            </w:pPr>
            <w:r>
              <w:rPr>
                <w:rFonts w:hint="eastAsia" w:ascii="仿宋" w:hAnsi="仿宋" w:eastAsia="仿宋"/>
                <w:sz w:val="28"/>
                <w:szCs w:val="28"/>
              </w:rPr>
              <w:t>面积</w:t>
            </w:r>
          </w:p>
          <w:p w14:paraId="66D4B4FB">
            <w:pPr>
              <w:jc w:val="center"/>
              <w:rPr>
                <w:rFonts w:ascii="仿宋" w:hAnsi="仿宋" w:eastAsia="仿宋"/>
                <w:sz w:val="28"/>
                <w:szCs w:val="28"/>
              </w:rPr>
            </w:pPr>
            <w:r>
              <w:rPr>
                <w:rFonts w:hint="eastAsia" w:ascii="仿宋" w:hAnsi="仿宋" w:eastAsia="仿宋"/>
                <w:sz w:val="28"/>
                <w:szCs w:val="28"/>
              </w:rPr>
              <w:t>（亩）</w:t>
            </w:r>
          </w:p>
        </w:tc>
        <w:tc>
          <w:tcPr>
            <w:tcW w:w="4293" w:type="dxa"/>
            <w:vAlign w:val="center"/>
          </w:tcPr>
          <w:p w14:paraId="1800CC52">
            <w:pPr>
              <w:jc w:val="center"/>
              <w:rPr>
                <w:rFonts w:ascii="仿宋" w:hAnsi="仿宋" w:eastAsia="仿宋"/>
                <w:sz w:val="28"/>
                <w:szCs w:val="28"/>
              </w:rPr>
            </w:pPr>
            <w:r>
              <w:rPr>
                <w:rFonts w:hint="eastAsia" w:ascii="仿宋" w:hAnsi="仿宋" w:eastAsia="仿宋"/>
                <w:sz w:val="28"/>
                <w:szCs w:val="28"/>
              </w:rPr>
              <w:t>技术要求</w:t>
            </w:r>
          </w:p>
        </w:tc>
        <w:tc>
          <w:tcPr>
            <w:tcW w:w="914" w:type="dxa"/>
            <w:vAlign w:val="center"/>
          </w:tcPr>
          <w:p w14:paraId="29299B0C">
            <w:pPr>
              <w:jc w:val="center"/>
              <w:rPr>
                <w:rFonts w:ascii="仿宋" w:hAnsi="仿宋" w:eastAsia="仿宋"/>
                <w:sz w:val="28"/>
                <w:szCs w:val="28"/>
              </w:rPr>
            </w:pPr>
            <w:r>
              <w:rPr>
                <w:rFonts w:hint="eastAsia" w:ascii="仿宋" w:hAnsi="仿宋" w:eastAsia="仿宋"/>
                <w:sz w:val="28"/>
                <w:szCs w:val="28"/>
              </w:rPr>
              <w:t>备注</w:t>
            </w:r>
          </w:p>
        </w:tc>
      </w:tr>
      <w:tr w14:paraId="20B7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4" w:hRule="exact"/>
        </w:trPr>
        <w:tc>
          <w:tcPr>
            <w:tcW w:w="633" w:type="dxa"/>
            <w:vAlign w:val="center"/>
          </w:tcPr>
          <w:p w14:paraId="3A095EEB">
            <w:pPr>
              <w:jc w:val="left"/>
              <w:rPr>
                <w:rFonts w:ascii="仿宋" w:hAnsi="仿宋" w:eastAsia="仿宋"/>
                <w:sz w:val="28"/>
                <w:szCs w:val="28"/>
              </w:rPr>
            </w:pPr>
            <w:r>
              <w:rPr>
                <w:rFonts w:hint="eastAsia" w:ascii="仿宋" w:hAnsi="仿宋" w:eastAsia="仿宋"/>
                <w:sz w:val="28"/>
                <w:szCs w:val="28"/>
              </w:rPr>
              <w:t>1</w:t>
            </w:r>
          </w:p>
        </w:tc>
        <w:tc>
          <w:tcPr>
            <w:tcW w:w="1724" w:type="dxa"/>
            <w:vAlign w:val="center"/>
          </w:tcPr>
          <w:p w14:paraId="13E2CDC4">
            <w:pPr>
              <w:jc w:val="center"/>
              <w:rPr>
                <w:rFonts w:ascii="仿宋" w:hAnsi="仿宋" w:eastAsia="仿宋"/>
                <w:sz w:val="28"/>
                <w:szCs w:val="28"/>
              </w:rPr>
            </w:pPr>
            <w:r>
              <w:rPr>
                <w:rFonts w:hint="eastAsia" w:ascii="仿宋" w:hAnsi="仿宋" w:eastAsia="仿宋"/>
                <w:sz w:val="28"/>
                <w:szCs w:val="28"/>
              </w:rPr>
              <w:t>病虫应急防控药剂</w:t>
            </w:r>
          </w:p>
        </w:tc>
        <w:tc>
          <w:tcPr>
            <w:tcW w:w="1196" w:type="dxa"/>
            <w:vAlign w:val="center"/>
          </w:tcPr>
          <w:p w14:paraId="35BE6CC2">
            <w:pPr>
              <w:jc w:val="center"/>
              <w:rPr>
                <w:rFonts w:hint="default" w:ascii="仿宋" w:hAnsi="仿宋" w:eastAsia="仿宋"/>
                <w:sz w:val="28"/>
                <w:szCs w:val="28"/>
                <w:lang w:val="en-US" w:eastAsia="zh-CN"/>
              </w:rPr>
            </w:pPr>
            <w:r>
              <w:rPr>
                <w:rFonts w:hint="eastAsia" w:ascii="仿宋" w:hAnsi="仿宋" w:eastAsia="仿宋"/>
                <w:sz w:val="28"/>
                <w:szCs w:val="28"/>
              </w:rPr>
              <w:t>2</w:t>
            </w:r>
            <w:r>
              <w:rPr>
                <w:rFonts w:hint="eastAsia" w:ascii="仿宋" w:hAnsi="仿宋" w:eastAsia="仿宋"/>
                <w:sz w:val="28"/>
                <w:szCs w:val="28"/>
                <w:lang w:val="en-US" w:eastAsia="zh-CN"/>
              </w:rPr>
              <w:t>2500</w:t>
            </w:r>
          </w:p>
        </w:tc>
        <w:tc>
          <w:tcPr>
            <w:tcW w:w="4293" w:type="dxa"/>
            <w:vAlign w:val="center"/>
          </w:tcPr>
          <w:p w14:paraId="1889D480">
            <w:pPr>
              <w:numPr>
                <w:ilvl w:val="0"/>
                <w:numId w:val="2"/>
              </w:numPr>
              <w:spacing w:line="380" w:lineRule="exact"/>
              <w:jc w:val="left"/>
              <w:rPr>
                <w:rFonts w:hint="eastAsia" w:ascii="仿宋" w:hAnsi="仿宋" w:eastAsia="仿宋"/>
                <w:sz w:val="28"/>
                <w:szCs w:val="28"/>
                <w:lang w:eastAsia="zh-CN"/>
              </w:rPr>
            </w:pPr>
            <w:r>
              <w:rPr>
                <w:rFonts w:hint="eastAsia" w:ascii="仿宋" w:hAnsi="仿宋" w:eastAsia="仿宋"/>
                <w:sz w:val="28"/>
                <w:szCs w:val="28"/>
                <w:lang w:eastAsia="zh-CN"/>
              </w:rPr>
              <w:t>杀虫剂：</w:t>
            </w:r>
            <w:r>
              <w:rPr>
                <w:rFonts w:hint="eastAsia" w:ascii="仿宋" w:hAnsi="仿宋" w:eastAsia="仿宋"/>
                <w:sz w:val="28"/>
                <w:szCs w:val="28"/>
                <w:lang w:val="en-US" w:eastAsia="zh-CN"/>
              </w:rPr>
              <w:t>22%噻虫高氯氟12g/袋，亩用量12g,共22500袋。</w:t>
            </w:r>
          </w:p>
          <w:p w14:paraId="783426D2">
            <w:pPr>
              <w:numPr>
                <w:ilvl w:val="0"/>
                <w:numId w:val="2"/>
              </w:numPr>
              <w:spacing w:line="380" w:lineRule="exact"/>
              <w:jc w:val="left"/>
              <w:rPr>
                <w:rFonts w:hint="eastAsia" w:ascii="仿宋" w:hAnsi="仿宋" w:eastAsia="仿宋"/>
                <w:sz w:val="28"/>
                <w:szCs w:val="28"/>
                <w:lang w:eastAsia="zh-CN"/>
              </w:rPr>
            </w:pPr>
            <w:r>
              <w:rPr>
                <w:rFonts w:hint="eastAsia" w:ascii="仿宋" w:hAnsi="仿宋" w:eastAsia="仿宋"/>
                <w:sz w:val="28"/>
                <w:szCs w:val="28"/>
                <w:lang w:val="en-US" w:eastAsia="zh-CN"/>
              </w:rPr>
              <w:t>杀菌剂：25%吡唑醚菌酯，10g/袋，亩用量10g,共22500袋</w:t>
            </w:r>
          </w:p>
          <w:p w14:paraId="1496F9E7">
            <w:pPr>
              <w:numPr>
                <w:ilvl w:val="0"/>
                <w:numId w:val="2"/>
              </w:numPr>
              <w:spacing w:line="380" w:lineRule="exact"/>
              <w:jc w:val="left"/>
              <w:rPr>
                <w:rFonts w:hint="eastAsia" w:ascii="仿宋" w:hAnsi="仿宋" w:eastAsia="仿宋"/>
                <w:sz w:val="28"/>
                <w:szCs w:val="28"/>
                <w:lang w:eastAsia="zh-CN"/>
              </w:rPr>
            </w:pPr>
            <w:r>
              <w:rPr>
                <w:rFonts w:hint="eastAsia" w:ascii="仿宋" w:hAnsi="仿宋" w:eastAsia="仿宋"/>
                <w:sz w:val="28"/>
                <w:szCs w:val="28"/>
                <w:lang w:val="en-US" w:eastAsia="zh-CN"/>
              </w:rPr>
              <w:t>杀菌剂：43%戊唑醇，10g/袋，亩用量10g,共22500袋</w:t>
            </w:r>
          </w:p>
          <w:p w14:paraId="122C9AA6">
            <w:pPr>
              <w:numPr>
                <w:ilvl w:val="0"/>
                <w:numId w:val="2"/>
              </w:numPr>
              <w:spacing w:line="380" w:lineRule="exact"/>
              <w:jc w:val="left"/>
              <w:rPr>
                <w:rFonts w:hint="eastAsia" w:ascii="仿宋" w:hAnsi="仿宋" w:eastAsia="仿宋"/>
                <w:sz w:val="28"/>
                <w:szCs w:val="28"/>
                <w:lang w:eastAsia="zh-CN"/>
              </w:rPr>
            </w:pPr>
            <w:r>
              <w:rPr>
                <w:rFonts w:hint="eastAsia" w:ascii="仿宋" w:hAnsi="仿宋" w:eastAsia="仿宋"/>
                <w:sz w:val="28"/>
                <w:szCs w:val="28"/>
                <w:lang w:eastAsia="zh-CN"/>
              </w:rPr>
              <w:t>调节剂：</w:t>
            </w:r>
            <w:r>
              <w:rPr>
                <w:rFonts w:hint="eastAsia" w:ascii="仿宋" w:hAnsi="仿宋" w:eastAsia="仿宋"/>
                <w:sz w:val="28"/>
                <w:szCs w:val="28"/>
                <w:lang w:val="en-US" w:eastAsia="zh-CN"/>
              </w:rPr>
              <w:t>0.01%24表芸苔素10ml/袋,亩用量10ml,共22500袋。</w:t>
            </w:r>
          </w:p>
          <w:p w14:paraId="3391850E">
            <w:pPr>
              <w:numPr>
                <w:ilvl w:val="0"/>
                <w:numId w:val="2"/>
              </w:numPr>
              <w:spacing w:line="380" w:lineRule="exact"/>
              <w:jc w:val="left"/>
              <w:rPr>
                <w:rFonts w:hint="eastAsia" w:ascii="仿宋" w:hAnsi="仿宋" w:eastAsia="仿宋"/>
                <w:sz w:val="28"/>
                <w:szCs w:val="28"/>
                <w:lang w:eastAsia="zh-CN"/>
              </w:rPr>
            </w:pPr>
            <w:r>
              <w:rPr>
                <w:rFonts w:hint="eastAsia" w:ascii="仿宋" w:hAnsi="仿宋" w:eastAsia="仿宋"/>
                <w:sz w:val="28"/>
                <w:szCs w:val="28"/>
                <w:lang w:val="en-US" w:eastAsia="zh-CN"/>
              </w:rPr>
              <w:t>叶面肥：腐殖酸水溶肥 25ml/袋,亩用量25ml.共22500袋</w:t>
            </w:r>
          </w:p>
          <w:p w14:paraId="3A16C24F">
            <w:pPr>
              <w:spacing w:line="380" w:lineRule="exact"/>
              <w:jc w:val="left"/>
              <w:rPr>
                <w:rFonts w:ascii="仿宋" w:hAnsi="仿宋" w:eastAsia="仿宋"/>
                <w:sz w:val="28"/>
                <w:szCs w:val="28"/>
              </w:rPr>
            </w:pPr>
          </w:p>
        </w:tc>
        <w:tc>
          <w:tcPr>
            <w:tcW w:w="914" w:type="dxa"/>
            <w:vAlign w:val="center"/>
          </w:tcPr>
          <w:p w14:paraId="7C42CF4E">
            <w:pPr>
              <w:jc w:val="left"/>
              <w:rPr>
                <w:rFonts w:ascii="仿宋" w:hAnsi="仿宋" w:eastAsia="仿宋"/>
                <w:sz w:val="28"/>
                <w:szCs w:val="28"/>
              </w:rPr>
            </w:pPr>
          </w:p>
        </w:tc>
      </w:tr>
      <w:tr w14:paraId="7A74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exact"/>
        </w:trPr>
        <w:tc>
          <w:tcPr>
            <w:tcW w:w="633" w:type="dxa"/>
            <w:vAlign w:val="center"/>
          </w:tcPr>
          <w:p w14:paraId="5636090C">
            <w:pPr>
              <w:jc w:val="left"/>
              <w:rPr>
                <w:rFonts w:ascii="仿宋" w:hAnsi="仿宋" w:eastAsia="仿宋"/>
                <w:sz w:val="28"/>
                <w:szCs w:val="28"/>
              </w:rPr>
            </w:pPr>
            <w:r>
              <w:rPr>
                <w:rFonts w:hint="eastAsia" w:ascii="仿宋" w:hAnsi="仿宋" w:eastAsia="仿宋"/>
                <w:sz w:val="28"/>
                <w:szCs w:val="28"/>
              </w:rPr>
              <w:t>2</w:t>
            </w:r>
          </w:p>
        </w:tc>
        <w:tc>
          <w:tcPr>
            <w:tcW w:w="1724" w:type="dxa"/>
            <w:vAlign w:val="center"/>
          </w:tcPr>
          <w:p w14:paraId="36F7FFEB">
            <w:pPr>
              <w:jc w:val="center"/>
              <w:rPr>
                <w:rFonts w:ascii="仿宋" w:hAnsi="仿宋" w:eastAsia="仿宋"/>
                <w:sz w:val="28"/>
                <w:szCs w:val="28"/>
              </w:rPr>
            </w:pPr>
            <w:r>
              <w:rPr>
                <w:rFonts w:hint="eastAsia" w:ascii="仿宋" w:hAnsi="仿宋" w:eastAsia="仿宋"/>
                <w:sz w:val="28"/>
                <w:szCs w:val="28"/>
              </w:rPr>
              <w:t>病虫应急防控作业费</w:t>
            </w:r>
          </w:p>
        </w:tc>
        <w:tc>
          <w:tcPr>
            <w:tcW w:w="1196" w:type="dxa"/>
            <w:vAlign w:val="center"/>
          </w:tcPr>
          <w:p w14:paraId="069ABA62">
            <w:pPr>
              <w:jc w:val="center"/>
              <w:rPr>
                <w:rFonts w:hint="default" w:ascii="仿宋" w:hAnsi="仿宋" w:eastAsia="仿宋"/>
                <w:sz w:val="28"/>
                <w:szCs w:val="28"/>
                <w:lang w:val="en-US" w:eastAsia="zh-CN"/>
              </w:rPr>
            </w:pPr>
            <w:r>
              <w:rPr>
                <w:rFonts w:hint="eastAsia" w:ascii="仿宋" w:hAnsi="仿宋" w:eastAsia="仿宋"/>
                <w:sz w:val="28"/>
                <w:szCs w:val="28"/>
              </w:rPr>
              <w:t>2</w:t>
            </w:r>
            <w:r>
              <w:rPr>
                <w:rFonts w:hint="eastAsia" w:ascii="仿宋" w:hAnsi="仿宋" w:eastAsia="仿宋"/>
                <w:sz w:val="28"/>
                <w:szCs w:val="28"/>
                <w:lang w:val="en-US" w:eastAsia="zh-CN"/>
              </w:rPr>
              <w:t>2500</w:t>
            </w:r>
          </w:p>
        </w:tc>
        <w:tc>
          <w:tcPr>
            <w:tcW w:w="4293" w:type="dxa"/>
            <w:vAlign w:val="center"/>
          </w:tcPr>
          <w:p w14:paraId="2DAFE3D5">
            <w:pPr>
              <w:jc w:val="center"/>
              <w:rPr>
                <w:rFonts w:ascii="仿宋" w:hAnsi="仿宋" w:eastAsia="仿宋"/>
                <w:sz w:val="28"/>
                <w:szCs w:val="28"/>
              </w:rPr>
            </w:pPr>
            <w:r>
              <w:rPr>
                <w:rFonts w:hint="eastAsia" w:ascii="仿宋" w:hAnsi="仿宋" w:eastAsia="仿宋"/>
                <w:sz w:val="28"/>
                <w:szCs w:val="28"/>
              </w:rPr>
              <w:t>专业化无人机喷施作业</w:t>
            </w:r>
          </w:p>
        </w:tc>
        <w:tc>
          <w:tcPr>
            <w:tcW w:w="914" w:type="dxa"/>
            <w:vAlign w:val="center"/>
          </w:tcPr>
          <w:p w14:paraId="380DEDFD">
            <w:pPr>
              <w:jc w:val="left"/>
              <w:rPr>
                <w:rFonts w:ascii="仿宋" w:hAnsi="仿宋" w:eastAsia="仿宋"/>
                <w:sz w:val="28"/>
                <w:szCs w:val="28"/>
              </w:rPr>
            </w:pPr>
          </w:p>
        </w:tc>
      </w:tr>
    </w:tbl>
    <w:p w14:paraId="444827E3">
      <w:pPr>
        <w:autoSpaceDE w:val="0"/>
        <w:autoSpaceDN w:val="0"/>
        <w:adjustRightInd w:val="0"/>
        <w:spacing w:line="360" w:lineRule="auto"/>
        <w:ind w:firstLine="660"/>
        <w:rPr>
          <w:rFonts w:ascii="仿宋" w:hAnsi="仿宋" w:eastAsia="仿宋"/>
          <w:sz w:val="28"/>
          <w:szCs w:val="28"/>
          <w:lang w:val="zh-CN"/>
        </w:rPr>
      </w:pPr>
      <w:r>
        <w:rPr>
          <w:rFonts w:hint="eastAsia" w:ascii="仿宋" w:hAnsi="仿宋" w:eastAsia="仿宋"/>
          <w:sz w:val="28"/>
          <w:szCs w:val="28"/>
          <w:lang w:val="zh-CN"/>
        </w:rPr>
        <w:t>重点开展粮食作物病虫害的监测、防治，总资金4</w:t>
      </w:r>
      <w:r>
        <w:rPr>
          <w:rFonts w:hint="eastAsia" w:ascii="仿宋" w:hAnsi="仿宋" w:eastAsia="仿宋"/>
          <w:sz w:val="28"/>
          <w:szCs w:val="28"/>
          <w:lang w:val="en-US" w:eastAsia="zh-CN"/>
        </w:rPr>
        <w:t>5</w:t>
      </w:r>
      <w:r>
        <w:rPr>
          <w:rFonts w:hint="eastAsia" w:ascii="仿宋" w:hAnsi="仿宋" w:eastAsia="仿宋"/>
          <w:sz w:val="28"/>
          <w:szCs w:val="28"/>
          <w:lang w:val="zh-CN"/>
        </w:rPr>
        <w:t>万元，主要包括防治药剂购置、实施防控的专业化无人机喷施的作业补助等。全区实施防控面积2.</w:t>
      </w:r>
      <w:r>
        <w:rPr>
          <w:rFonts w:hint="eastAsia" w:ascii="仿宋" w:hAnsi="仿宋" w:eastAsia="仿宋"/>
          <w:sz w:val="28"/>
          <w:szCs w:val="28"/>
          <w:lang w:val="en-US" w:eastAsia="zh-CN"/>
        </w:rPr>
        <w:t>25</w:t>
      </w:r>
      <w:r>
        <w:rPr>
          <w:rFonts w:hint="eastAsia" w:ascii="仿宋" w:hAnsi="仿宋" w:eastAsia="仿宋"/>
          <w:sz w:val="28"/>
          <w:szCs w:val="28"/>
          <w:lang w:val="zh-CN"/>
        </w:rPr>
        <w:t>万亩次，每亩防治补助费20元（其中作业费10元/亩，农药10元/亩）。通过示范推广，辐射带动全区农作物病虫害防控工作的开展。</w:t>
      </w:r>
    </w:p>
    <w:p w14:paraId="46E1F565">
      <w:pPr>
        <w:pBdr>
          <w:bottom w:val="single" w:color="auto" w:sz="4" w:space="1"/>
        </w:pBdr>
        <w:spacing w:beforeLines="100"/>
        <w:ind w:left="420" w:hanging="420"/>
        <w:rPr>
          <w:rFonts w:ascii="仿宋" w:hAnsi="仿宋" w:eastAsia="仿宋"/>
          <w:b/>
          <w:sz w:val="28"/>
          <w:szCs w:val="28"/>
        </w:rPr>
      </w:pPr>
      <w:r>
        <w:rPr>
          <w:rFonts w:hint="eastAsia" w:ascii="仿宋" w:hAnsi="仿宋" w:eastAsia="仿宋"/>
          <w:b/>
          <w:sz w:val="28"/>
          <w:szCs w:val="28"/>
        </w:rPr>
        <w:t>四、服务要求（如对人员配置、专业设备、服务标准等）</w:t>
      </w:r>
    </w:p>
    <w:p w14:paraId="5B24300E">
      <w:pPr>
        <w:widowControl/>
        <w:wordWrap/>
        <w:snapToGrid/>
        <w:spacing w:line="360" w:lineRule="auto"/>
        <w:ind w:firstLine="560" w:firstLineChars="200"/>
        <w:jc w:val="left"/>
        <w:textAlignment w:val="auto"/>
        <w:rPr>
          <w:rFonts w:ascii="仿宋" w:hAnsi="仿宋" w:eastAsia="仿宋"/>
          <w:sz w:val="28"/>
          <w:szCs w:val="28"/>
          <w:lang w:val="zh-CN"/>
        </w:rPr>
      </w:pPr>
      <w:r>
        <w:rPr>
          <w:rFonts w:hint="eastAsia" w:ascii="仿宋" w:hAnsi="仿宋" w:eastAsia="仿宋"/>
          <w:sz w:val="28"/>
          <w:szCs w:val="28"/>
          <w:lang w:val="zh-CN"/>
        </w:rPr>
        <w:t>农作物重大病虫疫情监测预警准确率达85%以上，防控处置率达90%以上，病虫危害损失率5%以下，粮食作物专业化防治覆盖率达到</w:t>
      </w:r>
      <w:r>
        <w:rPr>
          <w:rFonts w:hint="eastAsia" w:ascii="仿宋" w:hAnsi="仿宋" w:eastAsia="仿宋"/>
          <w:sz w:val="28"/>
          <w:szCs w:val="28"/>
          <w:lang w:val="en-US" w:eastAsia="zh-CN"/>
        </w:rPr>
        <w:t>55</w:t>
      </w:r>
      <w:r>
        <w:rPr>
          <w:rFonts w:hint="eastAsia" w:ascii="仿宋" w:hAnsi="仿宋" w:eastAsia="仿宋"/>
          <w:sz w:val="28"/>
          <w:szCs w:val="28"/>
          <w:lang w:val="zh-CN"/>
        </w:rPr>
        <w:t>%，</w:t>
      </w:r>
      <w:r>
        <w:rPr>
          <w:rFonts w:hint="eastAsia" w:ascii="仿宋_GB2312" w:hAnsi="宋体" w:eastAsia="仿宋_GB2312" w:cs="仿宋_GB2312"/>
          <w:color w:val="000000"/>
          <w:kern w:val="0"/>
          <w:sz w:val="32"/>
          <w:szCs w:val="32"/>
          <w:lang w:val="en-US" w:eastAsia="zh-CN"/>
        </w:rPr>
        <w:t>主要作物绿色防控覆盖率达到</w:t>
      </w:r>
      <w:r>
        <w:rPr>
          <w:rFonts w:hint="default" w:ascii="Times New Roman" w:hAnsi="Times New Roman" w:eastAsia="宋体" w:cs="Times New Roman"/>
          <w:color w:val="000000"/>
          <w:kern w:val="0"/>
          <w:sz w:val="32"/>
          <w:szCs w:val="32"/>
          <w:lang w:val="en-US" w:eastAsia="zh-CN"/>
        </w:rPr>
        <w:t>55%</w:t>
      </w:r>
      <w:r>
        <w:rPr>
          <w:rFonts w:hint="eastAsia" w:ascii="Times New Roman" w:hAnsi="Times New Roman" w:cs="Times New Roman"/>
          <w:color w:val="000000"/>
          <w:kern w:val="0"/>
          <w:sz w:val="32"/>
          <w:szCs w:val="32"/>
          <w:lang w:val="en-US" w:eastAsia="zh-CN"/>
        </w:rPr>
        <w:t>。</w:t>
      </w:r>
    </w:p>
    <w:p w14:paraId="67351FF3">
      <w:pPr>
        <w:pBdr>
          <w:bottom w:val="single" w:color="auto" w:sz="4" w:space="1"/>
        </w:pBdr>
        <w:spacing w:beforeLines="100"/>
        <w:ind w:left="420" w:hanging="420"/>
        <w:rPr>
          <w:rFonts w:ascii="仿宋" w:hAnsi="仿宋" w:eastAsia="仿宋"/>
          <w:b/>
          <w:sz w:val="28"/>
          <w:szCs w:val="28"/>
        </w:rPr>
      </w:pPr>
      <w:r>
        <w:rPr>
          <w:rFonts w:hint="eastAsia" w:ascii="仿宋" w:hAnsi="仿宋" w:eastAsia="仿宋"/>
          <w:b/>
          <w:sz w:val="28"/>
          <w:szCs w:val="28"/>
        </w:rPr>
        <w:t>五、商务要求（如服务期限、款项结算等）</w:t>
      </w:r>
    </w:p>
    <w:p w14:paraId="1A8D31BC">
      <w:pPr>
        <w:widowControl w:val="0"/>
        <w:wordWrap/>
        <w:adjustRightInd/>
        <w:spacing w:line="500" w:lineRule="exact"/>
        <w:ind w:left="0" w:leftChars="0" w:right="0"/>
        <w:textAlignment w:val="auto"/>
        <w:rPr>
          <w:rFonts w:ascii="仿宋" w:hAnsi="仿宋" w:eastAsia="仿宋"/>
          <w:sz w:val="28"/>
          <w:szCs w:val="28"/>
        </w:rPr>
      </w:pPr>
      <w:r>
        <w:rPr>
          <w:rFonts w:hint="eastAsia" w:ascii="仿宋" w:hAnsi="仿宋" w:eastAsia="仿宋"/>
          <w:sz w:val="28"/>
          <w:szCs w:val="28"/>
        </w:rPr>
        <w:t>（一）服务期限</w:t>
      </w:r>
    </w:p>
    <w:p w14:paraId="36135B13">
      <w:pPr>
        <w:pStyle w:val="4"/>
        <w:widowControl w:val="0"/>
        <w:wordWrap/>
        <w:adjustRightInd/>
        <w:spacing w:line="500" w:lineRule="exact"/>
        <w:ind w:left="0" w:leftChars="0" w:right="0"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一、</w:t>
      </w:r>
      <w:r>
        <w:rPr>
          <w:rFonts w:hint="eastAsia" w:ascii="仿宋" w:hAnsi="仿宋" w:eastAsia="仿宋"/>
          <w:sz w:val="28"/>
          <w:szCs w:val="28"/>
        </w:rPr>
        <w:t>服务地点</w:t>
      </w:r>
      <w:r>
        <w:rPr>
          <w:rFonts w:hint="eastAsia" w:ascii="仿宋" w:hAnsi="仿宋" w:eastAsia="仿宋"/>
          <w:sz w:val="28"/>
          <w:szCs w:val="28"/>
          <w:lang w:val="zh-CN"/>
        </w:rPr>
        <w:t>：</w:t>
      </w:r>
      <w:r>
        <w:rPr>
          <w:rFonts w:hint="eastAsia" w:ascii="仿宋" w:hAnsi="仿宋" w:eastAsia="仿宋"/>
          <w:sz w:val="28"/>
          <w:szCs w:val="28"/>
        </w:rPr>
        <w:t>采购人</w:t>
      </w:r>
      <w:r>
        <w:rPr>
          <w:rFonts w:hint="eastAsia" w:ascii="仿宋" w:hAnsi="仿宋" w:eastAsia="仿宋"/>
          <w:sz w:val="28"/>
          <w:szCs w:val="28"/>
          <w:lang w:val="zh-CN"/>
        </w:rPr>
        <w:t>指定地点。</w:t>
      </w:r>
    </w:p>
    <w:p w14:paraId="10696B97">
      <w:pPr>
        <w:pStyle w:val="4"/>
        <w:widowControl w:val="0"/>
        <w:wordWrap/>
        <w:adjustRightInd/>
        <w:spacing w:line="500" w:lineRule="exact"/>
        <w:ind w:left="0" w:leftChars="0" w:right="0"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二、</w:t>
      </w:r>
      <w:r>
        <w:rPr>
          <w:rFonts w:hint="eastAsia" w:ascii="仿宋" w:hAnsi="仿宋" w:eastAsia="仿宋"/>
          <w:sz w:val="28"/>
          <w:szCs w:val="28"/>
        </w:rPr>
        <w:t>服务期限</w:t>
      </w:r>
      <w:r>
        <w:rPr>
          <w:rFonts w:hint="eastAsia" w:ascii="仿宋" w:hAnsi="仿宋" w:eastAsia="仿宋"/>
          <w:sz w:val="28"/>
          <w:szCs w:val="28"/>
          <w:lang w:val="zh-CN"/>
        </w:rPr>
        <w:t>：</w:t>
      </w:r>
      <w:r>
        <w:rPr>
          <w:rFonts w:hint="eastAsia" w:ascii="仿宋" w:hAnsi="仿宋" w:eastAsia="仿宋"/>
          <w:sz w:val="28"/>
          <w:szCs w:val="28"/>
          <w:lang w:val="en-US" w:eastAsia="zh-CN"/>
        </w:rPr>
        <w:t>合同签订之日</w:t>
      </w:r>
      <w:r>
        <w:rPr>
          <w:rFonts w:hint="eastAsia" w:ascii="仿宋" w:hAnsi="仿宋" w:eastAsia="仿宋"/>
          <w:sz w:val="28"/>
          <w:szCs w:val="28"/>
        </w:rPr>
        <w:t>至202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10日前</w:t>
      </w:r>
      <w:r>
        <w:rPr>
          <w:rFonts w:hint="eastAsia" w:ascii="仿宋" w:hAnsi="仿宋" w:eastAsia="仿宋"/>
          <w:sz w:val="28"/>
          <w:szCs w:val="28"/>
        </w:rPr>
        <w:t>。</w:t>
      </w:r>
    </w:p>
    <w:p w14:paraId="223CC2EB">
      <w:pPr>
        <w:widowControl w:val="0"/>
        <w:wordWrap/>
        <w:adjustRightInd/>
        <w:spacing w:line="500" w:lineRule="exact"/>
        <w:ind w:left="0" w:leftChars="0" w:right="0"/>
        <w:textAlignment w:val="auto"/>
        <w:rPr>
          <w:rFonts w:ascii="仿宋" w:hAnsi="仿宋" w:eastAsia="仿宋"/>
          <w:sz w:val="28"/>
          <w:szCs w:val="28"/>
        </w:rPr>
      </w:pPr>
      <w:r>
        <w:rPr>
          <w:rFonts w:hint="eastAsia" w:ascii="仿宋" w:hAnsi="仿宋" w:eastAsia="仿宋"/>
          <w:sz w:val="28"/>
          <w:szCs w:val="28"/>
        </w:rPr>
        <w:t>（二）款项结算</w:t>
      </w:r>
    </w:p>
    <w:p w14:paraId="533E4A55">
      <w:pPr>
        <w:pStyle w:val="4"/>
        <w:widowControl w:val="0"/>
        <w:wordWrap/>
        <w:adjustRightInd/>
        <w:spacing w:line="500" w:lineRule="exact"/>
        <w:ind w:left="0" w:leftChars="0" w:right="0" w:firstLine="560" w:firstLineChars="200"/>
        <w:textAlignment w:val="auto"/>
        <w:rPr>
          <w:rFonts w:ascii="仿宋" w:hAnsi="仿宋" w:eastAsia="仿宋"/>
          <w:sz w:val="28"/>
          <w:szCs w:val="28"/>
          <w:lang w:val="zh-CN"/>
        </w:rPr>
      </w:pPr>
      <w:r>
        <w:rPr>
          <w:rFonts w:hint="eastAsia" w:ascii="仿宋" w:hAnsi="仿宋" w:eastAsia="仿宋"/>
          <w:sz w:val="28"/>
          <w:szCs w:val="28"/>
          <w:lang w:val="zh-CN"/>
        </w:rPr>
        <w:t>一、付款方式</w:t>
      </w:r>
    </w:p>
    <w:p w14:paraId="4578624F">
      <w:pPr>
        <w:widowControl w:val="0"/>
        <w:wordWrap/>
        <w:adjustRightInd/>
        <w:spacing w:line="500" w:lineRule="exact"/>
        <w:ind w:left="0" w:leftChars="0" w:right="0" w:firstLine="560" w:firstLineChars="200"/>
        <w:textAlignment w:val="auto"/>
        <w:outlineLvl w:val="1"/>
        <w:rPr>
          <w:rFonts w:ascii="仿宋" w:hAnsi="仿宋" w:eastAsia="仿宋"/>
          <w:sz w:val="28"/>
          <w:szCs w:val="28"/>
        </w:rPr>
      </w:pPr>
      <w:bookmarkStart w:id="0" w:name="_Toc24649"/>
      <w:bookmarkStart w:id="1" w:name="_Toc22860"/>
      <w:bookmarkStart w:id="2" w:name="_Toc26333"/>
      <w:r>
        <w:rPr>
          <w:rFonts w:hint="eastAsia" w:ascii="仿宋" w:hAnsi="仿宋" w:eastAsia="仿宋"/>
          <w:sz w:val="28"/>
          <w:szCs w:val="28"/>
        </w:rPr>
        <w:t>1、结算单位：采购人结算，在付款前必须开具等额发票给采购人。</w:t>
      </w:r>
      <w:bookmarkEnd w:id="0"/>
    </w:p>
    <w:p w14:paraId="4C9EAA74">
      <w:pPr>
        <w:widowControl w:val="0"/>
        <w:wordWrap/>
        <w:adjustRightInd/>
        <w:spacing w:line="500" w:lineRule="exact"/>
        <w:ind w:left="0" w:leftChars="0" w:right="0" w:firstLine="560" w:firstLineChars="200"/>
        <w:textAlignment w:val="auto"/>
        <w:rPr>
          <w:rFonts w:hint="eastAsia" w:ascii="仿宋" w:hAnsi="仿宋" w:eastAsia="仿宋"/>
          <w:sz w:val="28"/>
          <w:szCs w:val="28"/>
          <w:lang w:eastAsia="zh-CN"/>
        </w:rPr>
      </w:pPr>
      <w:r>
        <w:rPr>
          <w:rFonts w:hint="eastAsia" w:ascii="仿宋" w:hAnsi="仿宋" w:eastAsia="仿宋"/>
          <w:sz w:val="28"/>
          <w:szCs w:val="28"/>
        </w:rPr>
        <w:t>2、付款方式：无预付款，该项目验收完成后，按照财政资金拨付情况及时支付</w:t>
      </w:r>
      <w:r>
        <w:rPr>
          <w:rFonts w:hint="eastAsia" w:ascii="仿宋" w:hAnsi="仿宋" w:eastAsia="仿宋"/>
          <w:sz w:val="28"/>
          <w:szCs w:val="28"/>
          <w:lang w:eastAsia="zh-CN"/>
        </w:rPr>
        <w:t>。</w:t>
      </w:r>
    </w:p>
    <w:p w14:paraId="143DE700">
      <w:pPr>
        <w:widowControl w:val="0"/>
        <w:wordWrap/>
        <w:adjustRightInd/>
        <w:spacing w:line="500" w:lineRule="exact"/>
        <w:ind w:left="0" w:leftChars="0" w:right="0" w:firstLine="560" w:firstLineChars="200"/>
        <w:textAlignment w:val="auto"/>
        <w:rPr>
          <w:rFonts w:ascii="仿宋" w:hAnsi="仿宋" w:eastAsia="仿宋"/>
          <w:sz w:val="28"/>
          <w:szCs w:val="28"/>
        </w:rPr>
      </w:pPr>
      <w:r>
        <w:rPr>
          <w:rFonts w:hint="eastAsia" w:ascii="仿宋" w:hAnsi="仿宋" w:eastAsia="仿宋"/>
          <w:sz w:val="28"/>
          <w:szCs w:val="28"/>
        </w:rPr>
        <w:t>3、支付方式：银行转账。</w:t>
      </w:r>
    </w:p>
    <w:p w14:paraId="2068B21B">
      <w:pPr>
        <w:widowControl w:val="0"/>
        <w:wordWrap/>
        <w:adjustRightInd/>
        <w:spacing w:line="500" w:lineRule="exact"/>
        <w:ind w:left="0" w:leftChars="0" w:right="0" w:firstLine="560" w:firstLineChars="200"/>
        <w:textAlignment w:val="auto"/>
        <w:rPr>
          <w:rFonts w:hint="eastAsia" w:ascii="仿宋" w:hAnsi="仿宋" w:eastAsia="仿宋"/>
          <w:sz w:val="28"/>
          <w:szCs w:val="28"/>
        </w:rPr>
      </w:pPr>
      <w:r>
        <w:rPr>
          <w:rFonts w:hint="eastAsia" w:ascii="仿宋" w:hAnsi="仿宋" w:eastAsia="仿宋"/>
          <w:sz w:val="28"/>
          <w:szCs w:val="28"/>
        </w:rPr>
        <w:t>4、结算方式：乙方在接受付款前开具等额发票给甲方。</w:t>
      </w:r>
      <w:bookmarkEnd w:id="1"/>
      <w:bookmarkEnd w:id="2"/>
    </w:p>
    <w:p w14:paraId="5625D138">
      <w:pPr>
        <w:spacing w:line="520" w:lineRule="exact"/>
        <w:rPr>
          <w:rFonts w:ascii="仿宋" w:hAnsi="仿宋" w:eastAsia="仿宋"/>
          <w:b/>
          <w:sz w:val="28"/>
          <w:szCs w:val="28"/>
        </w:rPr>
      </w:pPr>
      <w:r>
        <w:rPr>
          <w:rFonts w:hint="eastAsia" w:ascii="仿宋" w:hAnsi="仿宋" w:eastAsia="仿宋"/>
          <w:b/>
          <w:sz w:val="28"/>
          <w:szCs w:val="28"/>
        </w:rPr>
        <w:t>六、其他（如有要求，请写明）</w:t>
      </w:r>
    </w:p>
    <w:p w14:paraId="4C8BBEEB">
      <w:pPr>
        <w:widowControl w:val="0"/>
        <w:wordWrap/>
        <w:adjustRightInd/>
        <w:spacing w:line="500" w:lineRule="exact"/>
        <w:ind w:left="0" w:leftChars="0" w:right="0"/>
        <w:textAlignment w:val="auto"/>
        <w:rPr>
          <w:rFonts w:hint="eastAsia" w:ascii="仿宋" w:hAnsi="仿宋" w:eastAsia="仿宋"/>
          <w:sz w:val="28"/>
          <w:szCs w:val="28"/>
        </w:rPr>
      </w:pPr>
      <w:r>
        <w:rPr>
          <w:rFonts w:hint="eastAsia" w:ascii="仿宋" w:hAnsi="仿宋" w:eastAsia="仿宋"/>
          <w:sz w:val="28"/>
          <w:szCs w:val="28"/>
        </w:rPr>
        <w:t>（一）对服务商的业绩要求</w:t>
      </w:r>
    </w:p>
    <w:p w14:paraId="4702932A">
      <w:pPr>
        <w:widowControl w:val="0"/>
        <w:wordWrap/>
        <w:adjustRightInd/>
        <w:spacing w:line="500" w:lineRule="exact"/>
        <w:ind w:left="0" w:leftChars="0" w:right="0"/>
        <w:textAlignment w:val="auto"/>
        <w:rPr>
          <w:rFonts w:hint="eastAsia" w:ascii="仿宋" w:hAnsi="仿宋" w:eastAsia="仿宋"/>
          <w:sz w:val="28"/>
          <w:szCs w:val="28"/>
        </w:rPr>
      </w:pPr>
      <w:r>
        <w:rPr>
          <w:rFonts w:hint="eastAsia" w:ascii="仿宋" w:hAnsi="仿宋" w:eastAsia="仿宋"/>
          <w:sz w:val="28"/>
          <w:szCs w:val="28"/>
        </w:rPr>
        <w:t>服务商提供</w:t>
      </w:r>
      <w:r>
        <w:rPr>
          <w:rFonts w:hint="eastAsia" w:ascii="仿宋" w:hAnsi="仿宋" w:eastAsia="仿宋"/>
          <w:sz w:val="28"/>
          <w:szCs w:val="28"/>
          <w:lang w:val="en-US" w:eastAsia="zh-CN"/>
        </w:rPr>
        <w:t>三</w:t>
      </w:r>
      <w:r>
        <w:rPr>
          <w:rFonts w:hint="eastAsia" w:ascii="仿宋" w:hAnsi="仿宋" w:eastAsia="仿宋"/>
          <w:sz w:val="28"/>
          <w:szCs w:val="28"/>
        </w:rPr>
        <w:t>年</w:t>
      </w:r>
      <w:bookmarkStart w:id="3" w:name="_GoBack"/>
      <w:bookmarkEnd w:id="3"/>
      <w:r>
        <w:rPr>
          <w:rFonts w:hint="eastAsia" w:ascii="仿宋" w:hAnsi="仿宋" w:eastAsia="仿宋"/>
          <w:sz w:val="28"/>
          <w:szCs w:val="28"/>
        </w:rPr>
        <w:t>类似项目业绩</w:t>
      </w:r>
    </w:p>
    <w:p w14:paraId="0567F705">
      <w:pPr>
        <w:widowControl w:val="0"/>
        <w:wordWrap/>
        <w:adjustRightInd/>
        <w:spacing w:line="500" w:lineRule="exact"/>
        <w:ind w:left="0" w:leftChars="0" w:right="0"/>
        <w:textAlignment w:val="auto"/>
        <w:rPr>
          <w:rFonts w:hint="eastAsia" w:ascii="仿宋" w:hAnsi="仿宋" w:eastAsia="仿宋"/>
          <w:sz w:val="28"/>
          <w:szCs w:val="28"/>
        </w:rPr>
      </w:pPr>
      <w:r>
        <w:rPr>
          <w:rFonts w:hint="eastAsia" w:ascii="仿宋" w:hAnsi="仿宋" w:eastAsia="仿宋"/>
          <w:sz w:val="28"/>
          <w:szCs w:val="28"/>
        </w:rPr>
        <w:t>（二）进度要求</w:t>
      </w:r>
    </w:p>
    <w:p w14:paraId="29B78B28">
      <w:pPr>
        <w:widowControl w:val="0"/>
        <w:wordWrap/>
        <w:adjustRightInd/>
        <w:spacing w:line="500" w:lineRule="exact"/>
        <w:ind w:left="0" w:leftChars="0" w:right="0"/>
        <w:textAlignment w:val="auto"/>
        <w:rPr>
          <w:rFonts w:hint="eastAsia" w:ascii="仿宋" w:hAnsi="仿宋" w:eastAsia="仿宋"/>
          <w:sz w:val="28"/>
          <w:szCs w:val="28"/>
        </w:rPr>
      </w:pPr>
      <w:r>
        <w:rPr>
          <w:rFonts w:hint="eastAsia" w:ascii="仿宋" w:hAnsi="仿宋" w:eastAsia="仿宋"/>
          <w:sz w:val="28"/>
          <w:szCs w:val="28"/>
        </w:rPr>
        <w:t>按甲方要求进度及时完成</w:t>
      </w:r>
    </w:p>
    <w:p w14:paraId="3C4F1245">
      <w:pPr>
        <w:widowControl w:val="0"/>
        <w:wordWrap/>
        <w:adjustRightInd/>
        <w:spacing w:line="500" w:lineRule="exact"/>
        <w:ind w:left="0" w:leftChars="0" w:right="0"/>
        <w:textAlignment w:val="auto"/>
        <w:rPr>
          <w:rFonts w:hint="eastAsia" w:ascii="仿宋" w:hAnsi="仿宋" w:eastAsia="仿宋"/>
          <w:sz w:val="28"/>
          <w:szCs w:val="28"/>
        </w:rPr>
      </w:pPr>
      <w:r>
        <w:rPr>
          <w:rFonts w:hint="eastAsia" w:ascii="仿宋" w:hAnsi="仿宋" w:eastAsia="仿宋"/>
          <w:sz w:val="28"/>
          <w:szCs w:val="28"/>
        </w:rPr>
        <w:t>（三）成果交付要求</w:t>
      </w:r>
    </w:p>
    <w:p w14:paraId="1D80EF22">
      <w:pPr>
        <w:widowControl w:val="0"/>
        <w:wordWrap/>
        <w:adjustRightInd/>
        <w:spacing w:line="500" w:lineRule="exact"/>
        <w:ind w:left="0" w:leftChars="0" w:right="0"/>
        <w:textAlignment w:val="auto"/>
        <w:rPr>
          <w:rFonts w:hint="eastAsia" w:ascii="仿宋" w:hAnsi="仿宋" w:eastAsia="仿宋"/>
          <w:sz w:val="28"/>
          <w:szCs w:val="28"/>
        </w:rPr>
      </w:pPr>
      <w:r>
        <w:rPr>
          <w:rFonts w:hint="eastAsia" w:ascii="仿宋" w:hAnsi="仿宋" w:eastAsia="仿宋"/>
          <w:sz w:val="28"/>
          <w:szCs w:val="28"/>
        </w:rPr>
        <w:t>1、原始材料</w:t>
      </w:r>
    </w:p>
    <w:p w14:paraId="6CA84963">
      <w:pPr>
        <w:widowControl w:val="0"/>
        <w:wordWrap/>
        <w:adjustRightInd/>
        <w:spacing w:line="500" w:lineRule="exact"/>
        <w:ind w:left="0" w:leftChars="0" w:right="0"/>
        <w:textAlignment w:val="auto"/>
        <w:rPr>
          <w:rFonts w:hint="eastAsia" w:ascii="仿宋" w:hAnsi="仿宋" w:eastAsia="仿宋"/>
          <w:sz w:val="28"/>
          <w:szCs w:val="28"/>
        </w:rPr>
      </w:pPr>
      <w:r>
        <w:rPr>
          <w:rFonts w:hint="eastAsia" w:ascii="仿宋" w:hAnsi="仿宋" w:eastAsia="仿宋"/>
          <w:sz w:val="28"/>
          <w:szCs w:val="28"/>
        </w:rPr>
        <w:t>①提供项目验收材料、佐证图片</w:t>
      </w:r>
    </w:p>
    <w:p w14:paraId="4574FEB6">
      <w:pPr>
        <w:widowControl w:val="0"/>
        <w:wordWrap/>
        <w:adjustRightInd/>
        <w:spacing w:line="500" w:lineRule="exact"/>
        <w:ind w:left="0" w:leftChars="0" w:right="0"/>
        <w:textAlignment w:val="auto"/>
        <w:rPr>
          <w:rFonts w:hint="eastAsia" w:ascii="仿宋" w:hAnsi="仿宋" w:eastAsia="仿宋"/>
          <w:sz w:val="28"/>
          <w:szCs w:val="28"/>
        </w:rPr>
      </w:pPr>
      <w:r>
        <w:rPr>
          <w:rFonts w:hint="eastAsia" w:ascii="仿宋" w:hAnsi="仿宋" w:eastAsia="仿宋"/>
          <w:sz w:val="28"/>
          <w:szCs w:val="28"/>
        </w:rPr>
        <w:t>②所有验收材料装订</w:t>
      </w:r>
    </w:p>
    <w:p w14:paraId="29FCA9EA">
      <w:pPr>
        <w:widowControl w:val="0"/>
        <w:wordWrap/>
        <w:adjustRightInd/>
        <w:spacing w:line="500" w:lineRule="exact"/>
        <w:ind w:left="0" w:leftChars="0" w:right="0"/>
        <w:textAlignment w:val="auto"/>
        <w:rPr>
          <w:rFonts w:hint="eastAsia" w:ascii="仿宋" w:hAnsi="仿宋" w:eastAsia="仿宋"/>
          <w:sz w:val="28"/>
          <w:szCs w:val="28"/>
        </w:rPr>
      </w:pPr>
      <w:r>
        <w:rPr>
          <w:rFonts w:hint="eastAsia" w:ascii="仿宋" w:hAnsi="仿宋" w:eastAsia="仿宋"/>
          <w:sz w:val="28"/>
          <w:szCs w:val="28"/>
        </w:rPr>
        <w:t>（四）质量验收标准或规范</w:t>
      </w:r>
    </w:p>
    <w:p w14:paraId="6BE91458">
      <w:pPr>
        <w:widowControl w:val="0"/>
        <w:wordWrap/>
        <w:adjustRightInd/>
        <w:spacing w:line="500" w:lineRule="exact"/>
        <w:ind w:left="0" w:leftChars="0" w:right="0"/>
        <w:textAlignment w:val="auto"/>
        <w:rPr>
          <w:rFonts w:hint="eastAsia" w:ascii="仿宋" w:hAnsi="仿宋" w:eastAsia="仿宋"/>
          <w:sz w:val="28"/>
          <w:szCs w:val="28"/>
        </w:rPr>
      </w:pPr>
      <w:r>
        <w:rPr>
          <w:rFonts w:hint="eastAsia" w:ascii="仿宋" w:hAnsi="仿宋" w:eastAsia="仿宋"/>
          <w:sz w:val="28"/>
          <w:szCs w:val="28"/>
        </w:rPr>
        <w:t>依照现行的国家标准或国家行政部门颁布的法律法规、规章制度等。</w:t>
      </w:r>
    </w:p>
    <w:p w14:paraId="42A987E0">
      <w:pPr>
        <w:widowControl w:val="0"/>
        <w:wordWrap/>
        <w:adjustRightInd/>
        <w:spacing w:line="500" w:lineRule="exact"/>
        <w:ind w:left="0" w:leftChars="0" w:right="0"/>
        <w:textAlignment w:val="auto"/>
        <w:rPr>
          <w:rFonts w:hint="eastAsia" w:ascii="仿宋" w:hAnsi="仿宋" w:eastAsia="仿宋"/>
          <w:sz w:val="28"/>
          <w:szCs w:val="28"/>
        </w:rPr>
      </w:pPr>
      <w:r>
        <w:rPr>
          <w:rFonts w:hint="eastAsia" w:ascii="仿宋" w:hAnsi="仿宋" w:eastAsia="仿宋"/>
          <w:sz w:val="28"/>
          <w:szCs w:val="28"/>
        </w:rPr>
        <w:t>（五）违约责任</w:t>
      </w:r>
    </w:p>
    <w:p w14:paraId="0491C498">
      <w:pPr>
        <w:ind w:firstLine="560" w:firstLineChars="200"/>
      </w:pPr>
      <w:r>
        <w:rPr>
          <w:rFonts w:hint="eastAsia" w:ascii="仿宋" w:hAnsi="仿宋" w:eastAsia="仿宋"/>
          <w:sz w:val="28"/>
          <w:szCs w:val="28"/>
        </w:rPr>
        <w:t>甲乙双方依照</w:t>
      </w:r>
      <w:r>
        <w:rPr>
          <w:rFonts w:ascii="仿宋" w:hAnsi="仿宋" w:eastAsia="仿宋"/>
          <w:sz w:val="28"/>
          <w:szCs w:val="28"/>
        </w:rPr>
        <w:t>《民法典》中对于违约的责任规定</w:t>
      </w:r>
      <w:r>
        <w:rPr>
          <w:rFonts w:hint="eastAsia" w:ascii="仿宋" w:hAnsi="仿宋" w:eastAsia="仿宋"/>
          <w:sz w:val="28"/>
          <w:szCs w:val="28"/>
        </w:rPr>
        <w:t>执行</w:t>
      </w:r>
      <w:r>
        <w:rPr>
          <w:rFonts w:ascii="仿宋" w:hAnsi="仿宋" w:eastAsia="仿宋"/>
          <w:sz w:val="28"/>
          <w:szCs w:val="28"/>
        </w:rPr>
        <w:t>。</w:t>
      </w:r>
    </w:p>
    <w:sectPr>
      <w:pgSz w:w="11906" w:h="16838"/>
      <w:pgMar w:top="1440" w:right="1800" w:bottom="1135"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B1C5B"/>
    <w:multiLevelType w:val="singleLevel"/>
    <w:tmpl w:val="87CB1C5B"/>
    <w:lvl w:ilvl="0" w:tentative="0">
      <w:start w:val="3"/>
      <w:numFmt w:val="chineseCounting"/>
      <w:suff w:val="nothing"/>
      <w:lvlText w:val="%1、"/>
      <w:lvlJc w:val="left"/>
      <w:rPr>
        <w:rFonts w:hint="eastAsia"/>
      </w:rPr>
    </w:lvl>
  </w:abstractNum>
  <w:abstractNum w:abstractNumId="1">
    <w:nsid w:val="9CF78C06"/>
    <w:multiLevelType w:val="singleLevel"/>
    <w:tmpl w:val="9CF78C0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UyM2MzNDFiOGM0YjZhMTk4MDYyNjQyMDY2YzdjNWEifQ=="/>
  </w:docVars>
  <w:rsids>
    <w:rsidRoot w:val="0022387C"/>
    <w:rsid w:val="0000159C"/>
    <w:rsid w:val="000019FA"/>
    <w:rsid w:val="00002BB3"/>
    <w:rsid w:val="00003F53"/>
    <w:rsid w:val="00004F9A"/>
    <w:rsid w:val="00006A52"/>
    <w:rsid w:val="00012137"/>
    <w:rsid w:val="00012844"/>
    <w:rsid w:val="00012F9B"/>
    <w:rsid w:val="00013929"/>
    <w:rsid w:val="00014866"/>
    <w:rsid w:val="00014DAF"/>
    <w:rsid w:val="00015802"/>
    <w:rsid w:val="00016042"/>
    <w:rsid w:val="00022F41"/>
    <w:rsid w:val="00023261"/>
    <w:rsid w:val="000234CF"/>
    <w:rsid w:val="000235C8"/>
    <w:rsid w:val="00027E6B"/>
    <w:rsid w:val="0003125A"/>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3373"/>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13A0"/>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32A1"/>
    <w:rsid w:val="00164101"/>
    <w:rsid w:val="00164EE1"/>
    <w:rsid w:val="00166FD9"/>
    <w:rsid w:val="00167ECE"/>
    <w:rsid w:val="0017054A"/>
    <w:rsid w:val="00171A61"/>
    <w:rsid w:val="00173749"/>
    <w:rsid w:val="00173A35"/>
    <w:rsid w:val="0017410F"/>
    <w:rsid w:val="00174285"/>
    <w:rsid w:val="00175756"/>
    <w:rsid w:val="00176F0E"/>
    <w:rsid w:val="00180B10"/>
    <w:rsid w:val="00184F72"/>
    <w:rsid w:val="00187846"/>
    <w:rsid w:val="00191A7E"/>
    <w:rsid w:val="00193B5F"/>
    <w:rsid w:val="001947E8"/>
    <w:rsid w:val="00194890"/>
    <w:rsid w:val="00196A1C"/>
    <w:rsid w:val="001A2103"/>
    <w:rsid w:val="001A5309"/>
    <w:rsid w:val="001A5764"/>
    <w:rsid w:val="001B0699"/>
    <w:rsid w:val="001B2019"/>
    <w:rsid w:val="001B26DC"/>
    <w:rsid w:val="001B3EEA"/>
    <w:rsid w:val="001B49FD"/>
    <w:rsid w:val="001C0BA3"/>
    <w:rsid w:val="001C0BBD"/>
    <w:rsid w:val="001C2042"/>
    <w:rsid w:val="001C25ED"/>
    <w:rsid w:val="001D12D9"/>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8362F"/>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2E8E"/>
    <w:rsid w:val="002C4511"/>
    <w:rsid w:val="002D2B5F"/>
    <w:rsid w:val="002D327B"/>
    <w:rsid w:val="002D41DD"/>
    <w:rsid w:val="002D7418"/>
    <w:rsid w:val="002E1660"/>
    <w:rsid w:val="002E43F6"/>
    <w:rsid w:val="002E7C3E"/>
    <w:rsid w:val="002F18E1"/>
    <w:rsid w:val="002F1C19"/>
    <w:rsid w:val="002F1C7D"/>
    <w:rsid w:val="002F1EC9"/>
    <w:rsid w:val="002F25EC"/>
    <w:rsid w:val="002F2EAB"/>
    <w:rsid w:val="002F30DD"/>
    <w:rsid w:val="002F3224"/>
    <w:rsid w:val="002F7D7D"/>
    <w:rsid w:val="002F7FB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6B1"/>
    <w:rsid w:val="00332A7C"/>
    <w:rsid w:val="00337CFC"/>
    <w:rsid w:val="003406B1"/>
    <w:rsid w:val="00343305"/>
    <w:rsid w:val="003443D3"/>
    <w:rsid w:val="003450CD"/>
    <w:rsid w:val="00345F35"/>
    <w:rsid w:val="00351734"/>
    <w:rsid w:val="00354FCF"/>
    <w:rsid w:val="00360830"/>
    <w:rsid w:val="003635C1"/>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09FE"/>
    <w:rsid w:val="0046160E"/>
    <w:rsid w:val="00462EC4"/>
    <w:rsid w:val="00463236"/>
    <w:rsid w:val="004657D3"/>
    <w:rsid w:val="0046690A"/>
    <w:rsid w:val="0046782F"/>
    <w:rsid w:val="00471E1E"/>
    <w:rsid w:val="0047278F"/>
    <w:rsid w:val="0047590B"/>
    <w:rsid w:val="00490F98"/>
    <w:rsid w:val="00491349"/>
    <w:rsid w:val="004926D5"/>
    <w:rsid w:val="00493684"/>
    <w:rsid w:val="00493E48"/>
    <w:rsid w:val="00496ACE"/>
    <w:rsid w:val="00497530"/>
    <w:rsid w:val="004A00FD"/>
    <w:rsid w:val="004A5CFF"/>
    <w:rsid w:val="004A61D7"/>
    <w:rsid w:val="004A6B5A"/>
    <w:rsid w:val="004B1026"/>
    <w:rsid w:val="004B5992"/>
    <w:rsid w:val="004B5D89"/>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410D"/>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494A"/>
    <w:rsid w:val="005C69A7"/>
    <w:rsid w:val="005C6C4F"/>
    <w:rsid w:val="005D000E"/>
    <w:rsid w:val="005D62E5"/>
    <w:rsid w:val="005D7216"/>
    <w:rsid w:val="005E12F7"/>
    <w:rsid w:val="005E339B"/>
    <w:rsid w:val="005E548A"/>
    <w:rsid w:val="005E5BCC"/>
    <w:rsid w:val="005E5CCE"/>
    <w:rsid w:val="005E6CCC"/>
    <w:rsid w:val="005F19BB"/>
    <w:rsid w:val="005F3B5B"/>
    <w:rsid w:val="005F5D65"/>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1864"/>
    <w:rsid w:val="00642CB1"/>
    <w:rsid w:val="006431A9"/>
    <w:rsid w:val="00643AF7"/>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8B"/>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22C"/>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4F6"/>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3D61"/>
    <w:rsid w:val="007E5F41"/>
    <w:rsid w:val="007E6CF2"/>
    <w:rsid w:val="007E7A0B"/>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57FF8"/>
    <w:rsid w:val="00861CE7"/>
    <w:rsid w:val="008641A3"/>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07ADC"/>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0E25"/>
    <w:rsid w:val="009C1007"/>
    <w:rsid w:val="009C1F6E"/>
    <w:rsid w:val="009C2514"/>
    <w:rsid w:val="009C3C03"/>
    <w:rsid w:val="009C3EBA"/>
    <w:rsid w:val="009C4C61"/>
    <w:rsid w:val="009C5377"/>
    <w:rsid w:val="009C7BA0"/>
    <w:rsid w:val="009D080A"/>
    <w:rsid w:val="009D1B51"/>
    <w:rsid w:val="009D52BF"/>
    <w:rsid w:val="009D6DD3"/>
    <w:rsid w:val="009E3020"/>
    <w:rsid w:val="009E3F57"/>
    <w:rsid w:val="009E4F8A"/>
    <w:rsid w:val="009E5371"/>
    <w:rsid w:val="009E6771"/>
    <w:rsid w:val="009E67E4"/>
    <w:rsid w:val="009F0511"/>
    <w:rsid w:val="009F1DBD"/>
    <w:rsid w:val="009F22FE"/>
    <w:rsid w:val="009F3387"/>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3657"/>
    <w:rsid w:val="00AE4D94"/>
    <w:rsid w:val="00AE5612"/>
    <w:rsid w:val="00AE6664"/>
    <w:rsid w:val="00AE6EED"/>
    <w:rsid w:val="00AE74AC"/>
    <w:rsid w:val="00B02758"/>
    <w:rsid w:val="00B02B5A"/>
    <w:rsid w:val="00B036B4"/>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44DA"/>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6563"/>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A0D26"/>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76A29"/>
    <w:rsid w:val="00D8461E"/>
    <w:rsid w:val="00D848AF"/>
    <w:rsid w:val="00D84D41"/>
    <w:rsid w:val="00D85867"/>
    <w:rsid w:val="00D87355"/>
    <w:rsid w:val="00D90438"/>
    <w:rsid w:val="00D90F7C"/>
    <w:rsid w:val="00D93BBB"/>
    <w:rsid w:val="00D9483F"/>
    <w:rsid w:val="00D9612C"/>
    <w:rsid w:val="00D96699"/>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0F23"/>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15CD5"/>
    <w:rsid w:val="00F21D20"/>
    <w:rsid w:val="00F22674"/>
    <w:rsid w:val="00F22B78"/>
    <w:rsid w:val="00F244F9"/>
    <w:rsid w:val="00F25220"/>
    <w:rsid w:val="00F25320"/>
    <w:rsid w:val="00F26FA6"/>
    <w:rsid w:val="00F306D7"/>
    <w:rsid w:val="00F308B7"/>
    <w:rsid w:val="00F31CAB"/>
    <w:rsid w:val="00F32A46"/>
    <w:rsid w:val="00F37170"/>
    <w:rsid w:val="00F42585"/>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1B9F08D5"/>
    <w:rsid w:val="1FBA09D7"/>
    <w:rsid w:val="28BA01B0"/>
    <w:rsid w:val="2AC35F8A"/>
    <w:rsid w:val="2B9A7696"/>
    <w:rsid w:val="2D87016E"/>
    <w:rsid w:val="2FC75471"/>
    <w:rsid w:val="32052280"/>
    <w:rsid w:val="33F16546"/>
    <w:rsid w:val="357065AB"/>
    <w:rsid w:val="3A4B439D"/>
    <w:rsid w:val="3B010815"/>
    <w:rsid w:val="3D5C1616"/>
    <w:rsid w:val="44044A8E"/>
    <w:rsid w:val="47B16CDB"/>
    <w:rsid w:val="50E023DF"/>
    <w:rsid w:val="53B7644C"/>
    <w:rsid w:val="58737694"/>
    <w:rsid w:val="58D00F8B"/>
    <w:rsid w:val="5C6B34A4"/>
    <w:rsid w:val="5D5C7824"/>
    <w:rsid w:val="62844AA0"/>
    <w:rsid w:val="628C5EA7"/>
    <w:rsid w:val="66356F3C"/>
    <w:rsid w:val="6A5A4B58"/>
    <w:rsid w:val="6E580F0E"/>
    <w:rsid w:val="7317252A"/>
    <w:rsid w:val="778224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36"/>
    <w:unhideWhenUsed/>
    <w:qFormat/>
    <w:uiPriority w:val="99"/>
    <w:pPr>
      <w:jc w:val="left"/>
    </w:pPr>
  </w:style>
  <w:style w:type="paragraph" w:styleId="3">
    <w:name w:val="Balloon Text"/>
    <w:basedOn w:val="1"/>
    <w:link w:val="38"/>
    <w:unhideWhenUsed/>
    <w:qFormat/>
    <w:uiPriority w:val="99"/>
    <w:rPr>
      <w:sz w:val="18"/>
      <w:szCs w:val="18"/>
    </w:rPr>
  </w:style>
  <w:style w:type="paragraph" w:styleId="4">
    <w:name w:val="footer"/>
    <w:basedOn w:val="1"/>
    <w:link w:val="35"/>
    <w:unhideWhenUsed/>
    <w:qFormat/>
    <w:uiPriority w:val="99"/>
    <w:pPr>
      <w:tabs>
        <w:tab w:val="center" w:pos="4153"/>
        <w:tab w:val="right" w:pos="8306"/>
      </w:tabs>
      <w:snapToGrid w:val="0"/>
      <w:jc w:val="left"/>
    </w:pPr>
    <w:rPr>
      <w:sz w:val="18"/>
      <w:szCs w:val="18"/>
    </w:rPr>
  </w:style>
  <w:style w:type="paragraph" w:styleId="5">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37"/>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unhideWhenUsed/>
    <w:qFormat/>
    <w:uiPriority w:val="99"/>
    <w:rPr>
      <w:sz w:val="21"/>
      <w:szCs w:val="21"/>
    </w:rPr>
  </w:style>
  <w:style w:type="paragraph" w:customStyle="1" w:styleId="11">
    <w:name w:val="※封面大标题"/>
    <w:basedOn w:val="1"/>
    <w:next w:val="1"/>
    <w:qFormat/>
    <w:uiPriority w:val="0"/>
    <w:pPr>
      <w:widowControl/>
      <w:jc w:val="center"/>
    </w:pPr>
    <w:rPr>
      <w:rFonts w:ascii="华文中宋" w:hAnsi="华文中宋" w:eastAsia="华文中宋"/>
      <w:sz w:val="96"/>
      <w:szCs w:val="96"/>
    </w:rPr>
  </w:style>
  <w:style w:type="paragraph" w:customStyle="1" w:styleId="12">
    <w:name w:val="※封面题颌"/>
    <w:basedOn w:val="1"/>
    <w:next w:val="1"/>
    <w:qFormat/>
    <w:uiPriority w:val="0"/>
    <w:pPr>
      <w:widowControl/>
      <w:jc w:val="center"/>
    </w:pPr>
    <w:rPr>
      <w:rFonts w:ascii="Calibri Light" w:hAnsi="Calibri Light" w:eastAsia="华文仿宋"/>
      <w:sz w:val="36"/>
      <w:szCs w:val="36"/>
    </w:rPr>
  </w:style>
  <w:style w:type="paragraph" w:customStyle="1" w:styleId="13">
    <w:name w:val="※封面题眉"/>
    <w:basedOn w:val="1"/>
    <w:next w:val="11"/>
    <w:qFormat/>
    <w:uiPriority w:val="0"/>
    <w:pPr>
      <w:widowControl/>
      <w:jc w:val="center"/>
    </w:pPr>
    <w:rPr>
      <w:rFonts w:ascii="华文仿宋" w:hAnsi="华文仿宋" w:eastAsia="华文仿宋"/>
      <w:sz w:val="52"/>
      <w:szCs w:val="28"/>
    </w:rPr>
  </w:style>
  <w:style w:type="paragraph" w:customStyle="1" w:styleId="14">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5">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6">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7">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18">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19">
    <w:name w:val="※小标题 一"/>
    <w:basedOn w:val="18"/>
    <w:next w:val="18"/>
    <w:qFormat/>
    <w:uiPriority w:val="0"/>
    <w:pPr>
      <w:spacing w:before="120" w:line="240" w:lineRule="auto"/>
      <w:outlineLvl w:val="2"/>
    </w:pPr>
    <w:rPr>
      <w:b/>
      <w:color w:val="1F3864"/>
      <w:sz w:val="32"/>
    </w:rPr>
  </w:style>
  <w:style w:type="paragraph" w:customStyle="1" w:styleId="20">
    <w:name w:val="※小标题（1）"/>
    <w:basedOn w:val="1"/>
    <w:next w:val="18"/>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1">
    <w:name w:val="※小标题（一）"/>
    <w:basedOn w:val="1"/>
    <w:next w:val="18"/>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2">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3">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4">
    <w:name w:val="※页眉"/>
    <w:basedOn w:val="18"/>
    <w:qFormat/>
    <w:uiPriority w:val="0"/>
    <w:pPr>
      <w:pBdr>
        <w:bottom w:val="single" w:color="auto" w:sz="4" w:space="1"/>
      </w:pBdr>
      <w:spacing w:line="240" w:lineRule="atLeast"/>
      <w:jc w:val="right"/>
    </w:pPr>
    <w:rPr>
      <w:rFonts w:ascii="宋体" w:hAnsi="宋体" w:eastAsia="宋体"/>
      <w:sz w:val="18"/>
    </w:rPr>
  </w:style>
  <w:style w:type="paragraph" w:customStyle="1" w:styleId="25">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6">
    <w:name w:val="※章节标题（第Y部分）"/>
    <w:basedOn w:val="1"/>
    <w:next w:val="1"/>
    <w:qFormat/>
    <w:uiPriority w:val="0"/>
    <w:pPr>
      <w:widowControl/>
      <w:jc w:val="center"/>
      <w:outlineLvl w:val="1"/>
    </w:pPr>
    <w:rPr>
      <w:rFonts w:ascii="Calibri Light" w:hAnsi="Calibri Light" w:eastAsia="黑体"/>
      <w:color w:val="1E4E79"/>
      <w:sz w:val="32"/>
      <w:szCs w:val="36"/>
    </w:rPr>
  </w:style>
  <w:style w:type="paragraph" w:customStyle="1" w:styleId="27">
    <w:name w:val="※章节标题（第Z部分分项）"/>
    <w:basedOn w:val="26"/>
    <w:qFormat/>
    <w:uiPriority w:val="0"/>
    <w:pPr>
      <w:outlineLvl w:val="2"/>
    </w:pPr>
  </w:style>
  <w:style w:type="paragraph" w:customStyle="1" w:styleId="28">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29">
    <w:name w:val="※正文（缩进2）"/>
    <w:basedOn w:val="18"/>
    <w:qFormat/>
    <w:uiPriority w:val="0"/>
    <w:pPr>
      <w:ind w:firstLine="200" w:firstLineChars="200"/>
    </w:pPr>
  </w:style>
  <w:style w:type="paragraph" w:customStyle="1" w:styleId="30">
    <w:name w:val="※正文（缩进4）"/>
    <w:basedOn w:val="18"/>
    <w:qFormat/>
    <w:uiPriority w:val="0"/>
    <w:pPr>
      <w:ind w:firstLine="400" w:firstLineChars="400"/>
    </w:pPr>
  </w:style>
  <w:style w:type="paragraph" w:customStyle="1" w:styleId="31">
    <w:name w:val="样式"/>
    <w:link w:val="33"/>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2">
    <w:name w:val="List Paragraph"/>
    <w:basedOn w:val="1"/>
    <w:unhideWhenUsed/>
    <w:qFormat/>
    <w:uiPriority w:val="99"/>
    <w:pPr>
      <w:ind w:firstLine="420" w:firstLineChars="200"/>
    </w:pPr>
  </w:style>
  <w:style w:type="character" w:customStyle="1" w:styleId="33">
    <w:name w:val="样式 Char Char"/>
    <w:link w:val="31"/>
    <w:qFormat/>
    <w:locked/>
    <w:uiPriority w:val="0"/>
    <w:rPr>
      <w:rFonts w:ascii="宋体" w:hAnsi="宋体" w:eastAsia="宋体" w:cs="宋体"/>
      <w:kern w:val="0"/>
      <w:sz w:val="24"/>
      <w:szCs w:val="24"/>
    </w:rPr>
  </w:style>
  <w:style w:type="character" w:customStyle="1" w:styleId="34">
    <w:name w:val="页眉 Char"/>
    <w:basedOn w:val="9"/>
    <w:link w:val="5"/>
    <w:qFormat/>
    <w:uiPriority w:val="99"/>
    <w:rPr>
      <w:rFonts w:ascii="Calibri" w:hAnsi="Calibri" w:eastAsia="宋体" w:cs="Times New Roman"/>
      <w:sz w:val="18"/>
      <w:szCs w:val="18"/>
    </w:rPr>
  </w:style>
  <w:style w:type="character" w:customStyle="1" w:styleId="35">
    <w:name w:val="页脚 Char"/>
    <w:basedOn w:val="9"/>
    <w:link w:val="4"/>
    <w:qFormat/>
    <w:uiPriority w:val="99"/>
    <w:rPr>
      <w:rFonts w:ascii="Calibri" w:hAnsi="Calibri" w:eastAsia="宋体" w:cs="Times New Roman"/>
      <w:sz w:val="18"/>
      <w:szCs w:val="18"/>
    </w:rPr>
  </w:style>
  <w:style w:type="character" w:customStyle="1" w:styleId="36">
    <w:name w:val="批注文字 Char"/>
    <w:basedOn w:val="9"/>
    <w:link w:val="2"/>
    <w:semiHidden/>
    <w:qFormat/>
    <w:uiPriority w:val="99"/>
    <w:rPr>
      <w:rFonts w:ascii="Calibri" w:hAnsi="Calibri" w:eastAsia="宋体" w:cs="Times New Roman"/>
    </w:rPr>
  </w:style>
  <w:style w:type="character" w:customStyle="1" w:styleId="37">
    <w:name w:val="批注主题 Char"/>
    <w:basedOn w:val="36"/>
    <w:link w:val="6"/>
    <w:semiHidden/>
    <w:qFormat/>
    <w:uiPriority w:val="99"/>
    <w:rPr>
      <w:rFonts w:ascii="Calibri" w:hAnsi="Calibri" w:eastAsia="宋体" w:cs="Times New Roman"/>
      <w:b/>
      <w:bCs/>
    </w:rPr>
  </w:style>
  <w:style w:type="character" w:customStyle="1" w:styleId="38">
    <w:name w:val="批注框文本 Char"/>
    <w:basedOn w:val="9"/>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1924</Words>
  <Characters>2169</Characters>
  <Lines>16</Lines>
  <Paragraphs>4</Paragraphs>
  <TotalTime>6</TotalTime>
  <ScaleCrop>false</ScaleCrop>
  <LinksUpToDate>false</LinksUpToDate>
  <CharactersWithSpaces>2173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2024-04-09T02:13:00Z</dcterms:created>
  <dc:creator>lenovo</dc:creator>
  <cp:lastModifiedBy>学凯</cp:lastModifiedBy>
  <dcterms:modified xsi:type="dcterms:W3CDTF">2025-11-07T00:18:06Z</dcterms:modified>
  <dc:title>阎良区农业技术推广中心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2EBC6EC446354AC7B7C8D278A23834A2_13</vt:lpwstr>
  </property>
  <property fmtid="{D5CDD505-2E9C-101B-9397-08002B2CF9AE}" pid="4" name="KSOTemplateDocerSaveRecord">
    <vt:lpwstr>eyJoZGlkIjoiN2FmOGNjMjYxYTkzNGI4NWI0Mjc2YjE5MWY5MDBmMDYiLCJ1c2VySWQiOiIyNjkyNTU4MDcifQ==</vt:lpwstr>
  </property>
</Properties>
</file>