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2A838">
      <w:pPr>
        <w:numPr>
          <w:ilvl w:val="0"/>
          <w:numId w:val="0"/>
        </w:numPr>
        <w:jc w:val="center"/>
        <w:outlineLvl w:val="0"/>
        <w:rPr>
          <w:rFonts w:ascii="仿宋" w:hAnsi="仿宋" w:eastAsia="仿宋" w:cs="仿宋"/>
          <w:b/>
          <w:bCs/>
          <w:sz w:val="36"/>
          <w:szCs w:val="36"/>
          <w:highlight w:val="none"/>
        </w:rPr>
      </w:pPr>
      <w:r>
        <w:rPr>
          <w:rFonts w:hint="eastAsia" w:ascii="仿宋" w:hAnsi="仿宋" w:eastAsia="仿宋" w:cs="仿宋"/>
          <w:b/>
          <w:bCs/>
          <w:sz w:val="36"/>
          <w:szCs w:val="36"/>
          <w:highlight w:val="none"/>
          <w:lang w:val="en-US" w:eastAsia="zh-CN"/>
        </w:rPr>
        <w:t>采购需求</w:t>
      </w:r>
    </w:p>
    <w:p w14:paraId="2D2664B6">
      <w:pPr>
        <w:numPr>
          <w:ilvl w:val="0"/>
          <w:numId w:val="0"/>
        </w:numPr>
        <w:ind w:left="42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一、工程概况</w:t>
      </w:r>
      <w:bookmarkStart w:id="0" w:name="_GoBack"/>
      <w:bookmarkEnd w:id="0"/>
    </w:p>
    <w:p w14:paraId="65377D31">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本工程为陕西开放大学郭杜校区教学楼一、二层公共区域粉刷及其它相关设施维修项目。主要内容：墙顶面翻新粉刷、教学楼走廊金属栏杆油漆翻新、灯具更换、门油漆翻新及更换等。</w:t>
      </w:r>
    </w:p>
    <w:p w14:paraId="1E11F9AF">
      <w:pPr>
        <w:numPr>
          <w:ilvl w:val="0"/>
          <w:numId w:val="0"/>
        </w:numPr>
        <w:ind w:left="42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二、编制范围</w:t>
      </w:r>
    </w:p>
    <w:p w14:paraId="7EA78AF3">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依据建设单位要求陕西开放大学郭杜校区教学楼一、二层公共区域粉刷及其它相关设施维修项目要求的范围。</w:t>
      </w:r>
    </w:p>
    <w:p w14:paraId="4EB2B7E7">
      <w:pPr>
        <w:numPr>
          <w:ilvl w:val="0"/>
          <w:numId w:val="0"/>
        </w:numPr>
        <w:ind w:left="42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三、编制依据</w:t>
      </w:r>
    </w:p>
    <w:p w14:paraId="65A8FA9D">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1、陕西开放大学郭杜校区教学楼一、二层公共区域粉刷及其它相关设施维修项目立项申请；</w:t>
      </w:r>
    </w:p>
    <w:p w14:paraId="45440D82">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2、《陕西省建设工程工程量清单计价规则》(2009年)；</w:t>
      </w:r>
    </w:p>
    <w:p w14:paraId="3ECD1B7E">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3、与建设工程项目有关的标准、规范、图集、技术资料；</w:t>
      </w:r>
    </w:p>
    <w:p w14:paraId="40C2A9D8">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陕西省建筑、装饰工程消耗量定额》（2004）与定额相配套使用的《陕西省建筑装饰市政园林绿化工程价目表》（2009），《陕西省室内装饰工程定额》（2002）、《陕西省费率》（2009）及其他相关的计价依据和办法；</w:t>
      </w:r>
    </w:p>
    <w:p w14:paraId="5B58A8C6">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5、材料价格均按照《陕西工程造价管理信息（材料信息价）》2025年第5期及市场价格计入；</w:t>
      </w:r>
    </w:p>
    <w:p w14:paraId="77B5FD81">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6、人工费执行《关于调整房屋建筑和市政基础设施工程工程量清单计价综合人工单价的通知》陕建发〔2021〕1097号；</w:t>
      </w:r>
    </w:p>
    <w:p w14:paraId="39549F0A">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7、安全文明施工费费率执行《关于发布我省落实建筑工人实名制管理计价依据的通知》陕建发〔2019〕1246号；</w:t>
      </w:r>
    </w:p>
    <w:p w14:paraId="6E74CA06">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8、建筑安全生产责任险费率执行《陕西省住房和城乡建设厅关于建筑施工安全生产责任保险费用计价的通知》陕建发〔2020〕1097号；</w:t>
      </w:r>
    </w:p>
    <w:p w14:paraId="3C2BBA22">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9、税金执行《关于调整我省建设工程计价依据的通知》陕建发〔2019〕45号文；</w:t>
      </w:r>
    </w:p>
    <w:p w14:paraId="25FDB113">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10、养老保险执行《关于全省统一停止收缴建筑业劳保费用的通知》陕建发﹝2021﹞1021号；</w:t>
      </w:r>
    </w:p>
    <w:p w14:paraId="52234A21">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11、施工现场情况、工程特点及常规施工方案；</w:t>
      </w:r>
    </w:p>
    <w:p w14:paraId="732324CE">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12、其他相关资料。</w:t>
      </w:r>
    </w:p>
    <w:p w14:paraId="033647C5">
      <w:pPr>
        <w:numPr>
          <w:ilvl w:val="0"/>
          <w:numId w:val="0"/>
        </w:numPr>
        <w:ind w:left="42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四、有关说明</w:t>
      </w:r>
    </w:p>
    <w:p w14:paraId="6BAAAE5B">
      <w:pPr>
        <w:numPr>
          <w:ilvl w:val="0"/>
          <w:numId w:val="0"/>
        </w:numPr>
        <w:ind w:left="420" w:leftChars="0" w:firstLine="240" w:firstLineChars="100"/>
        <w:rPr>
          <w:rFonts w:hint="default"/>
          <w:lang w:val="en-US" w:eastAsia="zh-CN"/>
        </w:rPr>
      </w:pPr>
      <w:r>
        <w:rPr>
          <w:rFonts w:hint="eastAsia" w:ascii="仿宋" w:hAnsi="仿宋" w:eastAsia="仿宋" w:cs="仿宋"/>
          <w:color w:val="auto"/>
          <w:kern w:val="2"/>
          <w:sz w:val="24"/>
          <w:szCs w:val="24"/>
          <w:highlight w:val="none"/>
          <w:lang w:val="en-US" w:eastAsia="zh-CN" w:bidi="ar-SA"/>
        </w:rPr>
        <w:t>1、编制软件采用广联达云计价平台GCCP6.0，版本号：6.4100.23.122。。</w:t>
      </w:r>
    </w:p>
    <w:p w14:paraId="11D9D3C0">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五、工程量清单：具体详见工程量清单附件</w:t>
      </w:r>
    </w:p>
    <w:p w14:paraId="7B9ED6A1">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四、其他要求</w:t>
      </w:r>
    </w:p>
    <w:p w14:paraId="507CED53">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1.工期：自合同签订之日起25天；</w:t>
      </w:r>
    </w:p>
    <w:p w14:paraId="29C19345">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2.质量缺陷责任期为一年，自工程验收合格之日起算。</w:t>
      </w:r>
    </w:p>
    <w:p w14:paraId="12D29A48">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3.质量要求：合格（达到国家强制性合格标准）；</w:t>
      </w:r>
    </w:p>
    <w:p w14:paraId="2AA21081">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4.付款方式</w:t>
      </w:r>
    </w:p>
    <w:p w14:paraId="5C9F5F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①合同签订后，支付合同总金额的40%作为预付款。</w:t>
      </w:r>
    </w:p>
    <w:p w14:paraId="10F9F4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②项目完工经甲方验收合格并审计结算完成后付至审计最终价的100%。</w:t>
      </w:r>
    </w:p>
    <w:p w14:paraId="5027FCC8">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5.施工地点：采购人指定地点。</w:t>
      </w:r>
    </w:p>
    <w:p w14:paraId="786AA3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6.验收要求：供应商针对本项目的施</w:t>
      </w:r>
      <w:r>
        <w:rPr>
          <w:rFonts w:hint="eastAsia" w:ascii="仿宋" w:hAnsi="仿宋" w:eastAsia="仿宋" w:cs="仿宋"/>
          <w:color w:val="auto"/>
          <w:sz w:val="24"/>
          <w:szCs w:val="24"/>
          <w:highlight w:val="none"/>
          <w:lang w:val="en-US" w:eastAsia="zh-CN"/>
        </w:rPr>
        <w:t>工，必须达到国家及行业现行技术规范标准，符合国家及行业验收合格标准；以磋商文件、响应文件、合同文本、国内相应的标准规范等为验收依据</w:t>
      </w:r>
      <w:r>
        <w:rPr>
          <w:rFonts w:hint="default" w:ascii="仿宋" w:hAnsi="仿宋" w:eastAsia="仿宋" w:cs="仿宋"/>
          <w:color w:val="auto"/>
          <w:sz w:val="24"/>
          <w:szCs w:val="24"/>
          <w:highlight w:val="none"/>
          <w:lang w:val="en-US" w:eastAsia="zh-CN"/>
        </w:rPr>
        <w:t>。</w:t>
      </w:r>
    </w:p>
    <w:p w14:paraId="6848FE1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D1D19"/>
    <w:rsid w:val="014D1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color w:val="9933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2025-06-30T02:39:00Z</dcterms:created>
  <dc:creator>德仁招标</dc:creator>
  <cp:lastModifiedBy>德仁招标</cp:lastModifiedBy>
  <dcterms:modified xsi:type="dcterms:W3CDTF">2025-06-30T02:39:17Z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27E9F123150740769AA7D006BA9316AA_11</vt:lpwstr>
  </property>
  <property fmtid="{D5CDD505-2E9C-101B-9397-08002B2CF9AE}" pid="4" name="KSOTemplateDocerSaveRecord">
    <vt:lpwstr>eyJoZGlkIjoiNzNmNDZlOGE4YzBiODhkNTY3NTdiYjNiMTljZmEwZTciLCJ1c2VySWQiOiIxMTk3NzI3MDgzIn0=</vt:lpwstr>
  </property>
</Properties>
</file>