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EE07A">
      <w:pPr>
        <w:rPr>
          <w:rFonts w:hint="eastAsia"/>
          <w:b/>
          <w:bCs/>
          <w:sz w:val="28"/>
          <w:szCs w:val="28"/>
          <w:lang w:val="en-US" w:eastAsia="zh-CN"/>
        </w:rPr>
      </w:pPr>
      <w:r>
        <w:rPr>
          <w:rFonts w:hint="eastAsia"/>
          <w:b/>
          <w:bCs/>
          <w:sz w:val="28"/>
          <w:szCs w:val="28"/>
          <w:lang w:val="en-US" w:eastAsia="zh-CN"/>
        </w:rPr>
        <w:t>政府采购项目</w:t>
      </w:r>
    </w:p>
    <w:p w14:paraId="05752078">
      <w:pPr>
        <w:rPr>
          <w:rFonts w:hint="default"/>
          <w:b/>
          <w:bCs/>
          <w:sz w:val="28"/>
          <w:szCs w:val="28"/>
          <w:highlight w:val="none"/>
          <w:lang w:val="en-US" w:eastAsia="zh-CN"/>
        </w:rPr>
      </w:pPr>
      <w:r>
        <w:rPr>
          <w:rFonts w:hint="eastAsia"/>
          <w:b/>
          <w:bCs/>
          <w:sz w:val="28"/>
          <w:szCs w:val="28"/>
          <w:highlight w:val="none"/>
          <w:lang w:val="en-US" w:eastAsia="zh-CN"/>
        </w:rPr>
        <w:t>项目编号：ZCPC-2025-037</w:t>
      </w:r>
    </w:p>
    <w:p w14:paraId="34C39384">
      <w:pPr>
        <w:rPr>
          <w:rFonts w:hint="eastAsia" w:ascii="宋体" w:hAnsi="宋体"/>
          <w:b/>
          <w:bCs/>
          <w:sz w:val="44"/>
          <w:szCs w:val="44"/>
          <w:highlight w:val="yellow"/>
        </w:rPr>
      </w:pPr>
    </w:p>
    <w:p w14:paraId="2820372A">
      <w:pPr>
        <w:rPr>
          <w:rFonts w:hint="eastAsia" w:ascii="宋体" w:hAnsi="宋体"/>
          <w:b/>
          <w:bCs/>
          <w:sz w:val="44"/>
          <w:szCs w:val="44"/>
          <w:highlight w:val="yellow"/>
        </w:rPr>
      </w:pPr>
    </w:p>
    <w:p w14:paraId="46360C3D">
      <w:pPr>
        <w:rPr>
          <w:rFonts w:hint="eastAsia" w:ascii="宋体" w:hAnsi="宋体"/>
          <w:b/>
          <w:bCs/>
          <w:sz w:val="44"/>
          <w:szCs w:val="44"/>
          <w:highlight w:val="yellow"/>
        </w:rPr>
      </w:pPr>
    </w:p>
    <w:p w14:paraId="4472A303">
      <w:pPr>
        <w:rPr>
          <w:rFonts w:hint="eastAsia" w:ascii="宋体" w:hAnsi="宋体"/>
          <w:b/>
          <w:bCs/>
          <w:sz w:val="44"/>
          <w:szCs w:val="44"/>
          <w:highlight w:val="yellow"/>
        </w:rPr>
      </w:pPr>
    </w:p>
    <w:p w14:paraId="76D36675">
      <w:pPr>
        <w:jc w:val="center"/>
        <w:rPr>
          <w:rFonts w:hint="eastAsia" w:ascii="宋体" w:hAnsi="宋体"/>
          <w:b/>
          <w:bCs/>
          <w:sz w:val="44"/>
          <w:szCs w:val="44"/>
          <w:highlight w:val="none"/>
        </w:rPr>
      </w:pPr>
      <w:r>
        <w:rPr>
          <w:rFonts w:hint="eastAsia" w:ascii="宋体" w:hAnsi="宋体"/>
          <w:b/>
          <w:bCs/>
          <w:sz w:val="44"/>
          <w:szCs w:val="44"/>
          <w:highlight w:val="none"/>
          <w:lang w:eastAsia="zh-CN"/>
        </w:rPr>
        <w:t>宁陕县2025年中央财政林业草原生态保护恢复资金森林修复项目</w:t>
      </w:r>
    </w:p>
    <w:p w14:paraId="658B5A39">
      <w:pPr>
        <w:jc w:val="center"/>
        <w:rPr>
          <w:rFonts w:hint="eastAsia" w:ascii="宋体" w:hAnsi="宋体"/>
          <w:b/>
          <w:bCs/>
          <w:sz w:val="44"/>
          <w:szCs w:val="44"/>
          <w:highlight w:val="none"/>
        </w:rPr>
      </w:pPr>
    </w:p>
    <w:p w14:paraId="25175AE9">
      <w:pPr>
        <w:jc w:val="both"/>
        <w:rPr>
          <w:rFonts w:hint="eastAsia" w:ascii="宋体" w:hAnsi="宋体"/>
          <w:b/>
          <w:bCs/>
          <w:sz w:val="44"/>
          <w:szCs w:val="44"/>
          <w:highlight w:val="none"/>
        </w:rPr>
      </w:pPr>
    </w:p>
    <w:p w14:paraId="070867F4">
      <w:pPr>
        <w:pStyle w:val="2"/>
        <w:rPr>
          <w:rFonts w:hint="eastAsia"/>
        </w:rPr>
      </w:pPr>
    </w:p>
    <w:p w14:paraId="0641CC8E">
      <w:pPr>
        <w:jc w:val="center"/>
        <w:rPr>
          <w:rFonts w:ascii="宋体" w:hAnsi="宋体"/>
          <w:b/>
          <w:kern w:val="0"/>
          <w:sz w:val="44"/>
          <w:szCs w:val="44"/>
          <w:highlight w:val="none"/>
        </w:rPr>
      </w:pPr>
      <w:r>
        <w:rPr>
          <w:rFonts w:hint="eastAsia" w:ascii="宋体" w:hAnsi="宋体"/>
          <w:b/>
          <w:kern w:val="0"/>
          <w:sz w:val="44"/>
          <w:szCs w:val="44"/>
          <w:highlight w:val="none"/>
          <w:lang w:val="en-US" w:eastAsia="zh-CN"/>
        </w:rPr>
        <w:t>竞争性</w:t>
      </w:r>
      <w:r>
        <w:rPr>
          <w:rFonts w:hint="eastAsia" w:ascii="宋体" w:hAnsi="宋体"/>
          <w:b/>
          <w:kern w:val="0"/>
          <w:sz w:val="44"/>
          <w:szCs w:val="44"/>
          <w:highlight w:val="none"/>
        </w:rPr>
        <w:t>磋商</w:t>
      </w:r>
      <w:r>
        <w:rPr>
          <w:rFonts w:ascii="宋体" w:hAnsi="宋体"/>
          <w:b/>
          <w:kern w:val="0"/>
          <w:sz w:val="44"/>
          <w:szCs w:val="44"/>
          <w:highlight w:val="none"/>
        </w:rPr>
        <w:t>文件</w:t>
      </w:r>
    </w:p>
    <w:p w14:paraId="0CACD113">
      <w:pPr>
        <w:jc w:val="center"/>
        <w:rPr>
          <w:rFonts w:ascii="宋体" w:hAnsi="宋体"/>
          <w:b/>
          <w:kern w:val="0"/>
          <w:sz w:val="44"/>
          <w:szCs w:val="44"/>
        </w:rPr>
      </w:pPr>
    </w:p>
    <w:p w14:paraId="4171A684">
      <w:pPr>
        <w:pStyle w:val="2"/>
      </w:pPr>
      <w:r>
        <w:drawing>
          <wp:anchor distT="0" distB="0" distL="114300" distR="114300" simplePos="0" relativeHeight="251661312" behindDoc="1" locked="0" layoutInCell="1" allowOverlap="1">
            <wp:simplePos x="0" y="0"/>
            <wp:positionH relativeFrom="column">
              <wp:posOffset>1303655</wp:posOffset>
            </wp:positionH>
            <wp:positionV relativeFrom="paragraph">
              <wp:posOffset>96520</wp:posOffset>
            </wp:positionV>
            <wp:extent cx="3312160" cy="110490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3312160" cy="1104900"/>
                    </a:xfrm>
                    <a:prstGeom prst="rect">
                      <a:avLst/>
                    </a:prstGeom>
                    <a:noFill/>
                    <a:ln>
                      <a:noFill/>
                    </a:ln>
                  </pic:spPr>
                </pic:pic>
              </a:graphicData>
            </a:graphic>
          </wp:anchor>
        </w:drawing>
      </w:r>
    </w:p>
    <w:p w14:paraId="477AF591">
      <w:pPr>
        <w:jc w:val="center"/>
        <w:rPr>
          <w:rFonts w:ascii="宋体" w:hAnsi="宋体"/>
          <w:b/>
          <w:kern w:val="0"/>
          <w:sz w:val="44"/>
          <w:szCs w:val="44"/>
        </w:rPr>
      </w:pPr>
    </w:p>
    <w:p w14:paraId="2F808A8B">
      <w:pPr>
        <w:jc w:val="center"/>
        <w:rPr>
          <w:rFonts w:ascii="宋体" w:hAnsi="宋体"/>
          <w:b/>
          <w:kern w:val="0"/>
          <w:sz w:val="44"/>
          <w:szCs w:val="44"/>
        </w:rPr>
      </w:pPr>
    </w:p>
    <w:p w14:paraId="0405C498">
      <w:pPr>
        <w:jc w:val="center"/>
        <w:rPr>
          <w:rFonts w:ascii="宋体" w:hAnsi="宋体"/>
          <w:b/>
          <w:kern w:val="0"/>
          <w:sz w:val="44"/>
          <w:szCs w:val="44"/>
        </w:rPr>
      </w:pPr>
    </w:p>
    <w:p w14:paraId="7C86527F">
      <w:pPr>
        <w:jc w:val="center"/>
        <w:rPr>
          <w:rFonts w:ascii="宋体" w:hAnsi="宋体"/>
          <w:b/>
          <w:kern w:val="0"/>
          <w:sz w:val="44"/>
          <w:szCs w:val="44"/>
        </w:rPr>
      </w:pPr>
    </w:p>
    <w:p w14:paraId="47AF9CEF">
      <w:pPr>
        <w:jc w:val="both"/>
        <w:rPr>
          <w:rFonts w:ascii="宋体" w:hAnsi="宋体"/>
          <w:b/>
          <w:kern w:val="0"/>
          <w:sz w:val="44"/>
          <w:szCs w:val="44"/>
        </w:rPr>
      </w:pPr>
    </w:p>
    <w:p w14:paraId="3ACA57EF">
      <w:pPr>
        <w:pStyle w:val="2"/>
      </w:pPr>
    </w:p>
    <w:p w14:paraId="357A4938">
      <w:pPr>
        <w:rPr>
          <w:rFonts w:ascii="宋体" w:hAnsi="宋体"/>
          <w:b/>
          <w:kern w:val="0"/>
          <w:sz w:val="44"/>
          <w:szCs w:val="44"/>
        </w:rPr>
      </w:pPr>
    </w:p>
    <w:p w14:paraId="599822E9">
      <w:pPr>
        <w:pStyle w:val="2"/>
        <w:spacing w:line="360" w:lineRule="auto"/>
      </w:pPr>
    </w:p>
    <w:p w14:paraId="3D3570CB">
      <w:pPr>
        <w:spacing w:line="360" w:lineRule="auto"/>
        <w:jc w:val="center"/>
        <w:rPr>
          <w:rFonts w:hint="default"/>
          <w:b/>
          <w:bCs/>
          <w:sz w:val="28"/>
          <w:szCs w:val="28"/>
          <w:lang w:val="en-US" w:eastAsia="zh-CN"/>
        </w:rPr>
      </w:pPr>
      <w:r>
        <w:rPr>
          <w:rFonts w:hint="eastAsia"/>
          <w:b/>
          <w:bCs/>
          <w:sz w:val="28"/>
          <w:szCs w:val="28"/>
          <w:lang w:val="en-US" w:eastAsia="zh-CN"/>
        </w:rPr>
        <w:t>陕西众灿品诚项目管理有限公司</w:t>
      </w:r>
    </w:p>
    <w:p w14:paraId="0440CBE7">
      <w:pPr>
        <w:spacing w:line="360" w:lineRule="auto"/>
        <w:jc w:val="center"/>
        <w:rPr>
          <w:rFonts w:hint="eastAsia"/>
          <w:lang w:val="en-US" w:eastAsia="zh-CN"/>
        </w:rPr>
      </w:pPr>
      <w:r>
        <w:rPr>
          <w:rFonts w:hint="eastAsia" w:ascii="宋体" w:hAnsi="宋体" w:eastAsia="宋体" w:cs="宋体"/>
          <w:b/>
          <w:bCs/>
          <w:sz w:val="28"/>
          <w:szCs w:val="28"/>
          <w:lang w:val="en-US" w:eastAsia="zh-CN"/>
        </w:rPr>
        <w:t>2025年6月</w:t>
      </w:r>
    </w:p>
    <w:p w14:paraId="00049E5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bCs/>
          <w:kern w:val="2"/>
          <w:sz w:val="32"/>
          <w:szCs w:val="32"/>
          <w:lang w:val="zh-CN" w:eastAsia="zh-CN" w:bidi="ar-SA"/>
        </w:rPr>
      </w:pPr>
    </w:p>
    <w:p w14:paraId="7B07621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bCs/>
          <w:kern w:val="2"/>
          <w:sz w:val="32"/>
          <w:szCs w:val="32"/>
          <w:lang w:val="zh-CN" w:eastAsia="zh-CN" w:bidi="ar-SA"/>
        </w:rPr>
      </w:pPr>
    </w:p>
    <w:p w14:paraId="175E0A11">
      <w:pPr>
        <w:rPr>
          <w:rFonts w:hint="eastAsia"/>
          <w:lang w:val="zh-CN" w:eastAsia="zh-CN"/>
        </w:rPr>
      </w:pPr>
    </w:p>
    <w:p w14:paraId="1438DA0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bCs/>
          <w:kern w:val="2"/>
          <w:sz w:val="32"/>
          <w:szCs w:val="32"/>
          <w:lang w:val="zh-CN" w:eastAsia="zh-CN" w:bidi="ar-SA"/>
        </w:rPr>
        <w:sectPr>
          <w:headerReference r:id="rId3" w:type="default"/>
          <w:pgSz w:w="11906" w:h="16838"/>
          <w:pgMar w:top="1418" w:right="1418" w:bottom="1418" w:left="1418" w:header="851" w:footer="992" w:gutter="0"/>
          <w:pgBorders w:offsetFrom="page">
            <w:top w:val="none" w:sz="0" w:space="0"/>
            <w:left w:val="none" w:sz="0" w:space="0"/>
            <w:bottom w:val="none" w:sz="0" w:space="0"/>
            <w:right w:val="none" w:sz="0" w:space="0"/>
          </w:pgBorders>
          <w:pgNumType w:fmt="decimal"/>
          <w:cols w:space="720" w:num="1"/>
          <w:rtlGutter w:val="1"/>
          <w:docGrid w:linePitch="312" w:charSpace="0"/>
        </w:sectPr>
      </w:pPr>
    </w:p>
    <w:p w14:paraId="130FF2A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bCs/>
          <w:kern w:val="2"/>
          <w:sz w:val="32"/>
          <w:szCs w:val="32"/>
          <w:lang w:val="zh-CN" w:eastAsia="zh-CN" w:bidi="ar-SA"/>
        </w:rPr>
      </w:pPr>
      <w:r>
        <w:rPr>
          <w:rFonts w:hint="eastAsia" w:ascii="黑体" w:hAnsi="黑体" w:eastAsia="黑体" w:cs="黑体"/>
          <w:b/>
          <w:bCs/>
          <w:kern w:val="2"/>
          <w:sz w:val="32"/>
          <w:szCs w:val="32"/>
          <w:lang w:val="zh-CN" w:eastAsia="zh-CN" w:bidi="ar-SA"/>
        </w:rPr>
        <w:t>温馨提示</w:t>
      </w:r>
    </w:p>
    <w:p w14:paraId="5183BF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微软雅黑" w:hAnsi="微软雅黑" w:eastAsia="微软雅黑" w:cs="微软雅黑"/>
          <w:b w:val="0"/>
          <w:bCs w:val="0"/>
          <w:color w:val="auto"/>
          <w:kern w:val="2"/>
          <w:sz w:val="24"/>
          <w:szCs w:val="24"/>
          <w:highlight w:val="none"/>
          <w:lang w:val="zh-CN" w:eastAsia="zh-CN" w:bidi="ar-SA"/>
        </w:rPr>
      </w:pPr>
      <w:r>
        <w:rPr>
          <w:rFonts w:hint="eastAsia" w:ascii="微软雅黑" w:hAnsi="微软雅黑" w:eastAsia="微软雅黑" w:cs="微软雅黑"/>
          <w:b w:val="0"/>
          <w:bCs w:val="0"/>
          <w:color w:val="auto"/>
          <w:kern w:val="2"/>
          <w:sz w:val="24"/>
          <w:szCs w:val="24"/>
          <w:highlight w:val="none"/>
          <w:lang w:val="zh-CN" w:eastAsia="zh-CN" w:bidi="ar-SA"/>
        </w:rPr>
        <w:t>请供应商认真阅读下列条款，避免因此造成的无效投标：</w:t>
      </w:r>
    </w:p>
    <w:p w14:paraId="03A4D03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微软雅黑" w:hAnsi="微软雅黑" w:eastAsia="微软雅黑" w:cs="微软雅黑"/>
          <w:b w:val="0"/>
          <w:bCs w:val="0"/>
          <w:color w:val="auto"/>
          <w:kern w:val="2"/>
          <w:sz w:val="24"/>
          <w:szCs w:val="24"/>
          <w:highlight w:val="none"/>
          <w:lang w:val="zh-CN" w:eastAsia="zh-CN" w:bidi="ar-SA"/>
        </w:rPr>
      </w:pPr>
      <w:r>
        <w:rPr>
          <w:rFonts w:hint="eastAsia" w:ascii="微软雅黑" w:hAnsi="微软雅黑" w:eastAsia="微软雅黑" w:cs="微软雅黑"/>
          <w:b w:val="0"/>
          <w:bCs w:val="0"/>
          <w:color w:val="auto"/>
          <w:kern w:val="2"/>
          <w:sz w:val="24"/>
          <w:szCs w:val="24"/>
          <w:highlight w:val="none"/>
          <w:lang w:val="zh-CN" w:eastAsia="zh-CN" w:bidi="ar-SA"/>
        </w:rPr>
        <w:t>本</w:t>
      </w:r>
      <w:r>
        <w:rPr>
          <w:rFonts w:hint="eastAsia" w:ascii="微软雅黑" w:hAnsi="微软雅黑" w:eastAsia="微软雅黑" w:cs="微软雅黑"/>
          <w:b w:val="0"/>
          <w:bCs w:val="0"/>
          <w:color w:val="auto"/>
          <w:kern w:val="2"/>
          <w:sz w:val="24"/>
          <w:szCs w:val="24"/>
          <w:highlight w:val="none"/>
          <w:lang w:val="en-US" w:eastAsia="zh-CN" w:bidi="ar-SA"/>
        </w:rPr>
        <w:t>项目</w:t>
      </w:r>
      <w:r>
        <w:rPr>
          <w:rFonts w:hint="eastAsia" w:ascii="微软雅黑" w:hAnsi="微软雅黑" w:eastAsia="微软雅黑" w:cs="微软雅黑"/>
          <w:b w:val="0"/>
          <w:bCs w:val="0"/>
          <w:color w:val="auto"/>
          <w:kern w:val="2"/>
          <w:sz w:val="24"/>
          <w:szCs w:val="24"/>
          <w:highlight w:val="none"/>
          <w:lang w:val="zh-CN" w:eastAsia="zh-CN" w:bidi="ar-SA"/>
        </w:rPr>
        <w:t>采用电子化投标方式投标，供应商须使用数字认证证书（CA锁）对电子响应文件进行签章、加密、递交及开标时签到、解密等相关招投标事宜。开标时供应商须携带数字认证证书（CA主锁），现场解密投标响应文件，如因供应商自身原因未正确使用数字认证证书（CA锁）造成无法解密响应文件，按无效投标对待。</w:t>
      </w:r>
    </w:p>
    <w:p w14:paraId="467D52C2">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微软雅黑" w:hAnsi="微软雅黑" w:eastAsia="微软雅黑" w:cs="微软雅黑"/>
          <w:b w:val="0"/>
          <w:bCs w:val="0"/>
          <w:color w:val="auto"/>
          <w:kern w:val="2"/>
          <w:sz w:val="24"/>
          <w:szCs w:val="24"/>
          <w:highlight w:val="none"/>
          <w:lang w:val="zh-CN" w:eastAsia="zh-CN" w:bidi="ar-SA"/>
        </w:rPr>
      </w:pPr>
      <w:r>
        <w:rPr>
          <w:rFonts w:hint="eastAsia" w:ascii="微软雅黑" w:hAnsi="微软雅黑" w:eastAsia="微软雅黑" w:cs="微软雅黑"/>
          <w:b w:val="0"/>
          <w:bCs w:val="0"/>
          <w:color w:val="auto"/>
          <w:kern w:val="2"/>
          <w:sz w:val="24"/>
          <w:szCs w:val="24"/>
          <w:highlight w:val="none"/>
          <w:lang w:val="zh-CN" w:eastAsia="zh-CN" w:bidi="ar-SA"/>
        </w:rPr>
        <w:t>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26AE2EAA">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微软雅黑" w:hAnsi="微软雅黑" w:eastAsia="微软雅黑" w:cs="微软雅黑"/>
          <w:b w:val="0"/>
          <w:bCs w:val="0"/>
          <w:color w:val="auto"/>
          <w:kern w:val="2"/>
          <w:sz w:val="24"/>
          <w:szCs w:val="24"/>
          <w:highlight w:val="none"/>
          <w:lang w:val="zh-CN" w:eastAsia="zh-CN" w:bidi="ar-SA"/>
        </w:rPr>
      </w:pPr>
      <w:r>
        <w:rPr>
          <w:rFonts w:hint="eastAsia" w:ascii="微软雅黑" w:hAnsi="微软雅黑" w:eastAsia="微软雅黑" w:cs="微软雅黑"/>
          <w:b w:val="0"/>
          <w:bCs w:val="0"/>
          <w:color w:val="auto"/>
          <w:kern w:val="2"/>
          <w:sz w:val="24"/>
          <w:szCs w:val="24"/>
          <w:highlight w:val="none"/>
          <w:lang w:val="zh-CN" w:eastAsia="zh-CN" w:bidi="ar-SA"/>
        </w:rPr>
        <w:t>递交电子响应文件。登录全国公共资源交易中心平台 (陕西省•安康市),选择“电子交易平台一陕西政府采购交易系统-企业端”进行登录，登录后选择“交易乙方”身份进入，进入菜单“采购业务-我的项目一项目流程-上传响应文件”，上传加密的电子响应文件。上传成功后，电子化平台将予以记录。</w:t>
      </w:r>
    </w:p>
    <w:p w14:paraId="2B8D78BE">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微软雅黑" w:hAnsi="微软雅黑" w:eastAsia="微软雅黑" w:cs="微软雅黑"/>
          <w:b w:val="0"/>
          <w:bCs w:val="0"/>
          <w:color w:val="auto"/>
          <w:kern w:val="2"/>
          <w:sz w:val="24"/>
          <w:szCs w:val="24"/>
          <w:highlight w:val="none"/>
          <w:lang w:val="zh-CN" w:eastAsia="zh-CN" w:bidi="ar-SA"/>
        </w:rPr>
      </w:pPr>
      <w:r>
        <w:rPr>
          <w:rFonts w:hint="eastAsia" w:ascii="微软雅黑" w:hAnsi="微软雅黑" w:eastAsia="微软雅黑" w:cs="微软雅黑"/>
          <w:b w:val="0"/>
          <w:bCs w:val="0"/>
          <w:color w:val="auto"/>
          <w:kern w:val="2"/>
          <w:sz w:val="24"/>
          <w:szCs w:val="24"/>
          <w:highlight w:val="none"/>
          <w:lang w:val="zh-CN" w:eastAsia="zh-CN" w:bidi="ar-SA"/>
        </w:rPr>
        <w:t>本项目采用“不见面开标”方式，无须到开标现场及递交纸质响应文件，各供应商可登录全国公共资源交易平台（陕西省·</w:t>
      </w:r>
      <w:r>
        <w:rPr>
          <w:rFonts w:hint="eastAsia" w:ascii="微软雅黑" w:hAnsi="微软雅黑" w:eastAsia="微软雅黑" w:cs="微软雅黑"/>
          <w:b w:val="0"/>
          <w:bCs w:val="0"/>
          <w:color w:val="auto"/>
          <w:kern w:val="2"/>
          <w:sz w:val="24"/>
          <w:szCs w:val="24"/>
          <w:highlight w:val="none"/>
          <w:lang w:val="en-US" w:eastAsia="zh-CN" w:bidi="ar-SA"/>
        </w:rPr>
        <w:t>安康市</w:t>
      </w:r>
      <w:r>
        <w:rPr>
          <w:rFonts w:hint="eastAsia" w:ascii="微软雅黑" w:hAnsi="微软雅黑" w:eastAsia="微软雅黑" w:cs="微软雅黑"/>
          <w:b w:val="0"/>
          <w:bCs w:val="0"/>
          <w:color w:val="auto"/>
          <w:kern w:val="2"/>
          <w:sz w:val="24"/>
          <w:szCs w:val="24"/>
          <w:highlight w:val="none"/>
          <w:lang w:val="zh-CN" w:eastAsia="zh-CN" w:bidi="ar-SA"/>
        </w:rPr>
        <w:t>）下载操作手册，并在响应文件递交截止时间前通过全国公共资源交易平台（陕西省·</w:t>
      </w:r>
      <w:r>
        <w:rPr>
          <w:rFonts w:hint="eastAsia" w:ascii="微软雅黑" w:hAnsi="微软雅黑" w:eastAsia="微软雅黑" w:cs="微软雅黑"/>
          <w:b w:val="0"/>
          <w:bCs w:val="0"/>
          <w:color w:val="auto"/>
          <w:kern w:val="2"/>
          <w:sz w:val="24"/>
          <w:szCs w:val="24"/>
          <w:highlight w:val="none"/>
          <w:lang w:val="en-US" w:eastAsia="zh-CN" w:bidi="ar-SA"/>
        </w:rPr>
        <w:t>安康市</w:t>
      </w:r>
      <w:r>
        <w:rPr>
          <w:rFonts w:hint="eastAsia" w:ascii="微软雅黑" w:hAnsi="微软雅黑" w:eastAsia="微软雅黑" w:cs="微软雅黑"/>
          <w:b w:val="0"/>
          <w:bCs w:val="0"/>
          <w:color w:val="auto"/>
          <w:kern w:val="2"/>
          <w:sz w:val="24"/>
          <w:szCs w:val="24"/>
          <w:highlight w:val="none"/>
          <w:lang w:val="zh-CN" w:eastAsia="zh-CN" w:bidi="ar-SA"/>
        </w:rPr>
        <w:t>）递交电子响应文件。</w:t>
      </w:r>
    </w:p>
    <w:p w14:paraId="075EF3C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五、评审过程中，磋商小组要求供应商提交多轮（最后）磋商报价时，供应商须登录全国公共资源交易平台（陕西省）在交易系统中提交多轮（最后）报价，并用数字认证证书（CA 锁）签章。</w:t>
      </w:r>
    </w:p>
    <w:p w14:paraId="655B162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六、</w:t>
      </w:r>
      <w:r>
        <w:rPr>
          <w:rFonts w:hint="eastAsia" w:ascii="微软雅黑" w:hAnsi="微软雅黑" w:eastAsia="微软雅黑" w:cs="微软雅黑"/>
          <w:b w:val="0"/>
          <w:bCs w:val="0"/>
          <w:color w:val="auto"/>
          <w:kern w:val="2"/>
          <w:sz w:val="24"/>
          <w:szCs w:val="24"/>
          <w:highlight w:val="none"/>
          <w:lang w:val="zh-CN" w:eastAsia="zh-CN" w:bidi="ar-SA"/>
        </w:rPr>
        <w:t>各供应商应于开标前自行检查电脑网络环境、安装插件以及设置浏览器，提前阅读《安康市公共资源交易不见面开标大厅操作手册》</w:t>
      </w:r>
      <w:r>
        <w:rPr>
          <w:rFonts w:hint="eastAsia" w:ascii="微软雅黑" w:hAnsi="微软雅黑" w:eastAsia="微软雅黑" w:cs="微软雅黑"/>
          <w:b w:val="0"/>
          <w:bCs w:val="0"/>
          <w:color w:val="auto"/>
          <w:kern w:val="2"/>
          <w:sz w:val="24"/>
          <w:szCs w:val="24"/>
          <w:highlight w:val="none"/>
          <w:lang w:val="en-US" w:eastAsia="zh-CN" w:bidi="ar-SA"/>
        </w:rPr>
        <w:t>(网址：https：//ggzyjy.ankang.gov.cn/Node-93230.html)</w:t>
      </w:r>
      <w:r>
        <w:rPr>
          <w:rFonts w:hint="eastAsia" w:ascii="微软雅黑" w:hAnsi="微软雅黑" w:eastAsia="微软雅黑" w:cs="微软雅黑"/>
          <w:b w:val="0"/>
          <w:bCs w:val="0"/>
          <w:color w:val="auto"/>
          <w:kern w:val="2"/>
          <w:sz w:val="24"/>
          <w:szCs w:val="24"/>
          <w:highlight w:val="none"/>
          <w:lang w:val="zh-CN" w:eastAsia="zh-CN" w:bidi="ar-SA"/>
        </w:rPr>
        <w:t>，可在开标</w:t>
      </w:r>
      <w:r>
        <w:rPr>
          <w:rFonts w:hint="eastAsia" w:ascii="微软雅黑" w:hAnsi="微软雅黑" w:eastAsia="微软雅黑" w:cs="微软雅黑"/>
          <w:b w:val="0"/>
          <w:bCs w:val="0"/>
          <w:color w:val="auto"/>
          <w:kern w:val="2"/>
          <w:sz w:val="24"/>
          <w:szCs w:val="24"/>
          <w:highlight w:val="none"/>
          <w:lang w:val="en-US" w:eastAsia="zh-CN" w:bidi="ar-SA"/>
        </w:rPr>
        <w:t>1</w:t>
      </w:r>
      <w:r>
        <w:rPr>
          <w:rFonts w:hint="eastAsia" w:ascii="微软雅黑" w:hAnsi="微软雅黑" w:eastAsia="微软雅黑" w:cs="微软雅黑"/>
          <w:b w:val="0"/>
          <w:bCs w:val="0"/>
          <w:color w:val="auto"/>
          <w:kern w:val="2"/>
          <w:sz w:val="24"/>
          <w:szCs w:val="24"/>
          <w:highlight w:val="none"/>
          <w:lang w:val="zh-CN" w:eastAsia="zh-CN" w:bidi="ar-SA"/>
        </w:rPr>
        <w:t>小时前登录不见面开标大厅，进入系统进行签到。如有供应商因不熟悉系统操作流程无法签到，应及时联系</w:t>
      </w:r>
      <w:r>
        <w:rPr>
          <w:rFonts w:hint="eastAsia" w:ascii="微软雅黑" w:hAnsi="微软雅黑" w:eastAsia="微软雅黑" w:cs="微软雅黑"/>
          <w:b w:val="0"/>
          <w:bCs w:val="0"/>
          <w:color w:val="auto"/>
          <w:kern w:val="2"/>
          <w:sz w:val="24"/>
          <w:szCs w:val="24"/>
          <w:highlight w:val="none"/>
          <w:lang w:val="en-US" w:eastAsia="zh-CN" w:bidi="ar-SA"/>
        </w:rPr>
        <w:t>安康市</w:t>
      </w:r>
      <w:r>
        <w:rPr>
          <w:rFonts w:hint="eastAsia" w:ascii="微软雅黑" w:hAnsi="微软雅黑" w:eastAsia="微软雅黑" w:cs="微软雅黑"/>
          <w:b w:val="0"/>
          <w:bCs w:val="0"/>
          <w:color w:val="auto"/>
          <w:kern w:val="2"/>
          <w:sz w:val="24"/>
          <w:szCs w:val="24"/>
          <w:highlight w:val="none"/>
          <w:lang w:val="zh-CN" w:eastAsia="zh-CN" w:bidi="ar-SA"/>
        </w:rPr>
        <w:t>公共资源交易中心技术人员指导完成相应操作。在开标过程中，供应商使用电子证书（CA锁）进行的远程签到、解密、确认等一系列操作都将视为供应商自身行为；各供应商应当妥善保管好电子证书（CA锁）。因供应商自身设施故障或自身原因导致无法完成签到或响应的，由供应商自行承担后果，遇到问题及时联系客服</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40092800135/4009980000</w:t>
      </w:r>
      <w:r>
        <w:rPr>
          <w:rFonts w:hint="eastAsia" w:ascii="微软雅黑" w:hAnsi="微软雅黑" w:eastAsia="微软雅黑" w:cs="微软雅黑"/>
          <w:b w:val="0"/>
          <w:bCs w:val="0"/>
          <w:color w:val="auto"/>
          <w:kern w:val="2"/>
          <w:sz w:val="24"/>
          <w:szCs w:val="24"/>
          <w:highlight w:val="none"/>
          <w:lang w:val="zh-CN" w:eastAsia="zh-CN" w:bidi="ar-SA"/>
        </w:rPr>
        <w:t>。</w:t>
      </w:r>
    </w:p>
    <w:p w14:paraId="120D398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微软雅黑" w:hAnsi="微软雅黑" w:eastAsia="微软雅黑" w:cs="微软雅黑"/>
          <w:b w:val="0"/>
          <w:bCs w:val="0"/>
          <w:color w:val="auto"/>
          <w:kern w:val="2"/>
          <w:sz w:val="24"/>
          <w:szCs w:val="24"/>
          <w:highlight w:val="none"/>
          <w:lang w:val="zh-CN" w:eastAsia="zh-CN" w:bidi="ar-SA"/>
        </w:rPr>
      </w:pPr>
      <w:r>
        <w:rPr>
          <w:rFonts w:hint="eastAsia" w:ascii="微软雅黑" w:hAnsi="微软雅黑" w:eastAsia="微软雅黑" w:cs="微软雅黑"/>
          <w:b w:val="0"/>
          <w:bCs w:val="0"/>
          <w:color w:val="auto"/>
          <w:kern w:val="2"/>
          <w:sz w:val="24"/>
          <w:szCs w:val="24"/>
          <w:highlight w:val="none"/>
          <w:lang w:val="en-US" w:eastAsia="zh-CN" w:bidi="ar-SA"/>
        </w:rPr>
        <w:t>七、</w:t>
      </w:r>
      <w:r>
        <w:rPr>
          <w:rFonts w:hint="eastAsia" w:ascii="微软雅黑" w:hAnsi="微软雅黑" w:eastAsia="微软雅黑" w:cs="微软雅黑"/>
          <w:b w:val="0"/>
          <w:bCs w:val="0"/>
          <w:color w:val="auto"/>
          <w:kern w:val="2"/>
          <w:sz w:val="24"/>
          <w:szCs w:val="24"/>
          <w:highlight w:val="none"/>
          <w:lang w:val="zh-CN" w:eastAsia="zh-CN" w:bidi="ar-SA"/>
        </w:rPr>
        <w:t>供应商须在</w:t>
      </w:r>
      <w:r>
        <w:rPr>
          <w:rFonts w:hint="eastAsia" w:ascii="微软雅黑" w:hAnsi="微软雅黑" w:eastAsia="微软雅黑" w:cs="微软雅黑"/>
          <w:b w:val="0"/>
          <w:bCs w:val="0"/>
          <w:color w:val="auto"/>
          <w:kern w:val="2"/>
          <w:sz w:val="24"/>
          <w:szCs w:val="24"/>
          <w:highlight w:val="none"/>
          <w:lang w:val="en-US" w:eastAsia="zh-CN" w:bidi="ar-SA"/>
        </w:rPr>
        <w:t>竞争性磋商文件</w:t>
      </w:r>
      <w:r>
        <w:rPr>
          <w:rFonts w:hint="eastAsia" w:ascii="微软雅黑" w:hAnsi="微软雅黑" w:eastAsia="微软雅黑" w:cs="微软雅黑"/>
          <w:b w:val="0"/>
          <w:bCs w:val="0"/>
          <w:color w:val="auto"/>
          <w:kern w:val="2"/>
          <w:sz w:val="24"/>
          <w:szCs w:val="24"/>
          <w:highlight w:val="none"/>
          <w:lang w:val="zh-CN" w:eastAsia="zh-CN" w:bidi="ar-SA"/>
        </w:rPr>
        <w:t>发售截止前登录电子交易平台下载</w:t>
      </w:r>
      <w:r>
        <w:rPr>
          <w:rFonts w:hint="eastAsia" w:ascii="微软雅黑" w:hAnsi="微软雅黑" w:eastAsia="微软雅黑" w:cs="微软雅黑"/>
          <w:b w:val="0"/>
          <w:bCs w:val="0"/>
          <w:color w:val="auto"/>
          <w:kern w:val="2"/>
          <w:sz w:val="24"/>
          <w:szCs w:val="24"/>
          <w:highlight w:val="none"/>
          <w:lang w:val="en-US" w:eastAsia="zh-CN" w:bidi="ar-SA"/>
        </w:rPr>
        <w:t>竞争性磋商文件</w:t>
      </w:r>
      <w:r>
        <w:rPr>
          <w:rFonts w:hint="eastAsia" w:ascii="微软雅黑" w:hAnsi="微软雅黑" w:eastAsia="微软雅黑" w:cs="微软雅黑"/>
          <w:b w:val="0"/>
          <w:bCs w:val="0"/>
          <w:color w:val="auto"/>
          <w:kern w:val="2"/>
          <w:sz w:val="24"/>
          <w:szCs w:val="24"/>
          <w:highlight w:val="none"/>
          <w:lang w:val="zh-CN" w:eastAsia="zh-CN" w:bidi="ar-SA"/>
        </w:rPr>
        <w:t>，未完成网上投标成功的或未在规定时间内在平台上下载</w:t>
      </w:r>
      <w:r>
        <w:rPr>
          <w:rFonts w:hint="eastAsia" w:ascii="微软雅黑" w:hAnsi="微软雅黑" w:eastAsia="微软雅黑" w:cs="微软雅黑"/>
          <w:b w:val="0"/>
          <w:bCs w:val="0"/>
          <w:color w:val="auto"/>
          <w:kern w:val="2"/>
          <w:sz w:val="24"/>
          <w:szCs w:val="24"/>
          <w:highlight w:val="none"/>
          <w:lang w:val="en-US" w:eastAsia="zh-CN" w:bidi="ar-SA"/>
        </w:rPr>
        <w:t>竞争性磋商文件</w:t>
      </w:r>
      <w:r>
        <w:rPr>
          <w:rFonts w:hint="eastAsia" w:ascii="微软雅黑" w:hAnsi="微软雅黑" w:eastAsia="微软雅黑" w:cs="微软雅黑"/>
          <w:b w:val="0"/>
          <w:bCs w:val="0"/>
          <w:color w:val="auto"/>
          <w:kern w:val="2"/>
          <w:sz w:val="24"/>
          <w:szCs w:val="24"/>
          <w:highlight w:val="none"/>
          <w:lang w:val="zh-CN" w:eastAsia="zh-CN" w:bidi="ar-SA"/>
        </w:rPr>
        <w:t>，导致无法完成后续流程的责任自负</w:t>
      </w:r>
      <w:r>
        <w:rPr>
          <w:rFonts w:hint="eastAsia" w:ascii="微软雅黑" w:hAnsi="微软雅黑" w:eastAsia="微软雅黑" w:cs="微软雅黑"/>
          <w:b w:val="0"/>
          <w:bCs w:val="0"/>
          <w:color w:val="auto"/>
          <w:kern w:val="2"/>
          <w:sz w:val="24"/>
          <w:szCs w:val="24"/>
          <w:highlight w:val="none"/>
          <w:lang w:val="en-US" w:eastAsia="zh-CN" w:bidi="ar-SA"/>
        </w:rPr>
        <w:t>。</w:t>
      </w:r>
    </w:p>
    <w:p w14:paraId="4822371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微软雅黑" w:hAnsi="微软雅黑" w:eastAsia="微软雅黑" w:cs="微软雅黑"/>
          <w:b w:val="0"/>
          <w:bCs w:val="0"/>
          <w:color w:val="auto"/>
          <w:kern w:val="2"/>
          <w:sz w:val="24"/>
          <w:szCs w:val="24"/>
          <w:highlight w:val="none"/>
          <w:lang w:val="zh-CN" w:eastAsia="zh-CN" w:bidi="ar-SA"/>
        </w:rPr>
        <w:t>谨记上述提示，将有助您顺利地参加投标。若有什么需要帮助，请您与我们的工作人员联系，我们将非常高兴地为您服务。</w:t>
      </w:r>
    </w:p>
    <w:p w14:paraId="7CC4F9FE">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p>
    <w:p w14:paraId="5136359B">
      <w:pPr>
        <w:pStyle w:val="2"/>
        <w:rPr>
          <w:rFonts w:hint="eastAsia" w:ascii="宋体" w:hAnsi="宋体" w:eastAsia="宋体" w:cs="宋体"/>
          <w:b/>
          <w:bCs/>
          <w:color w:val="auto"/>
          <w:sz w:val="28"/>
          <w:szCs w:val="28"/>
          <w:highlight w:val="none"/>
          <w:lang w:val="en-US" w:eastAsia="zh-CN"/>
        </w:rPr>
      </w:pPr>
    </w:p>
    <w:p w14:paraId="78A4AB6C">
      <w:pPr>
        <w:rPr>
          <w:rFonts w:hint="eastAsia" w:ascii="宋体" w:hAnsi="宋体" w:eastAsia="宋体" w:cs="宋体"/>
          <w:b/>
          <w:bCs/>
          <w:color w:val="auto"/>
          <w:sz w:val="28"/>
          <w:szCs w:val="28"/>
          <w:highlight w:val="none"/>
          <w:lang w:val="en-US" w:eastAsia="zh-CN"/>
        </w:rPr>
      </w:pPr>
    </w:p>
    <w:p w14:paraId="012ABB94">
      <w:pPr>
        <w:pStyle w:val="2"/>
        <w:rPr>
          <w:rFonts w:hint="eastAsia" w:ascii="宋体" w:hAnsi="宋体" w:eastAsia="宋体" w:cs="宋体"/>
          <w:b/>
          <w:bCs/>
          <w:color w:val="auto"/>
          <w:sz w:val="28"/>
          <w:szCs w:val="28"/>
          <w:highlight w:val="none"/>
          <w:lang w:val="en-US" w:eastAsia="zh-CN"/>
        </w:rPr>
      </w:pPr>
    </w:p>
    <w:p w14:paraId="73FF003F">
      <w:pPr>
        <w:rPr>
          <w:rFonts w:hint="eastAsia" w:ascii="宋体" w:hAnsi="宋体" w:eastAsia="宋体" w:cs="宋体"/>
          <w:b/>
          <w:bCs/>
          <w:color w:val="auto"/>
          <w:sz w:val="28"/>
          <w:szCs w:val="28"/>
          <w:highlight w:val="none"/>
          <w:lang w:val="en-US" w:eastAsia="zh-CN"/>
        </w:rPr>
      </w:pPr>
    </w:p>
    <w:p w14:paraId="08FBD350">
      <w:pPr>
        <w:pStyle w:val="2"/>
        <w:rPr>
          <w:rFonts w:hint="eastAsia" w:ascii="宋体" w:hAnsi="宋体" w:eastAsia="宋体" w:cs="宋体"/>
          <w:b/>
          <w:bCs/>
          <w:color w:val="auto"/>
          <w:sz w:val="28"/>
          <w:szCs w:val="28"/>
          <w:highlight w:val="none"/>
          <w:lang w:val="en-US" w:eastAsia="zh-CN"/>
        </w:rPr>
      </w:pPr>
    </w:p>
    <w:p w14:paraId="090B9CBF">
      <w:pPr>
        <w:rPr>
          <w:rFonts w:hint="eastAsia" w:ascii="宋体" w:hAnsi="宋体" w:eastAsia="宋体" w:cs="宋体"/>
          <w:b/>
          <w:bCs/>
          <w:color w:val="auto"/>
          <w:sz w:val="28"/>
          <w:szCs w:val="28"/>
          <w:highlight w:val="none"/>
          <w:lang w:val="en-US" w:eastAsia="zh-CN"/>
        </w:rPr>
      </w:pPr>
    </w:p>
    <w:p w14:paraId="2F204768">
      <w:pPr>
        <w:pStyle w:val="2"/>
        <w:rPr>
          <w:rFonts w:hint="eastAsia"/>
          <w:lang w:val="en-US" w:eastAsia="zh-CN"/>
        </w:rPr>
      </w:pPr>
    </w:p>
    <w:p w14:paraId="605F6B74">
      <w:pPr>
        <w:pStyle w:val="2"/>
        <w:rPr>
          <w:rFonts w:hint="eastAsia" w:ascii="宋体" w:hAnsi="宋体" w:eastAsia="宋体" w:cs="宋体"/>
          <w:b/>
          <w:bCs/>
          <w:color w:val="auto"/>
          <w:sz w:val="28"/>
          <w:szCs w:val="28"/>
          <w:highlight w:val="none"/>
          <w:lang w:val="en-US" w:eastAsia="zh-CN"/>
        </w:rPr>
      </w:pPr>
    </w:p>
    <w:p w14:paraId="2A23E0EB">
      <w:pPr>
        <w:rPr>
          <w:rFonts w:hint="eastAsia" w:ascii="宋体" w:hAnsi="宋体" w:eastAsia="宋体" w:cs="宋体"/>
          <w:b/>
          <w:bCs/>
          <w:color w:val="auto"/>
          <w:sz w:val="28"/>
          <w:szCs w:val="28"/>
          <w:highlight w:val="none"/>
          <w:lang w:val="en-US" w:eastAsia="zh-CN"/>
        </w:rPr>
      </w:pPr>
    </w:p>
    <w:p w14:paraId="685C83A7">
      <w:pPr>
        <w:pStyle w:val="2"/>
        <w:rPr>
          <w:rFonts w:hint="eastAsia" w:ascii="宋体" w:hAnsi="宋体" w:eastAsia="宋体" w:cs="宋体"/>
          <w:b/>
          <w:bCs/>
          <w:color w:val="auto"/>
          <w:sz w:val="28"/>
          <w:szCs w:val="28"/>
          <w:highlight w:val="none"/>
          <w:lang w:val="en-US" w:eastAsia="zh-CN"/>
        </w:rPr>
      </w:pPr>
    </w:p>
    <w:p w14:paraId="694C65B9">
      <w:pPr>
        <w:rPr>
          <w:rFonts w:hint="eastAsia"/>
          <w:lang w:val="en-US" w:eastAsia="zh-CN"/>
        </w:rPr>
      </w:pPr>
    </w:p>
    <w:p w14:paraId="7BFF19EC">
      <w:pPr>
        <w:pStyle w:val="2"/>
        <w:rPr>
          <w:rFonts w:hint="eastAsia" w:ascii="宋体" w:hAnsi="宋体" w:eastAsia="宋体" w:cs="宋体"/>
          <w:b/>
          <w:bCs/>
          <w:color w:val="auto"/>
          <w:sz w:val="28"/>
          <w:szCs w:val="28"/>
          <w:highlight w:val="none"/>
          <w:lang w:val="en-US" w:eastAsia="zh-CN"/>
        </w:rPr>
      </w:pPr>
    </w:p>
    <w:p w14:paraId="205DD870">
      <w:pPr>
        <w:rPr>
          <w:rFonts w:hint="eastAsia" w:ascii="宋体" w:hAnsi="宋体" w:eastAsia="宋体" w:cs="宋体"/>
          <w:b/>
          <w:bCs/>
          <w:color w:val="auto"/>
          <w:sz w:val="28"/>
          <w:szCs w:val="28"/>
          <w:highlight w:val="none"/>
          <w:lang w:val="en-US" w:eastAsia="zh-CN"/>
        </w:rPr>
      </w:pPr>
    </w:p>
    <w:p w14:paraId="76E9249B">
      <w:pPr>
        <w:pStyle w:val="2"/>
        <w:rPr>
          <w:rFonts w:hint="eastAsia" w:ascii="宋体" w:hAnsi="宋体" w:eastAsia="宋体" w:cs="宋体"/>
          <w:b/>
          <w:bCs/>
          <w:color w:val="auto"/>
          <w:sz w:val="28"/>
          <w:szCs w:val="28"/>
          <w:highlight w:val="none"/>
          <w:lang w:val="en-US" w:eastAsia="zh-CN"/>
        </w:rPr>
      </w:pPr>
    </w:p>
    <w:p w14:paraId="6677960F">
      <w:pPr>
        <w:rPr>
          <w:rFonts w:hint="eastAsia" w:ascii="宋体" w:hAnsi="宋体" w:eastAsia="宋体" w:cs="宋体"/>
          <w:b/>
          <w:bCs/>
          <w:color w:val="auto"/>
          <w:sz w:val="28"/>
          <w:szCs w:val="28"/>
          <w:highlight w:val="none"/>
          <w:lang w:val="en-US" w:eastAsia="zh-CN"/>
        </w:rPr>
      </w:pPr>
    </w:p>
    <w:p w14:paraId="54EE52FC">
      <w:pPr>
        <w:pStyle w:val="2"/>
        <w:rPr>
          <w:rFonts w:hint="eastAsia"/>
          <w:lang w:val="en-US" w:eastAsia="zh-CN"/>
        </w:rPr>
      </w:pPr>
    </w:p>
    <w:p w14:paraId="5B62A590">
      <w:pPr>
        <w:pStyle w:val="2"/>
        <w:jc w:val="both"/>
        <w:rPr>
          <w:rFonts w:hint="eastAsia"/>
          <w:lang w:val="en-US" w:eastAsia="zh-CN"/>
        </w:rPr>
      </w:pPr>
    </w:p>
    <w:sdt>
      <w:sdtPr>
        <w:rPr>
          <w:rFonts w:ascii="宋体" w:hAnsi="宋体" w:eastAsia="宋体" w:cstheme="minorBidi"/>
          <w:kern w:val="2"/>
          <w:sz w:val="21"/>
          <w:szCs w:val="24"/>
          <w:lang w:val="en-US" w:eastAsia="zh-CN" w:bidi="ar-SA"/>
        </w:rPr>
        <w:id w:val="147461072"/>
        <w15:color w:val="DBDBDB"/>
        <w:docPartObj>
          <w:docPartGallery w:val="Table of Contents"/>
          <w:docPartUnique/>
        </w:docPartObj>
      </w:sdtPr>
      <w:sdtEndPr>
        <w:rPr>
          <w:rFonts w:hint="eastAsia" w:ascii="宋体" w:hAnsi="宋体" w:eastAsia="宋体" w:cs="宋体"/>
          <w:bCs/>
          <w:kern w:val="2"/>
          <w:sz w:val="21"/>
          <w:szCs w:val="28"/>
          <w:highlight w:val="none"/>
          <w:lang w:val="en-US" w:eastAsia="zh-CN" w:bidi="ar-SA"/>
        </w:rPr>
      </w:sdtEndPr>
      <w:sdtContent>
        <w:p w14:paraId="131AD857">
          <w:pPr>
            <w:spacing w:before="0" w:beforeLines="0" w:after="0" w:afterLines="0" w:line="240" w:lineRule="auto"/>
            <w:ind w:left="0" w:leftChars="0" w:right="0" w:rightChars="0" w:firstLine="0" w:firstLineChars="0"/>
            <w:jc w:val="cente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14:paraId="1AA1027D">
          <w:pPr>
            <w:pStyle w:val="19"/>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val="0"/>
              <w:sz w:val="24"/>
              <w:szCs w:val="24"/>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TOC \o "1-3" \h \u </w:instrText>
          </w:r>
          <w:r>
            <w:rPr>
              <w:rFonts w:hint="eastAsia" w:ascii="宋体" w:hAnsi="宋体" w:eastAsia="宋体" w:cs="宋体"/>
              <w:b/>
              <w:bCs/>
              <w:sz w:val="28"/>
              <w:szCs w:val="28"/>
              <w:highlight w:val="none"/>
              <w:lang w:val="en-US" w:eastAsia="zh-CN"/>
            </w:rPr>
            <w:fldChar w:fldCharType="separate"/>
          </w: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_Toc3928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en-US" w:eastAsia="zh-CN" w:bidi="ar-SA"/>
            </w:rPr>
            <w:t>第一部分  竞争性磋商公告</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_Toc3928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4</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37CE799B">
          <w:pPr>
            <w:pStyle w:val="19"/>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_Toc29022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en-US" w:eastAsia="zh-CN" w:bidi="ar-SA"/>
            </w:rPr>
            <w:t xml:space="preserve">第二部分  </w:t>
          </w:r>
          <w:r>
            <w:rPr>
              <w:rFonts w:hint="eastAsia" w:ascii="微软雅黑" w:hAnsi="微软雅黑" w:eastAsia="微软雅黑" w:cs="微软雅黑"/>
              <w:b/>
              <w:bCs w:val="0"/>
              <w:kern w:val="2"/>
              <w:sz w:val="24"/>
              <w:szCs w:val="24"/>
              <w:lang w:val="zh-CN" w:eastAsia="zh-CN" w:bidi="ar-SA"/>
            </w:rPr>
            <w:t>供应商须知</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_Toc29022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8</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5CF8C996">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_Toc1774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rPr>
            <w:t>一、总则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_Toc1774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1F752C36">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_Toc21705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zh-CN"/>
            </w:rPr>
            <w:t>二、磋商文件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_Toc21705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CE40C22">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_Toc15173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三</w:t>
          </w:r>
          <w:r>
            <w:rPr>
              <w:rFonts w:hint="eastAsia" w:ascii="微软雅黑" w:hAnsi="微软雅黑" w:eastAsia="微软雅黑" w:cs="微软雅黑"/>
              <w:sz w:val="24"/>
              <w:szCs w:val="24"/>
              <w:highlight w:val="none"/>
              <w:lang w:val="zh-CN"/>
            </w:rPr>
            <w:t>、</w:t>
          </w:r>
          <w:r>
            <w:rPr>
              <w:rFonts w:hint="eastAsia" w:ascii="微软雅黑" w:hAnsi="微软雅黑" w:eastAsia="微软雅黑" w:cs="微软雅黑"/>
              <w:sz w:val="24"/>
              <w:szCs w:val="24"/>
              <w:lang w:val="zh-CN"/>
            </w:rPr>
            <w:t>磋商要求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_Toc15173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B1B56BD">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_Toc25749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编制和</w:t>
          </w:r>
          <w:r>
            <w:rPr>
              <w:rFonts w:hint="eastAsia" w:ascii="微软雅黑" w:hAnsi="微软雅黑" w:eastAsia="微软雅黑" w:cs="微软雅黑"/>
              <w:sz w:val="24"/>
              <w:szCs w:val="24"/>
            </w:rPr>
            <w:t>签署</w:t>
          </w:r>
          <w:r>
            <w:rPr>
              <w:rFonts w:hint="eastAsia" w:ascii="微软雅黑" w:hAnsi="微软雅黑" w:eastAsia="微软雅黑" w:cs="微软雅黑"/>
              <w:sz w:val="24"/>
              <w:szCs w:val="24"/>
              <w:lang w:eastAsia="zh-CN"/>
            </w:rPr>
            <w:t>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_Toc25749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42C29B75">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_Toc11145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lang w:val="zh-CN"/>
            </w:rPr>
            <w:t>、响应文件的密封和递交</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_Toc11145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5D728598">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_Toc17012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开标</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_Toc17012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01DD6CA">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_Toc23817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七、评审</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_Toc23817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C1BB650">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_Toc18236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八</w:t>
          </w:r>
          <w:r>
            <w:rPr>
              <w:rFonts w:hint="eastAsia" w:ascii="微软雅黑" w:hAnsi="微软雅黑" w:eastAsia="微软雅黑" w:cs="微软雅黑"/>
              <w:sz w:val="24"/>
              <w:szCs w:val="24"/>
            </w:rPr>
            <w:t>、确定成交供应商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_Toc18236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5F8B600D">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_Toc10245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九、</w:t>
          </w:r>
          <w:r>
            <w:rPr>
              <w:rFonts w:hint="eastAsia" w:ascii="微软雅黑" w:hAnsi="微软雅黑" w:eastAsia="微软雅黑" w:cs="微软雅黑"/>
              <w:sz w:val="24"/>
              <w:szCs w:val="24"/>
              <w:lang w:val="zh-CN"/>
            </w:rPr>
            <w:t>质疑与投诉</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_Toc10245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53C32C88">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_Toc31152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十</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履约保证金</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_Toc31152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39C1595D">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_Toc9592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十一</w:t>
          </w:r>
          <w:r>
            <w:rPr>
              <w:rFonts w:hint="eastAsia" w:ascii="微软雅黑" w:hAnsi="微软雅黑" w:eastAsia="微软雅黑" w:cs="微软雅黑"/>
              <w:sz w:val="24"/>
              <w:szCs w:val="24"/>
            </w:rPr>
            <w:t>、合同</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_Toc9592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58DF5DD">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_Toc1783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zh-CN"/>
            </w:rPr>
            <w:t>十</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lang w:val="zh-CN"/>
            </w:rPr>
            <w:t>、合同的履约验收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_Toc1783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0B23A942">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_Toc7778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rPr>
            <w:t>十</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招标代理服务费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_Toc7778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2DF4E0CC">
          <w:pPr>
            <w:pStyle w:val="20"/>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_Toc9496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zh-CN"/>
            </w:rPr>
            <w:t>十</w:t>
          </w:r>
          <w:r>
            <w:rPr>
              <w:rFonts w:hint="eastAsia" w:ascii="微软雅黑" w:hAnsi="微软雅黑" w:eastAsia="微软雅黑" w:cs="微软雅黑"/>
              <w:sz w:val="24"/>
              <w:szCs w:val="24"/>
              <w:highlight w:val="none"/>
              <w:lang w:val="en-US" w:eastAsia="zh-CN"/>
            </w:rPr>
            <w:t>四</w:t>
          </w:r>
          <w:r>
            <w:rPr>
              <w:rFonts w:hint="eastAsia" w:ascii="微软雅黑" w:hAnsi="微软雅黑" w:eastAsia="微软雅黑" w:cs="微软雅黑"/>
              <w:sz w:val="24"/>
              <w:szCs w:val="24"/>
              <w:highlight w:val="none"/>
              <w:lang w:val="zh-CN"/>
            </w:rPr>
            <w:t>、需要落实的政府采购政策</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_Toc9496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062C024C">
          <w:pPr>
            <w:pStyle w:val="19"/>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_Toc26626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sz w:val="24"/>
              <w:szCs w:val="24"/>
              <w:lang w:val="en-US" w:eastAsia="zh-CN"/>
            </w:rPr>
            <w:t>第三部分</w:t>
          </w:r>
          <w:r>
            <w:rPr>
              <w:rFonts w:hint="eastAsia" w:ascii="微软雅黑" w:hAnsi="微软雅黑" w:eastAsia="微软雅黑" w:cs="微软雅黑"/>
              <w:b/>
              <w:bCs w:val="0"/>
              <w:kern w:val="2"/>
              <w:sz w:val="24"/>
              <w:szCs w:val="24"/>
              <w:lang w:val="zh-CN" w:eastAsia="zh-CN" w:bidi="ar-SA"/>
            </w:rPr>
            <w:t xml:space="preserve">  采购内容及要求</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_Toc26626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27</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4F749C3D">
          <w:pPr>
            <w:pStyle w:val="19"/>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_Toc8272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zh-CN" w:eastAsia="zh-CN" w:bidi="ar-SA"/>
            </w:rPr>
            <w:t>第</w:t>
          </w:r>
          <w:r>
            <w:rPr>
              <w:rFonts w:hint="eastAsia" w:ascii="微软雅黑" w:hAnsi="微软雅黑" w:eastAsia="微软雅黑" w:cs="微软雅黑"/>
              <w:b/>
              <w:bCs w:val="0"/>
              <w:kern w:val="2"/>
              <w:sz w:val="24"/>
              <w:szCs w:val="24"/>
              <w:lang w:val="en-US" w:eastAsia="zh-CN" w:bidi="ar-SA"/>
            </w:rPr>
            <w:t>四</w:t>
          </w:r>
          <w:r>
            <w:rPr>
              <w:rFonts w:hint="eastAsia" w:ascii="微软雅黑" w:hAnsi="微软雅黑" w:eastAsia="微软雅黑" w:cs="微软雅黑"/>
              <w:b/>
              <w:bCs w:val="0"/>
              <w:kern w:val="2"/>
              <w:sz w:val="24"/>
              <w:szCs w:val="24"/>
              <w:lang w:val="zh-CN" w:eastAsia="zh-CN" w:bidi="ar-SA"/>
            </w:rPr>
            <w:t>部分  拟签订的合同条款文本</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_Toc8272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28</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5694E0A3">
          <w:pPr>
            <w:pStyle w:val="19"/>
            <w:keepNext w:val="0"/>
            <w:keepLines w:val="0"/>
            <w:pageBreakBefore w:val="0"/>
            <w:widowControl w:val="0"/>
            <w:tabs>
              <w:tab w:val="right" w:leader="dot" w:pos="9070"/>
            </w:tabs>
            <w:kinsoku/>
            <w:wordWrap/>
            <w:overflowPunct/>
            <w:topLinePunct w:val="0"/>
            <w:autoSpaceDE/>
            <w:autoSpaceDN/>
            <w:bidi w:val="0"/>
            <w:adjustRightInd/>
            <w:snapToGrid w:val="0"/>
            <w:spacing w:line="360" w:lineRule="auto"/>
            <w:textAlignment w:val="auto"/>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_Toc8625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zh-CN" w:eastAsia="zh-CN" w:bidi="ar-SA"/>
            </w:rPr>
            <w:t>第</w:t>
          </w:r>
          <w:r>
            <w:rPr>
              <w:rFonts w:hint="eastAsia" w:ascii="微软雅黑" w:hAnsi="微软雅黑" w:eastAsia="微软雅黑" w:cs="微软雅黑"/>
              <w:b/>
              <w:bCs w:val="0"/>
              <w:kern w:val="2"/>
              <w:sz w:val="24"/>
              <w:szCs w:val="24"/>
              <w:lang w:val="en-US" w:eastAsia="zh-CN" w:bidi="ar-SA"/>
            </w:rPr>
            <w:t>五</w:t>
          </w:r>
          <w:r>
            <w:rPr>
              <w:rFonts w:hint="eastAsia" w:ascii="微软雅黑" w:hAnsi="微软雅黑" w:eastAsia="微软雅黑" w:cs="微软雅黑"/>
              <w:b/>
              <w:bCs w:val="0"/>
              <w:kern w:val="2"/>
              <w:sz w:val="24"/>
              <w:szCs w:val="24"/>
              <w:lang w:val="zh-CN" w:eastAsia="zh-CN" w:bidi="ar-SA"/>
            </w:rPr>
            <w:t xml:space="preserve">部分 </w:t>
          </w:r>
          <w:r>
            <w:rPr>
              <w:rFonts w:hint="eastAsia" w:ascii="微软雅黑" w:hAnsi="微软雅黑" w:eastAsia="微软雅黑" w:cs="微软雅黑"/>
              <w:b/>
              <w:bCs w:val="0"/>
              <w:kern w:val="2"/>
              <w:sz w:val="24"/>
              <w:szCs w:val="24"/>
              <w:lang w:val="en-US" w:eastAsia="zh-CN" w:bidi="ar-SA"/>
            </w:rPr>
            <w:t xml:space="preserve"> </w:t>
          </w:r>
          <w:r>
            <w:rPr>
              <w:rFonts w:hint="eastAsia" w:ascii="微软雅黑" w:hAnsi="微软雅黑" w:eastAsia="微软雅黑" w:cs="微软雅黑"/>
              <w:b/>
              <w:bCs w:val="0"/>
              <w:kern w:val="2"/>
              <w:sz w:val="24"/>
              <w:szCs w:val="24"/>
              <w:lang w:val="zh-CN" w:eastAsia="zh-CN" w:bidi="ar-SA"/>
            </w:rPr>
            <w:t>响应文件格式</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_Toc8625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33</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220A1664">
          <w:pPr>
            <w:jc w:val="center"/>
            <w:rPr>
              <w:rFonts w:hint="eastAsia" w:ascii="宋体" w:hAnsi="宋体" w:eastAsia="宋体" w:cs="宋体"/>
              <w:b/>
              <w:bCs/>
              <w:sz w:val="28"/>
              <w:szCs w:val="28"/>
              <w:highlight w:val="none"/>
              <w:lang w:val="en-US" w:eastAsia="zh-CN"/>
            </w:rPr>
          </w:pPr>
          <w:r>
            <w:rPr>
              <w:rFonts w:hint="eastAsia" w:ascii="宋体" w:hAnsi="宋体" w:eastAsia="宋体" w:cs="宋体"/>
              <w:bCs/>
              <w:szCs w:val="28"/>
              <w:highlight w:val="none"/>
              <w:lang w:val="en-US" w:eastAsia="zh-CN"/>
            </w:rPr>
            <w:fldChar w:fldCharType="end"/>
          </w:r>
        </w:p>
      </w:sdtContent>
    </w:sdt>
    <w:p w14:paraId="6F87AF5C">
      <w:pPr>
        <w:numPr>
          <w:ilvl w:val="0"/>
          <w:numId w:val="0"/>
        </w:numPr>
        <w:jc w:val="center"/>
        <w:outlineLvl w:val="0"/>
        <w:rPr>
          <w:rFonts w:hint="eastAsia" w:ascii="黑体" w:hAnsi="黑体" w:eastAsia="黑体" w:cs="黑体"/>
          <w:b/>
          <w:bCs/>
          <w:kern w:val="2"/>
          <w:sz w:val="32"/>
          <w:szCs w:val="32"/>
          <w:lang w:val="en-US" w:eastAsia="zh-CN" w:bidi="ar-SA"/>
        </w:rPr>
      </w:pPr>
      <w:bookmarkStart w:id="0" w:name="_Toc3928"/>
    </w:p>
    <w:p w14:paraId="14D8881D">
      <w:pPr>
        <w:pStyle w:val="2"/>
        <w:rPr>
          <w:rFonts w:hint="eastAsia"/>
          <w:lang w:val="en-US" w:eastAsia="zh-CN"/>
        </w:rPr>
      </w:pPr>
    </w:p>
    <w:p w14:paraId="5BFEAA13">
      <w:pPr>
        <w:numPr>
          <w:ilvl w:val="0"/>
          <w:numId w:val="0"/>
        </w:numPr>
        <w:jc w:val="center"/>
        <w:outlineLvl w:val="0"/>
        <w:rPr>
          <w:rFonts w:hint="eastAsia" w:ascii="黑体" w:hAnsi="黑体" w:eastAsia="黑体" w:cs="黑体"/>
          <w:b/>
          <w:bCs/>
          <w:kern w:val="2"/>
          <w:sz w:val="32"/>
          <w:szCs w:val="32"/>
          <w:lang w:val="en-US" w:eastAsia="zh-CN" w:bidi="ar-SA"/>
        </w:rPr>
      </w:pPr>
    </w:p>
    <w:p w14:paraId="107EEF3E">
      <w:pPr>
        <w:numPr>
          <w:ilvl w:val="0"/>
          <w:numId w:val="0"/>
        </w:numPr>
        <w:jc w:val="center"/>
        <w:outlineLvl w:val="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第一部分  竞争性磋商公告</w:t>
      </w:r>
      <w:bookmarkEnd w:id="0"/>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9D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264543E">
            <w:pPr>
              <w:pStyle w:val="46"/>
              <w:keepNext w:val="0"/>
              <w:keepLines w:val="0"/>
              <w:pageBreakBefore w:val="0"/>
              <w:widowControl/>
              <w:kinsoku/>
              <w:wordWrap/>
              <w:overflowPunct/>
              <w:topLinePunct w:val="0"/>
              <w:autoSpaceDE/>
              <w:autoSpaceDN/>
              <w:bidi w:val="0"/>
              <w:adjustRightInd/>
              <w:snapToGrid w:val="0"/>
              <w:jc w:val="both"/>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项目概况</w:t>
            </w:r>
          </w:p>
          <w:p w14:paraId="10F482B7">
            <w:pPr>
              <w:pStyle w:val="46"/>
              <w:keepNext w:val="0"/>
              <w:keepLines w:val="0"/>
              <w:pageBreakBefore w:val="0"/>
              <w:widowControl/>
              <w:kinsoku/>
              <w:wordWrap/>
              <w:overflowPunct/>
              <w:topLinePunct w:val="0"/>
              <w:autoSpaceDE/>
              <w:autoSpaceDN/>
              <w:bidi w:val="0"/>
              <w:adjustRightInd/>
              <w:snapToGrid w:val="0"/>
              <w:jc w:val="both"/>
              <w:textAlignment w:val="auto"/>
              <w:outlineLvl w:val="5"/>
              <w:rPr>
                <w:rFonts w:hint="eastAsia" w:ascii="微软雅黑" w:hAnsi="微软雅黑" w:eastAsia="微软雅黑" w:cs="微软雅黑"/>
                <w:b/>
                <w:sz w:val="24"/>
                <w:szCs w:val="24"/>
                <w:vertAlign w:val="baseline"/>
              </w:rPr>
            </w:pPr>
            <w:r>
              <w:rPr>
                <w:rFonts w:hint="eastAsia" w:ascii="微软雅黑" w:hAnsi="微软雅黑" w:eastAsia="微软雅黑" w:cs="微软雅黑"/>
                <w:sz w:val="24"/>
                <w:szCs w:val="24"/>
              </w:rPr>
              <w:t>宁陕县2025年中央财政林业草原生态保护恢复资金森林修复项目采购项目的潜在供应商应在全国公共资源交易平台（陕西省.安康市）获取采购文件，并于 2025年06月27日 09时00分 （北京时间）前提交响应文件。</w:t>
            </w:r>
          </w:p>
        </w:tc>
      </w:tr>
    </w:tbl>
    <w:p w14:paraId="58D10339">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一、项目基本情况</w:t>
      </w:r>
    </w:p>
    <w:p w14:paraId="34E5AFF5">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项目编号：ZCPC-2025-037</w:t>
      </w:r>
    </w:p>
    <w:p w14:paraId="740A7BB6">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项目名称：宁陕县2025年中央财政林业草原生态保护恢复资金森林修复项目</w:t>
      </w:r>
    </w:p>
    <w:p w14:paraId="55BB5A67">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采购方式：竞争性磋商</w:t>
      </w:r>
    </w:p>
    <w:p w14:paraId="6256147C">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预算金额：1,600,000.00元</w:t>
      </w:r>
    </w:p>
    <w:p w14:paraId="7BB49107">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采购需求：</w:t>
      </w:r>
    </w:p>
    <w:p w14:paraId="47175E2B">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合同包1(宁陕县2025年中央财政林业草原生态保护恢复资金森林修复项目):</w:t>
      </w:r>
    </w:p>
    <w:p w14:paraId="7C8D8092">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合同包预算金额：1,600,000.00元</w:t>
      </w:r>
    </w:p>
    <w:p w14:paraId="28545CC2">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合同包最高限价：1,600,000.00元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2"/>
        <w:gridCol w:w="972"/>
        <w:gridCol w:w="2182"/>
        <w:gridCol w:w="988"/>
        <w:gridCol w:w="1176"/>
        <w:gridCol w:w="1313"/>
        <w:gridCol w:w="1209"/>
      </w:tblGrid>
      <w:tr w14:paraId="36B9F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dxa"/>
          </w:tcPr>
          <w:p w14:paraId="70075DE6">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品目号</w:t>
            </w:r>
          </w:p>
        </w:tc>
        <w:tc>
          <w:tcPr>
            <w:tcW w:w="972" w:type="dxa"/>
          </w:tcPr>
          <w:p w14:paraId="6A6AC978">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品目名称</w:t>
            </w:r>
          </w:p>
        </w:tc>
        <w:tc>
          <w:tcPr>
            <w:tcW w:w="2182" w:type="dxa"/>
          </w:tcPr>
          <w:p w14:paraId="06DA6E20">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采购标的</w:t>
            </w:r>
          </w:p>
        </w:tc>
        <w:tc>
          <w:tcPr>
            <w:tcW w:w="988" w:type="dxa"/>
          </w:tcPr>
          <w:p w14:paraId="18089047">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数量（单位）</w:t>
            </w:r>
          </w:p>
        </w:tc>
        <w:tc>
          <w:tcPr>
            <w:tcW w:w="1176" w:type="dxa"/>
          </w:tcPr>
          <w:p w14:paraId="33B50A99">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技术规格、参数及要求</w:t>
            </w:r>
          </w:p>
        </w:tc>
        <w:tc>
          <w:tcPr>
            <w:tcW w:w="1313" w:type="dxa"/>
          </w:tcPr>
          <w:p w14:paraId="09764606">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品目预算(元)</w:t>
            </w:r>
          </w:p>
        </w:tc>
        <w:tc>
          <w:tcPr>
            <w:tcW w:w="1209" w:type="dxa"/>
          </w:tcPr>
          <w:p w14:paraId="0AB462F1">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最高限价(元)</w:t>
            </w:r>
          </w:p>
        </w:tc>
      </w:tr>
      <w:tr w14:paraId="4CE9E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dxa"/>
          </w:tcPr>
          <w:p w14:paraId="39FD5D6F">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972" w:type="dxa"/>
          </w:tcPr>
          <w:p w14:paraId="3595B799">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林木抚育管理服务</w:t>
            </w:r>
          </w:p>
        </w:tc>
        <w:tc>
          <w:tcPr>
            <w:tcW w:w="2182" w:type="dxa"/>
          </w:tcPr>
          <w:p w14:paraId="321311B8">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宁陕县2025年中央财政林业草原生态保护恢复资金森林修复项目</w:t>
            </w:r>
          </w:p>
        </w:tc>
        <w:tc>
          <w:tcPr>
            <w:tcW w:w="988" w:type="dxa"/>
          </w:tcPr>
          <w:p w14:paraId="2F0F7584">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1(项)</w:t>
            </w:r>
          </w:p>
        </w:tc>
        <w:tc>
          <w:tcPr>
            <w:tcW w:w="1176" w:type="dxa"/>
          </w:tcPr>
          <w:p w14:paraId="4F107A73">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详见采购文件</w:t>
            </w:r>
          </w:p>
        </w:tc>
        <w:tc>
          <w:tcPr>
            <w:tcW w:w="1313" w:type="dxa"/>
          </w:tcPr>
          <w:p w14:paraId="260D61EE">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1,600,000.00</w:t>
            </w:r>
          </w:p>
        </w:tc>
        <w:tc>
          <w:tcPr>
            <w:tcW w:w="1209" w:type="dxa"/>
          </w:tcPr>
          <w:p w14:paraId="42A952A6">
            <w:pPr>
              <w:pStyle w:val="46"/>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1,600,000.00</w:t>
            </w:r>
          </w:p>
        </w:tc>
      </w:tr>
    </w:tbl>
    <w:p w14:paraId="5896DD76">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本合同包不接受联合体投标</w:t>
      </w:r>
    </w:p>
    <w:p w14:paraId="70EBF2A0">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合同履行期限：90天(日历天)</w:t>
      </w:r>
    </w:p>
    <w:p w14:paraId="18376F63">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二、申请人的资格要求：</w:t>
      </w:r>
    </w:p>
    <w:p w14:paraId="6E840129">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1.满足《中华人民共和国政府采购法》第二十二条规定;</w:t>
      </w:r>
    </w:p>
    <w:p w14:paraId="15183B59">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2.落实政府采购政策需满足的资格要求：</w:t>
      </w:r>
    </w:p>
    <w:p w14:paraId="256ABA50">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合同包1(宁陕县2025年中央财政林业草原生态保护恢复资金森林修复项目)落实政府采购政策需满足的资格要求如下:</w:t>
      </w:r>
    </w:p>
    <w:p w14:paraId="6D35171F">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专门面向小微企业采购，仅限符合《政府采购促进中小企业发展管理办法》（财库〔2020〕46号）条件的小微企业参与，供应商应填写中小企业声明函并对真实性负责（残疾人福利性单位及监狱企业视同为小型、微型企业）。</w:t>
      </w:r>
    </w:p>
    <w:p w14:paraId="2E5D594F">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3.本项目的特定资格要求：</w:t>
      </w:r>
    </w:p>
    <w:p w14:paraId="5E0BA36D">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合同包1(宁陕县2025年中央财政林业草原生态保护恢复资金森林修复项目)特定资格要求如下:</w:t>
      </w:r>
    </w:p>
    <w:p w14:paraId="1486E97D">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（1）法定代表人直接参加磋商的，须提供法定代表人身份证明(法定代表人身份证原件备查）；法定代表人授权代表参加磋商的，须提供法定代表人授权委托书(授权代表身份证原件备查）；</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xml:space="preserve">（2）符合《财政部关于在政府采购活动中查询及使用信用记录有关问题的通知》（财库【2016】125号）文件中信用查询的要求。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注：单位负责人为同一人或者存在控股、管理关系的不同供应商，不得同时参加本项目采购活动。</w:t>
      </w:r>
    </w:p>
    <w:p w14:paraId="44E26C56">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三、获取采购文件</w:t>
      </w:r>
    </w:p>
    <w:p w14:paraId="6B8FF8F3">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 2025年06月13日 至 2025年06月19日 ，每天上午 00:00:00 至 12:00:00 ，下午 12:00:00 至 23:59:59 （北京时间）</w:t>
      </w:r>
    </w:p>
    <w:p w14:paraId="23A16AE9">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途径：全国公共资源交易平台（陕西省.安康市）</w:t>
      </w:r>
    </w:p>
    <w:p w14:paraId="30A4C269">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方式：在线获取</w:t>
      </w:r>
    </w:p>
    <w:p w14:paraId="1C752B93">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售价： 0元</w:t>
      </w:r>
    </w:p>
    <w:p w14:paraId="1D09B434">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四、响应文件提交</w:t>
      </w:r>
    </w:p>
    <w:p w14:paraId="4B6E8B02">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截止时间： 2025年06月27日 09时00分00秒 （北京时间）</w:t>
      </w:r>
    </w:p>
    <w:p w14:paraId="06B088F4">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地点：全国公共资源交易平台（陕西省·安康市）上传电子响应文件</w:t>
      </w:r>
    </w:p>
    <w:p w14:paraId="36E8C584">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五、开启</w:t>
      </w:r>
    </w:p>
    <w:p w14:paraId="44CE2D5B">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 2025年06月27日 09时00分00秒 （北京时间）</w:t>
      </w:r>
    </w:p>
    <w:p w14:paraId="276C7023">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地点：全国公共资源交易平台（陕西省·安康市）-不见面开标系统</w:t>
      </w:r>
    </w:p>
    <w:p w14:paraId="063F8F52">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六、公告期限</w:t>
      </w:r>
    </w:p>
    <w:p w14:paraId="1513A9C8">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自本公告发布之日起3个工作日。</w:t>
      </w:r>
    </w:p>
    <w:p w14:paraId="30AD0B74">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七、其他补充事宜</w:t>
      </w:r>
    </w:p>
    <w:p w14:paraId="328E067B">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fill="FFFFFF"/>
        </w:rPr>
        <w:t>1.使用捆绑省交易平台的CA锁登录电子交易平台，通过政府采购系统企业端进入，点击我要投标，完善相关投标信息，下载磋商文件。</w:t>
      </w:r>
    </w:p>
    <w:p w14:paraId="398B0F17">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fill="FFFFFF"/>
        </w:rPr>
        <w:t>2.本项目采用电子化投标方式，相关操作流程详见全国公共资源交易平台（陕西省）网站（服务指南－下载专区）中的《陕西省公共资源交易中心政府采购项目投标指南》，电子磋商文件技术支持：40092800135/4009980000；</w:t>
      </w:r>
    </w:p>
    <w:p w14:paraId="290BE4C4">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fill="FFFFFF"/>
        </w:rPr>
        <w:t>3.未及时下载磋商文件将会影响后续开评标活动；</w:t>
      </w:r>
    </w:p>
    <w:p w14:paraId="4F9C8F94">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fill="FFFFFF"/>
        </w:rPr>
        <w:t>4.请各供应商获取磋商文件后，按照陕西省财政厅《关于政府采购供应商注册登记有关事项的通知》要求，通过陕西省政府采购网注册登记加入陕西省政府采购供应商库；</w:t>
      </w:r>
    </w:p>
    <w:p w14:paraId="4A2D17AE">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fill="FFFFFF"/>
        </w:rPr>
        <w:t>5.本项目执行政府强制、优先采购节能产品，优先采购环境标志产品，支持中小企业，支持监狱和戒毒企业、残疾人企业、扶持不发达地区和少数民族地区、支持脱贫攻坚等相关政策。详见磋商文件《供应商须知》中“落实的政府采购政策”有关内容。</w:t>
      </w:r>
    </w:p>
    <w:p w14:paraId="11D7BF02">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八、对本次招标提出询问，请按以下方式联系。</w:t>
      </w:r>
    </w:p>
    <w:p w14:paraId="3E6D3202">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1.采购人信息</w:t>
      </w:r>
    </w:p>
    <w:p w14:paraId="01A0DABC">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名称：宁陕县农业林业和水利局</w:t>
      </w:r>
    </w:p>
    <w:p w14:paraId="7010F543">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地址：宁陕县城关镇三星路2号</w:t>
      </w:r>
    </w:p>
    <w:p w14:paraId="129DADE7">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联系方式：0915-6822619</w:t>
      </w:r>
    </w:p>
    <w:p w14:paraId="59FA11C1">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2.采购代理机构信息</w:t>
      </w:r>
    </w:p>
    <w:p w14:paraId="5002031C">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名称：陕西众灿品诚项目管理有限公司</w:t>
      </w:r>
    </w:p>
    <w:p w14:paraId="2C666F73">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地址：陕西省西安市雁塔区电子城街道万象国际中心2号楼1单元801室</w:t>
      </w:r>
    </w:p>
    <w:p w14:paraId="289E8228">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联系方式：张琰玮18966707323</w:t>
      </w:r>
    </w:p>
    <w:p w14:paraId="1C829A5E">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3.项目联系方式</w:t>
      </w:r>
    </w:p>
    <w:p w14:paraId="702CB5DB">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项目联系人：张琰玮</w:t>
      </w:r>
    </w:p>
    <w:p w14:paraId="3ECBDF9B">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电话：18966707323</w:t>
      </w:r>
    </w:p>
    <w:p w14:paraId="1C7274DE">
      <w:pPr>
        <w:pStyle w:val="2"/>
        <w:jc w:val="left"/>
        <w:rPr>
          <w:rFonts w:hint="eastAsia" w:ascii="微软雅黑" w:hAnsi="微软雅黑" w:eastAsia="微软雅黑" w:cs="微软雅黑"/>
          <w:lang w:val="en-US" w:eastAsia="zh-CN"/>
        </w:rPr>
      </w:pPr>
    </w:p>
    <w:p w14:paraId="25C177FE">
      <w:pPr>
        <w:rPr>
          <w:rFonts w:hint="eastAsia" w:ascii="微软雅黑" w:hAnsi="微软雅黑" w:eastAsia="微软雅黑" w:cs="微软雅黑"/>
          <w:lang w:val="en-US" w:eastAsia="zh-CN"/>
        </w:rPr>
      </w:pPr>
    </w:p>
    <w:p w14:paraId="0B3D955F">
      <w:pPr>
        <w:pStyle w:val="2"/>
        <w:rPr>
          <w:rFonts w:hint="eastAsia" w:ascii="微软雅黑" w:hAnsi="微软雅黑" w:eastAsia="微软雅黑" w:cs="微软雅黑"/>
          <w:lang w:val="en-US" w:eastAsia="zh-CN"/>
        </w:rPr>
      </w:pPr>
    </w:p>
    <w:p w14:paraId="49E9050E">
      <w:pPr>
        <w:rPr>
          <w:rFonts w:hint="eastAsia" w:ascii="微软雅黑" w:hAnsi="微软雅黑" w:eastAsia="微软雅黑" w:cs="微软雅黑"/>
          <w:lang w:val="en-US" w:eastAsia="zh-CN"/>
        </w:rPr>
      </w:pPr>
    </w:p>
    <w:p w14:paraId="3715E378">
      <w:pPr>
        <w:pStyle w:val="2"/>
        <w:rPr>
          <w:rFonts w:hint="eastAsia" w:ascii="微软雅黑" w:hAnsi="微软雅黑" w:eastAsia="微软雅黑" w:cs="微软雅黑"/>
          <w:lang w:val="en-US" w:eastAsia="zh-CN"/>
        </w:rPr>
      </w:pPr>
    </w:p>
    <w:p w14:paraId="5E3D7AF4">
      <w:pPr>
        <w:rPr>
          <w:rFonts w:hint="eastAsia"/>
          <w:lang w:val="en-US" w:eastAsia="zh-CN"/>
        </w:rPr>
      </w:pPr>
    </w:p>
    <w:p w14:paraId="1B57F229">
      <w:pPr>
        <w:numPr>
          <w:ilvl w:val="0"/>
          <w:numId w:val="0"/>
        </w:numPr>
        <w:jc w:val="center"/>
        <w:outlineLvl w:val="0"/>
        <w:rPr>
          <w:rFonts w:hint="eastAsia" w:ascii="黑体" w:hAnsi="黑体" w:eastAsia="黑体" w:cs="黑体"/>
          <w:b/>
          <w:bCs/>
          <w:kern w:val="2"/>
          <w:sz w:val="32"/>
          <w:szCs w:val="32"/>
          <w:lang w:val="en-US" w:eastAsia="zh-CN" w:bidi="ar-SA"/>
        </w:rPr>
      </w:pPr>
    </w:p>
    <w:p w14:paraId="13F23DDD">
      <w:pPr>
        <w:pStyle w:val="2"/>
        <w:rPr>
          <w:rFonts w:hint="eastAsia" w:ascii="黑体" w:hAnsi="黑体" w:eastAsia="黑体" w:cs="黑体"/>
          <w:b/>
          <w:bCs/>
          <w:kern w:val="2"/>
          <w:sz w:val="32"/>
          <w:szCs w:val="32"/>
          <w:lang w:val="en-US" w:eastAsia="zh-CN" w:bidi="ar-SA"/>
        </w:rPr>
      </w:pPr>
    </w:p>
    <w:p w14:paraId="1A43EA44">
      <w:pPr>
        <w:rPr>
          <w:rFonts w:hint="eastAsia" w:ascii="黑体" w:hAnsi="黑体" w:eastAsia="黑体" w:cs="黑体"/>
          <w:b/>
          <w:bCs/>
          <w:kern w:val="2"/>
          <w:sz w:val="32"/>
          <w:szCs w:val="32"/>
          <w:lang w:val="en-US" w:eastAsia="zh-CN" w:bidi="ar-SA"/>
        </w:rPr>
      </w:pPr>
    </w:p>
    <w:p w14:paraId="28BDC086">
      <w:pPr>
        <w:pStyle w:val="2"/>
        <w:rPr>
          <w:rFonts w:hint="eastAsia" w:ascii="黑体" w:hAnsi="黑体" w:eastAsia="黑体" w:cs="黑体"/>
          <w:b/>
          <w:bCs/>
          <w:kern w:val="2"/>
          <w:sz w:val="32"/>
          <w:szCs w:val="32"/>
          <w:lang w:val="en-US" w:eastAsia="zh-CN" w:bidi="ar-SA"/>
        </w:rPr>
      </w:pPr>
    </w:p>
    <w:p w14:paraId="08D2AF8F">
      <w:pPr>
        <w:rPr>
          <w:rFonts w:hint="eastAsia"/>
          <w:lang w:val="en-US" w:eastAsia="zh-CN"/>
        </w:rPr>
      </w:pPr>
    </w:p>
    <w:p w14:paraId="70DF1C6A">
      <w:pPr>
        <w:numPr>
          <w:ilvl w:val="0"/>
          <w:numId w:val="0"/>
        </w:numPr>
        <w:jc w:val="center"/>
        <w:outlineLvl w:val="0"/>
        <w:rPr>
          <w:rFonts w:hint="eastAsia" w:ascii="黑体" w:hAnsi="黑体" w:eastAsia="黑体" w:cs="黑体"/>
          <w:b/>
          <w:bCs/>
          <w:kern w:val="2"/>
          <w:sz w:val="32"/>
          <w:szCs w:val="32"/>
          <w:lang w:val="en-US" w:eastAsia="zh-CN" w:bidi="ar-SA"/>
        </w:rPr>
      </w:pPr>
    </w:p>
    <w:p w14:paraId="2550462F">
      <w:pPr>
        <w:pStyle w:val="2"/>
        <w:rPr>
          <w:rFonts w:hint="eastAsia" w:ascii="黑体" w:hAnsi="黑体" w:eastAsia="黑体" w:cs="黑体"/>
          <w:b/>
          <w:bCs/>
          <w:kern w:val="2"/>
          <w:sz w:val="32"/>
          <w:szCs w:val="32"/>
          <w:lang w:val="en-US" w:eastAsia="zh-CN" w:bidi="ar-SA"/>
        </w:rPr>
      </w:pPr>
    </w:p>
    <w:p w14:paraId="375A18EC">
      <w:pPr>
        <w:rPr>
          <w:rFonts w:hint="eastAsia" w:ascii="黑体" w:hAnsi="黑体" w:eastAsia="黑体" w:cs="黑体"/>
          <w:b/>
          <w:bCs/>
          <w:kern w:val="2"/>
          <w:sz w:val="32"/>
          <w:szCs w:val="32"/>
          <w:lang w:val="en-US" w:eastAsia="zh-CN" w:bidi="ar-SA"/>
        </w:rPr>
      </w:pPr>
    </w:p>
    <w:p w14:paraId="47EBE24B">
      <w:pPr>
        <w:pStyle w:val="2"/>
        <w:rPr>
          <w:rFonts w:hint="eastAsia" w:ascii="黑体" w:hAnsi="黑体" w:eastAsia="黑体" w:cs="黑体"/>
          <w:b/>
          <w:bCs/>
          <w:kern w:val="2"/>
          <w:sz w:val="32"/>
          <w:szCs w:val="32"/>
          <w:lang w:val="en-US" w:eastAsia="zh-CN" w:bidi="ar-SA"/>
        </w:rPr>
      </w:pPr>
    </w:p>
    <w:p w14:paraId="15D19306">
      <w:pPr>
        <w:rPr>
          <w:rFonts w:hint="eastAsia" w:ascii="黑体" w:hAnsi="黑体" w:eastAsia="黑体" w:cs="黑体"/>
          <w:b/>
          <w:bCs/>
          <w:kern w:val="2"/>
          <w:sz w:val="32"/>
          <w:szCs w:val="32"/>
          <w:lang w:val="en-US" w:eastAsia="zh-CN" w:bidi="ar-SA"/>
        </w:rPr>
      </w:pPr>
    </w:p>
    <w:p w14:paraId="570DD929">
      <w:pPr>
        <w:pStyle w:val="2"/>
        <w:rPr>
          <w:rFonts w:hint="eastAsia" w:ascii="黑体" w:hAnsi="黑体" w:eastAsia="黑体" w:cs="黑体"/>
          <w:b/>
          <w:bCs/>
          <w:kern w:val="2"/>
          <w:sz w:val="32"/>
          <w:szCs w:val="32"/>
          <w:lang w:val="en-US" w:eastAsia="zh-CN" w:bidi="ar-SA"/>
        </w:rPr>
      </w:pPr>
    </w:p>
    <w:p w14:paraId="2D80E8F2">
      <w:pPr>
        <w:rPr>
          <w:rFonts w:hint="eastAsia" w:ascii="黑体" w:hAnsi="黑体" w:eastAsia="黑体" w:cs="黑体"/>
          <w:b/>
          <w:bCs/>
          <w:kern w:val="2"/>
          <w:sz w:val="32"/>
          <w:szCs w:val="32"/>
          <w:lang w:val="en-US" w:eastAsia="zh-CN" w:bidi="ar-SA"/>
        </w:rPr>
      </w:pPr>
    </w:p>
    <w:p w14:paraId="4EA563D9">
      <w:pPr>
        <w:pStyle w:val="2"/>
        <w:rPr>
          <w:rFonts w:hint="eastAsia" w:ascii="黑体" w:hAnsi="黑体" w:eastAsia="黑体" w:cs="黑体"/>
          <w:b/>
          <w:bCs/>
          <w:kern w:val="2"/>
          <w:sz w:val="32"/>
          <w:szCs w:val="32"/>
          <w:lang w:val="en-US" w:eastAsia="zh-CN" w:bidi="ar-SA"/>
        </w:rPr>
      </w:pPr>
    </w:p>
    <w:p w14:paraId="26C7D5EC">
      <w:pPr>
        <w:pStyle w:val="3"/>
        <w:rPr>
          <w:rFonts w:hint="eastAsia" w:ascii="黑体" w:hAnsi="黑体" w:eastAsia="黑体" w:cs="黑体"/>
          <w:b/>
          <w:bCs/>
          <w:kern w:val="2"/>
          <w:sz w:val="32"/>
          <w:szCs w:val="32"/>
          <w:lang w:val="en-US" w:eastAsia="zh-CN" w:bidi="ar-SA"/>
        </w:rPr>
      </w:pPr>
    </w:p>
    <w:p w14:paraId="7A71147D">
      <w:pPr>
        <w:pStyle w:val="3"/>
        <w:rPr>
          <w:rFonts w:hint="eastAsia" w:ascii="黑体" w:hAnsi="黑体" w:eastAsia="黑体" w:cs="黑体"/>
          <w:b/>
          <w:bCs/>
          <w:kern w:val="2"/>
          <w:sz w:val="32"/>
          <w:szCs w:val="32"/>
          <w:lang w:val="en-US" w:eastAsia="zh-CN" w:bidi="ar-SA"/>
        </w:rPr>
      </w:pPr>
    </w:p>
    <w:p w14:paraId="431CBEBC">
      <w:pPr>
        <w:pStyle w:val="3"/>
        <w:rPr>
          <w:rFonts w:hint="eastAsia" w:ascii="黑体" w:hAnsi="黑体" w:eastAsia="黑体" w:cs="黑体"/>
          <w:b/>
          <w:bCs/>
          <w:kern w:val="2"/>
          <w:sz w:val="32"/>
          <w:szCs w:val="32"/>
          <w:lang w:val="en-US" w:eastAsia="zh-CN" w:bidi="ar-SA"/>
        </w:rPr>
      </w:pPr>
    </w:p>
    <w:p w14:paraId="6BB00B55">
      <w:pPr>
        <w:pStyle w:val="3"/>
        <w:rPr>
          <w:rFonts w:hint="eastAsia" w:ascii="黑体" w:hAnsi="黑体" w:eastAsia="黑体" w:cs="黑体"/>
          <w:b/>
          <w:bCs/>
          <w:kern w:val="2"/>
          <w:sz w:val="32"/>
          <w:szCs w:val="32"/>
          <w:lang w:val="en-US" w:eastAsia="zh-CN" w:bidi="ar-SA"/>
        </w:rPr>
      </w:pPr>
    </w:p>
    <w:p w14:paraId="64B7759C">
      <w:pPr>
        <w:rPr>
          <w:rFonts w:hint="eastAsia" w:ascii="黑体" w:hAnsi="黑体" w:eastAsia="黑体" w:cs="黑体"/>
          <w:b/>
          <w:bCs/>
          <w:kern w:val="2"/>
          <w:sz w:val="32"/>
          <w:szCs w:val="32"/>
          <w:lang w:val="en-US" w:eastAsia="zh-CN" w:bidi="ar-SA"/>
        </w:rPr>
      </w:pPr>
    </w:p>
    <w:p w14:paraId="4085FBA0">
      <w:pPr>
        <w:numPr>
          <w:ilvl w:val="0"/>
          <w:numId w:val="0"/>
        </w:numPr>
        <w:jc w:val="center"/>
        <w:outlineLvl w:val="0"/>
        <w:rPr>
          <w:rFonts w:hint="eastAsia"/>
          <w:lang w:val="en-US" w:eastAsia="zh-CN"/>
        </w:rPr>
      </w:pPr>
      <w:bookmarkStart w:id="1" w:name="_Toc29022"/>
      <w:r>
        <w:rPr>
          <w:rFonts w:hint="eastAsia" w:ascii="黑体" w:hAnsi="黑体" w:eastAsia="黑体" w:cs="黑体"/>
          <w:b/>
          <w:bCs/>
          <w:kern w:val="2"/>
          <w:sz w:val="32"/>
          <w:szCs w:val="32"/>
          <w:lang w:val="en-US" w:eastAsia="zh-CN" w:bidi="ar-SA"/>
        </w:rPr>
        <w:t xml:space="preserve">第二部分  </w:t>
      </w:r>
      <w:r>
        <w:rPr>
          <w:rFonts w:hint="eastAsia" w:ascii="黑体" w:hAnsi="黑体" w:eastAsia="黑体" w:cs="黑体"/>
          <w:b/>
          <w:bCs/>
          <w:kern w:val="2"/>
          <w:sz w:val="32"/>
          <w:szCs w:val="32"/>
          <w:lang w:val="zh-CN" w:eastAsia="zh-CN" w:bidi="ar-SA"/>
        </w:rPr>
        <w:t>供应商须知</w:t>
      </w:r>
      <w:bookmarkEnd w:id="1"/>
    </w:p>
    <w:p w14:paraId="2F563932">
      <w:pPr>
        <w:bidi w:val="0"/>
        <w:rPr>
          <w:rFonts w:hint="eastAsia"/>
          <w:lang w:val="en-US" w:eastAsia="zh-CN"/>
        </w:rPr>
      </w:pPr>
    </w:p>
    <w:p w14:paraId="65B9ECF8">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rPr>
      </w:pPr>
      <w:bookmarkStart w:id="2" w:name="_Toc24406"/>
      <w:bookmarkStart w:id="3" w:name="_Toc3893"/>
      <w:bookmarkStart w:id="4" w:name="_Toc36034956"/>
      <w:bookmarkStart w:id="5" w:name="_Toc5775"/>
      <w:bookmarkStart w:id="6" w:name="_Toc1651"/>
      <w:bookmarkStart w:id="7" w:name="_Toc32468"/>
      <w:bookmarkStart w:id="8" w:name="_Toc31527"/>
      <w:bookmarkStart w:id="9" w:name="_Toc1774"/>
      <w:bookmarkStart w:id="10" w:name="_Toc28085"/>
      <w:bookmarkStart w:id="11" w:name="_Toc18166"/>
      <w:bookmarkStart w:id="12" w:name="_Toc16711"/>
      <w:bookmarkStart w:id="13" w:name="_Toc31028"/>
      <w:bookmarkStart w:id="14" w:name="_Toc32058"/>
      <w:bookmarkStart w:id="15" w:name="_Toc5869"/>
      <w:bookmarkStart w:id="16" w:name="_Toc5694"/>
      <w:bookmarkStart w:id="17" w:name="_Toc89"/>
      <w:bookmarkStart w:id="18" w:name="_Toc28741"/>
      <w:bookmarkStart w:id="19" w:name="_Toc15611"/>
      <w:bookmarkStart w:id="20" w:name="_Toc1546"/>
      <w:bookmarkStart w:id="21" w:name="_Toc2971"/>
      <w:bookmarkStart w:id="22" w:name="_Toc5716"/>
      <w:bookmarkStart w:id="23" w:name="_Toc20763"/>
      <w:bookmarkStart w:id="24" w:name="_Toc896"/>
      <w:bookmarkStart w:id="25" w:name="_Toc25370"/>
      <w:bookmarkStart w:id="26" w:name="_Toc14969"/>
      <w:bookmarkStart w:id="27" w:name="_Toc13671"/>
      <w:bookmarkStart w:id="28" w:name="_Toc23962"/>
      <w:bookmarkStart w:id="29" w:name="_Toc26307"/>
      <w:bookmarkStart w:id="30" w:name="_Toc9082"/>
      <w:bookmarkStart w:id="31" w:name="_Toc23413"/>
      <w:bookmarkStart w:id="32" w:name="_Toc24667"/>
      <w:bookmarkStart w:id="33" w:name="_Toc13559"/>
      <w:bookmarkStart w:id="34" w:name="_Toc20719"/>
      <w:bookmarkStart w:id="35" w:name="_Toc1432"/>
      <w:bookmarkStart w:id="36" w:name="_Toc32580"/>
      <w:bookmarkStart w:id="37" w:name="_Toc327"/>
      <w:bookmarkStart w:id="38" w:name="_Toc12952"/>
      <w:bookmarkStart w:id="39" w:name="_Toc1015"/>
      <w:bookmarkStart w:id="40" w:name="_Toc2633"/>
      <w:bookmarkStart w:id="41" w:name="_Toc11456"/>
      <w:bookmarkStart w:id="42" w:name="_Toc18092"/>
      <w:bookmarkStart w:id="43" w:name="_Toc22834"/>
      <w:bookmarkStart w:id="44" w:name="_Toc8227"/>
      <w:bookmarkStart w:id="45" w:name="_Toc20941"/>
      <w:bookmarkStart w:id="46" w:name="_Toc29441"/>
      <w:bookmarkStart w:id="47" w:name="_Toc10789"/>
      <w:bookmarkStart w:id="48" w:name="_Toc21260"/>
      <w:bookmarkStart w:id="49" w:name="_Toc21816"/>
      <w:bookmarkStart w:id="50" w:name="_Toc20256"/>
      <w:bookmarkStart w:id="51" w:name="_Toc19053"/>
      <w:bookmarkStart w:id="52" w:name="_Toc16124"/>
      <w:r>
        <w:rPr>
          <w:rFonts w:hint="eastAsia" w:ascii="微软雅黑" w:hAnsi="微软雅黑" w:eastAsia="微软雅黑" w:cs="微软雅黑"/>
          <w:b/>
          <w:sz w:val="24"/>
          <w:szCs w:val="24"/>
        </w:rPr>
        <w:t>一、</w:t>
      </w:r>
      <w:bookmarkEnd w:id="2"/>
      <w:bookmarkEnd w:id="3"/>
      <w:bookmarkEnd w:id="4"/>
      <w:bookmarkEnd w:id="5"/>
      <w:bookmarkEnd w:id="6"/>
      <w:bookmarkEnd w:id="7"/>
      <w:r>
        <w:rPr>
          <w:rFonts w:hint="eastAsia" w:ascii="微软雅黑" w:hAnsi="微软雅黑" w:eastAsia="微软雅黑" w:cs="微软雅黑"/>
          <w:b/>
          <w:sz w:val="24"/>
          <w:szCs w:val="24"/>
        </w:rPr>
        <w:t>总则</w:t>
      </w:r>
      <w:bookmarkEnd w:id="8"/>
      <w:bookmarkEnd w:id="9"/>
      <w:bookmarkEnd w:id="10"/>
    </w:p>
    <w:p w14:paraId="0047D1B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（一）名词解释</w:t>
      </w:r>
    </w:p>
    <w:p w14:paraId="798DBA78">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sz w:val="24"/>
          <w:szCs w:val="24"/>
          <w:lang w:val="zh-CN"/>
        </w:rPr>
        <w:t>1、采 购 人：</w:t>
      </w:r>
      <w:r>
        <w:rPr>
          <w:rFonts w:hint="eastAsia" w:ascii="微软雅黑" w:hAnsi="微软雅黑" w:eastAsia="微软雅黑" w:cs="微软雅黑"/>
          <w:sz w:val="24"/>
          <w:szCs w:val="24"/>
          <w:lang w:val="en-US" w:eastAsia="zh-CN"/>
        </w:rPr>
        <w:t>宁陕县农业林业和水利局</w:t>
      </w:r>
    </w:p>
    <w:p w14:paraId="61E00BB1">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zh-CN"/>
        </w:rPr>
        <w:t>2、监督机构：</w:t>
      </w:r>
      <w:r>
        <w:rPr>
          <w:rFonts w:hint="eastAsia" w:ascii="微软雅黑" w:hAnsi="微软雅黑" w:eastAsia="微软雅黑" w:cs="微软雅黑"/>
          <w:sz w:val="24"/>
          <w:szCs w:val="24"/>
          <w:lang w:val="en-US" w:eastAsia="zh-CN"/>
        </w:rPr>
        <w:t>同级财政部门</w:t>
      </w:r>
    </w:p>
    <w:p w14:paraId="7B005B7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3、采购代理机构：陕西众灿品诚项目管理有限公司</w:t>
      </w:r>
    </w:p>
    <w:p w14:paraId="24F5538C">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w:t>
      </w:r>
      <w:r>
        <w:rPr>
          <w:rFonts w:hint="eastAsia" w:ascii="微软雅黑" w:hAnsi="微软雅黑" w:eastAsia="微软雅黑" w:cs="微软雅黑"/>
          <w:sz w:val="24"/>
          <w:szCs w:val="24"/>
          <w:lang w:val="en-US" w:eastAsia="zh-CN"/>
        </w:rPr>
        <w:t>供 应 商</w:t>
      </w:r>
      <w:r>
        <w:rPr>
          <w:rFonts w:hint="eastAsia" w:ascii="微软雅黑" w:hAnsi="微软雅黑" w:eastAsia="微软雅黑" w:cs="微软雅黑"/>
          <w:sz w:val="24"/>
          <w:szCs w:val="24"/>
          <w:lang w:val="zh-CN"/>
        </w:rPr>
        <w:t>：响应招标、参加投标竞争的法人、其他组织或者自然人。</w:t>
      </w:r>
    </w:p>
    <w:p w14:paraId="3C15EE84">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（二）费用承担</w:t>
      </w:r>
    </w:p>
    <w:p w14:paraId="631F9D21">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应承担其参与</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活动所涉及的一切费用。</w:t>
      </w:r>
    </w:p>
    <w:p w14:paraId="52665CFA">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（三）保密</w:t>
      </w:r>
    </w:p>
    <w:p w14:paraId="3891C357">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zh-CN"/>
        </w:rPr>
        <w:t>参与</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活动的各方应对</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文件和</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文件中的商业和技术等内容予以保密，违者应对由此造成的后果承担法律责任。</w:t>
      </w:r>
      <w:r>
        <w:rPr>
          <w:rFonts w:hint="eastAsia" w:ascii="微软雅黑" w:hAnsi="微软雅黑" w:eastAsia="微软雅黑" w:cs="微软雅黑"/>
          <w:sz w:val="24"/>
          <w:szCs w:val="24"/>
          <w:lang w:val="en-US" w:eastAsia="zh-CN"/>
        </w:rPr>
        <w:t xml:space="preserve">                                                                  </w:t>
      </w:r>
    </w:p>
    <w:p w14:paraId="184765DF">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（四）现场踏勘</w:t>
      </w:r>
    </w:p>
    <w:p w14:paraId="6BFA51FD">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rPr>
        <w:t>不统一组织，</w:t>
      </w:r>
      <w:r>
        <w:rPr>
          <w:rFonts w:hint="eastAsia" w:ascii="微软雅黑" w:hAnsi="微软雅黑" w:eastAsia="微软雅黑" w:cs="微软雅黑"/>
          <w:sz w:val="24"/>
          <w:szCs w:val="24"/>
          <w:lang w:val="zh-CN" w:eastAsia="zh-CN"/>
        </w:rPr>
        <w:t>供应商</w:t>
      </w:r>
      <w:r>
        <w:rPr>
          <w:rFonts w:hint="eastAsia" w:ascii="微软雅黑" w:hAnsi="微软雅黑" w:eastAsia="微软雅黑" w:cs="微软雅黑"/>
          <w:sz w:val="24"/>
          <w:szCs w:val="24"/>
          <w:lang w:val="zh-CN"/>
        </w:rPr>
        <w:t>自行踏勘或采购人认为有必要，另行书面通知</w:t>
      </w:r>
    </w:p>
    <w:p w14:paraId="0EAD8652">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lang w:val="zh-CN"/>
        </w:rPr>
        <w:t>）转包与分包</w:t>
      </w:r>
    </w:p>
    <w:p w14:paraId="2F3C31A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zh-CN"/>
        </w:rPr>
        <w:t>本项目严禁采取转包方式履行合同。</w:t>
      </w:r>
    </w:p>
    <w:p w14:paraId="6DC2E4B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val="zh-CN"/>
        </w:rPr>
        <w:t>本项目不允许分包，</w:t>
      </w:r>
      <w:r>
        <w:rPr>
          <w:rFonts w:hint="eastAsia" w:ascii="微软雅黑" w:hAnsi="微软雅黑" w:eastAsia="微软雅黑" w:cs="微软雅黑"/>
          <w:sz w:val="24"/>
          <w:szCs w:val="24"/>
          <w:highlight w:val="none"/>
          <w:lang w:val="en-US" w:eastAsia="zh-CN"/>
        </w:rPr>
        <w:t>成交供应商</w:t>
      </w:r>
      <w:r>
        <w:rPr>
          <w:rFonts w:hint="eastAsia" w:ascii="微软雅黑" w:hAnsi="微软雅黑" w:eastAsia="微软雅黑" w:cs="微软雅黑"/>
          <w:sz w:val="24"/>
          <w:szCs w:val="24"/>
          <w:highlight w:val="none"/>
          <w:lang w:val="zh-CN"/>
        </w:rPr>
        <w:t>在</w:t>
      </w:r>
      <w:r>
        <w:rPr>
          <w:rFonts w:hint="eastAsia" w:ascii="微软雅黑" w:hAnsi="微软雅黑" w:eastAsia="微软雅黑" w:cs="微软雅黑"/>
          <w:sz w:val="24"/>
          <w:szCs w:val="24"/>
          <w:highlight w:val="none"/>
          <w:lang w:val="en-US" w:eastAsia="zh-CN"/>
        </w:rPr>
        <w:t>成交</w:t>
      </w:r>
      <w:r>
        <w:rPr>
          <w:rFonts w:hint="eastAsia" w:ascii="微软雅黑" w:hAnsi="微软雅黑" w:eastAsia="微软雅黑" w:cs="微软雅黑"/>
          <w:sz w:val="24"/>
          <w:szCs w:val="24"/>
          <w:highlight w:val="none"/>
          <w:lang w:val="zh-CN"/>
        </w:rPr>
        <w:t>后不得将</w:t>
      </w:r>
      <w:r>
        <w:rPr>
          <w:rFonts w:hint="eastAsia" w:ascii="微软雅黑" w:hAnsi="微软雅黑" w:eastAsia="微软雅黑" w:cs="微软雅黑"/>
          <w:sz w:val="24"/>
          <w:szCs w:val="24"/>
          <w:highlight w:val="none"/>
          <w:lang w:val="en-US" w:eastAsia="zh-CN"/>
        </w:rPr>
        <w:t>成交</w:t>
      </w:r>
      <w:r>
        <w:rPr>
          <w:rFonts w:hint="eastAsia" w:ascii="微软雅黑" w:hAnsi="微软雅黑" w:eastAsia="微软雅黑" w:cs="微软雅黑"/>
          <w:sz w:val="24"/>
          <w:szCs w:val="24"/>
          <w:highlight w:val="none"/>
          <w:lang w:val="zh-CN"/>
        </w:rPr>
        <w:t>项目非主体、非关键性工作交由他人完成的,否则，视同拒绝履行政府采购合同业务，将依法追究法律责任。</w:t>
      </w:r>
    </w:p>
    <w:p w14:paraId="4E12E317">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w:t>
      </w:r>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lang w:val="zh-CN"/>
        </w:rPr>
        <w:t>）进口产品、联合体</w:t>
      </w:r>
    </w:p>
    <w:p w14:paraId="5E3DF69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1、本项目是否接受进口产品投标：</w:t>
      </w:r>
      <w:r>
        <w:rPr>
          <w:rFonts w:hint="eastAsia" w:ascii="微软雅黑" w:hAnsi="微软雅黑" w:eastAsia="微软雅黑" w:cs="微软雅黑"/>
          <w:color w:val="auto"/>
          <w:sz w:val="24"/>
          <w:szCs w:val="24"/>
          <w:highlight w:val="none"/>
          <w:u w:val="single"/>
          <w:lang w:val="en-US" w:eastAsia="zh-CN"/>
        </w:rPr>
        <w:t xml:space="preserve"> 否  </w:t>
      </w:r>
      <w:r>
        <w:rPr>
          <w:rFonts w:hint="eastAsia" w:ascii="微软雅黑" w:hAnsi="微软雅黑" w:eastAsia="微软雅黑" w:cs="微软雅黑"/>
          <w:color w:val="auto"/>
          <w:sz w:val="24"/>
          <w:szCs w:val="24"/>
          <w:highlight w:val="none"/>
          <w:u w:val="none"/>
          <w:lang w:val="en-US" w:eastAsia="zh-CN"/>
        </w:rPr>
        <w:t>。</w:t>
      </w:r>
    </w:p>
    <w:p w14:paraId="6CF34BE3">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FF0000"/>
          <w:sz w:val="24"/>
          <w:szCs w:val="24"/>
          <w:lang w:val="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val="zh-CN"/>
        </w:rPr>
        <w:t>本项目是否接受联合体投标：</w:t>
      </w:r>
      <w:r>
        <w:rPr>
          <w:rFonts w:hint="eastAsia" w:ascii="微软雅黑" w:hAnsi="微软雅黑" w:eastAsia="微软雅黑" w:cs="微软雅黑"/>
          <w:color w:val="auto"/>
          <w:sz w:val="24"/>
          <w:szCs w:val="24"/>
          <w:highlight w:val="none"/>
          <w:u w:val="single"/>
          <w:lang w:val="en-US" w:eastAsia="zh-CN"/>
        </w:rPr>
        <w:t xml:space="preserve"> 否  </w:t>
      </w:r>
      <w:r>
        <w:rPr>
          <w:rFonts w:hint="eastAsia" w:ascii="微软雅黑" w:hAnsi="微软雅黑" w:eastAsia="微软雅黑" w:cs="微软雅黑"/>
          <w:color w:val="auto"/>
          <w:sz w:val="24"/>
          <w:szCs w:val="24"/>
          <w:highlight w:val="none"/>
          <w:lang w:val="zh-CN"/>
        </w:rPr>
        <w:t>。</w:t>
      </w:r>
    </w:p>
    <w:p w14:paraId="611FE65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53" w:name="_Toc5008"/>
      <w:bookmarkStart w:id="54" w:name="_Toc965"/>
      <w:bookmarkStart w:id="55" w:name="_Toc25476"/>
      <w:bookmarkStart w:id="56" w:name="_Toc36034957"/>
      <w:bookmarkStart w:id="57" w:name="_Toc32676"/>
      <w:bookmarkStart w:id="58" w:name="_Toc19229"/>
      <w:bookmarkStart w:id="59" w:name="_Toc21705"/>
      <w:bookmarkStart w:id="60" w:name="_Toc5321"/>
      <w:bookmarkStart w:id="61" w:name="_Toc31822"/>
      <w:bookmarkStart w:id="62" w:name="_Toc20693"/>
      <w:r>
        <w:rPr>
          <w:rFonts w:hint="eastAsia" w:ascii="微软雅黑" w:hAnsi="微软雅黑" w:eastAsia="微软雅黑" w:cs="微软雅黑"/>
          <w:b/>
          <w:sz w:val="24"/>
          <w:szCs w:val="24"/>
          <w:lang w:val="zh-CN"/>
        </w:rPr>
        <w:t>二、磋商文件</w:t>
      </w:r>
      <w:bookmarkEnd w:id="53"/>
      <w:bookmarkEnd w:id="54"/>
      <w:bookmarkEnd w:id="55"/>
      <w:bookmarkEnd w:id="56"/>
      <w:bookmarkEnd w:id="57"/>
      <w:bookmarkEnd w:id="58"/>
      <w:bookmarkEnd w:id="59"/>
      <w:bookmarkEnd w:id="60"/>
      <w:bookmarkEnd w:id="61"/>
      <w:bookmarkEnd w:id="62"/>
    </w:p>
    <w:p w14:paraId="27AB751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（一）磋商文件</w:t>
      </w:r>
    </w:p>
    <w:p w14:paraId="5F2697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lang w:val="zh-CN"/>
        </w:rPr>
        <w:t>磋商文件的获取：</w:t>
      </w:r>
      <w:r>
        <w:rPr>
          <w:rFonts w:hint="eastAsia" w:ascii="微软雅黑" w:hAnsi="微软雅黑" w:eastAsia="微软雅黑" w:cs="微软雅黑"/>
          <w:sz w:val="24"/>
          <w:szCs w:val="24"/>
          <w:lang w:val="zh-CN"/>
        </w:rPr>
        <w:t>供应商必须从</w:t>
      </w:r>
      <w:r>
        <w:rPr>
          <w:rStyle w:val="42"/>
          <w:rFonts w:hint="eastAsia" w:ascii="微软雅黑" w:hAnsi="微软雅黑" w:eastAsia="微软雅黑" w:cs="微软雅黑"/>
          <w:color w:val="auto"/>
          <w:kern w:val="2"/>
          <w:sz w:val="24"/>
          <w:szCs w:val="24"/>
          <w:lang w:val="en-US" w:eastAsia="zh-CN" w:bidi="ar-SA"/>
        </w:rPr>
        <w:t>安康市公共资源交易中心平台</w:t>
      </w:r>
      <w:r>
        <w:rPr>
          <w:rFonts w:hint="eastAsia" w:ascii="微软雅黑" w:hAnsi="微软雅黑" w:eastAsia="微软雅黑" w:cs="微软雅黑"/>
          <w:sz w:val="24"/>
          <w:szCs w:val="24"/>
          <w:lang w:val="zh-CN"/>
        </w:rPr>
        <w:t>下载磋商文件，供应商自行转让或复制磋商文件视为无效。供应商应仔细阅读和检查磋商文件的全部内容。如发现缺页或附件不全，应及时向采购代理机构提出，以便补齐。仅作为本次招标使用</w:t>
      </w:r>
      <w:r>
        <w:rPr>
          <w:rFonts w:hint="eastAsia" w:ascii="微软雅黑" w:hAnsi="微软雅黑" w:eastAsia="微软雅黑" w:cs="微软雅黑"/>
          <w:b w:val="0"/>
          <w:bCs w:val="0"/>
          <w:sz w:val="24"/>
          <w:szCs w:val="24"/>
          <w:lang w:val="zh-CN"/>
        </w:rPr>
        <w:t>。</w:t>
      </w:r>
    </w:p>
    <w:p w14:paraId="420E816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val="zh-CN"/>
        </w:rPr>
        <w:t>电子磋商文件下载：供应商登录全国公共资源交易平台（陕西省</w:t>
      </w:r>
      <w:r>
        <w:rPr>
          <w:rFonts w:hint="eastAsia" w:ascii="宋体" w:hAnsi="宋体" w:eastAsia="宋体" w:cs="宋体"/>
          <w:b w:val="0"/>
          <w:bCs w:val="0"/>
          <w:sz w:val="24"/>
          <w:szCs w:val="24"/>
          <w:lang w:val="zh-CN"/>
        </w:rPr>
        <w:t>·</w:t>
      </w:r>
      <w:r>
        <w:rPr>
          <w:rFonts w:hint="eastAsia" w:ascii="微软雅黑" w:hAnsi="微软雅黑" w:eastAsia="微软雅黑" w:cs="微软雅黑"/>
          <w:b w:val="0"/>
          <w:bCs w:val="0"/>
          <w:sz w:val="24"/>
          <w:szCs w:val="24"/>
          <w:lang w:val="en-US" w:eastAsia="zh-CN"/>
        </w:rPr>
        <w:t>安康市</w:t>
      </w:r>
      <w:r>
        <w:rPr>
          <w:rFonts w:hint="eastAsia" w:ascii="微软雅黑" w:hAnsi="微软雅黑" w:eastAsia="微软雅黑" w:cs="微软雅黑"/>
          <w:b w:val="0"/>
          <w:bCs w:val="0"/>
          <w:sz w:val="24"/>
          <w:szCs w:val="24"/>
          <w:lang w:val="zh-CN"/>
        </w:rPr>
        <w:t>）网站[</w:t>
      </w:r>
      <w:r>
        <w:rPr>
          <w:rFonts w:hint="eastAsia" w:ascii="微软雅黑" w:hAnsi="微软雅黑" w:eastAsia="微软雅黑" w:cs="微软雅黑"/>
          <w:b w:val="0"/>
          <w:bCs w:val="0"/>
          <w:color w:val="auto"/>
          <w:kern w:val="2"/>
          <w:sz w:val="24"/>
          <w:szCs w:val="24"/>
          <w:highlight w:val="none"/>
          <w:lang w:val="zh-CN" w:eastAsia="zh-CN" w:bidi="ar-SA"/>
        </w:rPr>
        <w:t>电子交易平台一陕西政府采购交易系统-企业端</w:t>
      </w:r>
      <w:r>
        <w:rPr>
          <w:rFonts w:hint="eastAsia" w:ascii="微软雅黑" w:hAnsi="微软雅黑" w:eastAsia="微软雅黑" w:cs="微软雅黑"/>
          <w:b w:val="0"/>
          <w:bCs w:val="0"/>
          <w:sz w:val="24"/>
          <w:szCs w:val="24"/>
          <w:lang w:val="zh-CN"/>
        </w:rPr>
        <w:t>]后，在[我的项目]中点击“项目流程-交易文件下载”下载电子磋商文件（*.SXSZF）。</w:t>
      </w:r>
    </w:p>
    <w:p w14:paraId="790A3536">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b w:val="0"/>
          <w:bCs w:val="0"/>
          <w:sz w:val="24"/>
          <w:szCs w:val="24"/>
          <w:lang w:val="zh-CN"/>
        </w:rPr>
        <w:t>注意：该项目如有变更文件，则应点击“项目流程&gt;答疑文件下载”下载更新后的电子磋商文件（*.SXSCF），使用旧版电子磋商文件制作的电子响应文件，系统将拒绝接收。</w:t>
      </w:r>
    </w:p>
    <w:p w14:paraId="30EFCF9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（二）磋商文件的修改或澄清</w:t>
      </w:r>
    </w:p>
    <w:p w14:paraId="2EAE18C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若对</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文件进行必要的澄清或者修改，将在财政部门指定媒体上发布更正公告并以书面形式通知所有获取</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，澄清或者修改的内容为</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文件的组成部分。澄清或者修改的内容可能影响</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文件编制的，不足5日的，采购代理机构将顺延递交</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文件的截止时间。</w:t>
      </w:r>
    </w:p>
    <w:p w14:paraId="45E4374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在</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活动中，采购代理机构按照有关规定对获取</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发出书面形式通知要求其确认的，潜在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应当在规定时间将确认情况原件送达至采购代理机构或通过电子邮件回复至采购代理机构指定的邮箱地址。若潜在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未在规定时间内进行确认的，视同对发出的书面通知已认可，</w:t>
      </w:r>
      <w:r>
        <w:rPr>
          <w:rFonts w:hint="eastAsia" w:ascii="微软雅黑" w:hAnsi="微软雅黑" w:eastAsia="微软雅黑" w:cs="微软雅黑"/>
          <w:sz w:val="24"/>
          <w:szCs w:val="24"/>
          <w:highlight w:val="none"/>
          <w:lang w:val="zh-CN"/>
        </w:rPr>
        <w:t>所造成的一切后果由供应商自行承担。</w:t>
      </w:r>
    </w:p>
    <w:p w14:paraId="07E368E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lang w:val="zh-CN"/>
        </w:rPr>
        <w:t>）解释权归属</w:t>
      </w:r>
    </w:p>
    <w:p w14:paraId="2B74FBC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本</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文件的解释权归采购代理机构。</w:t>
      </w:r>
    </w:p>
    <w:p w14:paraId="07E44236">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63" w:name="_Toc11006"/>
      <w:bookmarkStart w:id="64" w:name="_Toc7649"/>
      <w:bookmarkStart w:id="65" w:name="_Toc513647108"/>
      <w:bookmarkStart w:id="66" w:name="_Toc28985"/>
      <w:bookmarkStart w:id="67" w:name="_Toc2046"/>
      <w:bookmarkStart w:id="68" w:name="_Toc2478"/>
      <w:bookmarkStart w:id="69" w:name="_Toc36034959"/>
      <w:bookmarkStart w:id="70" w:name="_Toc25615"/>
      <w:bookmarkStart w:id="71" w:name="_Toc1441"/>
      <w:bookmarkStart w:id="72" w:name="_Toc18229"/>
      <w:bookmarkStart w:id="73" w:name="_Toc15173"/>
      <w:r>
        <w:rPr>
          <w:rFonts w:hint="eastAsia" w:ascii="微软雅黑" w:hAnsi="微软雅黑" w:eastAsia="微软雅黑" w:cs="微软雅黑"/>
          <w:b/>
          <w:color w:val="auto"/>
          <w:sz w:val="24"/>
          <w:szCs w:val="24"/>
          <w:highlight w:val="none"/>
          <w:lang w:val="en-US" w:eastAsia="zh-CN"/>
        </w:rPr>
        <w:t>三</w:t>
      </w:r>
      <w:r>
        <w:rPr>
          <w:rFonts w:hint="eastAsia" w:ascii="微软雅黑" w:hAnsi="微软雅黑" w:eastAsia="微软雅黑" w:cs="微软雅黑"/>
          <w:b/>
          <w:color w:val="auto"/>
          <w:sz w:val="24"/>
          <w:szCs w:val="24"/>
          <w:highlight w:val="none"/>
          <w:lang w:val="zh-CN"/>
        </w:rPr>
        <w:t>、</w:t>
      </w:r>
      <w:bookmarkEnd w:id="63"/>
      <w:bookmarkEnd w:id="64"/>
      <w:bookmarkEnd w:id="65"/>
      <w:bookmarkEnd w:id="66"/>
      <w:bookmarkEnd w:id="67"/>
      <w:bookmarkEnd w:id="68"/>
      <w:bookmarkEnd w:id="69"/>
      <w:bookmarkEnd w:id="70"/>
      <w:bookmarkEnd w:id="71"/>
      <w:bookmarkEnd w:id="72"/>
      <w:bookmarkStart w:id="74" w:name="_Toc7785"/>
      <w:r>
        <w:rPr>
          <w:rFonts w:hint="eastAsia" w:ascii="微软雅黑" w:hAnsi="微软雅黑" w:eastAsia="微软雅黑" w:cs="微软雅黑"/>
          <w:b/>
          <w:sz w:val="24"/>
          <w:szCs w:val="24"/>
          <w:lang w:val="zh-CN"/>
        </w:rPr>
        <w:t>磋商要求</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73"/>
      <w:bookmarkEnd w:id="74"/>
    </w:p>
    <w:p w14:paraId="5898FC5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（一）供应商应认真阅读和充分理解磋商文件中所有的事项、格式条款和规范要求，</w:t>
      </w:r>
      <w:r>
        <w:rPr>
          <w:rFonts w:hint="eastAsia" w:ascii="微软雅黑" w:hAnsi="微软雅黑" w:eastAsia="微软雅黑" w:cs="微软雅黑"/>
          <w:sz w:val="24"/>
          <w:szCs w:val="24"/>
        </w:rPr>
        <w:t>按照磋商文件要求的内容编制响应文件。</w:t>
      </w:r>
    </w:p>
    <w:p w14:paraId="13B83441">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Cs/>
          <w:sz w:val="24"/>
          <w:szCs w:val="24"/>
          <w:lang w:val="zh-CN"/>
        </w:rPr>
      </w:pPr>
      <w:bookmarkStart w:id="75" w:name="_Toc25044"/>
      <w:bookmarkStart w:id="76" w:name="_Toc16822"/>
      <w:bookmarkStart w:id="77" w:name="_Toc32480"/>
      <w:bookmarkStart w:id="78" w:name="_Toc14676"/>
      <w:bookmarkStart w:id="79" w:name="_Toc32228"/>
      <w:bookmarkStart w:id="80" w:name="_Toc10132"/>
      <w:bookmarkStart w:id="81" w:name="_Toc10482"/>
      <w:bookmarkStart w:id="82" w:name="_Toc25885"/>
      <w:bookmarkStart w:id="83" w:name="_Toc4042"/>
      <w:bookmarkStart w:id="84" w:name="_Toc27228"/>
      <w:bookmarkStart w:id="85" w:name="_Toc19874"/>
      <w:bookmarkStart w:id="86" w:name="_Toc9684"/>
      <w:bookmarkStart w:id="87" w:name="_Toc3871"/>
      <w:bookmarkStart w:id="88" w:name="_Toc6981"/>
      <w:bookmarkStart w:id="89" w:name="_Toc9142"/>
      <w:bookmarkStart w:id="90" w:name="_Toc24632"/>
      <w:bookmarkStart w:id="91" w:name="_Toc13290"/>
      <w:bookmarkStart w:id="92" w:name="_Toc21694"/>
      <w:bookmarkStart w:id="93" w:name="_Toc15855"/>
      <w:bookmarkStart w:id="94" w:name="_Toc5801"/>
      <w:r>
        <w:rPr>
          <w:rFonts w:hint="eastAsia" w:ascii="微软雅黑" w:hAnsi="微软雅黑" w:eastAsia="微软雅黑" w:cs="微软雅黑"/>
          <w:bCs/>
          <w:sz w:val="24"/>
          <w:szCs w:val="24"/>
          <w:lang w:val="zh-CN"/>
        </w:rPr>
        <w:t>（</w:t>
      </w:r>
      <w:r>
        <w:rPr>
          <w:rFonts w:hint="eastAsia" w:ascii="微软雅黑" w:hAnsi="微软雅黑" w:eastAsia="微软雅黑" w:cs="微软雅黑"/>
          <w:bCs/>
          <w:sz w:val="24"/>
          <w:szCs w:val="24"/>
        </w:rPr>
        <w:t>二</w:t>
      </w:r>
      <w:r>
        <w:rPr>
          <w:rFonts w:hint="eastAsia" w:ascii="微软雅黑" w:hAnsi="微软雅黑" w:eastAsia="微软雅黑" w:cs="微软雅黑"/>
          <w:bCs/>
          <w:sz w:val="24"/>
          <w:szCs w:val="24"/>
          <w:lang w:val="zh-CN"/>
        </w:rPr>
        <w:t>）磋商报价</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CFFE9BB">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供应商应按照磋商文件中提供的格式完整、正确地填写首次磋商报价表，任何有选择的报价采购代理机构不予接受。</w:t>
      </w:r>
    </w:p>
    <w:p w14:paraId="5D0C0683">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
          <w:bCs/>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rPr>
        <w:t>2、磋商报价是供应商响应本次采购要求中全部工作内容的价格体现,</w:t>
      </w:r>
      <w:r>
        <w:rPr>
          <w:rFonts w:hint="eastAsia" w:ascii="微软雅黑" w:hAnsi="微软雅黑" w:eastAsia="微软雅黑" w:cs="微软雅黑"/>
          <w:color w:val="auto"/>
          <w:sz w:val="24"/>
          <w:szCs w:val="24"/>
          <w:highlight w:val="none"/>
          <w:lang w:val="zh-CN" w:eastAsia="zh-CN"/>
        </w:rPr>
        <w:t>包括完成采购内容所需的直接费、间接费、利润、税金及其他相关的一切费用。</w:t>
      </w:r>
      <w:r>
        <w:rPr>
          <w:rFonts w:hint="eastAsia" w:ascii="微软雅黑" w:hAnsi="微软雅黑" w:eastAsia="微软雅黑" w:cs="微软雅黑"/>
          <w:b/>
          <w:bCs/>
          <w:sz w:val="24"/>
          <w:szCs w:val="24"/>
          <w:lang w:val="en-US" w:eastAsia="zh-CN"/>
        </w:rPr>
        <w:t>按照含税包干综合单价×采购人审定的实际完成工作量进行结算。</w:t>
      </w:r>
    </w:p>
    <w:p w14:paraId="3D34AC43">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3、磋商最</w:t>
      </w:r>
      <w:r>
        <w:rPr>
          <w:rFonts w:hint="eastAsia" w:ascii="微软雅黑" w:hAnsi="微软雅黑" w:eastAsia="微软雅黑" w:cs="微软雅黑"/>
          <w:sz w:val="24"/>
          <w:szCs w:val="24"/>
          <w:lang w:eastAsia="zh-CN"/>
        </w:rPr>
        <w:t>终</w:t>
      </w:r>
      <w:r>
        <w:rPr>
          <w:rFonts w:hint="eastAsia" w:ascii="微软雅黑" w:hAnsi="微软雅黑" w:eastAsia="微软雅黑" w:cs="微软雅黑"/>
          <w:sz w:val="24"/>
          <w:szCs w:val="24"/>
        </w:rPr>
        <w:t>报价，在采购内容无实质性变更下，不得高于首次磋商报价,各供应商分项报价表中所有报价（与最终磋商报价比例一致）同比例下浮。</w:t>
      </w:r>
    </w:p>
    <w:p w14:paraId="29A4A7E1">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zh-CN"/>
        </w:rPr>
        <w:t>凡因供应商对磋商文件阅读不深、理解不透、误解、疏漏、或因市场行情了解不清造成的后果和风险均由供应商自负。</w:t>
      </w:r>
    </w:p>
    <w:p w14:paraId="26380DB6">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rPr>
      </w:pPr>
      <w:bookmarkStart w:id="95" w:name="_Toc17853"/>
      <w:bookmarkStart w:id="96" w:name="_Toc19312"/>
      <w:bookmarkStart w:id="97" w:name="_Toc17381"/>
      <w:bookmarkStart w:id="98" w:name="_Toc14903"/>
      <w:bookmarkStart w:id="99" w:name="_Toc21540"/>
      <w:bookmarkStart w:id="100" w:name="_Toc23143"/>
      <w:bookmarkStart w:id="101" w:name="_Toc14332"/>
      <w:bookmarkStart w:id="102" w:name="_Toc28965"/>
      <w:bookmarkStart w:id="103" w:name="_Toc26048"/>
      <w:bookmarkStart w:id="104" w:name="_Toc4226"/>
      <w:bookmarkStart w:id="105" w:name="_Toc1843"/>
      <w:bookmarkStart w:id="106" w:name="_Toc1638"/>
      <w:bookmarkStart w:id="107" w:name="_Toc62"/>
      <w:bookmarkStart w:id="108" w:name="_Toc13306"/>
      <w:bookmarkStart w:id="109" w:name="_Toc24300"/>
      <w:bookmarkStart w:id="110" w:name="_Toc6061"/>
      <w:bookmarkStart w:id="111" w:name="_Toc11475"/>
      <w:bookmarkStart w:id="112" w:name="_Toc26112"/>
      <w:bookmarkStart w:id="113" w:name="_Toc30969"/>
      <w:bookmarkStart w:id="114" w:name="_Toc617"/>
      <w:r>
        <w:rPr>
          <w:rFonts w:hint="eastAsia" w:ascii="微软雅黑" w:hAnsi="微软雅黑" w:eastAsia="微软雅黑" w:cs="微软雅黑"/>
          <w:sz w:val="24"/>
          <w:szCs w:val="24"/>
        </w:rPr>
        <w:t>5、供应商不得以低于成本的报价参与磋商。当磋商小组认为，某潜在供应商的报价或者部分分项报价存在明显不合理的低于成本的报价，有可能影响项目质量和不能诚信履约的，可要求该潜在供应商在规定期限内，提供必要的书面文件予以解释和说明并附带相关证明材料；否则，磋商小组认定该供应商以低于成本价竞价，其响应文件作无效响应文件处理。</w:t>
      </w:r>
    </w:p>
    <w:p w14:paraId="2B88C299">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6、最低报价不是成交的唯一依据。</w:t>
      </w:r>
    </w:p>
    <w:p w14:paraId="0D2EE93E">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Cs/>
          <w:sz w:val="24"/>
          <w:szCs w:val="24"/>
          <w:highlight w:val="none"/>
          <w:lang w:val="zh-CN"/>
        </w:rPr>
      </w:pPr>
      <w:r>
        <w:rPr>
          <w:rFonts w:hint="eastAsia" w:ascii="微软雅黑" w:hAnsi="微软雅黑" w:eastAsia="微软雅黑" w:cs="微软雅黑"/>
          <w:bCs/>
          <w:sz w:val="24"/>
          <w:szCs w:val="24"/>
          <w:highlight w:val="none"/>
          <w:lang w:val="zh-CN"/>
        </w:rPr>
        <w:t>（</w:t>
      </w:r>
      <w:r>
        <w:rPr>
          <w:rFonts w:hint="eastAsia" w:ascii="微软雅黑" w:hAnsi="微软雅黑" w:eastAsia="微软雅黑" w:cs="微软雅黑"/>
          <w:bCs/>
          <w:sz w:val="24"/>
          <w:szCs w:val="24"/>
          <w:highlight w:val="none"/>
        </w:rPr>
        <w:t>三</w:t>
      </w:r>
      <w:r>
        <w:rPr>
          <w:rFonts w:hint="eastAsia" w:ascii="微软雅黑" w:hAnsi="微软雅黑" w:eastAsia="微软雅黑" w:cs="微软雅黑"/>
          <w:bCs/>
          <w:sz w:val="24"/>
          <w:szCs w:val="24"/>
          <w:highlight w:val="none"/>
          <w:lang w:val="zh-CN"/>
        </w:rPr>
        <w:t>）磋商保证金</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2C203A68">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 w:val="0"/>
          <w:bCs/>
          <w:color w:val="FF0000"/>
          <w:sz w:val="24"/>
          <w:szCs w:val="24"/>
          <w:highlight w:val="yellow"/>
          <w:lang w:val="zh-CN" w:eastAsia="zh-CN"/>
        </w:rPr>
      </w:pPr>
      <w:r>
        <w:rPr>
          <w:rFonts w:hint="eastAsia" w:ascii="微软雅黑" w:hAnsi="微软雅黑" w:eastAsia="微软雅黑" w:cs="微软雅黑"/>
          <w:sz w:val="24"/>
          <w:szCs w:val="24"/>
          <w:lang w:val="en-US" w:eastAsia="zh-CN"/>
        </w:rPr>
        <w:t>无</w:t>
      </w:r>
    </w:p>
    <w:p w14:paraId="64849650">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lang w:eastAsia="zh-CN"/>
        </w:rPr>
        <w:t>）投标有效期</w:t>
      </w:r>
    </w:p>
    <w:p w14:paraId="6B17FB30">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投标有效期</w:t>
      </w:r>
      <w:r>
        <w:rPr>
          <w:rFonts w:hint="eastAsia" w:ascii="微软雅黑" w:hAnsi="微软雅黑" w:eastAsia="微软雅黑" w:cs="微软雅黑"/>
          <w:sz w:val="24"/>
          <w:szCs w:val="24"/>
          <w:lang w:val="zh-CN" w:eastAsia="zh-CN"/>
        </w:rPr>
        <w:t>从递交</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eastAsia="zh-CN"/>
        </w:rPr>
        <w:t>文件的截止之日起算不得少于</w:t>
      </w:r>
      <w:r>
        <w:rPr>
          <w:rFonts w:hint="eastAsia" w:ascii="微软雅黑" w:hAnsi="微软雅黑" w:eastAsia="微软雅黑" w:cs="微软雅黑"/>
          <w:sz w:val="24"/>
          <w:szCs w:val="24"/>
          <w:lang w:eastAsia="zh-CN"/>
        </w:rPr>
        <w:t>90个日历日，在有效期内响应文件对供应商具有法律约束力，以保证采购人完成评审、定标以及合同签订事项。成交供应商的响应文件有效期自动延长至合同执行完毕。</w:t>
      </w:r>
    </w:p>
    <w:p w14:paraId="3CAA7756">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（五）响应文件中标准和计量单位的使用</w:t>
      </w:r>
    </w:p>
    <w:p w14:paraId="09B54D07">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eastAsia="zh-CN"/>
        </w:rPr>
        <w:t>1、</w:t>
      </w:r>
      <w:r>
        <w:rPr>
          <w:rFonts w:hint="eastAsia" w:ascii="微软雅黑" w:hAnsi="微软雅黑" w:eastAsia="微软雅黑" w:cs="微软雅黑"/>
          <w:sz w:val="24"/>
          <w:szCs w:val="24"/>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AC092C2">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4CD07516">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eastAsia="zh-CN"/>
        </w:rPr>
        <w:t>磋商文件已有明确规定的，使用磋商文件规定的计量单位；磋商文件没有规定的，应采用中华人民共和国法定计量单位(国际单位制和国家选定的其他计量单位)。</w:t>
      </w:r>
    </w:p>
    <w:p w14:paraId="2AF2D701">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eastAsia="zh-CN"/>
        </w:rPr>
      </w:pPr>
      <w:bookmarkStart w:id="115" w:name="_Toc9037"/>
      <w:bookmarkStart w:id="116" w:name="_Toc36034963"/>
      <w:bookmarkStart w:id="117" w:name="_Toc28432"/>
      <w:bookmarkStart w:id="118" w:name="_Toc1475"/>
      <w:bookmarkStart w:id="119" w:name="_Toc23603"/>
      <w:bookmarkStart w:id="120" w:name="_Toc8188"/>
      <w:bookmarkStart w:id="121" w:name="_Toc513647112"/>
      <w:bookmarkStart w:id="122" w:name="_Toc21962"/>
      <w:bookmarkStart w:id="123" w:name="_Toc8852"/>
      <w:bookmarkStart w:id="124" w:name="_Toc13265"/>
      <w:bookmarkStart w:id="125" w:name="_Toc25749"/>
      <w:r>
        <w:rPr>
          <w:rFonts w:hint="eastAsia" w:ascii="微软雅黑" w:hAnsi="微软雅黑" w:eastAsia="微软雅黑" w:cs="微软雅黑"/>
          <w:b/>
          <w:sz w:val="24"/>
          <w:szCs w:val="24"/>
          <w:lang w:val="en-US" w:eastAsia="zh-CN"/>
        </w:rPr>
        <w:t>四</w:t>
      </w:r>
      <w:r>
        <w:rPr>
          <w:rFonts w:hint="eastAsia" w:ascii="微软雅黑" w:hAnsi="微软雅黑" w:eastAsia="微软雅黑" w:cs="微软雅黑"/>
          <w:b/>
          <w:sz w:val="24"/>
          <w:szCs w:val="24"/>
          <w:lang w:val="zh-CN"/>
        </w:rPr>
        <w:t>、</w:t>
      </w:r>
      <w:r>
        <w:rPr>
          <w:rFonts w:hint="eastAsia" w:ascii="微软雅黑" w:hAnsi="微软雅黑" w:eastAsia="微软雅黑" w:cs="微软雅黑"/>
          <w:b/>
          <w:sz w:val="24"/>
          <w:szCs w:val="24"/>
          <w:lang w:eastAsia="zh-CN"/>
        </w:rPr>
        <w:t>响应文件</w:t>
      </w:r>
      <w:r>
        <w:rPr>
          <w:rFonts w:hint="eastAsia" w:ascii="微软雅黑" w:hAnsi="微软雅黑" w:eastAsia="微软雅黑" w:cs="微软雅黑"/>
          <w:b/>
          <w:sz w:val="24"/>
          <w:szCs w:val="24"/>
        </w:rPr>
        <w:t>的</w:t>
      </w:r>
      <w:r>
        <w:rPr>
          <w:rFonts w:hint="eastAsia" w:ascii="微软雅黑" w:hAnsi="微软雅黑" w:eastAsia="微软雅黑" w:cs="微软雅黑"/>
          <w:b/>
          <w:sz w:val="24"/>
          <w:szCs w:val="24"/>
          <w:lang w:eastAsia="zh-CN"/>
        </w:rPr>
        <w:t>编制和</w:t>
      </w:r>
      <w:r>
        <w:rPr>
          <w:rFonts w:hint="eastAsia" w:ascii="微软雅黑" w:hAnsi="微软雅黑" w:eastAsia="微软雅黑" w:cs="微软雅黑"/>
          <w:b/>
          <w:sz w:val="24"/>
          <w:szCs w:val="24"/>
        </w:rPr>
        <w:t>签署</w:t>
      </w:r>
      <w:bookmarkEnd w:id="115"/>
      <w:bookmarkEnd w:id="116"/>
      <w:bookmarkEnd w:id="117"/>
      <w:bookmarkEnd w:id="118"/>
      <w:bookmarkEnd w:id="119"/>
      <w:bookmarkEnd w:id="120"/>
      <w:bookmarkEnd w:id="121"/>
      <w:bookmarkEnd w:id="122"/>
      <w:bookmarkEnd w:id="123"/>
      <w:bookmarkEnd w:id="124"/>
      <w:r>
        <w:rPr>
          <w:rFonts w:hint="eastAsia" w:ascii="微软雅黑" w:hAnsi="微软雅黑" w:eastAsia="微软雅黑" w:cs="微软雅黑"/>
          <w:b/>
          <w:sz w:val="24"/>
          <w:szCs w:val="24"/>
          <w:lang w:eastAsia="zh-CN"/>
        </w:rPr>
        <w:t>要求</w:t>
      </w:r>
      <w:bookmarkEnd w:id="125"/>
    </w:p>
    <w:p w14:paraId="532D425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必须按照</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第</w:t>
      </w:r>
      <w:r>
        <w:rPr>
          <w:rFonts w:hint="eastAsia" w:ascii="微软雅黑" w:hAnsi="微软雅黑" w:eastAsia="微软雅黑" w:cs="微软雅黑"/>
          <w:sz w:val="24"/>
          <w:szCs w:val="24"/>
          <w:lang w:val="en-US" w:eastAsia="zh-CN"/>
        </w:rPr>
        <w:t>七</w:t>
      </w:r>
      <w:r>
        <w:rPr>
          <w:rFonts w:hint="eastAsia" w:ascii="微软雅黑" w:hAnsi="微软雅黑" w:eastAsia="微软雅黑" w:cs="微软雅黑"/>
          <w:sz w:val="24"/>
          <w:szCs w:val="24"/>
        </w:rPr>
        <w:t>部分“</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格式”中的</w:t>
      </w:r>
      <w:r>
        <w:rPr>
          <w:rFonts w:hint="eastAsia" w:ascii="微软雅黑" w:hAnsi="微软雅黑" w:eastAsia="微软雅黑" w:cs="微软雅黑"/>
          <w:sz w:val="24"/>
          <w:szCs w:val="24"/>
          <w:highlight w:val="none"/>
        </w:rPr>
        <w:t>要求</w:t>
      </w:r>
      <w:r>
        <w:rPr>
          <w:rFonts w:hint="eastAsia" w:ascii="微软雅黑" w:hAnsi="微软雅黑" w:eastAsia="微软雅黑" w:cs="微软雅黑"/>
          <w:sz w:val="24"/>
          <w:szCs w:val="24"/>
          <w:highlight w:val="none"/>
          <w:lang w:eastAsia="zh-CN"/>
        </w:rPr>
        <w:t>编制，</w:t>
      </w:r>
      <w:r>
        <w:rPr>
          <w:rFonts w:hint="eastAsia" w:ascii="微软雅黑" w:hAnsi="微软雅黑" w:eastAsia="微软雅黑" w:cs="微软雅黑"/>
          <w:b/>
          <w:bCs/>
          <w:sz w:val="24"/>
          <w:szCs w:val="24"/>
          <w:highlight w:val="none"/>
          <w:lang w:val="en-US" w:eastAsia="zh-CN"/>
        </w:rPr>
        <w:t>响应文件</w:t>
      </w:r>
      <w:r>
        <w:rPr>
          <w:rFonts w:hint="eastAsia" w:ascii="微软雅黑" w:hAnsi="微软雅黑" w:eastAsia="微软雅黑" w:cs="微软雅黑"/>
          <w:b/>
          <w:bCs/>
          <w:sz w:val="24"/>
          <w:szCs w:val="24"/>
          <w:highlight w:val="none"/>
          <w:lang w:val="zh-CN"/>
        </w:rPr>
        <w:t>中供应商名称盖章处必须加盖</w:t>
      </w:r>
      <w:r>
        <w:rPr>
          <w:rFonts w:hint="eastAsia" w:ascii="微软雅黑" w:hAnsi="微软雅黑" w:eastAsia="微软雅黑" w:cs="微软雅黑"/>
          <w:b/>
          <w:bCs/>
          <w:sz w:val="24"/>
          <w:szCs w:val="24"/>
          <w:highlight w:val="none"/>
          <w:lang w:val="en-US" w:eastAsia="zh-CN"/>
        </w:rPr>
        <w:t>供应商</w:t>
      </w:r>
      <w:r>
        <w:rPr>
          <w:rFonts w:hint="eastAsia" w:ascii="微软雅黑" w:hAnsi="微软雅黑" w:eastAsia="微软雅黑" w:cs="微软雅黑"/>
          <w:b/>
          <w:bCs/>
          <w:sz w:val="24"/>
          <w:szCs w:val="24"/>
          <w:highlight w:val="none"/>
          <w:lang w:val="zh-CN"/>
        </w:rPr>
        <w:t>公章，</w:t>
      </w:r>
      <w:r>
        <w:rPr>
          <w:rFonts w:hint="eastAsia" w:ascii="微软雅黑" w:hAnsi="微软雅黑" w:eastAsia="微软雅黑" w:cs="微软雅黑"/>
          <w:b/>
          <w:bCs/>
          <w:sz w:val="24"/>
          <w:szCs w:val="24"/>
          <w:highlight w:val="none"/>
          <w:lang w:eastAsia="zh-CN"/>
        </w:rPr>
        <w:t>磋商文件</w:t>
      </w:r>
      <w:r>
        <w:rPr>
          <w:rFonts w:hint="eastAsia" w:ascii="微软雅黑" w:hAnsi="微软雅黑" w:eastAsia="微软雅黑" w:cs="微软雅黑"/>
          <w:b/>
          <w:bCs/>
          <w:sz w:val="24"/>
          <w:szCs w:val="24"/>
          <w:highlight w:val="none"/>
        </w:rPr>
        <w:t>中凡是需要法定代表人签字或盖章之处非法人单位的负责人均参照执行</w:t>
      </w:r>
      <w:r>
        <w:rPr>
          <w:rFonts w:hint="eastAsia" w:ascii="微软雅黑" w:hAnsi="微软雅黑" w:eastAsia="微软雅黑" w:cs="微软雅黑"/>
          <w:b/>
          <w:bCs/>
          <w:sz w:val="24"/>
          <w:szCs w:val="24"/>
          <w:highlight w:val="none"/>
          <w:lang w:eastAsia="zh-CN"/>
        </w:rPr>
        <w:t>。</w:t>
      </w:r>
    </w:p>
    <w:p w14:paraId="55B66EC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highlight w:val="none"/>
          <w:lang w:val="zh-CN"/>
        </w:rPr>
        <w:t>除供应商对错处做必要修改外，</w:t>
      </w:r>
      <w:r>
        <w:rPr>
          <w:rFonts w:hint="eastAsia" w:ascii="微软雅黑" w:hAnsi="微软雅黑" w:eastAsia="微软雅黑" w:cs="微软雅黑"/>
          <w:sz w:val="24"/>
          <w:szCs w:val="24"/>
          <w:highlight w:val="none"/>
          <w:lang w:val="en-US" w:eastAsia="zh-CN"/>
        </w:rPr>
        <w:t>响应文件</w:t>
      </w:r>
      <w:r>
        <w:rPr>
          <w:rFonts w:hint="eastAsia" w:ascii="微软雅黑" w:hAnsi="微软雅黑" w:eastAsia="微软雅黑" w:cs="微软雅黑"/>
          <w:sz w:val="24"/>
          <w:szCs w:val="24"/>
          <w:highlight w:val="none"/>
          <w:lang w:val="zh-CN"/>
        </w:rPr>
        <w:t>不得行间插字、涂改和增删，如有修改错漏处，必须由供应商法定代表人或其授权代表签字或盖章</w:t>
      </w:r>
      <w:r>
        <w:rPr>
          <w:rFonts w:hint="eastAsia" w:ascii="微软雅黑" w:hAnsi="微软雅黑" w:eastAsia="微软雅黑" w:cs="微软雅黑"/>
          <w:sz w:val="24"/>
          <w:szCs w:val="24"/>
          <w:lang w:val="zh-CN"/>
        </w:rPr>
        <w:t>。</w:t>
      </w:r>
    </w:p>
    <w:p w14:paraId="349F290D">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b/>
          <w:bCs/>
          <w:sz w:val="24"/>
          <w:szCs w:val="24"/>
          <w:highlight w:val="none"/>
          <w:lang w:val="zh-CN"/>
        </w:rPr>
        <w:t>（三）本项目采用电子化投标的方式。供应商须在“陕西省</w:t>
      </w:r>
      <w:r>
        <w:rPr>
          <w:rFonts w:hint="eastAsia" w:ascii="微软雅黑" w:hAnsi="微软雅黑" w:eastAsia="微软雅黑" w:cs="微软雅黑"/>
          <w:b/>
          <w:bCs/>
          <w:sz w:val="24"/>
          <w:szCs w:val="24"/>
          <w:highlight w:val="none"/>
          <w:lang w:val="en-US" w:eastAsia="zh-CN"/>
        </w:rPr>
        <w:t>安康市</w:t>
      </w:r>
      <w:r>
        <w:rPr>
          <w:rFonts w:hint="eastAsia" w:ascii="微软雅黑" w:hAnsi="微软雅黑" w:eastAsia="微软雅黑" w:cs="微软雅黑"/>
          <w:b/>
          <w:bCs/>
          <w:sz w:val="24"/>
          <w:szCs w:val="24"/>
          <w:highlight w:val="none"/>
          <w:lang w:val="zh-CN"/>
        </w:rPr>
        <w:t>公共资源交易中心平台（</w:t>
      </w:r>
      <w:r>
        <w:rPr>
          <w:rFonts w:hint="eastAsia" w:ascii="微软雅黑" w:hAnsi="微软雅黑" w:eastAsia="微软雅黑" w:cs="微软雅黑"/>
          <w:b/>
          <w:bCs/>
          <w:sz w:val="24"/>
          <w:szCs w:val="24"/>
          <w:highlight w:val="none"/>
          <w:lang w:val="zh-CN"/>
        </w:rPr>
        <w:fldChar w:fldCharType="begin"/>
      </w:r>
      <w:r>
        <w:rPr>
          <w:rFonts w:hint="eastAsia" w:ascii="微软雅黑" w:hAnsi="微软雅黑" w:eastAsia="微软雅黑" w:cs="微软雅黑"/>
          <w:b/>
          <w:bCs/>
          <w:sz w:val="24"/>
          <w:szCs w:val="24"/>
          <w:highlight w:val="none"/>
          <w:lang w:val="zh-CN"/>
        </w:rPr>
        <w:instrText xml:space="preserve"> HYPERLINK "http://xxxq.sxggzyjy.cn/）\”的\“服务指南\”栏目\“下载专区\”中，免费下载\“陕西省公共资源交易平台政府采购电子标书制作工具(V8.0.0.2)\”，并使用该客户端制作电子投标文件，制作扩展名为\“.SXSTF\”的电子投标文件。" </w:instrText>
      </w:r>
      <w:r>
        <w:rPr>
          <w:rFonts w:hint="eastAsia" w:ascii="微软雅黑" w:hAnsi="微软雅黑" w:eastAsia="微软雅黑" w:cs="微软雅黑"/>
          <w:b/>
          <w:bCs/>
          <w:sz w:val="24"/>
          <w:szCs w:val="24"/>
          <w:highlight w:val="none"/>
          <w:lang w:val="zh-CN"/>
        </w:rPr>
        <w:fldChar w:fldCharType="separate"/>
      </w:r>
      <w:r>
        <w:rPr>
          <w:rFonts w:hint="eastAsia" w:ascii="微软雅黑" w:hAnsi="微软雅黑" w:eastAsia="微软雅黑" w:cs="微软雅黑"/>
          <w:b/>
          <w:bCs/>
          <w:sz w:val="24"/>
          <w:szCs w:val="24"/>
          <w:highlight w:val="none"/>
          <w:lang w:val="zh-CN"/>
        </w:rPr>
        <w:t>https：//ggzyjy.ankang.gov.cn/）”的“下载专区”中，免费下载“陕西省公共资源交易平台政府采购电子标书制作工具”，并使用该客户端制作电子响应文件。</w:t>
      </w:r>
      <w:r>
        <w:rPr>
          <w:rFonts w:hint="eastAsia" w:ascii="微软雅黑" w:hAnsi="微软雅黑" w:eastAsia="微软雅黑" w:cs="微软雅黑"/>
          <w:b/>
          <w:bCs/>
          <w:sz w:val="24"/>
          <w:szCs w:val="24"/>
          <w:highlight w:val="none"/>
          <w:lang w:val="zh-CN"/>
        </w:rPr>
        <w:fldChar w:fldCharType="end"/>
      </w:r>
      <w:r>
        <w:rPr>
          <w:rFonts w:hint="eastAsia" w:ascii="微软雅黑" w:hAnsi="微软雅黑" w:eastAsia="微软雅黑" w:cs="微软雅黑"/>
          <w:b/>
          <w:bCs/>
          <w:sz w:val="24"/>
          <w:szCs w:val="24"/>
          <w:highlight w:val="none"/>
          <w:lang w:val="zh-CN"/>
        </w:rPr>
        <w:t>供应商须使用数字认证证书对电子化响应文件进行签章、加密、递交及开标时解密等相关招投标事宜。</w:t>
      </w:r>
    </w:p>
    <w:p w14:paraId="2BB3B39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126" w:name="_Toc21258"/>
      <w:bookmarkStart w:id="127" w:name="_Toc943"/>
      <w:bookmarkStart w:id="128" w:name="_Toc4312"/>
      <w:bookmarkStart w:id="129" w:name="_Toc11145"/>
      <w:bookmarkStart w:id="130" w:name="_Toc6507"/>
      <w:bookmarkStart w:id="131" w:name="_Toc8073"/>
      <w:bookmarkStart w:id="132" w:name="_Toc21824"/>
      <w:bookmarkStart w:id="133" w:name="_Toc20224"/>
      <w:r>
        <w:rPr>
          <w:rFonts w:hint="eastAsia" w:ascii="微软雅黑" w:hAnsi="微软雅黑" w:eastAsia="微软雅黑" w:cs="微软雅黑"/>
          <w:b/>
          <w:sz w:val="24"/>
          <w:szCs w:val="24"/>
          <w:lang w:val="en-US" w:eastAsia="zh-CN"/>
        </w:rPr>
        <w:t>五</w:t>
      </w:r>
      <w:r>
        <w:rPr>
          <w:rFonts w:hint="eastAsia" w:ascii="微软雅黑" w:hAnsi="微软雅黑" w:eastAsia="微软雅黑" w:cs="微软雅黑"/>
          <w:b/>
          <w:sz w:val="24"/>
          <w:szCs w:val="24"/>
          <w:lang w:val="zh-CN"/>
        </w:rPr>
        <w:t>、响应文件的密封和</w:t>
      </w:r>
      <w:bookmarkEnd w:id="126"/>
      <w:bookmarkEnd w:id="127"/>
      <w:bookmarkEnd w:id="128"/>
      <w:r>
        <w:rPr>
          <w:rFonts w:hint="eastAsia" w:ascii="微软雅黑" w:hAnsi="微软雅黑" w:eastAsia="微软雅黑" w:cs="微软雅黑"/>
          <w:b/>
          <w:sz w:val="24"/>
          <w:szCs w:val="24"/>
          <w:lang w:val="zh-CN"/>
        </w:rPr>
        <w:t>递交</w:t>
      </w:r>
      <w:bookmarkEnd w:id="129"/>
      <w:bookmarkEnd w:id="130"/>
      <w:bookmarkEnd w:id="131"/>
      <w:bookmarkEnd w:id="132"/>
      <w:bookmarkEnd w:id="133"/>
    </w:p>
    <w:p w14:paraId="1BA09347">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rPr>
        <w:t>（一）</w:t>
      </w:r>
      <w:r>
        <w:rPr>
          <w:rFonts w:hint="eastAsia" w:ascii="微软雅黑" w:hAnsi="微软雅黑" w:eastAsia="微软雅黑" w:cs="微软雅黑"/>
          <w:b/>
          <w:bCs/>
          <w:sz w:val="24"/>
          <w:szCs w:val="24"/>
          <w:highlight w:val="none"/>
          <w:lang w:val="zh-CN"/>
        </w:rPr>
        <w:t>本项目采用不见面开标模式，供应商不需要提供纸质响应文件。供应商应在投标截止时间前登录磋商文件载明的“不见面开标大厅”（http：//bjmkb.akggzyjy.cn/BidOpeningHall/bidopeninghallaction/hall/login）网址，按系统提示完成开标流程。因供应商自身设施故障或自身原因导致无法完成开标的，由供应商自行承担后果。</w:t>
      </w:r>
    </w:p>
    <w:p w14:paraId="40C9C513">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val="en-US" w:eastAsia="zh-CN"/>
        </w:rPr>
        <w:t>二</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highlight w:val="none"/>
          <w:lang w:val="zh-CN"/>
        </w:rPr>
        <w:t>电子响应文件以陕西省安康市公共资源交易中心网公示的开标时间为准，在投标截止时间前上传至陕西省安康市公共资源交易中心平台。供应商编制响应文件时，涉及的有关原件应在响应文件中提供电子版。</w:t>
      </w:r>
    </w:p>
    <w:p w14:paraId="6C1AA1F7">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（三）如因供应商自身原因造成无法解密响应文件，按无效投标对待。</w:t>
      </w:r>
    </w:p>
    <w:p w14:paraId="1F565252">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bookmarkStart w:id="134" w:name="_Toc7052"/>
      <w:r>
        <w:rPr>
          <w:rFonts w:hint="eastAsia" w:ascii="微软雅黑" w:hAnsi="微软雅黑" w:eastAsia="微软雅黑" w:cs="微软雅黑"/>
          <w:b/>
          <w:bCs/>
          <w:sz w:val="24"/>
          <w:szCs w:val="24"/>
          <w:highlight w:val="none"/>
          <w:lang w:val="zh-CN"/>
        </w:rPr>
        <w:t>（</w:t>
      </w:r>
      <w:r>
        <w:rPr>
          <w:rFonts w:hint="eastAsia" w:ascii="微软雅黑" w:hAnsi="微软雅黑" w:eastAsia="微软雅黑" w:cs="微软雅黑"/>
          <w:b/>
          <w:bCs/>
          <w:sz w:val="24"/>
          <w:szCs w:val="24"/>
          <w:highlight w:val="none"/>
          <w:lang w:val="en-US" w:eastAsia="zh-CN"/>
        </w:rPr>
        <w:t>四</w:t>
      </w:r>
      <w:r>
        <w:rPr>
          <w:rFonts w:hint="eastAsia" w:ascii="微软雅黑" w:hAnsi="微软雅黑" w:eastAsia="微软雅黑" w:cs="微软雅黑"/>
          <w:b/>
          <w:bCs/>
          <w:sz w:val="24"/>
          <w:szCs w:val="24"/>
          <w:highlight w:val="none"/>
          <w:lang w:val="zh-CN"/>
        </w:rPr>
        <w:t xml:space="preserve">）递交电子响应文件。登录陕西省安康市公共资源交易中心平台（ </w:t>
      </w:r>
      <w:r>
        <w:rPr>
          <w:rFonts w:hint="eastAsia" w:ascii="微软雅黑" w:hAnsi="微软雅黑" w:eastAsia="微软雅黑" w:cs="微软雅黑"/>
          <w:b/>
          <w:bCs/>
          <w:sz w:val="24"/>
          <w:szCs w:val="24"/>
          <w:highlight w:val="none"/>
          <w:lang w:val="zh-CN"/>
        </w:rPr>
        <w:fldChar w:fldCharType="begin"/>
      </w:r>
      <w:r>
        <w:rPr>
          <w:rFonts w:hint="eastAsia" w:ascii="微软雅黑" w:hAnsi="微软雅黑" w:eastAsia="微软雅黑" w:cs="微软雅黑"/>
          <w:b/>
          <w:bCs/>
          <w:sz w:val="24"/>
          <w:szCs w:val="24"/>
          <w:highlight w:val="none"/>
          <w:lang w:val="zh-CN"/>
        </w:rPr>
        <w:instrText xml:space="preserve"> HYPERLINK "http://xxxq.sxggzyjy.cn/），选择\“电子交易平台-陕西政府采购交易系统-陕西省西咸新区公共资源交易平台-供应商\”进行登录，登录后选择\“交易乙方\”身份进入，选择\“上传投标文件\”菜单页面，上传加密的电子投标文件。上传成功后，电子化平台将予以记录。" </w:instrText>
      </w:r>
      <w:r>
        <w:rPr>
          <w:rFonts w:hint="eastAsia" w:ascii="微软雅黑" w:hAnsi="微软雅黑" w:eastAsia="微软雅黑" w:cs="微软雅黑"/>
          <w:b/>
          <w:bCs/>
          <w:sz w:val="24"/>
          <w:szCs w:val="24"/>
          <w:highlight w:val="none"/>
          <w:lang w:val="zh-CN"/>
        </w:rPr>
        <w:fldChar w:fldCharType="separate"/>
      </w:r>
      <w:r>
        <w:rPr>
          <w:rFonts w:hint="eastAsia" w:ascii="微软雅黑" w:hAnsi="微软雅黑" w:eastAsia="微软雅黑" w:cs="微软雅黑"/>
          <w:b/>
          <w:bCs/>
          <w:sz w:val="24"/>
          <w:szCs w:val="24"/>
          <w:highlight w:val="none"/>
          <w:lang w:val="zh-CN"/>
        </w:rPr>
        <w:t>https：//ggzyjy.ankang.gov.cn/</w:t>
      </w:r>
      <w:r>
        <w:rPr>
          <w:rFonts w:hint="default" w:ascii="微软雅黑" w:hAnsi="微软雅黑" w:eastAsia="微软雅黑" w:cs="微软雅黑"/>
          <w:b/>
          <w:bCs/>
          <w:sz w:val="24"/>
          <w:szCs w:val="24"/>
          <w:highlight w:val="none"/>
          <w:lang w:val="zh-CN"/>
        </w:rPr>
        <w:t>），选择“</w:t>
      </w:r>
      <w:r>
        <w:rPr>
          <w:rFonts w:hint="eastAsia" w:ascii="微软雅黑" w:hAnsi="微软雅黑" w:eastAsia="微软雅黑" w:cs="微软雅黑"/>
          <w:b/>
          <w:bCs/>
          <w:sz w:val="24"/>
          <w:szCs w:val="24"/>
          <w:highlight w:val="none"/>
          <w:lang w:val="zh-CN"/>
        </w:rPr>
        <w:t>电子交易平台一陕西政府采购交易系统-企业端</w:t>
      </w:r>
      <w:r>
        <w:rPr>
          <w:rFonts w:hint="default" w:ascii="微软雅黑" w:hAnsi="微软雅黑" w:eastAsia="微软雅黑" w:cs="微软雅黑"/>
          <w:b/>
          <w:bCs/>
          <w:sz w:val="24"/>
          <w:szCs w:val="24"/>
          <w:highlight w:val="none"/>
          <w:lang w:val="zh-CN"/>
        </w:rPr>
        <w:t>”进行登录，登录后选择“交易乙方”身份进入，选择“上传</w:t>
      </w:r>
      <w:r>
        <w:rPr>
          <w:rFonts w:hint="eastAsia" w:ascii="微软雅黑" w:hAnsi="微软雅黑" w:eastAsia="微软雅黑" w:cs="微软雅黑"/>
          <w:b/>
          <w:bCs/>
          <w:sz w:val="24"/>
          <w:szCs w:val="24"/>
          <w:highlight w:val="none"/>
          <w:lang w:val="zh-CN"/>
        </w:rPr>
        <w:t>响应文件</w:t>
      </w:r>
      <w:r>
        <w:rPr>
          <w:rFonts w:hint="default" w:ascii="微软雅黑" w:hAnsi="微软雅黑" w:eastAsia="微软雅黑" w:cs="微软雅黑"/>
          <w:b/>
          <w:bCs/>
          <w:sz w:val="24"/>
          <w:szCs w:val="24"/>
          <w:highlight w:val="none"/>
          <w:lang w:val="zh-CN"/>
        </w:rPr>
        <w:t>”菜单页面，上传加密的电子</w:t>
      </w:r>
      <w:r>
        <w:rPr>
          <w:rFonts w:hint="eastAsia" w:ascii="微软雅黑" w:hAnsi="微软雅黑" w:eastAsia="微软雅黑" w:cs="微软雅黑"/>
          <w:b/>
          <w:bCs/>
          <w:sz w:val="24"/>
          <w:szCs w:val="24"/>
          <w:highlight w:val="none"/>
          <w:lang w:val="zh-CN"/>
        </w:rPr>
        <w:t>响应文件</w:t>
      </w:r>
      <w:r>
        <w:rPr>
          <w:rFonts w:hint="default" w:ascii="微软雅黑" w:hAnsi="微软雅黑" w:eastAsia="微软雅黑" w:cs="微软雅黑"/>
          <w:b/>
          <w:bCs/>
          <w:sz w:val="24"/>
          <w:szCs w:val="24"/>
          <w:highlight w:val="none"/>
          <w:lang w:val="zh-CN"/>
        </w:rPr>
        <w:t>。上传成功后，电子化平台将予以记录。</w:t>
      </w:r>
      <w:r>
        <w:rPr>
          <w:rFonts w:hint="eastAsia" w:ascii="微软雅黑" w:hAnsi="微软雅黑" w:eastAsia="微软雅黑" w:cs="微软雅黑"/>
          <w:b/>
          <w:bCs/>
          <w:sz w:val="24"/>
          <w:szCs w:val="24"/>
          <w:highlight w:val="none"/>
          <w:lang w:val="zh-CN"/>
        </w:rPr>
        <w:fldChar w:fldCharType="end"/>
      </w:r>
      <w:bookmarkEnd w:id="134"/>
    </w:p>
    <w:p w14:paraId="62FB7CD9">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highlight w:val="none"/>
        </w:rPr>
      </w:pPr>
      <w:bookmarkStart w:id="135" w:name="_Toc1565"/>
      <w:bookmarkStart w:id="136" w:name="_Toc18709"/>
      <w:bookmarkStart w:id="137" w:name="_Toc17012"/>
      <w:r>
        <w:rPr>
          <w:rFonts w:hint="eastAsia" w:ascii="微软雅黑" w:hAnsi="微软雅黑" w:eastAsia="微软雅黑" w:cs="微软雅黑"/>
          <w:b/>
          <w:bCs/>
          <w:sz w:val="24"/>
          <w:szCs w:val="24"/>
          <w:highlight w:val="none"/>
          <w:lang w:val="zh-CN"/>
        </w:rPr>
        <w:t>（</w:t>
      </w:r>
      <w:r>
        <w:rPr>
          <w:rFonts w:hint="eastAsia" w:ascii="微软雅黑" w:hAnsi="微软雅黑" w:eastAsia="微软雅黑" w:cs="微软雅黑"/>
          <w:b/>
          <w:bCs/>
          <w:sz w:val="24"/>
          <w:szCs w:val="24"/>
          <w:highlight w:val="none"/>
          <w:lang w:val="en-US" w:eastAsia="zh-CN"/>
        </w:rPr>
        <w:t>五</w:t>
      </w:r>
      <w:r>
        <w:rPr>
          <w:rFonts w:hint="eastAsia" w:ascii="微软雅黑" w:hAnsi="微软雅黑" w:eastAsia="微软雅黑" w:cs="微软雅黑"/>
          <w:b/>
          <w:bCs/>
          <w:sz w:val="24"/>
          <w:szCs w:val="24"/>
          <w:highlight w:val="none"/>
          <w:lang w:val="zh-CN"/>
        </w:rPr>
        <w:t>）成交供应商另行提供纸质版响应文件（一正一副）交与代理公司，无需封标。</w:t>
      </w:r>
    </w:p>
    <w:p w14:paraId="22AC4439">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highlight w:val="none"/>
          <w:lang w:eastAsia="zh-CN"/>
        </w:rPr>
      </w:pPr>
      <w:bookmarkStart w:id="138" w:name="_Toc17312"/>
      <w:bookmarkStart w:id="139" w:name="_Toc28041"/>
      <w:bookmarkStart w:id="140" w:name="_Toc495681231"/>
      <w:bookmarkStart w:id="141" w:name="_Toc495908030"/>
      <w:bookmarkStart w:id="142" w:name="_Toc10540"/>
      <w:bookmarkStart w:id="143" w:name="_Toc495681385"/>
      <w:bookmarkStart w:id="144" w:name="_Toc495909076"/>
      <w:bookmarkStart w:id="145" w:name="_Toc2384"/>
      <w:bookmarkStart w:id="146" w:name="_Toc36034964"/>
      <w:bookmarkStart w:id="147" w:name="_Toc11415"/>
      <w:bookmarkStart w:id="148" w:name="_Toc495681512"/>
      <w:bookmarkStart w:id="149" w:name="_Toc18556"/>
      <w:bookmarkStart w:id="150" w:name="_Toc513647113"/>
      <w:r>
        <w:rPr>
          <w:rFonts w:hint="eastAsia" w:ascii="微软雅黑" w:hAnsi="微软雅黑" w:eastAsia="微软雅黑" w:cs="微软雅黑"/>
          <w:b/>
          <w:sz w:val="24"/>
          <w:szCs w:val="24"/>
          <w:highlight w:val="none"/>
          <w:lang w:val="en-US" w:eastAsia="zh-CN"/>
        </w:rPr>
        <w:t>六</w:t>
      </w:r>
      <w:r>
        <w:rPr>
          <w:rFonts w:hint="eastAsia" w:ascii="微软雅黑" w:hAnsi="微软雅黑" w:eastAsia="微软雅黑" w:cs="微软雅黑"/>
          <w:b/>
          <w:sz w:val="24"/>
          <w:szCs w:val="24"/>
          <w:highlight w:val="none"/>
        </w:rPr>
        <w:t>、</w:t>
      </w:r>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eastAsia" w:ascii="微软雅黑" w:hAnsi="微软雅黑" w:eastAsia="微软雅黑" w:cs="微软雅黑"/>
          <w:b/>
          <w:sz w:val="24"/>
          <w:szCs w:val="24"/>
          <w:highlight w:val="none"/>
          <w:lang w:val="en-US" w:eastAsia="zh-CN"/>
        </w:rPr>
        <w:t>开标</w:t>
      </w:r>
      <w:bookmarkEnd w:id="135"/>
      <w:bookmarkEnd w:id="136"/>
      <w:bookmarkEnd w:id="137"/>
    </w:p>
    <w:p w14:paraId="047856B5">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Cs/>
          <w:sz w:val="24"/>
          <w:szCs w:val="24"/>
          <w:lang w:val="zh-CN"/>
        </w:rPr>
      </w:pPr>
      <w:r>
        <w:rPr>
          <w:rFonts w:hint="eastAsia" w:ascii="微软雅黑" w:hAnsi="微软雅黑" w:eastAsia="微软雅黑" w:cs="微软雅黑"/>
          <w:bCs/>
          <w:sz w:val="24"/>
          <w:szCs w:val="24"/>
          <w:lang w:val="zh-CN"/>
        </w:rPr>
        <w:t>（一）采购代理机构按磋商文件规定的时间在规定的时间和地点组织</w:t>
      </w:r>
      <w:r>
        <w:rPr>
          <w:rFonts w:hint="eastAsia" w:ascii="微软雅黑" w:hAnsi="微软雅黑" w:eastAsia="微软雅黑" w:cs="微软雅黑"/>
          <w:bCs/>
          <w:sz w:val="24"/>
          <w:szCs w:val="24"/>
        </w:rPr>
        <w:t>开标活动</w:t>
      </w:r>
      <w:r>
        <w:rPr>
          <w:rFonts w:hint="eastAsia" w:ascii="微软雅黑" w:hAnsi="微软雅黑" w:eastAsia="微软雅黑" w:cs="微软雅黑"/>
          <w:bCs/>
          <w:sz w:val="24"/>
          <w:szCs w:val="24"/>
          <w:lang w:val="zh-CN"/>
        </w:rPr>
        <w:t>。</w:t>
      </w:r>
    </w:p>
    <w:p w14:paraId="148E2ED5">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w:t>
      </w:r>
      <w:r>
        <w:rPr>
          <w:rFonts w:hint="eastAsia" w:ascii="微软雅黑" w:hAnsi="微软雅黑" w:eastAsia="微软雅黑" w:cs="微软雅黑"/>
          <w:bCs/>
          <w:sz w:val="24"/>
          <w:szCs w:val="24"/>
          <w:lang w:val="zh-CN"/>
        </w:rPr>
        <w:t>开标由采购代理机构主持，</w:t>
      </w:r>
      <w:r>
        <w:rPr>
          <w:rFonts w:hint="eastAsia" w:ascii="微软雅黑" w:hAnsi="微软雅黑" w:eastAsia="微软雅黑" w:cs="微软雅黑"/>
          <w:sz w:val="24"/>
          <w:szCs w:val="24"/>
          <w:lang w:val="zh-CN"/>
        </w:rPr>
        <w:t>采购人、供应商（线上）和有关方面代表参加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sz w:val="24"/>
          <w:szCs w:val="24"/>
          <w:lang w:val="zh-CN"/>
        </w:rPr>
        <w:t>开标截止时间后供应商不足</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zh-CN"/>
        </w:rPr>
        <w:t>家的，不进行开标。</w:t>
      </w:r>
    </w:p>
    <w:p w14:paraId="6A095CA5">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开标程序</w:t>
      </w:r>
    </w:p>
    <w:p w14:paraId="4B6AF7D6">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以“不见面开标大厅”流程为准。</w:t>
      </w:r>
    </w:p>
    <w:p w14:paraId="605EB1E9">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仿宋_GB2312" w:hAnsi="仿宋_GB2312" w:eastAsia="仿宋_GB2312" w:cs="仿宋_GB2312"/>
          <w:sz w:val="28"/>
          <w:szCs w:val="28"/>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val="zh-CN"/>
        </w:rPr>
        <w:t>）供应商代表对开标过程和开标记录有疑义，以及认为采购人、采购代理机构相关工作人员有需要回避的情形的，应当场提出询问或者回避申请。采购代理机构对供应商代表提出的询问或者回避申请应当及时处理。</w:t>
      </w:r>
    </w:p>
    <w:p w14:paraId="12F17693">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（五）开标当日,供应商不必抵达开标现场，可通过</w:t>
      </w:r>
      <w:r>
        <w:rPr>
          <w:rFonts w:hint="eastAsia" w:ascii="微软雅黑" w:hAnsi="微软雅黑" w:eastAsia="微软雅黑" w:cs="微软雅黑"/>
          <w:b/>
          <w:bCs/>
          <w:sz w:val="24"/>
          <w:szCs w:val="24"/>
          <w:highlight w:val="none"/>
          <w:lang w:val="en-US" w:eastAsia="zh-CN"/>
        </w:rPr>
        <w:t>安康市</w:t>
      </w:r>
      <w:r>
        <w:rPr>
          <w:rFonts w:hint="eastAsia" w:ascii="微软雅黑" w:hAnsi="微软雅黑" w:eastAsia="微软雅黑" w:cs="微软雅黑"/>
          <w:b/>
          <w:bCs/>
          <w:sz w:val="24"/>
          <w:szCs w:val="24"/>
          <w:highlight w:val="none"/>
          <w:lang w:val="zh-CN"/>
        </w:rPr>
        <w:t>公共资源交易不见面开标系统参加开标会议。不见面开标大厅登录方式为：全国公共资源交易平台（陕西省·</w:t>
      </w:r>
      <w:r>
        <w:rPr>
          <w:rFonts w:hint="eastAsia" w:ascii="微软雅黑" w:hAnsi="微软雅黑" w:eastAsia="微软雅黑" w:cs="微软雅黑"/>
          <w:b/>
          <w:bCs/>
          <w:sz w:val="24"/>
          <w:szCs w:val="24"/>
          <w:highlight w:val="none"/>
          <w:lang w:val="en-US" w:eastAsia="zh-CN"/>
        </w:rPr>
        <w:t>安康市</w:t>
      </w:r>
      <w:r>
        <w:rPr>
          <w:rFonts w:hint="eastAsia" w:ascii="微软雅黑" w:hAnsi="微软雅黑" w:eastAsia="微软雅黑" w:cs="微软雅黑"/>
          <w:b/>
          <w:bCs/>
          <w:sz w:val="24"/>
          <w:szCs w:val="24"/>
          <w:highlight w:val="none"/>
          <w:lang w:val="zh-CN"/>
        </w:rPr>
        <w:t>）→不见面开标系统。</w:t>
      </w:r>
    </w:p>
    <w:p w14:paraId="1CAF7E23">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（六）各供应商需实时在线观看音视频直播并及时互动，未按时加入系统或未在线参与互动的，视为放弃标书解密和对开评标全过程质疑、澄清、答辩的权利，并承担由此产生的相应后果。</w:t>
      </w:r>
    </w:p>
    <w:p w14:paraId="5FA16FB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（七）注意事项</w:t>
      </w:r>
    </w:p>
    <w:p w14:paraId="339D204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1、供应商参与不见面开标的电脑应安装有清晰可用的摄像头、音响和麦克风设备；</w:t>
      </w:r>
    </w:p>
    <w:p w14:paraId="53C61565">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2、供应商参与不见面开标的电脑须安装正确驱动，可在不见面开标系统登录界面的驱动下载页面进行下载及后续安装。</w:t>
      </w:r>
    </w:p>
    <w:p w14:paraId="4CBED07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3、为更好实时查看不见面开标室现场，推荐使用50M及以上网络宽带。</w:t>
      </w:r>
    </w:p>
    <w:p w14:paraId="481F4C76">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zh-CN"/>
        </w:rPr>
      </w:pPr>
      <w:r>
        <w:rPr>
          <w:rFonts w:hint="eastAsia" w:ascii="微软雅黑" w:hAnsi="微软雅黑" w:eastAsia="微软雅黑" w:cs="微软雅黑"/>
          <w:b/>
          <w:bCs/>
          <w:sz w:val="24"/>
          <w:szCs w:val="24"/>
          <w:highlight w:val="none"/>
          <w:lang w:val="zh-CN"/>
        </w:rPr>
        <w:t>4</w:t>
      </w:r>
      <w:r>
        <w:rPr>
          <w:rFonts w:hint="eastAsia" w:ascii="微软雅黑" w:hAnsi="微软雅黑" w:eastAsia="微软雅黑" w:cs="微软雅黑"/>
          <w:b/>
          <w:bCs/>
          <w:sz w:val="24"/>
          <w:szCs w:val="24"/>
          <w:highlight w:val="none"/>
          <w:lang w:val="zh-CN" w:eastAsia="zh-CN"/>
        </w:rPr>
        <w:t>、</w:t>
      </w:r>
      <w:r>
        <w:rPr>
          <w:rFonts w:hint="eastAsia" w:ascii="微软雅黑" w:hAnsi="微软雅黑" w:eastAsia="微软雅黑" w:cs="微软雅黑"/>
          <w:b/>
          <w:bCs/>
          <w:sz w:val="24"/>
          <w:szCs w:val="24"/>
          <w:highlight w:val="none"/>
          <w:lang w:val="zh-CN"/>
        </w:rPr>
        <w:t>开标、评标过程中，参与远程互动的各供应商应为同一个人，供应商一端参与互动的人员只能是供应商的法定代表人或授权代表。</w:t>
      </w:r>
    </w:p>
    <w:p w14:paraId="5B0DFD69">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b/>
          <w:bCs/>
          <w:sz w:val="24"/>
          <w:szCs w:val="24"/>
          <w:highlight w:val="none"/>
          <w:lang w:val="zh-CN"/>
        </w:rPr>
        <w:t>5、参与不见面开标的各供应商，应当仔细阅读系统操作手册，供应商可登录（https：//ggzyjy.ankang.gov.cn/Content-2497671.html）下载操作手册。并按照交易流程进行不见面开标活动。未按规定程序操作导致的一切后果由供应商自行承担。</w:t>
      </w:r>
    </w:p>
    <w:p w14:paraId="707E2233">
      <w:pPr>
        <w:keepNext w:val="0"/>
        <w:keepLines w:val="0"/>
        <w:pageBreakBefore w:val="0"/>
        <w:widowControl w:val="0"/>
        <w:kinsoku/>
        <w:wordWrap/>
        <w:overflowPunct/>
        <w:topLinePunct w:val="0"/>
        <w:autoSpaceDE/>
        <w:autoSpaceDN/>
        <w:bidi w:val="0"/>
        <w:adjustRightInd w:val="0"/>
        <w:snapToGrid w:val="0"/>
        <w:spacing w:line="360" w:lineRule="auto"/>
        <w:ind w:right="0" w:firstLine="720" w:firstLineChars="300"/>
        <w:textAlignment w:val="auto"/>
        <w:outlineLvl w:val="1"/>
        <w:rPr>
          <w:rFonts w:hint="eastAsia" w:ascii="微软雅黑" w:hAnsi="微软雅黑" w:eastAsia="微软雅黑" w:cs="微软雅黑"/>
          <w:b/>
          <w:sz w:val="24"/>
          <w:szCs w:val="24"/>
          <w:lang w:val="en-US" w:eastAsia="zh-CN"/>
        </w:rPr>
      </w:pPr>
      <w:bookmarkStart w:id="151" w:name="_Toc20167"/>
      <w:bookmarkStart w:id="152" w:name="_Toc513647115"/>
      <w:bookmarkStart w:id="153" w:name="_Toc31676"/>
      <w:bookmarkStart w:id="154" w:name="_Toc36034966"/>
      <w:bookmarkStart w:id="155" w:name="_Toc22616"/>
      <w:bookmarkStart w:id="156" w:name="_Toc25508"/>
      <w:bookmarkStart w:id="157" w:name="_Toc3089"/>
      <w:bookmarkStart w:id="158" w:name="_Toc24220"/>
      <w:bookmarkStart w:id="159" w:name="_Toc29898"/>
      <w:bookmarkStart w:id="160" w:name="_Toc22008"/>
      <w:bookmarkStart w:id="161" w:name="_Toc23817"/>
      <w:r>
        <w:rPr>
          <w:rFonts w:hint="eastAsia" w:ascii="微软雅黑" w:hAnsi="微软雅黑" w:eastAsia="微软雅黑" w:cs="微软雅黑"/>
          <w:b/>
          <w:sz w:val="24"/>
          <w:szCs w:val="24"/>
          <w:lang w:val="en-US" w:eastAsia="zh-CN"/>
        </w:rPr>
        <w:t>七、</w:t>
      </w:r>
      <w:bookmarkEnd w:id="151"/>
      <w:bookmarkEnd w:id="152"/>
      <w:bookmarkEnd w:id="153"/>
      <w:bookmarkEnd w:id="154"/>
      <w:bookmarkEnd w:id="155"/>
      <w:bookmarkEnd w:id="156"/>
      <w:bookmarkEnd w:id="157"/>
      <w:bookmarkEnd w:id="158"/>
      <w:r>
        <w:rPr>
          <w:rFonts w:hint="eastAsia" w:ascii="微软雅黑" w:hAnsi="微软雅黑" w:eastAsia="微软雅黑" w:cs="微软雅黑"/>
          <w:b/>
          <w:sz w:val="24"/>
          <w:szCs w:val="24"/>
          <w:lang w:val="en-US" w:eastAsia="zh-CN"/>
        </w:rPr>
        <w:t>评审</w:t>
      </w:r>
      <w:bookmarkEnd w:id="159"/>
      <w:bookmarkEnd w:id="160"/>
      <w:bookmarkEnd w:id="161"/>
    </w:p>
    <w:p w14:paraId="6447B149">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zh-CN"/>
        </w:rPr>
        <w:t>评标过程中对响应文件的判定，只依据开标截止时间前陕西省安康市公共资源交易平台递交的电子响应文件内容本身，不依据任何外来证明</w:t>
      </w:r>
      <w:r>
        <w:rPr>
          <w:rFonts w:hint="eastAsia" w:ascii="微软雅黑" w:hAnsi="微软雅黑" w:eastAsia="微软雅黑" w:cs="微软雅黑"/>
          <w:b/>
          <w:bCs/>
          <w:sz w:val="24"/>
          <w:szCs w:val="24"/>
          <w:lang w:val="zh-CN"/>
        </w:rPr>
        <w:t>。</w:t>
      </w:r>
    </w:p>
    <w:p w14:paraId="715B9A1F">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（一</w:t>
      </w:r>
      <w:r>
        <w:rPr>
          <w:rFonts w:hint="eastAsia" w:ascii="微软雅黑" w:hAnsi="微软雅黑" w:eastAsia="微软雅黑" w:cs="微软雅黑"/>
          <w:sz w:val="24"/>
          <w:szCs w:val="24"/>
          <w:highlight w:val="none"/>
          <w:lang w:eastAsia="zh-CN"/>
        </w:rPr>
        <w:t>）磋商小组组成</w:t>
      </w:r>
    </w:p>
    <w:p w14:paraId="7096E2AC">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yellow"/>
          <w:lang w:val="en-US" w:eastAsia="zh-CN"/>
        </w:rPr>
      </w:pPr>
      <w:r>
        <w:rPr>
          <w:rFonts w:hint="eastAsia" w:ascii="微软雅黑" w:hAnsi="微软雅黑" w:eastAsia="微软雅黑" w:cs="微软雅黑"/>
          <w:b w:val="0"/>
          <w:bCs w:val="0"/>
          <w:sz w:val="24"/>
          <w:szCs w:val="24"/>
          <w:highlight w:val="none"/>
          <w:lang w:val="en-US" w:eastAsia="zh-CN"/>
        </w:rPr>
        <w:t>磋商小组由采购人代表和评审专家共3人以上单数组成（达到公开限额标准的为5人以上单数），其中评审专家人数不得少于磋商小组成员总数的三分之二。评审专家由采购代理机构从陕西省政府采购专家库中随机抽取。</w:t>
      </w:r>
    </w:p>
    <w:p w14:paraId="00864E2F">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（二）资格审查</w:t>
      </w:r>
    </w:p>
    <w:p w14:paraId="43B5EBB9">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b w:val="0"/>
          <w:bCs w:val="0"/>
          <w:sz w:val="24"/>
          <w:szCs w:val="24"/>
          <w:lang w:val="zh-CN"/>
        </w:rPr>
        <w:t>开标结束后</w:t>
      </w:r>
      <w:r>
        <w:rPr>
          <w:rFonts w:hint="eastAsia" w:ascii="微软雅黑" w:hAnsi="微软雅黑" w:eastAsia="微软雅黑" w:cs="微软雅黑"/>
          <w:b w:val="0"/>
          <w:bCs w:val="0"/>
          <w:color w:val="auto"/>
          <w:sz w:val="24"/>
          <w:szCs w:val="24"/>
          <w:lang w:val="zh-CN"/>
        </w:rPr>
        <w:t>，</w:t>
      </w:r>
      <w:r>
        <w:rPr>
          <w:rFonts w:hint="eastAsia" w:ascii="微软雅黑" w:hAnsi="微软雅黑" w:eastAsia="微软雅黑" w:cs="微软雅黑"/>
          <w:b w:val="0"/>
          <w:bCs w:val="0"/>
          <w:sz w:val="24"/>
          <w:szCs w:val="24"/>
          <w:highlight w:val="none"/>
          <w:lang w:val="en-US" w:eastAsia="zh-CN"/>
        </w:rPr>
        <w:t>磋商小组</w:t>
      </w:r>
      <w:r>
        <w:rPr>
          <w:rFonts w:hint="eastAsia" w:ascii="微软雅黑" w:hAnsi="微软雅黑" w:eastAsia="微软雅黑" w:cs="微软雅黑"/>
          <w:b w:val="0"/>
          <w:bCs w:val="0"/>
          <w:color w:val="auto"/>
          <w:sz w:val="24"/>
          <w:szCs w:val="24"/>
          <w:lang w:eastAsia="zh-CN"/>
        </w:rPr>
        <w:t>对供应商的资格要求进行审查，</w:t>
      </w:r>
      <w:r>
        <w:rPr>
          <w:rFonts w:hint="eastAsia" w:ascii="微软雅黑" w:hAnsi="微软雅黑" w:eastAsia="微软雅黑" w:cs="微软雅黑"/>
          <w:b w:val="0"/>
          <w:bCs w:val="0"/>
          <w:color w:val="auto"/>
          <w:sz w:val="24"/>
          <w:szCs w:val="24"/>
          <w:lang w:val="zh-CN"/>
        </w:rPr>
        <w:t>具体审</w:t>
      </w:r>
      <w:r>
        <w:rPr>
          <w:rFonts w:hint="eastAsia" w:ascii="微软雅黑" w:hAnsi="微软雅黑" w:eastAsia="微软雅黑" w:cs="微软雅黑"/>
          <w:b w:val="0"/>
          <w:bCs w:val="0"/>
          <w:sz w:val="24"/>
          <w:szCs w:val="24"/>
          <w:lang w:val="zh-CN"/>
        </w:rPr>
        <w:t>查内容如下：</w:t>
      </w:r>
    </w:p>
    <w:p w14:paraId="734D48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基本资格条件：符合《中华人民共和国政府采购法》第二十二条的规定</w:t>
      </w:r>
      <w:r>
        <w:rPr>
          <w:rFonts w:hint="eastAsia" w:ascii="微软雅黑" w:hAnsi="微软雅黑" w:eastAsia="微软雅黑" w:cs="微软雅黑"/>
          <w:sz w:val="24"/>
          <w:szCs w:val="24"/>
        </w:rPr>
        <w:t>，并提供下列材料</w:t>
      </w:r>
      <w:r>
        <w:rPr>
          <w:rFonts w:hint="eastAsia" w:ascii="微软雅黑" w:hAnsi="微软雅黑" w:eastAsia="微软雅黑" w:cs="微软雅黑"/>
          <w:b w:val="0"/>
          <w:bCs w:val="0"/>
          <w:sz w:val="24"/>
          <w:szCs w:val="24"/>
        </w:rPr>
        <w:t>：</w:t>
      </w:r>
    </w:p>
    <w:p w14:paraId="25BD93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（1）提供供应商合法注册的法人或其他组织的营业执照等证明文件或自然人的身份证明；</w:t>
      </w:r>
    </w:p>
    <w:p w14:paraId="12E1AD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（2）财务状况报告</w:t>
      </w:r>
      <w:r>
        <w:rPr>
          <w:rFonts w:hint="eastAsia" w:ascii="微软雅黑" w:hAnsi="微软雅黑" w:eastAsia="微软雅黑" w:cs="微软雅黑"/>
          <w:sz w:val="24"/>
          <w:szCs w:val="24"/>
          <w:lang w:eastAsia="zh-CN"/>
        </w:rPr>
        <w:t>：</w:t>
      </w:r>
      <w:r>
        <w:rPr>
          <w:rFonts w:hint="eastAsia" w:ascii="微软雅黑" w:hAnsi="微软雅黑" w:eastAsia="微软雅黑" w:cs="微软雅黑"/>
          <w:color w:val="auto"/>
          <w:sz w:val="24"/>
          <w:szCs w:val="24"/>
        </w:rPr>
        <w:t>提供具有</w:t>
      </w:r>
      <w:r>
        <w:rPr>
          <w:rFonts w:hint="eastAsia" w:ascii="微软雅黑" w:hAnsi="微软雅黑" w:eastAsia="微软雅黑" w:cs="微软雅黑"/>
          <w:color w:val="auto"/>
          <w:sz w:val="24"/>
          <w:szCs w:val="24"/>
          <w:lang w:val="en-US" w:eastAsia="zh-CN"/>
        </w:rPr>
        <w:t>经</w:t>
      </w:r>
      <w:r>
        <w:rPr>
          <w:rFonts w:hint="eastAsia" w:ascii="微软雅黑" w:hAnsi="微软雅黑" w:eastAsia="微软雅黑" w:cs="微软雅黑"/>
          <w:color w:val="auto"/>
          <w:sz w:val="24"/>
          <w:szCs w:val="24"/>
        </w:rPr>
        <w:t>审计资质单位出具的</w:t>
      </w:r>
      <w:r>
        <w:rPr>
          <w:rFonts w:hint="eastAsia" w:ascii="微软雅黑" w:hAnsi="微软雅黑" w:eastAsia="微软雅黑" w:cs="微软雅黑"/>
          <w:color w:val="auto"/>
          <w:sz w:val="24"/>
          <w:szCs w:val="24"/>
          <w:lang w:val="en-US" w:eastAsia="zh-CN"/>
        </w:rPr>
        <w:t>2024年度财务报告</w:t>
      </w:r>
      <w:r>
        <w:rPr>
          <w:rFonts w:hint="eastAsia" w:ascii="微软雅黑" w:hAnsi="微软雅黑" w:eastAsia="微软雅黑" w:cs="微软雅黑"/>
          <w:color w:val="auto"/>
          <w:sz w:val="24"/>
          <w:szCs w:val="24"/>
        </w:rPr>
        <w:t>或</w:t>
      </w:r>
      <w:r>
        <w:rPr>
          <w:rFonts w:hint="eastAsia" w:ascii="微软雅黑" w:hAnsi="微软雅黑" w:eastAsia="微软雅黑" w:cs="微软雅黑"/>
          <w:color w:val="auto"/>
          <w:sz w:val="24"/>
          <w:szCs w:val="24"/>
          <w:lang w:val="en-US" w:eastAsia="zh-CN"/>
        </w:rPr>
        <w:t>供应商开</w:t>
      </w:r>
      <w:r>
        <w:rPr>
          <w:rFonts w:hint="eastAsia" w:ascii="微软雅黑" w:hAnsi="微软雅黑" w:eastAsia="微软雅黑" w:cs="微软雅黑"/>
          <w:color w:val="auto"/>
          <w:sz w:val="24"/>
          <w:szCs w:val="24"/>
        </w:rPr>
        <w:t>户银行</w:t>
      </w:r>
      <w:r>
        <w:rPr>
          <w:rFonts w:hint="eastAsia" w:ascii="微软雅黑" w:hAnsi="微软雅黑" w:eastAsia="微软雅黑" w:cs="微软雅黑"/>
          <w:color w:val="auto"/>
          <w:sz w:val="24"/>
          <w:szCs w:val="24"/>
          <w:lang w:val="en-US" w:eastAsia="zh-CN"/>
        </w:rPr>
        <w:t>近6</w:t>
      </w:r>
      <w:r>
        <w:rPr>
          <w:rFonts w:hint="eastAsia" w:ascii="微软雅黑" w:hAnsi="微软雅黑" w:eastAsia="微软雅黑" w:cs="微软雅黑"/>
          <w:color w:val="auto"/>
          <w:sz w:val="24"/>
          <w:szCs w:val="24"/>
        </w:rPr>
        <w:t>个月内其出具的资信证明；</w:t>
      </w:r>
    </w:p>
    <w:p w14:paraId="5E1033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（3）依法缴纳税收和社会保障资金：</w:t>
      </w:r>
      <w:r>
        <w:rPr>
          <w:rFonts w:hint="eastAsia" w:ascii="微软雅黑" w:hAnsi="微软雅黑" w:eastAsia="微软雅黑" w:cs="微软雅黑"/>
          <w:color w:val="auto"/>
          <w:sz w:val="24"/>
          <w:szCs w:val="24"/>
        </w:rPr>
        <w:t>提供开标截止时间前6个月内任意时段已缴纳的纳税证明或完税证明（包含增值税、企业所得税至少一种）</w:t>
      </w:r>
      <w:r>
        <w:rPr>
          <w:rFonts w:hint="eastAsia" w:ascii="微软雅黑" w:hAnsi="微软雅黑" w:eastAsia="微软雅黑" w:cs="微软雅黑"/>
          <w:color w:val="auto"/>
          <w:sz w:val="24"/>
          <w:szCs w:val="24"/>
          <w:lang w:val="en-US" w:eastAsia="zh-CN"/>
        </w:rPr>
        <w:t>和</w:t>
      </w:r>
      <w:r>
        <w:rPr>
          <w:rFonts w:hint="eastAsia" w:ascii="微软雅黑" w:hAnsi="微软雅黑" w:eastAsia="微软雅黑" w:cs="微软雅黑"/>
          <w:color w:val="auto"/>
          <w:sz w:val="24"/>
          <w:szCs w:val="24"/>
        </w:rPr>
        <w:t>已缴存的社会保障资金缴费证明或参保证明；</w:t>
      </w:r>
    </w:p>
    <w:p w14:paraId="1572E6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（4）提供具有履行本合同所必需的设备和专业技术能力的书面声明；</w:t>
      </w:r>
    </w:p>
    <w:p w14:paraId="6B276B6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rPr>
        <w:t>（5）提供参加政</w:t>
      </w:r>
      <w:r>
        <w:rPr>
          <w:rFonts w:hint="eastAsia" w:ascii="微软雅黑" w:hAnsi="微软雅黑" w:eastAsia="微软雅黑" w:cs="微软雅黑"/>
          <w:sz w:val="24"/>
          <w:szCs w:val="24"/>
          <w:highlight w:val="none"/>
        </w:rPr>
        <w:t>府采购活动前3年内在经营活动中没有重大违法记录的书面声明。</w:t>
      </w:r>
    </w:p>
    <w:p w14:paraId="658B2677">
      <w:pPr>
        <w:pStyle w:val="22"/>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sz w:val="24"/>
          <w:szCs w:val="24"/>
          <w:highlight w:val="none"/>
          <w:shd w:val="clear" w:color="auto" w:fill="auto"/>
          <w:lang w:val="zh-CN"/>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shd w:val="clear" w:color="auto" w:fill="auto"/>
          <w:lang w:val="zh-CN"/>
        </w:rPr>
        <w:t>落实政府采购政策需满足的资格要求：</w:t>
      </w:r>
    </w:p>
    <w:p w14:paraId="2C2A69E7">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本项目专门面向小微企业采购，仅限符合《政府采购促进中小企业发展管理办法》（财库〔2020〕46号）条件的中小企业参与，供应商应填写中小企业声明函并对真实性负责（残疾人福利性单位及监狱企业视同为小型、微型企业）</w:t>
      </w:r>
      <w:r>
        <w:rPr>
          <w:rFonts w:hint="eastAsia" w:ascii="微软雅黑" w:hAnsi="微软雅黑" w:eastAsia="微软雅黑" w:cs="微软雅黑"/>
          <w:color w:val="auto"/>
          <w:sz w:val="24"/>
          <w:szCs w:val="24"/>
          <w:highlight w:val="none"/>
        </w:rPr>
        <w:t>。</w:t>
      </w:r>
    </w:p>
    <w:p w14:paraId="7D5C3AB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 w:val="0"/>
          <w:bCs w:val="0"/>
          <w:sz w:val="24"/>
          <w:szCs w:val="24"/>
          <w:highlight w:val="none"/>
          <w:u w:val="none"/>
          <w:lang w:val="en-US" w:eastAsia="zh-CN"/>
        </w:rPr>
        <w:t>3、</w:t>
      </w:r>
      <w:r>
        <w:rPr>
          <w:rFonts w:hint="eastAsia" w:ascii="微软雅黑" w:hAnsi="微软雅黑" w:eastAsia="微软雅黑" w:cs="微软雅黑"/>
          <w:sz w:val="24"/>
          <w:szCs w:val="24"/>
          <w:highlight w:val="none"/>
        </w:rPr>
        <w:t xml:space="preserve">特定资格条件：   </w:t>
      </w:r>
    </w:p>
    <w:p w14:paraId="633687BB">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法定代表人直接参加磋商的，须提供法定代表人身份证明(法定代表人身份证原件备查）；法定代表人授权代表参加磋商的，须提供法定代表人授权委托书(授权代表身份证原件备查）；</w:t>
      </w:r>
    </w:p>
    <w:p w14:paraId="087414AC">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rPr>
        <w:t>符合《财政部关于在政府采购活动中查询及使用信用记录有关问题的通知》（财库【2016】125号）文件中信用查询的要求。 </w:t>
      </w:r>
    </w:p>
    <w:p w14:paraId="5741A98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left"/>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采购代理机构将在</w:t>
      </w:r>
      <w:r>
        <w:rPr>
          <w:rFonts w:hint="eastAsia" w:ascii="微软雅黑" w:hAnsi="微软雅黑" w:eastAsia="微软雅黑" w:cs="微软雅黑"/>
          <w:kern w:val="0"/>
          <w:sz w:val="24"/>
          <w:szCs w:val="24"/>
          <w:highlight w:val="none"/>
          <w:lang w:eastAsia="zh-CN"/>
        </w:rPr>
        <w:t>响应</w:t>
      </w:r>
      <w:r>
        <w:rPr>
          <w:rFonts w:hint="eastAsia" w:ascii="微软雅黑" w:hAnsi="微软雅黑" w:eastAsia="微软雅黑" w:cs="微软雅黑"/>
          <w:kern w:val="0"/>
          <w:sz w:val="24"/>
          <w:szCs w:val="24"/>
          <w:highlight w:val="none"/>
        </w:rPr>
        <w:t>文件递交截止日当天资格审查阶段</w:t>
      </w:r>
      <w:r>
        <w:rPr>
          <w:rFonts w:hint="eastAsia" w:ascii="微软雅黑" w:hAnsi="微软雅黑" w:eastAsia="微软雅黑" w:cs="微软雅黑"/>
          <w:kern w:val="0"/>
          <w:sz w:val="24"/>
          <w:szCs w:val="24"/>
          <w:highlight w:val="none"/>
          <w:lang w:eastAsia="zh-CN"/>
        </w:rPr>
        <w:t>在【</w:t>
      </w:r>
      <w:r>
        <w:rPr>
          <w:rFonts w:hint="eastAsia" w:ascii="微软雅黑" w:hAnsi="微软雅黑" w:eastAsia="微软雅黑" w:cs="微软雅黑"/>
          <w:kern w:val="0"/>
          <w:sz w:val="24"/>
          <w:szCs w:val="24"/>
          <w:highlight w:val="none"/>
        </w:rPr>
        <w:t>中国政府采购网（www.ccgp.gov.cn）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政府采购严重违法失信行为记录名单</w:t>
      </w:r>
      <w:r>
        <w:rPr>
          <w:rFonts w:hint="eastAsia" w:ascii="微软雅黑" w:hAnsi="微软雅黑" w:eastAsia="微软雅黑" w:cs="微软雅黑"/>
          <w:kern w:val="0"/>
          <w:sz w:val="24"/>
          <w:szCs w:val="24"/>
          <w:highlight w:val="none"/>
          <w:lang w:eastAsia="zh-CN"/>
        </w:rPr>
        <w:t>栏和【</w:t>
      </w:r>
      <w:r>
        <w:rPr>
          <w:rFonts w:hint="eastAsia" w:ascii="微软雅黑" w:hAnsi="微软雅黑" w:eastAsia="微软雅黑" w:cs="微软雅黑"/>
          <w:kern w:val="0"/>
          <w:sz w:val="24"/>
          <w:szCs w:val="24"/>
          <w:highlight w:val="none"/>
        </w:rPr>
        <w:t>信用中国”网站（www.creditchina.gov.cn）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失信被执行人、重大税收违法失信主体</w:t>
      </w:r>
      <w:r>
        <w:rPr>
          <w:rFonts w:hint="eastAsia" w:ascii="微软雅黑" w:hAnsi="微软雅黑" w:eastAsia="微软雅黑" w:cs="微软雅黑"/>
          <w:kern w:val="0"/>
          <w:sz w:val="24"/>
          <w:szCs w:val="24"/>
          <w:highlight w:val="none"/>
          <w:lang w:eastAsia="zh-CN"/>
        </w:rPr>
        <w:t>栏</w:t>
      </w:r>
      <w:r>
        <w:rPr>
          <w:rFonts w:hint="eastAsia" w:ascii="微软雅黑" w:hAnsi="微软雅黑" w:eastAsia="微软雅黑" w:cs="微软雅黑"/>
          <w:kern w:val="0"/>
          <w:sz w:val="24"/>
          <w:szCs w:val="24"/>
          <w:highlight w:val="none"/>
        </w:rPr>
        <w:t>对</w:t>
      </w:r>
      <w:r>
        <w:rPr>
          <w:rFonts w:hint="eastAsia" w:ascii="微软雅黑" w:hAnsi="微软雅黑" w:eastAsia="微软雅黑" w:cs="微软雅黑"/>
          <w:kern w:val="0"/>
          <w:sz w:val="24"/>
          <w:szCs w:val="24"/>
          <w:highlight w:val="none"/>
          <w:lang w:eastAsia="zh-CN"/>
        </w:rPr>
        <w:t>各供应商</w:t>
      </w:r>
      <w:r>
        <w:rPr>
          <w:rFonts w:hint="eastAsia" w:ascii="微软雅黑" w:hAnsi="微软雅黑" w:eastAsia="微软雅黑" w:cs="微软雅黑"/>
          <w:kern w:val="0"/>
          <w:sz w:val="24"/>
          <w:szCs w:val="24"/>
          <w:highlight w:val="none"/>
        </w:rPr>
        <w:t>的信用情况进行查询，并将网页截图附在评审资料中（如相关失信记录已失效，</w:t>
      </w:r>
      <w:r>
        <w:rPr>
          <w:rFonts w:hint="eastAsia" w:ascii="微软雅黑" w:hAnsi="微软雅黑" w:eastAsia="微软雅黑" w:cs="微软雅黑"/>
          <w:kern w:val="0"/>
          <w:sz w:val="24"/>
          <w:szCs w:val="24"/>
          <w:highlight w:val="none"/>
          <w:lang w:eastAsia="zh-CN"/>
        </w:rPr>
        <w:t>供应商</w:t>
      </w:r>
      <w:r>
        <w:rPr>
          <w:rFonts w:hint="eastAsia" w:ascii="微软雅黑" w:hAnsi="微软雅黑" w:eastAsia="微软雅黑" w:cs="微软雅黑"/>
          <w:kern w:val="0"/>
          <w:sz w:val="24"/>
          <w:szCs w:val="24"/>
          <w:highlight w:val="none"/>
        </w:rPr>
        <w:t>需提供相关证明资料，若没有则此项不需要提供）。</w:t>
      </w:r>
    </w:p>
    <w:p w14:paraId="4C8B98AA">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备注</w:t>
      </w:r>
      <w:r>
        <w:rPr>
          <w:rFonts w:hint="eastAsia" w:ascii="微软雅黑" w:hAnsi="微软雅黑" w:eastAsia="微软雅黑" w:cs="微软雅黑"/>
          <w:b w:val="0"/>
          <w:bCs w:val="0"/>
          <w:sz w:val="24"/>
          <w:szCs w:val="24"/>
        </w:rPr>
        <w:t>：</w:t>
      </w:r>
    </w:p>
    <w:p w14:paraId="666D7D17">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（1）以上为供应商必备资格要求，资格证明文件无效或缺项响应文件按无效</w:t>
      </w:r>
      <w:r>
        <w:rPr>
          <w:rFonts w:hint="eastAsia" w:ascii="微软雅黑" w:hAnsi="微软雅黑" w:eastAsia="微软雅黑" w:cs="微软雅黑"/>
          <w:b w:val="0"/>
          <w:bCs w:val="0"/>
          <w:sz w:val="24"/>
          <w:szCs w:val="24"/>
          <w:highlight w:val="none"/>
        </w:rPr>
        <w:t>响应文件处理。</w:t>
      </w:r>
    </w:p>
    <w:p w14:paraId="2CBABE56">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highlight w:val="none"/>
        </w:rPr>
        <w:t>2）分支机构参与投标时，须提供分支机构</w:t>
      </w:r>
      <w:r>
        <w:rPr>
          <w:rFonts w:hint="eastAsia" w:ascii="微软雅黑" w:hAnsi="微软雅黑" w:eastAsia="微软雅黑" w:cs="微软雅黑"/>
          <w:b w:val="0"/>
          <w:bCs w:val="0"/>
          <w:sz w:val="24"/>
          <w:szCs w:val="24"/>
          <w:highlight w:val="none"/>
          <w:lang w:eastAsia="zh-CN"/>
        </w:rPr>
        <w:t>符合</w:t>
      </w:r>
      <w:r>
        <w:rPr>
          <w:rFonts w:hint="eastAsia" w:ascii="微软雅黑" w:hAnsi="微软雅黑" w:eastAsia="微软雅黑" w:cs="微软雅黑"/>
          <w:b w:val="0"/>
          <w:bCs w:val="0"/>
          <w:sz w:val="24"/>
          <w:szCs w:val="24"/>
          <w:highlight w:val="none"/>
        </w:rPr>
        <w:t>资格要求</w:t>
      </w:r>
      <w:r>
        <w:rPr>
          <w:rFonts w:hint="eastAsia" w:ascii="微软雅黑" w:hAnsi="微软雅黑" w:eastAsia="微软雅黑" w:cs="微软雅黑"/>
          <w:b w:val="0"/>
          <w:bCs w:val="0"/>
          <w:sz w:val="24"/>
          <w:szCs w:val="24"/>
          <w:highlight w:val="none"/>
          <w:lang w:eastAsia="zh-CN"/>
        </w:rPr>
        <w:t>的</w:t>
      </w:r>
      <w:r>
        <w:rPr>
          <w:rFonts w:hint="eastAsia" w:ascii="微软雅黑" w:hAnsi="微软雅黑" w:eastAsia="微软雅黑" w:cs="微软雅黑"/>
          <w:b w:val="0"/>
          <w:bCs w:val="0"/>
          <w:sz w:val="24"/>
          <w:szCs w:val="24"/>
          <w:highlight w:val="none"/>
        </w:rPr>
        <w:t>证明文件。</w:t>
      </w:r>
    </w:p>
    <w:p w14:paraId="7D05905E">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lang w:val="en-US" w:eastAsia="zh-CN"/>
        </w:rPr>
        <w:t>3</w:t>
      </w: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rPr>
        <w:t>书面声明、法定代表人身份证明和法定代表人授权委托书应按磋商文件给定的格式填写，响应文件中必须附原件，其他资格证明文件提供复印件并加盖供应商公章。</w:t>
      </w:r>
    </w:p>
    <w:p w14:paraId="0B14F9BB">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none"/>
        </w:rPr>
        <w:t>（</w:t>
      </w:r>
      <w:r>
        <w:rPr>
          <w:rFonts w:hint="eastAsia" w:ascii="微软雅黑" w:hAnsi="微软雅黑" w:eastAsia="微软雅黑" w:cs="微软雅黑"/>
          <w:b w:val="0"/>
          <w:bCs w:val="0"/>
          <w:sz w:val="24"/>
          <w:szCs w:val="24"/>
          <w:highlight w:val="none"/>
          <w:lang w:val="en-US" w:eastAsia="zh-CN"/>
        </w:rPr>
        <w:t>4</w:t>
      </w:r>
      <w:r>
        <w:rPr>
          <w:rFonts w:hint="eastAsia" w:ascii="微软雅黑" w:hAnsi="微软雅黑" w:eastAsia="微软雅黑" w:cs="微软雅黑"/>
          <w:b w:val="0"/>
          <w:bCs w:val="0"/>
          <w:sz w:val="24"/>
          <w:szCs w:val="24"/>
          <w:highlight w:val="none"/>
        </w:rPr>
        <w:t>）</w:t>
      </w:r>
      <w:bookmarkStart w:id="162" w:name="OLE_LINK4"/>
      <w:r>
        <w:rPr>
          <w:rFonts w:hint="eastAsia" w:ascii="微软雅黑" w:hAnsi="微软雅黑" w:eastAsia="微软雅黑" w:cs="微软雅黑"/>
          <w:b w:val="0"/>
          <w:bCs w:val="0"/>
          <w:sz w:val="24"/>
          <w:szCs w:val="24"/>
          <w:highlight w:val="none"/>
        </w:rPr>
        <w:t>依法免税或不需要缴纳社会保障资金的供</w:t>
      </w:r>
      <w:r>
        <w:rPr>
          <w:rFonts w:hint="eastAsia" w:ascii="微软雅黑" w:hAnsi="微软雅黑" w:eastAsia="微软雅黑" w:cs="微软雅黑"/>
          <w:b w:val="0"/>
          <w:bCs w:val="0"/>
          <w:sz w:val="24"/>
          <w:szCs w:val="24"/>
        </w:rPr>
        <w:t>应商</w:t>
      </w:r>
      <w:r>
        <w:rPr>
          <w:rFonts w:hint="eastAsia" w:ascii="微软雅黑" w:hAnsi="微软雅黑" w:eastAsia="微软雅黑" w:cs="微软雅黑"/>
          <w:b w:val="0"/>
          <w:bCs w:val="0"/>
          <w:sz w:val="24"/>
          <w:szCs w:val="24"/>
          <w:lang w:eastAsia="zh-CN"/>
        </w:rPr>
        <w:t>须</w:t>
      </w:r>
      <w:r>
        <w:rPr>
          <w:rFonts w:hint="eastAsia" w:ascii="微软雅黑" w:hAnsi="微软雅黑" w:eastAsia="微软雅黑" w:cs="微软雅黑"/>
          <w:b w:val="0"/>
          <w:bCs w:val="0"/>
          <w:sz w:val="24"/>
          <w:szCs w:val="24"/>
        </w:rPr>
        <w:t>提供相应证明文件。</w:t>
      </w:r>
      <w:bookmarkEnd w:id="162"/>
    </w:p>
    <w:p w14:paraId="53839607">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（二）符合性审查</w:t>
      </w:r>
    </w:p>
    <w:p w14:paraId="67DE45DD">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磋商小组依据磋商文件的规定，</w:t>
      </w:r>
      <w:r>
        <w:rPr>
          <w:rFonts w:hint="eastAsia" w:ascii="微软雅黑" w:hAnsi="微软雅黑" w:eastAsia="微软雅黑" w:cs="微软雅黑"/>
          <w:color w:val="auto"/>
          <w:sz w:val="24"/>
          <w:szCs w:val="24"/>
          <w:highlight w:val="none"/>
          <w:lang w:val="en-US" w:eastAsia="zh-CN"/>
        </w:rPr>
        <w:t>进行符合性审查，以确定其是否满足磋商文件的实质性要求，</w:t>
      </w:r>
      <w:r>
        <w:rPr>
          <w:rFonts w:hint="eastAsia" w:ascii="微软雅黑" w:hAnsi="微软雅黑" w:eastAsia="微软雅黑" w:cs="微软雅黑"/>
          <w:color w:val="auto"/>
          <w:sz w:val="24"/>
          <w:szCs w:val="24"/>
          <w:highlight w:val="none"/>
          <w:lang w:val="zh-CN"/>
        </w:rPr>
        <w:t>符合性审查结束后，磋商小组对审查结果进行签字确认。符合性审查不合格的供应商，不得进入下一评审环节。</w:t>
      </w:r>
      <w:r>
        <w:rPr>
          <w:rFonts w:hint="eastAsia" w:ascii="微软雅黑" w:hAnsi="微软雅黑" w:eastAsia="微软雅黑" w:cs="微软雅黑"/>
          <w:color w:val="auto"/>
          <w:sz w:val="24"/>
          <w:szCs w:val="24"/>
          <w:highlight w:val="none"/>
        </w:rPr>
        <w:t>具体审查内容如下：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3040"/>
        <w:gridCol w:w="4160"/>
      </w:tblGrid>
      <w:tr w14:paraId="591A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920" w:type="dxa"/>
            <w:gridSpan w:val="2"/>
            <w:tcBorders>
              <w:top w:val="single" w:color="auto" w:sz="4" w:space="0"/>
              <w:left w:val="single" w:color="auto" w:sz="4" w:space="0"/>
              <w:bottom w:val="single" w:color="auto" w:sz="4" w:space="0"/>
              <w:right w:val="single" w:color="auto" w:sz="4" w:space="0"/>
            </w:tcBorders>
            <w:shd w:val="clear" w:color="auto" w:fill="F7CAAC"/>
            <w:noWrap w:val="0"/>
            <w:vAlign w:val="center"/>
          </w:tcPr>
          <w:p w14:paraId="3036156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ind w:left="0" w:right="0" w:firstLine="480" w:firstLineChars="200"/>
              <w:jc w:val="center"/>
              <w:textAlignment w:val="auto"/>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实质性条款要求</w:t>
            </w:r>
          </w:p>
        </w:tc>
        <w:tc>
          <w:tcPr>
            <w:tcW w:w="4160" w:type="dxa"/>
            <w:tcBorders>
              <w:top w:val="single" w:color="auto" w:sz="4" w:space="0"/>
              <w:left w:val="single" w:color="auto" w:sz="4" w:space="0"/>
              <w:bottom w:val="single" w:color="auto" w:sz="4" w:space="0"/>
              <w:right w:val="single" w:color="auto" w:sz="4" w:space="0"/>
            </w:tcBorders>
            <w:shd w:val="clear" w:color="auto" w:fill="F7CAAC"/>
            <w:noWrap w:val="0"/>
            <w:vAlign w:val="center"/>
          </w:tcPr>
          <w:p w14:paraId="2268CA1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ind w:left="0" w:right="0" w:firstLine="480" w:firstLineChars="200"/>
              <w:jc w:val="center"/>
              <w:textAlignment w:val="auto"/>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通过条件</w:t>
            </w:r>
          </w:p>
        </w:tc>
      </w:tr>
      <w:tr w14:paraId="62AB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80" w:type="dxa"/>
            <w:vMerge w:val="restart"/>
            <w:tcBorders>
              <w:top w:val="single" w:color="auto" w:sz="4" w:space="0"/>
              <w:left w:val="single" w:color="auto" w:sz="4" w:space="0"/>
              <w:right w:val="single" w:color="auto" w:sz="4" w:space="0"/>
            </w:tcBorders>
            <w:noWrap w:val="0"/>
            <w:vAlign w:val="center"/>
          </w:tcPr>
          <w:p w14:paraId="085195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微软雅黑" w:hAnsi="微软雅黑" w:eastAsia="微软雅黑" w:cs="微软雅黑"/>
                <w:bCs/>
                <w:color w:val="auto"/>
                <w:kern w:val="0"/>
                <w:sz w:val="24"/>
                <w:szCs w:val="24"/>
                <w:lang w:val="en-US" w:eastAsia="zh-CN" w:bidi="ar-SA"/>
              </w:rPr>
            </w:pPr>
            <w:r>
              <w:rPr>
                <w:rFonts w:hint="eastAsia" w:ascii="微软雅黑" w:hAnsi="微软雅黑" w:eastAsia="微软雅黑" w:cs="微软雅黑"/>
                <w:bCs/>
                <w:color w:val="auto"/>
                <w:kern w:val="0"/>
                <w:sz w:val="24"/>
                <w:szCs w:val="24"/>
                <w:lang w:val="zh-CN"/>
              </w:rPr>
              <w:t>有效性审查</w:t>
            </w:r>
          </w:p>
          <w:p w14:paraId="0FF17C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ind w:left="0" w:right="0"/>
              <w:jc w:val="center"/>
              <w:textAlignment w:val="auto"/>
              <w:rPr>
                <w:rFonts w:hint="eastAsia" w:ascii="微软雅黑" w:hAnsi="微软雅黑" w:eastAsia="微软雅黑" w:cs="微软雅黑"/>
                <w:bCs/>
                <w:color w:val="auto"/>
                <w:kern w:val="0"/>
                <w:sz w:val="24"/>
                <w:szCs w:val="24"/>
              </w:rPr>
            </w:pPr>
          </w:p>
        </w:tc>
        <w:tc>
          <w:tcPr>
            <w:tcW w:w="3040" w:type="dxa"/>
            <w:tcBorders>
              <w:top w:val="single" w:color="auto" w:sz="4" w:space="0"/>
              <w:left w:val="single" w:color="auto" w:sz="4" w:space="0"/>
              <w:bottom w:val="single" w:color="auto" w:sz="4" w:space="0"/>
              <w:right w:val="single" w:color="auto" w:sz="4" w:space="0"/>
            </w:tcBorders>
            <w:noWrap w:val="0"/>
            <w:vAlign w:val="center"/>
          </w:tcPr>
          <w:p w14:paraId="33D28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zh-CN" w:eastAsia="zh-CN" w:bidi="ar-SA"/>
              </w:rPr>
            </w:pPr>
            <w:r>
              <w:rPr>
                <w:rFonts w:hint="eastAsia" w:ascii="微软雅黑" w:hAnsi="微软雅黑" w:eastAsia="微软雅黑" w:cs="微软雅黑"/>
                <w:bCs/>
                <w:color w:val="auto"/>
                <w:kern w:val="0"/>
                <w:sz w:val="24"/>
                <w:szCs w:val="24"/>
              </w:rPr>
              <w:t>项目名称、项目编号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2FDB3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bCs/>
                <w:color w:val="auto"/>
                <w:kern w:val="0"/>
                <w:sz w:val="24"/>
                <w:szCs w:val="24"/>
              </w:rPr>
              <w:t>与所投项目名称、项目编号一致</w:t>
            </w:r>
          </w:p>
        </w:tc>
      </w:tr>
      <w:tr w14:paraId="160E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80" w:type="dxa"/>
            <w:vMerge w:val="continue"/>
            <w:tcBorders>
              <w:left w:val="single" w:color="auto" w:sz="4" w:space="0"/>
              <w:right w:val="single" w:color="auto" w:sz="4" w:space="0"/>
            </w:tcBorders>
            <w:noWrap w:val="0"/>
            <w:vAlign w:val="center"/>
          </w:tcPr>
          <w:p w14:paraId="1C34CA5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ind w:left="0" w:right="0" w:firstLine="480" w:firstLineChars="200"/>
              <w:jc w:val="center"/>
              <w:textAlignment w:val="auto"/>
              <w:rPr>
                <w:rFonts w:hint="eastAsia" w:ascii="微软雅黑" w:hAnsi="微软雅黑" w:eastAsia="微软雅黑" w:cs="微软雅黑"/>
                <w:bCs/>
                <w:color w:val="auto"/>
                <w:kern w:val="0"/>
                <w:sz w:val="24"/>
                <w:szCs w:val="24"/>
              </w:rPr>
            </w:pPr>
          </w:p>
        </w:tc>
        <w:tc>
          <w:tcPr>
            <w:tcW w:w="3040" w:type="dxa"/>
            <w:tcBorders>
              <w:top w:val="single" w:color="auto" w:sz="4" w:space="0"/>
              <w:left w:val="single" w:color="auto" w:sz="4" w:space="0"/>
              <w:bottom w:val="single" w:color="auto" w:sz="4" w:space="0"/>
              <w:right w:val="single" w:color="auto" w:sz="4" w:space="0"/>
            </w:tcBorders>
            <w:noWrap w:val="0"/>
            <w:vAlign w:val="center"/>
          </w:tcPr>
          <w:p w14:paraId="5DF132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en-US" w:eastAsia="zh-CN" w:bidi="ar-SA"/>
              </w:rPr>
            </w:pPr>
            <w:r>
              <w:rPr>
                <w:rFonts w:hint="eastAsia" w:ascii="微软雅黑" w:hAnsi="微软雅黑" w:eastAsia="微软雅黑" w:cs="微软雅黑"/>
                <w:bCs/>
                <w:color w:val="auto"/>
                <w:kern w:val="0"/>
                <w:sz w:val="24"/>
                <w:szCs w:val="24"/>
              </w:rPr>
              <w:t>签署</w:t>
            </w:r>
            <w:r>
              <w:rPr>
                <w:rFonts w:hint="eastAsia" w:ascii="微软雅黑" w:hAnsi="微软雅黑" w:eastAsia="微软雅黑" w:cs="微软雅黑"/>
                <w:bCs/>
                <w:color w:val="auto"/>
                <w:kern w:val="0"/>
                <w:sz w:val="24"/>
                <w:szCs w:val="24"/>
                <w:lang w:eastAsia="zh-CN"/>
              </w:rPr>
              <w:t>、</w:t>
            </w:r>
            <w:r>
              <w:rPr>
                <w:rFonts w:hint="eastAsia" w:ascii="微软雅黑" w:hAnsi="微软雅黑" w:eastAsia="微软雅黑" w:cs="微软雅黑"/>
                <w:bCs/>
                <w:color w:val="auto"/>
                <w:kern w:val="0"/>
                <w:sz w:val="24"/>
                <w:szCs w:val="24"/>
              </w:rPr>
              <w:t>盖章</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43E22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bCs/>
                <w:color w:val="auto"/>
                <w:kern w:val="0"/>
                <w:sz w:val="24"/>
                <w:szCs w:val="24"/>
              </w:rPr>
              <w:t>符合</w:t>
            </w:r>
            <w:r>
              <w:rPr>
                <w:rFonts w:hint="eastAsia" w:ascii="微软雅黑" w:hAnsi="微软雅黑" w:eastAsia="微软雅黑" w:cs="微软雅黑"/>
                <w:bCs/>
                <w:color w:val="auto"/>
                <w:kern w:val="0"/>
                <w:sz w:val="24"/>
                <w:szCs w:val="24"/>
                <w:lang w:eastAsia="zh-CN"/>
              </w:rPr>
              <w:t>磋商文件</w:t>
            </w:r>
            <w:r>
              <w:rPr>
                <w:rFonts w:hint="eastAsia" w:ascii="微软雅黑" w:hAnsi="微软雅黑" w:eastAsia="微软雅黑" w:cs="微软雅黑"/>
                <w:bCs/>
                <w:color w:val="auto"/>
                <w:kern w:val="0"/>
                <w:sz w:val="24"/>
                <w:szCs w:val="24"/>
              </w:rPr>
              <w:t>签署盖章要求</w:t>
            </w:r>
          </w:p>
        </w:tc>
      </w:tr>
      <w:tr w14:paraId="7690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80" w:type="dxa"/>
            <w:vMerge w:val="continue"/>
            <w:tcBorders>
              <w:left w:val="single" w:color="auto" w:sz="4" w:space="0"/>
              <w:right w:val="single" w:color="auto" w:sz="4" w:space="0"/>
            </w:tcBorders>
            <w:noWrap w:val="0"/>
            <w:vAlign w:val="center"/>
          </w:tcPr>
          <w:p w14:paraId="63AD91F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ind w:left="0" w:right="0" w:firstLine="480" w:firstLineChars="200"/>
              <w:jc w:val="center"/>
              <w:textAlignment w:val="auto"/>
              <w:rPr>
                <w:rFonts w:hint="eastAsia" w:ascii="微软雅黑" w:hAnsi="微软雅黑" w:eastAsia="微软雅黑" w:cs="微软雅黑"/>
                <w:bCs/>
                <w:color w:val="auto"/>
                <w:kern w:val="0"/>
                <w:sz w:val="24"/>
                <w:szCs w:val="24"/>
              </w:rPr>
            </w:pPr>
          </w:p>
        </w:tc>
        <w:tc>
          <w:tcPr>
            <w:tcW w:w="3040" w:type="dxa"/>
            <w:tcBorders>
              <w:top w:val="single" w:color="auto" w:sz="4" w:space="0"/>
              <w:left w:val="single" w:color="auto" w:sz="4" w:space="0"/>
              <w:bottom w:val="single" w:color="auto" w:sz="4" w:space="0"/>
              <w:right w:val="single" w:color="auto" w:sz="4" w:space="0"/>
            </w:tcBorders>
            <w:noWrap w:val="0"/>
            <w:vAlign w:val="center"/>
          </w:tcPr>
          <w:p w14:paraId="1748C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en-US" w:eastAsia="zh-CN" w:bidi="ar-SA"/>
              </w:rPr>
            </w:pPr>
            <w:r>
              <w:rPr>
                <w:rFonts w:hint="eastAsia" w:ascii="微软雅黑" w:hAnsi="微软雅黑" w:eastAsia="微软雅黑" w:cs="微软雅黑"/>
                <w:bCs/>
                <w:color w:val="auto"/>
                <w:kern w:val="0"/>
                <w:sz w:val="24"/>
                <w:szCs w:val="24"/>
              </w:rPr>
              <w:t>语言及计量单位</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F8A77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bCs/>
                <w:color w:val="auto"/>
                <w:kern w:val="0"/>
                <w:sz w:val="24"/>
                <w:szCs w:val="24"/>
              </w:rPr>
              <w:t>语言、计量单位均符合</w:t>
            </w:r>
            <w:r>
              <w:rPr>
                <w:rFonts w:hint="eastAsia" w:ascii="微软雅黑" w:hAnsi="微软雅黑" w:eastAsia="微软雅黑" w:cs="微软雅黑"/>
                <w:bCs/>
                <w:color w:val="auto"/>
                <w:kern w:val="0"/>
                <w:sz w:val="24"/>
                <w:szCs w:val="24"/>
                <w:lang w:eastAsia="zh-CN"/>
              </w:rPr>
              <w:t>磋商文件</w:t>
            </w:r>
            <w:r>
              <w:rPr>
                <w:rFonts w:hint="eastAsia" w:ascii="微软雅黑" w:hAnsi="微软雅黑" w:eastAsia="微软雅黑" w:cs="微软雅黑"/>
                <w:bCs/>
                <w:color w:val="auto"/>
                <w:kern w:val="0"/>
                <w:sz w:val="24"/>
                <w:szCs w:val="24"/>
              </w:rPr>
              <w:t>规定</w:t>
            </w:r>
          </w:p>
        </w:tc>
      </w:tr>
      <w:tr w14:paraId="22F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80" w:type="dxa"/>
            <w:vMerge w:val="continue"/>
            <w:tcBorders>
              <w:left w:val="single" w:color="auto" w:sz="4" w:space="0"/>
              <w:right w:val="single" w:color="auto" w:sz="4" w:space="0"/>
            </w:tcBorders>
            <w:noWrap w:val="0"/>
            <w:vAlign w:val="center"/>
          </w:tcPr>
          <w:p w14:paraId="607AC50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ind w:left="0" w:right="0" w:firstLine="480" w:firstLineChars="200"/>
              <w:jc w:val="center"/>
              <w:textAlignment w:val="auto"/>
              <w:rPr>
                <w:rFonts w:hint="eastAsia" w:ascii="微软雅黑" w:hAnsi="微软雅黑" w:eastAsia="微软雅黑" w:cs="微软雅黑"/>
                <w:bCs/>
                <w:color w:val="auto"/>
                <w:kern w:val="0"/>
                <w:sz w:val="24"/>
                <w:szCs w:val="24"/>
              </w:rPr>
            </w:pPr>
          </w:p>
        </w:tc>
        <w:tc>
          <w:tcPr>
            <w:tcW w:w="3040" w:type="dxa"/>
            <w:tcBorders>
              <w:top w:val="single" w:color="auto" w:sz="4" w:space="0"/>
              <w:left w:val="single" w:color="auto" w:sz="4" w:space="0"/>
              <w:bottom w:val="single" w:color="auto" w:sz="4" w:space="0"/>
              <w:right w:val="single" w:color="auto" w:sz="4" w:space="0"/>
            </w:tcBorders>
            <w:noWrap w:val="0"/>
            <w:vAlign w:val="center"/>
          </w:tcPr>
          <w:p w14:paraId="7A68CD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en-US" w:eastAsia="zh-CN" w:bidi="ar-SA"/>
              </w:rPr>
            </w:pPr>
            <w:r>
              <w:rPr>
                <w:rFonts w:hint="eastAsia" w:ascii="微软雅黑" w:hAnsi="微软雅黑" w:eastAsia="微软雅黑" w:cs="微软雅黑"/>
                <w:bCs/>
                <w:color w:val="auto"/>
                <w:kern w:val="0"/>
                <w:sz w:val="24"/>
                <w:szCs w:val="24"/>
                <w:lang w:val="en-US" w:eastAsia="zh-CN"/>
              </w:rPr>
              <w:t>投标</w:t>
            </w:r>
            <w:r>
              <w:rPr>
                <w:rFonts w:hint="eastAsia" w:ascii="微软雅黑" w:hAnsi="微软雅黑" w:eastAsia="微软雅黑" w:cs="微软雅黑"/>
                <w:bCs/>
                <w:color w:val="auto"/>
                <w:kern w:val="0"/>
                <w:sz w:val="24"/>
                <w:szCs w:val="24"/>
              </w:rPr>
              <w:t>报价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E7FB6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zh-CN"/>
              </w:rPr>
            </w:pPr>
            <w:r>
              <w:rPr>
                <w:rFonts w:hint="eastAsia" w:ascii="微软雅黑" w:hAnsi="微软雅黑" w:eastAsia="微软雅黑" w:cs="微软雅黑"/>
                <w:bCs/>
                <w:color w:val="auto"/>
                <w:kern w:val="0"/>
                <w:sz w:val="24"/>
                <w:szCs w:val="24"/>
              </w:rPr>
              <w:t>1.</w:t>
            </w:r>
            <w:r>
              <w:rPr>
                <w:rFonts w:hint="eastAsia" w:ascii="微软雅黑" w:hAnsi="微软雅黑" w:eastAsia="微软雅黑" w:cs="微软雅黑"/>
                <w:bCs/>
                <w:color w:val="auto"/>
                <w:kern w:val="0"/>
                <w:sz w:val="24"/>
                <w:szCs w:val="24"/>
                <w:lang w:val="zh-CN"/>
              </w:rPr>
              <w:t>报价唯一；</w:t>
            </w:r>
          </w:p>
          <w:p w14:paraId="5D186F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zh-CN"/>
              </w:rPr>
            </w:pPr>
            <w:r>
              <w:rPr>
                <w:rFonts w:hint="eastAsia" w:ascii="微软雅黑" w:hAnsi="微软雅黑" w:eastAsia="微软雅黑" w:cs="微软雅黑"/>
                <w:bCs/>
                <w:color w:val="auto"/>
                <w:kern w:val="0"/>
                <w:sz w:val="24"/>
                <w:szCs w:val="24"/>
              </w:rPr>
              <w:t>2.</w:t>
            </w:r>
            <w:r>
              <w:rPr>
                <w:rFonts w:hint="eastAsia" w:ascii="微软雅黑" w:hAnsi="微软雅黑" w:eastAsia="微软雅黑" w:cs="微软雅黑"/>
                <w:bCs/>
                <w:color w:val="auto"/>
                <w:kern w:val="0"/>
                <w:sz w:val="24"/>
                <w:szCs w:val="24"/>
                <w:lang w:val="zh-CN"/>
              </w:rPr>
              <w:t>报价货币符合磋商文件要求；</w:t>
            </w:r>
          </w:p>
          <w:p w14:paraId="0A21FC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en-US" w:eastAsia="zh-CN" w:bidi="ar-SA"/>
              </w:rPr>
            </w:pPr>
            <w:r>
              <w:rPr>
                <w:rFonts w:hint="eastAsia" w:ascii="微软雅黑" w:hAnsi="微软雅黑" w:eastAsia="微软雅黑" w:cs="微软雅黑"/>
                <w:bCs/>
                <w:color w:val="auto"/>
                <w:kern w:val="0"/>
                <w:sz w:val="24"/>
                <w:szCs w:val="24"/>
              </w:rPr>
              <w:t>3.</w:t>
            </w:r>
            <w:r>
              <w:rPr>
                <w:rFonts w:hint="eastAsia" w:ascii="微软雅黑" w:hAnsi="微软雅黑" w:eastAsia="微软雅黑" w:cs="微软雅黑"/>
                <w:bCs/>
                <w:color w:val="auto"/>
                <w:kern w:val="0"/>
                <w:sz w:val="24"/>
                <w:szCs w:val="24"/>
                <w:lang w:val="zh-CN"/>
              </w:rPr>
              <w:t>未超出采购预算或磋商文件规定的最高限价。</w:t>
            </w:r>
          </w:p>
        </w:tc>
      </w:tr>
      <w:tr w14:paraId="7141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80" w:type="dxa"/>
            <w:tcBorders>
              <w:left w:val="single" w:color="auto" w:sz="4" w:space="0"/>
              <w:right w:val="single" w:color="auto" w:sz="4" w:space="0"/>
            </w:tcBorders>
            <w:noWrap w:val="0"/>
            <w:vAlign w:val="center"/>
          </w:tcPr>
          <w:p w14:paraId="462C0B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微软雅黑" w:hAnsi="微软雅黑" w:eastAsia="微软雅黑" w:cs="微软雅黑"/>
                <w:bCs/>
                <w:color w:val="auto"/>
                <w:kern w:val="0"/>
                <w:sz w:val="24"/>
                <w:szCs w:val="24"/>
              </w:rPr>
            </w:pPr>
            <w:r>
              <w:rPr>
                <w:rFonts w:hint="eastAsia" w:ascii="微软雅黑" w:hAnsi="微软雅黑" w:eastAsia="微软雅黑" w:cs="微软雅黑"/>
                <w:bCs/>
                <w:color w:val="auto"/>
                <w:kern w:val="0"/>
                <w:sz w:val="24"/>
                <w:szCs w:val="24"/>
                <w:lang w:val="zh-CN"/>
              </w:rPr>
              <w:t>完整性审查</w:t>
            </w:r>
          </w:p>
        </w:tc>
        <w:tc>
          <w:tcPr>
            <w:tcW w:w="3040" w:type="dxa"/>
            <w:tcBorders>
              <w:top w:val="single" w:color="auto" w:sz="4" w:space="0"/>
              <w:left w:val="single" w:color="auto" w:sz="4" w:space="0"/>
              <w:bottom w:val="single" w:color="auto" w:sz="4" w:space="0"/>
              <w:right w:val="single" w:color="auto" w:sz="4" w:space="0"/>
            </w:tcBorders>
            <w:noWrap w:val="0"/>
            <w:vAlign w:val="center"/>
          </w:tcPr>
          <w:p w14:paraId="1A82B2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highlight w:val="yellow"/>
                <w:lang w:val="en-US" w:eastAsia="zh-CN" w:bidi="ar-SA"/>
              </w:rPr>
            </w:pPr>
            <w:r>
              <w:rPr>
                <w:rFonts w:hint="eastAsia" w:ascii="微软雅黑" w:hAnsi="微软雅黑" w:eastAsia="微软雅黑" w:cs="微软雅黑"/>
                <w:bCs/>
                <w:color w:val="auto"/>
                <w:kern w:val="0"/>
                <w:sz w:val="24"/>
                <w:szCs w:val="24"/>
                <w:lang w:eastAsia="zh-CN"/>
              </w:rPr>
              <w:t>投标有效期</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2081D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color w:val="auto"/>
                <w:kern w:val="2"/>
                <w:sz w:val="24"/>
                <w:szCs w:val="24"/>
                <w:highlight w:val="yellow"/>
                <w:lang w:val="en-US" w:eastAsia="zh-CN" w:bidi="ar-SA"/>
              </w:rPr>
            </w:pPr>
            <w:r>
              <w:rPr>
                <w:rFonts w:hint="eastAsia" w:ascii="微软雅黑" w:hAnsi="微软雅黑" w:eastAsia="微软雅黑" w:cs="微软雅黑"/>
                <w:bCs/>
                <w:color w:val="auto"/>
                <w:kern w:val="0"/>
                <w:sz w:val="24"/>
                <w:szCs w:val="24"/>
                <w:highlight w:val="none"/>
                <w:lang w:val="zh-CN" w:eastAsia="zh-CN"/>
              </w:rPr>
              <w:t>从递交</w:t>
            </w:r>
            <w:r>
              <w:rPr>
                <w:rFonts w:hint="eastAsia" w:ascii="微软雅黑" w:hAnsi="微软雅黑" w:eastAsia="微软雅黑" w:cs="微软雅黑"/>
                <w:bCs/>
                <w:color w:val="auto"/>
                <w:kern w:val="0"/>
                <w:sz w:val="24"/>
                <w:szCs w:val="24"/>
                <w:highlight w:val="none"/>
                <w:lang w:val="en-US" w:eastAsia="zh-CN"/>
              </w:rPr>
              <w:t>响应文件</w:t>
            </w:r>
            <w:r>
              <w:rPr>
                <w:rFonts w:hint="eastAsia" w:ascii="微软雅黑" w:hAnsi="微软雅黑" w:eastAsia="微软雅黑" w:cs="微软雅黑"/>
                <w:bCs/>
                <w:color w:val="auto"/>
                <w:kern w:val="0"/>
                <w:sz w:val="24"/>
                <w:szCs w:val="24"/>
                <w:highlight w:val="none"/>
                <w:lang w:val="zh-CN" w:eastAsia="zh-CN"/>
              </w:rPr>
              <w:t>的截止之日起算不少于90个日历日</w:t>
            </w:r>
          </w:p>
        </w:tc>
      </w:tr>
      <w:tr w14:paraId="56DC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80" w:type="dxa"/>
            <w:tcBorders>
              <w:top w:val="single" w:color="auto" w:sz="4" w:space="0"/>
              <w:left w:val="single" w:color="auto" w:sz="4" w:space="0"/>
              <w:right w:val="single" w:color="auto" w:sz="4" w:space="0"/>
            </w:tcBorders>
            <w:noWrap w:val="0"/>
            <w:vAlign w:val="center"/>
          </w:tcPr>
          <w:p w14:paraId="0E801BB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ascii="微软雅黑" w:hAnsi="微软雅黑" w:eastAsia="微软雅黑" w:cs="微软雅黑"/>
                <w:color w:val="auto"/>
                <w:sz w:val="24"/>
                <w:szCs w:val="24"/>
                <w:lang w:val="zh-CN"/>
              </w:rPr>
            </w:pPr>
          </w:p>
          <w:p w14:paraId="49CAE29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20" w:lineRule="exact"/>
              <w:ind w:left="0" w:right="0"/>
              <w:jc w:val="center"/>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bCs/>
                <w:color w:val="auto"/>
                <w:kern w:val="0"/>
                <w:sz w:val="24"/>
                <w:szCs w:val="24"/>
                <w:lang w:val="zh-CN"/>
              </w:rPr>
              <w:t>响应</w:t>
            </w:r>
            <w:r>
              <w:rPr>
                <w:rFonts w:hint="eastAsia" w:ascii="微软雅黑" w:hAnsi="微软雅黑" w:eastAsia="微软雅黑" w:cs="微软雅黑"/>
                <w:bCs/>
                <w:color w:val="auto"/>
                <w:kern w:val="0"/>
                <w:sz w:val="24"/>
                <w:szCs w:val="24"/>
                <w:lang w:val="en-US" w:eastAsia="zh-CN"/>
              </w:rPr>
              <w:t>程度审查</w:t>
            </w:r>
          </w:p>
          <w:p w14:paraId="438F4D4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ind w:left="0" w:right="0"/>
              <w:jc w:val="center"/>
              <w:textAlignment w:val="auto"/>
              <w:rPr>
                <w:rFonts w:hint="eastAsia" w:ascii="微软雅黑" w:hAnsi="微软雅黑" w:eastAsia="微软雅黑" w:cs="微软雅黑"/>
                <w:color w:val="auto"/>
                <w:sz w:val="24"/>
                <w:szCs w:val="24"/>
              </w:rPr>
            </w:pPr>
          </w:p>
        </w:tc>
        <w:tc>
          <w:tcPr>
            <w:tcW w:w="3040" w:type="dxa"/>
            <w:tcBorders>
              <w:top w:val="single" w:color="auto" w:sz="4" w:space="0"/>
              <w:left w:val="single" w:color="auto" w:sz="4" w:space="0"/>
              <w:bottom w:val="single" w:color="auto" w:sz="4" w:space="0"/>
              <w:right w:val="single" w:color="auto" w:sz="4" w:space="0"/>
            </w:tcBorders>
            <w:noWrap w:val="0"/>
            <w:vAlign w:val="center"/>
          </w:tcPr>
          <w:p w14:paraId="6BF4EC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en-US" w:eastAsia="zh-CN"/>
              </w:rPr>
            </w:pPr>
            <w:r>
              <w:rPr>
                <w:rFonts w:hint="eastAsia" w:ascii="微软雅黑" w:hAnsi="微软雅黑" w:eastAsia="微软雅黑" w:cs="微软雅黑"/>
                <w:bCs/>
                <w:color w:val="auto"/>
                <w:kern w:val="0"/>
                <w:sz w:val="24"/>
                <w:szCs w:val="24"/>
                <w:lang w:eastAsia="zh-CN"/>
              </w:rPr>
              <w:t>合同条款</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9B410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微软雅黑" w:hAnsi="微软雅黑" w:eastAsia="微软雅黑" w:cs="微软雅黑"/>
                <w:bCs/>
                <w:color w:val="auto"/>
                <w:kern w:val="0"/>
                <w:sz w:val="24"/>
                <w:szCs w:val="24"/>
                <w:lang w:val="en-US" w:eastAsia="zh-CN"/>
              </w:rPr>
            </w:pPr>
            <w:r>
              <w:rPr>
                <w:rFonts w:hint="eastAsia" w:ascii="微软雅黑" w:hAnsi="微软雅黑" w:eastAsia="微软雅黑" w:cs="微软雅黑"/>
                <w:bCs/>
                <w:color w:val="auto"/>
                <w:kern w:val="0"/>
                <w:sz w:val="24"/>
                <w:szCs w:val="24"/>
                <w:lang w:val="en-US" w:eastAsia="zh-CN"/>
              </w:rPr>
              <w:t>响应磋商文件合同条款未出现负偏离且</w:t>
            </w:r>
            <w:r>
              <w:rPr>
                <w:rFonts w:hint="eastAsia" w:ascii="微软雅黑" w:hAnsi="微软雅黑" w:eastAsia="微软雅黑" w:cs="微软雅黑"/>
                <w:bCs/>
                <w:color w:val="auto"/>
                <w:kern w:val="0"/>
                <w:sz w:val="24"/>
                <w:szCs w:val="24"/>
                <w:lang w:val="zh-CN" w:eastAsia="zh-CN"/>
              </w:rPr>
              <w:t>响应的内容</w:t>
            </w:r>
            <w:r>
              <w:rPr>
                <w:rFonts w:hint="eastAsia" w:ascii="微软雅黑" w:hAnsi="微软雅黑" w:eastAsia="微软雅黑" w:cs="微软雅黑"/>
                <w:bCs/>
                <w:color w:val="auto"/>
                <w:kern w:val="0"/>
                <w:sz w:val="24"/>
                <w:szCs w:val="24"/>
                <w:lang w:val="en-US" w:eastAsia="zh-CN"/>
              </w:rPr>
              <w:t>中</w:t>
            </w:r>
            <w:r>
              <w:rPr>
                <w:rFonts w:hint="eastAsia" w:ascii="微软雅黑" w:hAnsi="微软雅黑" w:eastAsia="微软雅黑" w:cs="微软雅黑"/>
                <w:bCs/>
                <w:color w:val="auto"/>
                <w:kern w:val="0"/>
                <w:sz w:val="24"/>
                <w:szCs w:val="24"/>
                <w:lang w:val="zh-CN" w:eastAsia="zh-CN"/>
              </w:rPr>
              <w:t>未</w:t>
            </w:r>
            <w:r>
              <w:rPr>
                <w:rFonts w:hint="eastAsia" w:ascii="微软雅黑" w:hAnsi="微软雅黑" w:eastAsia="微软雅黑" w:cs="微软雅黑"/>
                <w:bCs/>
                <w:color w:val="auto"/>
                <w:kern w:val="0"/>
                <w:sz w:val="24"/>
                <w:szCs w:val="24"/>
                <w:lang w:val="en-US" w:eastAsia="zh-CN"/>
              </w:rPr>
              <w:t>附有采购人不能接受的附加条件。</w:t>
            </w:r>
          </w:p>
        </w:tc>
      </w:tr>
    </w:tbl>
    <w:p w14:paraId="5140EBA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（三）投标</w:t>
      </w:r>
      <w:r>
        <w:rPr>
          <w:rFonts w:hint="eastAsia" w:ascii="微软雅黑" w:hAnsi="微软雅黑" w:eastAsia="微软雅黑" w:cs="微软雅黑"/>
          <w:sz w:val="24"/>
          <w:szCs w:val="24"/>
          <w:lang w:val="zh-CN"/>
        </w:rPr>
        <w:t>无效</w:t>
      </w:r>
      <w:r>
        <w:rPr>
          <w:rFonts w:hint="eastAsia" w:ascii="微软雅黑" w:hAnsi="微软雅黑" w:eastAsia="微软雅黑" w:cs="微软雅黑"/>
          <w:sz w:val="24"/>
          <w:szCs w:val="24"/>
        </w:rPr>
        <w:t>情形</w:t>
      </w:r>
      <w:r>
        <w:rPr>
          <w:rFonts w:hint="eastAsia" w:ascii="微软雅黑" w:hAnsi="微软雅黑" w:eastAsia="微软雅黑" w:cs="微软雅黑"/>
          <w:sz w:val="24"/>
          <w:szCs w:val="24"/>
          <w:lang w:val="zh-CN"/>
        </w:rPr>
        <w:t>的认定</w:t>
      </w:r>
    </w:p>
    <w:p w14:paraId="0C85661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在评审过程中，出现下列情形之一的（但不限于），按</w:t>
      </w:r>
      <w:r>
        <w:rPr>
          <w:rFonts w:hint="eastAsia" w:ascii="微软雅黑" w:hAnsi="微软雅黑" w:eastAsia="微软雅黑" w:cs="微软雅黑"/>
          <w:sz w:val="24"/>
          <w:szCs w:val="24"/>
        </w:rPr>
        <w:t>投标</w:t>
      </w:r>
      <w:r>
        <w:rPr>
          <w:rFonts w:hint="eastAsia" w:ascii="微软雅黑" w:hAnsi="微软雅黑" w:eastAsia="微软雅黑" w:cs="微软雅黑"/>
          <w:sz w:val="24"/>
          <w:szCs w:val="24"/>
          <w:lang w:val="zh-CN"/>
        </w:rPr>
        <w:t>无效处理：</w:t>
      </w:r>
    </w:p>
    <w:p w14:paraId="1B56539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没有经过正常渠道</w:t>
      </w:r>
      <w:r>
        <w:rPr>
          <w:rFonts w:hint="eastAsia" w:ascii="微软雅黑" w:hAnsi="微软雅黑" w:eastAsia="微软雅黑" w:cs="微软雅黑"/>
          <w:sz w:val="24"/>
          <w:szCs w:val="24"/>
          <w:lang w:val="en-US" w:eastAsia="zh-CN"/>
        </w:rPr>
        <w:t>获取磋商</w:t>
      </w:r>
      <w:r>
        <w:rPr>
          <w:rFonts w:hint="eastAsia" w:ascii="微软雅黑" w:hAnsi="微软雅黑" w:eastAsia="微软雅黑" w:cs="微软雅黑"/>
          <w:sz w:val="24"/>
          <w:szCs w:val="24"/>
          <w:lang w:val="zh-CN"/>
        </w:rPr>
        <w:t>文件或</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的名称与竞争性磋商文件获取登记表中的名称不符；</w:t>
      </w:r>
    </w:p>
    <w:p w14:paraId="3645E7D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2、响应文件中提供的供应商资格要求证明文件不符合磋商文件规定；</w:t>
      </w:r>
    </w:p>
    <w:p w14:paraId="5128746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3、响应文件中出现备选方案或响应文件中出现选择性报价的；</w:t>
      </w:r>
    </w:p>
    <w:p w14:paraId="781862F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4、磋商报价超过了本项目采购预算或最高限价的；</w:t>
      </w:r>
    </w:p>
    <w:p w14:paraId="7316C37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5、响应文件未按照磋商文件要求签署、盖章的；</w:t>
      </w:r>
    </w:p>
    <w:p w14:paraId="3848C2B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6、响应文件的关键内容字迹模糊和无法辨认的；</w:t>
      </w:r>
    </w:p>
    <w:p w14:paraId="364CD1C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7、响应文件未按照磋商文件规定的格式要求编制的；</w:t>
      </w:r>
    </w:p>
    <w:p w14:paraId="3DBEC76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val="zh-CN"/>
        </w:rPr>
        <w:t>、响应内容出现漏项或数量与要求不符的；</w:t>
      </w:r>
    </w:p>
    <w:p w14:paraId="51E0D11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val="zh-CN"/>
        </w:rPr>
        <w:t xml:space="preserve">、响应文件中无投标有效期或投标有效期达不到磋商文件要求的； </w:t>
      </w:r>
    </w:p>
    <w:p w14:paraId="2A432BF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lang w:val="zh-CN"/>
        </w:rPr>
        <w:t>、未响应合同条款或响应的合同条款中附有采购人不能接受的附加条件的；</w:t>
      </w:r>
    </w:p>
    <w:p w14:paraId="517C20D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、磋商报价与市场价格偏离较大、低于成本、形成不正当竞争的；</w:t>
      </w:r>
    </w:p>
    <w:p w14:paraId="4CE29B7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 xml:space="preserve">、与本采购项目其他供应商单位负责人为同一人或者存在控股、管理关系的； </w:t>
      </w:r>
    </w:p>
    <w:p w14:paraId="1515DDD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、为本项目提供整体设计、规范编制或者项目管理、监理、检测、咨询服务的；</w:t>
      </w:r>
    </w:p>
    <w:p w14:paraId="7A7A2C2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val="zh-CN"/>
        </w:rPr>
        <w:t>、供应商有串通投标、弄虚作假（包括但不限于虚假资质、虚假证明、虚假应答等）、行贿等违法行为的；</w:t>
      </w:r>
    </w:p>
    <w:p w14:paraId="776EE85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val="zh-CN"/>
        </w:rPr>
        <w:t>、法律、法规和磋商文件规定的其他无效情形的。</w:t>
      </w:r>
    </w:p>
    <w:p w14:paraId="0A19B6C7">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（四）响应文件的澄清、说明或者更正：</w:t>
      </w:r>
    </w:p>
    <w:p w14:paraId="5629BBAE">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5C06A3EB">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供应商的澄清、说明或者更正应当由法定代表人或其授权代表签字或加盖公章。由授权代表签字的，应当附法定代表人授权</w:t>
      </w:r>
      <w:r>
        <w:rPr>
          <w:rFonts w:hint="eastAsia" w:ascii="微软雅黑" w:hAnsi="微软雅黑" w:eastAsia="微软雅黑" w:cs="微软雅黑"/>
          <w:sz w:val="24"/>
          <w:szCs w:val="24"/>
          <w:lang w:eastAsia="zh-CN"/>
        </w:rPr>
        <w:t>委托</w:t>
      </w:r>
      <w:r>
        <w:rPr>
          <w:rFonts w:hint="eastAsia" w:ascii="微软雅黑" w:hAnsi="微软雅黑" w:eastAsia="微软雅黑" w:cs="微软雅黑"/>
          <w:sz w:val="24"/>
          <w:szCs w:val="24"/>
        </w:rPr>
        <w:t>书。供应商为自然人的，应当由本人签字并附身份证明。</w:t>
      </w:r>
    </w:p>
    <w:p w14:paraId="5A4EA44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zh-CN"/>
        </w:rPr>
        <w:t>响应文件出现不一致的，按照下列规定修正：</w:t>
      </w:r>
    </w:p>
    <w:p w14:paraId="7F076EF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（1）正本与副本不一致的，以正本为准；</w:t>
      </w:r>
    </w:p>
    <w:p w14:paraId="5459D5F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（2）响应文件中首次磋商报价表内容与响应文件中相应内容不一致的，以首次磋商报价表为准；</w:t>
      </w:r>
    </w:p>
    <w:p w14:paraId="1F65E65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（3）大写金额和小写金额不一致的，以大写金额为准；</w:t>
      </w:r>
    </w:p>
    <w:p w14:paraId="2DABC9F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（4）单价金额小数点或者百分比有明显错位的，以首次磋商报价表的总价为准，并修改单价；</w:t>
      </w:r>
    </w:p>
    <w:p w14:paraId="3A3C42C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（5）总价金额与按单价汇总金额不一致的，以单价金额计算结果为准。</w:t>
      </w:r>
    </w:p>
    <w:p w14:paraId="4FF2AAF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同时出现两种以上不一致的，按照前款规定的顺序修正。修正后的报价经供应商书面确认后产生约束力，供应商不确认的，其投标无效。</w:t>
      </w:r>
    </w:p>
    <w:p w14:paraId="6D182839">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磋商</w:t>
      </w:r>
    </w:p>
    <w:p w14:paraId="56046A5B">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磋商小组所有成员集中与单一供应商分别进行磋商，并给所有参加磋商供应商平等的磋商机会。</w:t>
      </w:r>
    </w:p>
    <w:p w14:paraId="0A3062E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7036FC8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pacing w:val="-6"/>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pacing w:val="-6"/>
          <w:sz w:val="24"/>
          <w:szCs w:val="24"/>
        </w:rPr>
        <w:t>对磋商文件做出的实质性变动是磋商文件的有效组成部分，磋商小组应当及时以书面形式同时通知所有参加磋商的供应商。</w:t>
      </w:r>
    </w:p>
    <w:p w14:paraId="4452D6A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供应商应当按照磋商文件的变动情况和磋商小组的要求重新递交响应文件，并由其法定代表人或授权代表签字或者加盖公章。由授权代表签字的，应当附法定代表人授权</w:t>
      </w:r>
      <w:r>
        <w:rPr>
          <w:rFonts w:hint="eastAsia" w:ascii="微软雅黑" w:hAnsi="微软雅黑" w:eastAsia="微软雅黑" w:cs="微软雅黑"/>
          <w:sz w:val="24"/>
          <w:szCs w:val="24"/>
          <w:highlight w:val="none"/>
          <w:lang w:eastAsia="zh-CN"/>
        </w:rPr>
        <w:t>委托</w:t>
      </w:r>
      <w:r>
        <w:rPr>
          <w:rFonts w:hint="eastAsia" w:ascii="微软雅黑" w:hAnsi="微软雅黑" w:eastAsia="微软雅黑" w:cs="微软雅黑"/>
          <w:sz w:val="24"/>
          <w:szCs w:val="24"/>
          <w:highlight w:val="none"/>
        </w:rPr>
        <w:t>书</w:t>
      </w:r>
      <w:r>
        <w:rPr>
          <w:rFonts w:hint="eastAsia" w:ascii="微软雅黑" w:hAnsi="微软雅黑" w:eastAsia="微软雅黑" w:cs="微软雅黑"/>
          <w:sz w:val="24"/>
          <w:szCs w:val="24"/>
        </w:rPr>
        <w:t>。供应商为自</w:t>
      </w:r>
      <w:r>
        <w:rPr>
          <w:rFonts w:hint="eastAsia" w:ascii="微软雅黑" w:hAnsi="微软雅黑" w:eastAsia="微软雅黑" w:cs="微软雅黑"/>
          <w:sz w:val="24"/>
          <w:szCs w:val="24"/>
          <w:highlight w:val="none"/>
        </w:rPr>
        <w:t>然人的，应当由本人签字并附身份证明。</w:t>
      </w:r>
    </w:p>
    <w:p w14:paraId="5253EC97">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color w:val="auto"/>
          <w:sz w:val="24"/>
          <w:szCs w:val="24"/>
          <w:highlight w:val="none"/>
        </w:rPr>
        <w:t>4、已</w:t>
      </w:r>
      <w:r>
        <w:rPr>
          <w:rFonts w:hint="eastAsia" w:ascii="微软雅黑" w:hAnsi="微软雅黑" w:eastAsia="微软雅黑" w:cs="微软雅黑"/>
          <w:b w:val="0"/>
          <w:bCs w:val="0"/>
          <w:color w:val="auto"/>
          <w:sz w:val="24"/>
          <w:szCs w:val="24"/>
          <w:highlight w:val="none"/>
          <w:lang w:val="en-US" w:eastAsia="zh-CN"/>
        </w:rPr>
        <w:t>递</w:t>
      </w:r>
      <w:r>
        <w:rPr>
          <w:rFonts w:hint="eastAsia" w:ascii="微软雅黑" w:hAnsi="微软雅黑" w:eastAsia="微软雅黑" w:cs="微软雅黑"/>
          <w:b w:val="0"/>
          <w:bCs w:val="0"/>
          <w:color w:val="auto"/>
          <w:sz w:val="24"/>
          <w:szCs w:val="24"/>
          <w:highlight w:val="none"/>
        </w:rPr>
        <w:t>交响应文件的供应商，在提交</w:t>
      </w:r>
      <w:r>
        <w:rPr>
          <w:rFonts w:hint="eastAsia" w:ascii="微软雅黑" w:hAnsi="微软雅黑" w:eastAsia="微软雅黑" w:cs="微软雅黑"/>
          <w:b w:val="0"/>
          <w:bCs w:val="0"/>
          <w:color w:val="auto"/>
          <w:sz w:val="24"/>
          <w:szCs w:val="24"/>
          <w:highlight w:val="none"/>
          <w:lang w:eastAsia="zh-CN"/>
        </w:rPr>
        <w:t>最终报价</w:t>
      </w:r>
      <w:r>
        <w:rPr>
          <w:rFonts w:hint="eastAsia" w:ascii="微软雅黑" w:hAnsi="微软雅黑" w:eastAsia="微软雅黑" w:cs="微软雅黑"/>
          <w:b w:val="0"/>
          <w:bCs w:val="0"/>
          <w:color w:val="auto"/>
          <w:sz w:val="24"/>
          <w:szCs w:val="24"/>
          <w:highlight w:val="none"/>
        </w:rPr>
        <w:t>之前，可以根据磋商情况退出磋商。</w:t>
      </w:r>
    </w:p>
    <w:p w14:paraId="4EC4111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最终报价</w:t>
      </w:r>
    </w:p>
    <w:p w14:paraId="3A7BD8DA">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1、磋商文件能够详细列明采购标的的技术、服务要求的，磋商结束后，磋商小组应当要求所有实质性响应的供应商在规定时间内提交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的供应商不得少于3家。</w:t>
      </w:r>
    </w:p>
    <w:p w14:paraId="4DE9BF26">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w:t>
      </w:r>
    </w:p>
    <w:p w14:paraId="6AD4BEC2">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最终报价</w:t>
      </w:r>
      <w:r>
        <w:rPr>
          <w:rFonts w:hint="eastAsia" w:ascii="微软雅黑" w:hAnsi="微软雅黑" w:eastAsia="微软雅黑" w:cs="微软雅黑"/>
          <w:color w:val="auto"/>
          <w:sz w:val="24"/>
          <w:szCs w:val="24"/>
        </w:rPr>
        <w:t>是供应商响应文件的有效组成部分。</w:t>
      </w:r>
      <w:r>
        <w:rPr>
          <w:rFonts w:hint="eastAsia" w:ascii="微软雅黑" w:hAnsi="微软雅黑" w:eastAsia="微软雅黑" w:cs="微软雅黑"/>
          <w:snapToGrid w:val="0"/>
          <w:color w:val="auto"/>
          <w:kern w:val="0"/>
          <w:sz w:val="24"/>
          <w:szCs w:val="24"/>
        </w:rPr>
        <w:t>符合</w:t>
      </w:r>
      <w:r>
        <w:rPr>
          <w:rFonts w:hint="eastAsia" w:ascii="微软雅黑" w:hAnsi="微软雅黑" w:eastAsia="微软雅黑" w:cs="微软雅黑"/>
          <w:color w:val="auto"/>
          <w:sz w:val="24"/>
          <w:szCs w:val="24"/>
        </w:rPr>
        <w:t>《政府采购竞争性磋商采购方式管理暂行办法》</w:t>
      </w:r>
      <w:r>
        <w:rPr>
          <w:rFonts w:hint="eastAsia" w:ascii="微软雅黑" w:hAnsi="微软雅黑" w:eastAsia="微软雅黑" w:cs="微软雅黑"/>
          <w:snapToGrid w:val="0"/>
          <w:color w:val="auto"/>
          <w:kern w:val="0"/>
          <w:sz w:val="24"/>
          <w:szCs w:val="24"/>
        </w:rPr>
        <w:t>第三条第四项情形的</w:t>
      </w:r>
      <w:r>
        <w:rPr>
          <w:rFonts w:hint="eastAsia" w:ascii="微软雅黑" w:hAnsi="微软雅黑" w:eastAsia="微软雅黑" w:cs="微软雅黑"/>
          <w:color w:val="auto"/>
          <w:sz w:val="24"/>
          <w:szCs w:val="24"/>
        </w:rPr>
        <w:t>，提交</w:t>
      </w:r>
      <w:r>
        <w:rPr>
          <w:rFonts w:hint="eastAsia" w:ascii="微软雅黑" w:hAnsi="微软雅黑" w:eastAsia="微软雅黑" w:cs="微软雅黑"/>
          <w:color w:val="auto"/>
          <w:sz w:val="24"/>
          <w:szCs w:val="24"/>
          <w:lang w:eastAsia="zh-CN"/>
        </w:rPr>
        <w:t>最终报价</w:t>
      </w:r>
      <w:r>
        <w:rPr>
          <w:rFonts w:hint="eastAsia" w:ascii="微软雅黑" w:hAnsi="微软雅黑" w:eastAsia="微软雅黑" w:cs="微软雅黑"/>
          <w:color w:val="auto"/>
          <w:sz w:val="24"/>
          <w:szCs w:val="24"/>
        </w:rPr>
        <w:t>的供应商可以为2家。</w:t>
      </w:r>
    </w:p>
    <w:p w14:paraId="1361293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4、最终报价应按首次报价的格式内容填写，由</w:t>
      </w:r>
      <w:r>
        <w:rPr>
          <w:rFonts w:hint="eastAsia" w:ascii="微软雅黑" w:hAnsi="微软雅黑" w:eastAsia="微软雅黑" w:cs="微软雅黑"/>
          <w:sz w:val="24"/>
          <w:szCs w:val="24"/>
        </w:rPr>
        <w:t>法定代表人或授权代表签字或加盖公章。</w:t>
      </w:r>
    </w:p>
    <w:p w14:paraId="1441FFB7">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二次报价网上操作流程：</w:t>
      </w:r>
    </w:p>
    <w:p w14:paraId="5B6188E7">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①插入CA锁，登录陕西省公共资源交易平台网站（http://www.sxggzyjy.cn/）；</w:t>
      </w:r>
    </w:p>
    <w:p w14:paraId="12FA95A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②点击右上角我的项目，选择本次开标项目，点击项目流程；</w:t>
      </w:r>
    </w:p>
    <w:p w14:paraId="0609B49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③点击网上报价；</w:t>
      </w:r>
    </w:p>
    <w:p w14:paraId="7C40E566">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④报价：点击</w:t>
      </w:r>
      <w:r>
        <w:rPr>
          <w:rFonts w:hint="eastAsia" w:ascii="微软雅黑" w:hAnsi="微软雅黑" w:eastAsia="微软雅黑" w:cs="微软雅黑"/>
          <w:color w:val="auto"/>
          <w:sz w:val="24"/>
          <w:szCs w:val="24"/>
          <w:lang w:val="en-US" w:eastAsia="zh-CN"/>
        </w:rPr>
        <w:drawing>
          <wp:inline distT="0" distB="0" distL="114300" distR="114300">
            <wp:extent cx="220980" cy="22098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20980" cy="220980"/>
                    </a:xfrm>
                    <a:prstGeom prst="rect">
                      <a:avLst/>
                    </a:prstGeom>
                    <a:noFill/>
                    <a:ln>
                      <a:noFill/>
                    </a:ln>
                  </pic:spPr>
                </pic:pic>
              </a:graphicData>
            </a:graphic>
          </wp:inline>
        </w:drawing>
      </w:r>
      <w:r>
        <w:rPr>
          <w:rFonts w:hint="eastAsia" w:ascii="微软雅黑" w:hAnsi="微软雅黑" w:eastAsia="微软雅黑" w:cs="微软雅黑"/>
          <w:color w:val="auto"/>
          <w:sz w:val="24"/>
          <w:szCs w:val="24"/>
          <w:lang w:val="en-US" w:eastAsia="zh-CN"/>
        </w:rPr>
        <w:t>报价，输入金额（注意大小写一致）；</w:t>
      </w:r>
    </w:p>
    <w:p w14:paraId="698D69CA">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⑤签章查看：点击</w:t>
      </w:r>
      <w:r>
        <w:rPr>
          <w:rFonts w:hint="eastAsia" w:ascii="微软雅黑" w:hAnsi="微软雅黑" w:eastAsia="微软雅黑" w:cs="微软雅黑"/>
          <w:color w:val="auto"/>
          <w:sz w:val="24"/>
          <w:szCs w:val="24"/>
          <w:lang w:val="en-US" w:eastAsia="zh-CN"/>
        </w:rPr>
        <w:drawing>
          <wp:inline distT="0" distB="0" distL="114300" distR="114300">
            <wp:extent cx="269875" cy="281305"/>
            <wp:effectExtent l="0" t="0" r="158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l="10774" t="18208" r="24734" b="15326"/>
                    <a:stretch>
                      <a:fillRect/>
                    </a:stretch>
                  </pic:blipFill>
                  <pic:spPr>
                    <a:xfrm>
                      <a:off x="0" y="0"/>
                      <a:ext cx="269875" cy="281305"/>
                    </a:xfrm>
                    <a:prstGeom prst="rect">
                      <a:avLst/>
                    </a:prstGeom>
                    <a:noFill/>
                    <a:ln>
                      <a:noFill/>
                    </a:ln>
                  </pic:spPr>
                </pic:pic>
              </a:graphicData>
            </a:graphic>
          </wp:inline>
        </w:drawing>
      </w:r>
      <w:r>
        <w:rPr>
          <w:rFonts w:hint="eastAsia" w:ascii="微软雅黑" w:hAnsi="微软雅黑" w:eastAsia="微软雅黑" w:cs="微软雅黑"/>
          <w:color w:val="auto"/>
          <w:sz w:val="24"/>
          <w:szCs w:val="24"/>
          <w:lang w:val="en-US" w:eastAsia="zh-CN"/>
        </w:rPr>
        <w:t>，选择单页签章，点击报价表右下角签章；</w:t>
      </w:r>
    </w:p>
    <w:p w14:paraId="210AEED5">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snapToGrid w:val="0"/>
          <w:color w:val="auto"/>
          <w:kern w:val="2"/>
          <w:sz w:val="24"/>
          <w:szCs w:val="24"/>
          <w:lang w:val="en-US" w:eastAsia="zh-CN"/>
        </w:rPr>
      </w:pPr>
      <w:r>
        <w:rPr>
          <w:rFonts w:hint="eastAsia" w:ascii="微软雅黑" w:hAnsi="微软雅黑" w:eastAsia="微软雅黑" w:cs="微软雅黑"/>
          <w:color w:val="auto"/>
          <w:sz w:val="24"/>
          <w:szCs w:val="24"/>
          <w:lang w:val="en-US" w:eastAsia="zh-CN"/>
        </w:rPr>
        <w:t>⑥确认无误如图：</w:t>
      </w:r>
    </w:p>
    <w:p w14:paraId="076E81A0">
      <w:pPr>
        <w:spacing w:line="480" w:lineRule="exact"/>
        <w:ind w:firstLine="480" w:firstLineChars="200"/>
        <w:rPr>
          <w:rFonts w:hint="eastAsia" w:ascii="宋体" w:hAnsi="宋体" w:eastAsia="宋体" w:cs="宋体"/>
          <w:snapToGrid w:val="0"/>
          <w:color w:val="auto"/>
          <w:kern w:val="2"/>
          <w:sz w:val="24"/>
          <w:szCs w:val="24"/>
          <w:lang w:val="en-US" w:eastAsia="zh-CN"/>
        </w:rPr>
      </w:pPr>
      <w:r>
        <w:rPr>
          <w:rFonts w:hint="eastAsia" w:ascii="宋体" w:hAnsi="宋体" w:eastAsia="宋体" w:cs="宋体"/>
          <w:snapToGrid w:val="0"/>
          <w:color w:val="auto"/>
          <w:kern w:val="2"/>
          <w:sz w:val="24"/>
          <w:szCs w:val="24"/>
          <w:lang w:val="en-US" w:eastAsia="zh-CN"/>
        </w:rPr>
        <w:drawing>
          <wp:anchor distT="0" distB="0" distL="114300" distR="114300" simplePos="0" relativeHeight="251662336"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4067175" cy="685800"/>
                    </a:xfrm>
                    <a:prstGeom prst="rect">
                      <a:avLst/>
                    </a:prstGeom>
                    <a:noFill/>
                    <a:ln>
                      <a:noFill/>
                    </a:ln>
                  </pic:spPr>
                </pic:pic>
              </a:graphicData>
            </a:graphic>
          </wp:anchor>
        </w:drawing>
      </w:r>
    </w:p>
    <w:p w14:paraId="2DD673B7">
      <w:pPr>
        <w:keepNext w:val="0"/>
        <w:keepLines w:val="0"/>
        <w:pageBreakBefore w:val="0"/>
        <w:widowControl w:val="0"/>
        <w:kinsoku/>
        <w:wordWrap/>
        <w:overflowPunct/>
        <w:topLinePunct w:val="0"/>
        <w:bidi w:val="0"/>
        <w:adjustRightInd w:val="0"/>
        <w:snapToGrid w:val="0"/>
        <w:spacing w:line="360" w:lineRule="auto"/>
        <w:ind w:right="0" w:rightChars="0"/>
        <w:textAlignment w:val="auto"/>
        <w:rPr>
          <w:rFonts w:hint="eastAsia" w:ascii="微软雅黑" w:hAnsi="微软雅黑" w:eastAsia="微软雅黑" w:cs="微软雅黑"/>
          <w:color w:val="auto"/>
          <w:sz w:val="24"/>
          <w:szCs w:val="24"/>
          <w:lang w:val="en-US" w:eastAsia="zh-CN"/>
        </w:rPr>
      </w:pPr>
    </w:p>
    <w:p w14:paraId="4727AC59">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⑦提交。</w:t>
      </w:r>
    </w:p>
    <w:p w14:paraId="200E700C">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w:t>
      </w:r>
      <w:r>
        <w:rPr>
          <w:rFonts w:hint="eastAsia" w:ascii="微软雅黑" w:hAnsi="微软雅黑" w:eastAsia="微软雅黑" w:cs="微软雅黑"/>
          <w:sz w:val="24"/>
          <w:szCs w:val="24"/>
          <w:lang w:val="zh-CN"/>
        </w:rPr>
        <w:t>比较与评价</w:t>
      </w:r>
    </w:p>
    <w:p w14:paraId="6E9575AB">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rPr>
        <w:t>经磋商确定最终采购需求和提交</w:t>
      </w:r>
      <w:r>
        <w:rPr>
          <w:rFonts w:hint="eastAsia" w:ascii="微软雅黑" w:hAnsi="微软雅黑" w:eastAsia="微软雅黑" w:cs="微软雅黑"/>
          <w:bCs/>
          <w:snapToGrid w:val="0"/>
          <w:kern w:val="0"/>
          <w:sz w:val="24"/>
          <w:szCs w:val="24"/>
          <w:lang w:eastAsia="zh-CN"/>
        </w:rPr>
        <w:t>最终报价</w:t>
      </w:r>
      <w:r>
        <w:rPr>
          <w:rFonts w:hint="eastAsia" w:ascii="微软雅黑" w:hAnsi="微软雅黑" w:eastAsia="微软雅黑" w:cs="微软雅黑"/>
          <w:bCs/>
          <w:snapToGrid w:val="0"/>
          <w:kern w:val="0"/>
          <w:sz w:val="24"/>
          <w:szCs w:val="24"/>
        </w:rPr>
        <w:t>的供应商后，由磋商小组采用综合评分法对提交最</w:t>
      </w:r>
      <w:r>
        <w:rPr>
          <w:rFonts w:hint="eastAsia" w:ascii="微软雅黑" w:hAnsi="微软雅黑" w:eastAsia="微软雅黑" w:cs="微软雅黑"/>
          <w:bCs/>
          <w:snapToGrid w:val="0"/>
          <w:kern w:val="0"/>
          <w:sz w:val="24"/>
          <w:szCs w:val="24"/>
          <w:lang w:eastAsia="zh-CN"/>
        </w:rPr>
        <w:t>终</w:t>
      </w:r>
      <w:r>
        <w:rPr>
          <w:rFonts w:hint="eastAsia" w:ascii="微软雅黑" w:hAnsi="微软雅黑" w:eastAsia="微软雅黑" w:cs="微软雅黑"/>
          <w:bCs/>
          <w:snapToGrid w:val="0"/>
          <w:kern w:val="0"/>
          <w:sz w:val="24"/>
          <w:szCs w:val="24"/>
        </w:rPr>
        <w:t>报价的供应商的响应文件和最</w:t>
      </w:r>
      <w:r>
        <w:rPr>
          <w:rFonts w:hint="eastAsia" w:ascii="微软雅黑" w:hAnsi="微软雅黑" w:eastAsia="微软雅黑" w:cs="微软雅黑"/>
          <w:bCs/>
          <w:snapToGrid w:val="0"/>
          <w:kern w:val="0"/>
          <w:sz w:val="24"/>
          <w:szCs w:val="24"/>
          <w:lang w:eastAsia="zh-CN"/>
        </w:rPr>
        <w:t>终</w:t>
      </w:r>
      <w:r>
        <w:rPr>
          <w:rFonts w:hint="eastAsia" w:ascii="微软雅黑" w:hAnsi="微软雅黑" w:eastAsia="微软雅黑" w:cs="微软雅黑"/>
          <w:bCs/>
          <w:snapToGrid w:val="0"/>
          <w:kern w:val="0"/>
          <w:sz w:val="24"/>
          <w:szCs w:val="24"/>
        </w:rPr>
        <w:t>报价进行综合评分。</w:t>
      </w:r>
    </w:p>
    <w:p w14:paraId="3F6824A3">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lang w:val="en-US" w:eastAsia="zh-CN"/>
        </w:rPr>
        <w:t>1</w:t>
      </w:r>
      <w:r>
        <w:rPr>
          <w:rFonts w:hint="eastAsia" w:ascii="微软雅黑" w:hAnsi="微软雅黑" w:eastAsia="微软雅黑" w:cs="微软雅黑"/>
          <w:bCs/>
          <w:snapToGrid w:val="0"/>
          <w:kern w:val="0"/>
          <w:sz w:val="24"/>
          <w:szCs w:val="24"/>
        </w:rPr>
        <w:t>、评审方法：综合评分法，即对响应文件满足磋商文件全部实质性要求且按评审因素的量化指标评审得分最高的供应商为成交候选供应商的评审方法。</w:t>
      </w:r>
    </w:p>
    <w:p w14:paraId="52984E2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sz w:val="24"/>
          <w:szCs w:val="24"/>
          <w:lang w:val="zh-CN"/>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lang w:val="zh-CN"/>
        </w:rPr>
        <w:t>、</w:t>
      </w:r>
      <w:r>
        <w:rPr>
          <w:rFonts w:hint="eastAsia" w:ascii="微软雅黑" w:hAnsi="微软雅黑" w:eastAsia="微软雅黑" w:cs="微软雅黑"/>
          <w:bCs/>
          <w:snapToGrid w:val="0"/>
          <w:kern w:val="0"/>
          <w:sz w:val="24"/>
          <w:szCs w:val="24"/>
        </w:rPr>
        <w:t>评审</w:t>
      </w:r>
      <w:r>
        <w:rPr>
          <w:rFonts w:hint="eastAsia" w:ascii="微软雅黑" w:hAnsi="微软雅黑" w:eastAsia="微软雅黑" w:cs="微软雅黑"/>
          <w:bCs/>
          <w:snapToGrid w:val="0"/>
          <w:kern w:val="0"/>
          <w:sz w:val="24"/>
          <w:szCs w:val="24"/>
          <w:lang w:val="en-US" w:eastAsia="zh-CN"/>
        </w:rPr>
        <w:t>因素及权重分解表</w:t>
      </w:r>
      <w:r>
        <w:rPr>
          <w:rFonts w:hint="eastAsia" w:ascii="微软雅黑" w:hAnsi="微软雅黑" w:eastAsia="微软雅黑" w:cs="微软雅黑"/>
          <w:b/>
          <w:sz w:val="24"/>
          <w:szCs w:val="24"/>
          <w:lang w:val="zh-CN"/>
        </w:rPr>
        <w:t>（总计100分）</w:t>
      </w:r>
    </w:p>
    <w:tbl>
      <w:tblPr>
        <w:tblStyle w:val="25"/>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6724"/>
        <w:gridCol w:w="1193"/>
      </w:tblGrid>
      <w:tr w14:paraId="57D1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14" w:type="dxa"/>
            <w:noWrap w:val="0"/>
            <w:vAlign w:val="center"/>
          </w:tcPr>
          <w:p w14:paraId="761611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评审</w:t>
            </w:r>
          </w:p>
          <w:p w14:paraId="620D5C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因素</w:t>
            </w:r>
          </w:p>
        </w:tc>
        <w:tc>
          <w:tcPr>
            <w:tcW w:w="6724" w:type="dxa"/>
            <w:noWrap w:val="0"/>
            <w:vAlign w:val="center"/>
          </w:tcPr>
          <w:p w14:paraId="452C42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内     容</w:t>
            </w:r>
          </w:p>
        </w:tc>
        <w:tc>
          <w:tcPr>
            <w:tcW w:w="1193" w:type="dxa"/>
            <w:noWrap w:val="0"/>
            <w:vAlign w:val="center"/>
          </w:tcPr>
          <w:p w14:paraId="02A15D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权值</w:t>
            </w:r>
            <w:r>
              <w:rPr>
                <w:rFonts w:hint="eastAsia" w:ascii="微软雅黑" w:hAnsi="微软雅黑" w:eastAsia="微软雅黑" w:cs="微软雅黑"/>
                <w:sz w:val="24"/>
                <w:szCs w:val="24"/>
                <w:highlight w:val="none"/>
              </w:rPr>
              <w:t>%</w:t>
            </w:r>
          </w:p>
        </w:tc>
      </w:tr>
      <w:tr w14:paraId="6ADC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14" w:type="dxa"/>
            <w:noWrap w:val="0"/>
            <w:vAlign w:val="center"/>
          </w:tcPr>
          <w:p w14:paraId="20348505">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rPr>
            </w:pPr>
          </w:p>
          <w:p w14:paraId="6F7D520F">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磋商报价</w:t>
            </w:r>
          </w:p>
        </w:tc>
        <w:tc>
          <w:tcPr>
            <w:tcW w:w="6724" w:type="dxa"/>
            <w:noWrap w:val="0"/>
            <w:vAlign w:val="center"/>
          </w:tcPr>
          <w:p w14:paraId="53E2E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满足磋商文件要求且</w:t>
            </w:r>
            <w:r>
              <w:rPr>
                <w:rFonts w:hint="eastAsia" w:ascii="微软雅黑" w:hAnsi="微软雅黑" w:eastAsia="微软雅黑" w:cs="微软雅黑"/>
                <w:sz w:val="24"/>
                <w:szCs w:val="24"/>
                <w:highlight w:val="none"/>
                <w:lang w:eastAsia="zh-CN"/>
              </w:rPr>
              <w:t>最终报价</w:t>
            </w:r>
            <w:r>
              <w:rPr>
                <w:rFonts w:hint="eastAsia" w:ascii="微软雅黑" w:hAnsi="微软雅黑" w:eastAsia="微软雅黑" w:cs="微软雅黑"/>
                <w:sz w:val="24"/>
                <w:szCs w:val="24"/>
                <w:highlight w:val="none"/>
              </w:rPr>
              <w:t>最低的供应商的价格为磋商基准价，其价格分为满分。其他供应商的价格分统一按照下列公式计算：</w:t>
            </w:r>
          </w:p>
          <w:p w14:paraId="64AD9A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磋商报价得分=（磋商基准价/</w:t>
            </w:r>
            <w:r>
              <w:rPr>
                <w:rFonts w:hint="eastAsia" w:ascii="微软雅黑" w:hAnsi="微软雅黑" w:eastAsia="微软雅黑" w:cs="微软雅黑"/>
                <w:sz w:val="24"/>
                <w:szCs w:val="24"/>
                <w:highlight w:val="none"/>
                <w:lang w:eastAsia="zh-CN"/>
              </w:rPr>
              <w:t>最终磋商报价</w:t>
            </w:r>
            <w:r>
              <w:rPr>
                <w:rFonts w:hint="eastAsia" w:ascii="微软雅黑" w:hAnsi="微软雅黑" w:eastAsia="微软雅黑" w:cs="微软雅黑"/>
                <w:sz w:val="24"/>
                <w:szCs w:val="24"/>
                <w:highlight w:val="none"/>
              </w:rPr>
              <w:t>）×价格权值×100</w:t>
            </w:r>
          </w:p>
        </w:tc>
        <w:tc>
          <w:tcPr>
            <w:tcW w:w="1193" w:type="dxa"/>
            <w:noWrap w:val="0"/>
            <w:vAlign w:val="center"/>
          </w:tcPr>
          <w:p w14:paraId="7A396F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10</w:t>
            </w:r>
          </w:p>
        </w:tc>
      </w:tr>
      <w:tr w14:paraId="28E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514" w:type="dxa"/>
            <w:noWrap w:val="0"/>
            <w:vAlign w:val="center"/>
          </w:tcPr>
          <w:p w14:paraId="47F9560F">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总体服务方案</w:t>
            </w:r>
          </w:p>
        </w:tc>
        <w:tc>
          <w:tcPr>
            <w:tcW w:w="6724" w:type="dxa"/>
            <w:noWrap w:val="0"/>
            <w:vAlign w:val="top"/>
          </w:tcPr>
          <w:p w14:paraId="70DBA6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能充分理解和掌握采购需求，工作思路清晰，技术服务方案内容完整，相应措施得当，根据响应情况及方案可行性进行评审。 方案内容详尽、完整，可行性强计</w:t>
            </w:r>
            <w:r>
              <w:rPr>
                <w:rFonts w:hint="eastAsia" w:ascii="微软雅黑" w:hAnsi="微软雅黑" w:eastAsia="微软雅黑" w:cs="微软雅黑"/>
                <w:sz w:val="24"/>
                <w:szCs w:val="24"/>
                <w:highlight w:val="none"/>
                <w:lang w:val="en-US" w:eastAsia="zh-CN"/>
              </w:rPr>
              <w:t>20.1-</w:t>
            </w:r>
            <w:r>
              <w:rPr>
                <w:rFonts w:hint="eastAsia" w:ascii="微软雅黑" w:hAnsi="微软雅黑" w:eastAsia="微软雅黑" w:cs="微软雅黑"/>
                <w:sz w:val="24"/>
                <w:szCs w:val="24"/>
                <w:highlight w:val="none"/>
              </w:rPr>
              <w:t>25分； 方案内容较详尽、完整，具有一定的可行性计</w:t>
            </w:r>
            <w:r>
              <w:rPr>
                <w:rFonts w:hint="eastAsia" w:ascii="微软雅黑" w:hAnsi="微软雅黑" w:eastAsia="微软雅黑" w:cs="微软雅黑"/>
                <w:sz w:val="24"/>
                <w:szCs w:val="24"/>
                <w:highlight w:val="none"/>
                <w:lang w:val="en-US" w:eastAsia="zh-CN"/>
              </w:rPr>
              <w:t>15.1-</w:t>
            </w:r>
            <w:r>
              <w:rPr>
                <w:rFonts w:hint="eastAsia" w:ascii="微软雅黑" w:hAnsi="微软雅黑" w:eastAsia="微软雅黑" w:cs="微软雅黑"/>
                <w:sz w:val="24"/>
                <w:szCs w:val="24"/>
                <w:highlight w:val="none"/>
              </w:rPr>
              <w:t>20 分； 方案内容基本完整、可行性一般计</w:t>
            </w:r>
            <w:r>
              <w:rPr>
                <w:rFonts w:hint="eastAsia" w:ascii="微软雅黑" w:hAnsi="微软雅黑" w:eastAsia="微软雅黑" w:cs="微软雅黑"/>
                <w:sz w:val="24"/>
                <w:szCs w:val="24"/>
                <w:highlight w:val="none"/>
                <w:lang w:val="en-US" w:eastAsia="zh-CN"/>
              </w:rPr>
              <w:t>10.1-</w:t>
            </w:r>
            <w:r>
              <w:rPr>
                <w:rFonts w:hint="eastAsia" w:ascii="微软雅黑" w:hAnsi="微软雅黑" w:eastAsia="微软雅黑" w:cs="微软雅黑"/>
                <w:sz w:val="24"/>
                <w:szCs w:val="24"/>
                <w:highlight w:val="none"/>
              </w:rPr>
              <w:t>15分； 方案内容比较简单、可行性较差计</w:t>
            </w:r>
            <w:r>
              <w:rPr>
                <w:rFonts w:hint="eastAsia" w:ascii="微软雅黑" w:hAnsi="微软雅黑" w:eastAsia="微软雅黑" w:cs="微软雅黑"/>
                <w:sz w:val="24"/>
                <w:szCs w:val="24"/>
                <w:highlight w:val="none"/>
                <w:lang w:val="en-US" w:eastAsia="zh-CN"/>
              </w:rPr>
              <w:t>5.1-</w:t>
            </w:r>
            <w:r>
              <w:rPr>
                <w:rFonts w:hint="eastAsia" w:ascii="微软雅黑" w:hAnsi="微软雅黑" w:eastAsia="微软雅黑" w:cs="微软雅黑"/>
                <w:sz w:val="24"/>
                <w:szCs w:val="24"/>
                <w:highlight w:val="none"/>
              </w:rPr>
              <w:t>10分； 方案内容空洞或存在缺漏项，可行性差，计</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rPr>
              <w:t>5分。 未提供本项不得分。</w:t>
            </w:r>
          </w:p>
        </w:tc>
        <w:tc>
          <w:tcPr>
            <w:tcW w:w="1193" w:type="dxa"/>
            <w:noWrap w:val="0"/>
            <w:vAlign w:val="center"/>
          </w:tcPr>
          <w:p w14:paraId="169A6C58">
            <w:pPr>
              <w:keepNext w:val="0"/>
              <w:keepLines w:val="0"/>
              <w:suppressLineNumbers w:val="0"/>
              <w:snapToGrid w:val="0"/>
              <w:spacing w:before="0" w:beforeAutospacing="0" w:after="0" w:afterAutospacing="0"/>
              <w:ind w:left="0" w:leftChars="0" w:right="0" w:rightChars="0"/>
              <w:jc w:val="center"/>
              <w:rPr>
                <w:rFonts w:hint="default"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sz w:val="24"/>
                <w:szCs w:val="24"/>
                <w:highlight w:val="none"/>
                <w:lang w:val="en-US" w:eastAsia="zh-CN"/>
              </w:rPr>
              <w:t>25</w:t>
            </w:r>
          </w:p>
        </w:tc>
      </w:tr>
      <w:tr w14:paraId="001E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514" w:type="dxa"/>
            <w:noWrap w:val="0"/>
            <w:vAlign w:val="center"/>
          </w:tcPr>
          <w:p w14:paraId="7BBA37D4">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质量保证措施及承诺</w:t>
            </w:r>
          </w:p>
        </w:tc>
        <w:tc>
          <w:tcPr>
            <w:tcW w:w="6724" w:type="dxa"/>
            <w:noWrap w:val="0"/>
            <w:vAlign w:val="top"/>
          </w:tcPr>
          <w:p w14:paraId="2CCF9B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质量保证体系完善，措施合理，供应商应提供针对本项目的质量保障措施和承诺，根据响应情况及可行性进行评审。 内容详尽、完整，可行性强计</w:t>
            </w:r>
            <w:r>
              <w:rPr>
                <w:rFonts w:hint="eastAsia" w:ascii="微软雅黑" w:hAnsi="微软雅黑" w:eastAsia="微软雅黑" w:cs="微软雅黑"/>
                <w:sz w:val="24"/>
                <w:szCs w:val="24"/>
                <w:highlight w:val="none"/>
                <w:lang w:val="en-US" w:eastAsia="zh-CN"/>
              </w:rPr>
              <w:t>12.1-</w:t>
            </w:r>
            <w:r>
              <w:rPr>
                <w:rFonts w:hint="eastAsia" w:ascii="微软雅黑" w:hAnsi="微软雅黑" w:eastAsia="微软雅黑" w:cs="微软雅黑"/>
                <w:sz w:val="24"/>
                <w:szCs w:val="24"/>
                <w:highlight w:val="none"/>
              </w:rPr>
              <w:t>15分； 内容较详尽、完整，具有一定的可行性计</w:t>
            </w:r>
            <w:r>
              <w:rPr>
                <w:rFonts w:hint="eastAsia" w:ascii="微软雅黑" w:hAnsi="微软雅黑" w:eastAsia="微软雅黑" w:cs="微软雅黑"/>
                <w:sz w:val="24"/>
                <w:szCs w:val="24"/>
                <w:highlight w:val="none"/>
                <w:lang w:val="en-US" w:eastAsia="zh-CN"/>
              </w:rPr>
              <w:t>8.1-</w:t>
            </w:r>
            <w:r>
              <w:rPr>
                <w:rFonts w:hint="eastAsia" w:ascii="微软雅黑" w:hAnsi="微软雅黑" w:eastAsia="微软雅黑" w:cs="微软雅黑"/>
                <w:sz w:val="24"/>
                <w:szCs w:val="24"/>
                <w:highlight w:val="none"/>
              </w:rPr>
              <w:t>12分； 内容基本完整、可行性一般计</w:t>
            </w:r>
            <w:r>
              <w:rPr>
                <w:rFonts w:hint="eastAsia" w:ascii="微软雅黑" w:hAnsi="微软雅黑" w:eastAsia="微软雅黑" w:cs="微软雅黑"/>
                <w:sz w:val="24"/>
                <w:szCs w:val="24"/>
                <w:highlight w:val="none"/>
                <w:lang w:val="en-US" w:eastAsia="zh-CN"/>
              </w:rPr>
              <w:t>4.1-</w:t>
            </w:r>
            <w:r>
              <w:rPr>
                <w:rFonts w:hint="eastAsia" w:ascii="微软雅黑" w:hAnsi="微软雅黑" w:eastAsia="微软雅黑" w:cs="微软雅黑"/>
                <w:sz w:val="24"/>
                <w:szCs w:val="24"/>
                <w:highlight w:val="none"/>
              </w:rPr>
              <w:t>8分； 内容比较简单、可行性较差计</w:t>
            </w:r>
            <w:r>
              <w:rPr>
                <w:rFonts w:hint="eastAsia" w:ascii="微软雅黑" w:hAnsi="微软雅黑" w:eastAsia="微软雅黑" w:cs="微软雅黑"/>
                <w:sz w:val="24"/>
                <w:szCs w:val="24"/>
                <w:highlight w:val="none"/>
                <w:lang w:val="en-US" w:eastAsia="zh-CN"/>
              </w:rPr>
              <w:t>2.1-</w:t>
            </w:r>
            <w:r>
              <w:rPr>
                <w:rFonts w:hint="eastAsia" w:ascii="微软雅黑" w:hAnsi="微软雅黑" w:eastAsia="微软雅黑" w:cs="微软雅黑"/>
                <w:sz w:val="24"/>
                <w:szCs w:val="24"/>
                <w:highlight w:val="none"/>
              </w:rPr>
              <w:t>4分； 内容空洞或存在缺漏项，可行性差，计</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rPr>
              <w:t>2分。 未提供本项不得分。</w:t>
            </w:r>
          </w:p>
        </w:tc>
        <w:tc>
          <w:tcPr>
            <w:tcW w:w="1193" w:type="dxa"/>
            <w:noWrap w:val="0"/>
            <w:vAlign w:val="center"/>
          </w:tcPr>
          <w:p w14:paraId="5E77A5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15</w:t>
            </w:r>
          </w:p>
        </w:tc>
      </w:tr>
      <w:tr w14:paraId="7B60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514" w:type="dxa"/>
            <w:noWrap w:val="0"/>
            <w:vAlign w:val="center"/>
          </w:tcPr>
          <w:p w14:paraId="6C0B2C5E">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安全保证措施</w:t>
            </w:r>
          </w:p>
        </w:tc>
        <w:tc>
          <w:tcPr>
            <w:tcW w:w="6724" w:type="dxa"/>
            <w:noWrap w:val="0"/>
            <w:vAlign w:val="top"/>
          </w:tcPr>
          <w:p w14:paraId="095E49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根据服务计划安排，提出相应安全保证措施，保证服务期内如期、安全完成本项目全部工作内容。根据响应情况及可行性进行评审。 内容详尽、完整，可行性强计</w:t>
            </w:r>
            <w:r>
              <w:rPr>
                <w:rFonts w:hint="eastAsia" w:ascii="微软雅黑" w:hAnsi="微软雅黑" w:eastAsia="微软雅黑" w:cs="微软雅黑"/>
                <w:sz w:val="24"/>
                <w:szCs w:val="24"/>
                <w:highlight w:val="none"/>
                <w:lang w:val="en-US" w:eastAsia="zh-CN"/>
              </w:rPr>
              <w:t>12.1-</w:t>
            </w:r>
            <w:r>
              <w:rPr>
                <w:rFonts w:hint="eastAsia" w:ascii="微软雅黑" w:hAnsi="微软雅黑" w:eastAsia="微软雅黑" w:cs="微软雅黑"/>
                <w:sz w:val="24"/>
                <w:szCs w:val="24"/>
                <w:highlight w:val="none"/>
              </w:rPr>
              <w:t>15分； 内容较详尽、完整，具有一定的可行性计</w:t>
            </w:r>
            <w:r>
              <w:rPr>
                <w:rFonts w:hint="eastAsia" w:ascii="微软雅黑" w:hAnsi="微软雅黑" w:eastAsia="微软雅黑" w:cs="微软雅黑"/>
                <w:sz w:val="24"/>
                <w:szCs w:val="24"/>
                <w:highlight w:val="none"/>
                <w:lang w:val="en-US" w:eastAsia="zh-CN"/>
              </w:rPr>
              <w:t>8.1-</w:t>
            </w:r>
            <w:r>
              <w:rPr>
                <w:rFonts w:hint="eastAsia" w:ascii="微软雅黑" w:hAnsi="微软雅黑" w:eastAsia="微软雅黑" w:cs="微软雅黑"/>
                <w:sz w:val="24"/>
                <w:szCs w:val="24"/>
                <w:highlight w:val="none"/>
              </w:rPr>
              <w:t>12分； 内容基本完整、可行性一般计</w:t>
            </w:r>
            <w:r>
              <w:rPr>
                <w:rFonts w:hint="eastAsia" w:ascii="微软雅黑" w:hAnsi="微软雅黑" w:eastAsia="微软雅黑" w:cs="微软雅黑"/>
                <w:sz w:val="24"/>
                <w:szCs w:val="24"/>
                <w:highlight w:val="none"/>
                <w:lang w:val="en-US" w:eastAsia="zh-CN"/>
              </w:rPr>
              <w:t>4.1-</w:t>
            </w:r>
            <w:r>
              <w:rPr>
                <w:rFonts w:hint="eastAsia" w:ascii="微软雅黑" w:hAnsi="微软雅黑" w:eastAsia="微软雅黑" w:cs="微软雅黑"/>
                <w:sz w:val="24"/>
                <w:szCs w:val="24"/>
                <w:highlight w:val="none"/>
              </w:rPr>
              <w:t>8分； 内容比较简单、可行性较差计</w:t>
            </w:r>
            <w:r>
              <w:rPr>
                <w:rFonts w:hint="eastAsia" w:ascii="微软雅黑" w:hAnsi="微软雅黑" w:eastAsia="微软雅黑" w:cs="微软雅黑"/>
                <w:sz w:val="24"/>
                <w:szCs w:val="24"/>
                <w:highlight w:val="none"/>
                <w:lang w:val="en-US" w:eastAsia="zh-CN"/>
              </w:rPr>
              <w:t>2.1-</w:t>
            </w:r>
            <w:r>
              <w:rPr>
                <w:rFonts w:hint="eastAsia" w:ascii="微软雅黑" w:hAnsi="微软雅黑" w:eastAsia="微软雅黑" w:cs="微软雅黑"/>
                <w:sz w:val="24"/>
                <w:szCs w:val="24"/>
                <w:highlight w:val="none"/>
              </w:rPr>
              <w:t>4分； 内容空洞或存在缺漏项，可行性差，计</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rPr>
              <w:t>2分。 未提供本项不得分。</w:t>
            </w:r>
          </w:p>
        </w:tc>
        <w:tc>
          <w:tcPr>
            <w:tcW w:w="1193" w:type="dxa"/>
            <w:noWrap w:val="0"/>
            <w:vAlign w:val="center"/>
          </w:tcPr>
          <w:p w14:paraId="2ADC77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15</w:t>
            </w:r>
          </w:p>
        </w:tc>
      </w:tr>
      <w:tr w14:paraId="106F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514" w:type="dxa"/>
            <w:noWrap w:val="0"/>
            <w:vAlign w:val="center"/>
          </w:tcPr>
          <w:p w14:paraId="6D85B0C7">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合理化建议</w:t>
            </w:r>
          </w:p>
        </w:tc>
        <w:tc>
          <w:tcPr>
            <w:tcW w:w="6724" w:type="dxa"/>
            <w:noWrap w:val="0"/>
            <w:vAlign w:val="top"/>
          </w:tcPr>
          <w:p w14:paraId="26C81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对本项目实施过程中的合理化建议，根据建议可行性进行评审。 内容详尽、完整，可行性强计</w:t>
            </w:r>
            <w:r>
              <w:rPr>
                <w:rFonts w:hint="eastAsia" w:ascii="微软雅黑" w:hAnsi="微软雅黑" w:eastAsia="微软雅黑" w:cs="微软雅黑"/>
                <w:sz w:val="24"/>
                <w:szCs w:val="24"/>
                <w:highlight w:val="none"/>
                <w:lang w:val="en-US" w:eastAsia="zh-CN"/>
              </w:rPr>
              <w:t>8.1-</w:t>
            </w:r>
            <w:r>
              <w:rPr>
                <w:rFonts w:hint="eastAsia" w:ascii="微软雅黑" w:hAnsi="微软雅黑" w:eastAsia="微软雅黑" w:cs="微软雅黑"/>
                <w:sz w:val="24"/>
                <w:szCs w:val="24"/>
                <w:highlight w:val="none"/>
              </w:rPr>
              <w:t>10分； 内容较详尽、完整，具有一定的可行性计</w:t>
            </w:r>
            <w:r>
              <w:rPr>
                <w:rFonts w:hint="eastAsia" w:ascii="微软雅黑" w:hAnsi="微软雅黑" w:eastAsia="微软雅黑" w:cs="微软雅黑"/>
                <w:sz w:val="24"/>
                <w:szCs w:val="24"/>
                <w:highlight w:val="none"/>
                <w:lang w:val="en-US" w:eastAsia="zh-CN"/>
              </w:rPr>
              <w:t>6.1-</w:t>
            </w:r>
            <w:r>
              <w:rPr>
                <w:rFonts w:hint="eastAsia" w:ascii="微软雅黑" w:hAnsi="微软雅黑" w:eastAsia="微软雅黑" w:cs="微软雅黑"/>
                <w:sz w:val="24"/>
                <w:szCs w:val="24"/>
                <w:highlight w:val="none"/>
              </w:rPr>
              <w:t>8分； 内容基本完整、可行性一般计</w:t>
            </w:r>
            <w:r>
              <w:rPr>
                <w:rFonts w:hint="eastAsia" w:ascii="微软雅黑" w:hAnsi="微软雅黑" w:eastAsia="微软雅黑" w:cs="微软雅黑"/>
                <w:sz w:val="24"/>
                <w:szCs w:val="24"/>
                <w:highlight w:val="none"/>
                <w:lang w:val="en-US" w:eastAsia="zh-CN"/>
              </w:rPr>
              <w:t>4.1-</w:t>
            </w:r>
            <w:r>
              <w:rPr>
                <w:rFonts w:hint="eastAsia" w:ascii="微软雅黑" w:hAnsi="微软雅黑" w:eastAsia="微软雅黑" w:cs="微软雅黑"/>
                <w:sz w:val="24"/>
                <w:szCs w:val="24"/>
                <w:highlight w:val="none"/>
              </w:rPr>
              <w:t>6分； 内容比较简单、可行性较差计</w:t>
            </w:r>
            <w:r>
              <w:rPr>
                <w:rFonts w:hint="eastAsia" w:ascii="微软雅黑" w:hAnsi="微软雅黑" w:eastAsia="微软雅黑" w:cs="微软雅黑"/>
                <w:sz w:val="24"/>
                <w:szCs w:val="24"/>
                <w:highlight w:val="none"/>
                <w:lang w:val="en-US" w:eastAsia="zh-CN"/>
              </w:rPr>
              <w:t>2.1-</w:t>
            </w:r>
            <w:r>
              <w:rPr>
                <w:rFonts w:hint="eastAsia" w:ascii="微软雅黑" w:hAnsi="微软雅黑" w:eastAsia="微软雅黑" w:cs="微软雅黑"/>
                <w:sz w:val="24"/>
                <w:szCs w:val="24"/>
                <w:highlight w:val="none"/>
              </w:rPr>
              <w:t>4分； 内容空洞或存在缺漏项，可行性差，计</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rPr>
              <w:t>2分。 未提供本项不得分。</w:t>
            </w:r>
          </w:p>
        </w:tc>
        <w:tc>
          <w:tcPr>
            <w:tcW w:w="1193" w:type="dxa"/>
            <w:noWrap w:val="0"/>
            <w:vAlign w:val="center"/>
          </w:tcPr>
          <w:p w14:paraId="119DE7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bCs/>
                <w:sz w:val="24"/>
                <w:szCs w:val="24"/>
                <w:highlight w:val="none"/>
                <w:lang w:val="en-US" w:eastAsia="zh-CN"/>
              </w:rPr>
              <w:t>10</w:t>
            </w:r>
          </w:p>
        </w:tc>
      </w:tr>
      <w:tr w14:paraId="3DC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514" w:type="dxa"/>
            <w:noWrap w:val="0"/>
            <w:vAlign w:val="center"/>
          </w:tcPr>
          <w:p w14:paraId="7530DDE4">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商务响应</w:t>
            </w:r>
          </w:p>
        </w:tc>
        <w:tc>
          <w:tcPr>
            <w:tcW w:w="6724" w:type="dxa"/>
            <w:noWrap w:val="0"/>
            <w:vAlign w:val="top"/>
          </w:tcPr>
          <w:p w14:paraId="6A8050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商务响应完全满足或优于采购文件要求的得5分，与采购文件要求有非实质性偏离的，每一项扣1分，扣完为止。</w:t>
            </w:r>
          </w:p>
        </w:tc>
        <w:tc>
          <w:tcPr>
            <w:tcW w:w="1193" w:type="dxa"/>
            <w:noWrap w:val="0"/>
            <w:vAlign w:val="center"/>
          </w:tcPr>
          <w:p w14:paraId="44D0F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5</w:t>
            </w:r>
          </w:p>
        </w:tc>
      </w:tr>
      <w:tr w14:paraId="09C0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514" w:type="dxa"/>
            <w:noWrap w:val="0"/>
            <w:vAlign w:val="center"/>
          </w:tcPr>
          <w:p w14:paraId="4D180F47">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服务承诺</w:t>
            </w:r>
          </w:p>
        </w:tc>
        <w:tc>
          <w:tcPr>
            <w:tcW w:w="6724" w:type="dxa"/>
            <w:noWrap w:val="0"/>
            <w:vAlign w:val="top"/>
          </w:tcPr>
          <w:p w14:paraId="620157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针对本项目有详尽、有效的服务措施及相关承诺，具有相应的物力、人力保障，能够保证服务正常运转的根据响应情况， 内容详尽、完整，可行性强计</w:t>
            </w:r>
            <w:r>
              <w:rPr>
                <w:rFonts w:hint="eastAsia" w:ascii="微软雅黑" w:hAnsi="微软雅黑" w:eastAsia="微软雅黑" w:cs="微软雅黑"/>
                <w:sz w:val="24"/>
                <w:szCs w:val="24"/>
                <w:highlight w:val="none"/>
                <w:lang w:val="en-US" w:eastAsia="zh-CN"/>
              </w:rPr>
              <w:t>8.1-</w:t>
            </w:r>
            <w:r>
              <w:rPr>
                <w:rFonts w:hint="eastAsia" w:ascii="微软雅黑" w:hAnsi="微软雅黑" w:eastAsia="微软雅黑" w:cs="微软雅黑"/>
                <w:sz w:val="24"/>
                <w:szCs w:val="24"/>
                <w:highlight w:val="none"/>
              </w:rPr>
              <w:t>10分； 内容较详尽、完整，具有一定的可行性计</w:t>
            </w:r>
            <w:r>
              <w:rPr>
                <w:rFonts w:hint="eastAsia" w:ascii="微软雅黑" w:hAnsi="微软雅黑" w:eastAsia="微软雅黑" w:cs="微软雅黑"/>
                <w:sz w:val="24"/>
                <w:szCs w:val="24"/>
                <w:highlight w:val="none"/>
                <w:lang w:val="en-US" w:eastAsia="zh-CN"/>
              </w:rPr>
              <w:t>6.1-</w:t>
            </w:r>
            <w:r>
              <w:rPr>
                <w:rFonts w:hint="eastAsia" w:ascii="微软雅黑" w:hAnsi="微软雅黑" w:eastAsia="微软雅黑" w:cs="微软雅黑"/>
                <w:sz w:val="24"/>
                <w:szCs w:val="24"/>
                <w:highlight w:val="none"/>
              </w:rPr>
              <w:t>8分； 内容基本完整、可行性一般计</w:t>
            </w:r>
            <w:r>
              <w:rPr>
                <w:rFonts w:hint="eastAsia" w:ascii="微软雅黑" w:hAnsi="微软雅黑" w:eastAsia="微软雅黑" w:cs="微软雅黑"/>
                <w:sz w:val="24"/>
                <w:szCs w:val="24"/>
                <w:highlight w:val="none"/>
                <w:lang w:val="en-US" w:eastAsia="zh-CN"/>
              </w:rPr>
              <w:t>4.1-</w:t>
            </w:r>
            <w:r>
              <w:rPr>
                <w:rFonts w:hint="eastAsia" w:ascii="微软雅黑" w:hAnsi="微软雅黑" w:eastAsia="微软雅黑" w:cs="微软雅黑"/>
                <w:sz w:val="24"/>
                <w:szCs w:val="24"/>
                <w:highlight w:val="none"/>
              </w:rPr>
              <w:t>6分； 内容比较简单、可行性较差计</w:t>
            </w:r>
            <w:r>
              <w:rPr>
                <w:rFonts w:hint="eastAsia" w:ascii="微软雅黑" w:hAnsi="微软雅黑" w:eastAsia="微软雅黑" w:cs="微软雅黑"/>
                <w:sz w:val="24"/>
                <w:szCs w:val="24"/>
                <w:highlight w:val="none"/>
                <w:lang w:val="en-US" w:eastAsia="zh-CN"/>
              </w:rPr>
              <w:t>2.1-</w:t>
            </w:r>
            <w:r>
              <w:rPr>
                <w:rFonts w:hint="eastAsia" w:ascii="微软雅黑" w:hAnsi="微软雅黑" w:eastAsia="微软雅黑" w:cs="微软雅黑"/>
                <w:sz w:val="24"/>
                <w:szCs w:val="24"/>
                <w:highlight w:val="none"/>
              </w:rPr>
              <w:t>4分； 内容空洞或存在缺漏项，可行性差，计</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rPr>
              <w:t>2分。 未提供本项不得分。</w:t>
            </w:r>
          </w:p>
        </w:tc>
        <w:tc>
          <w:tcPr>
            <w:tcW w:w="1193" w:type="dxa"/>
            <w:noWrap w:val="0"/>
            <w:vAlign w:val="center"/>
          </w:tcPr>
          <w:p w14:paraId="2DCB15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10</w:t>
            </w:r>
          </w:p>
        </w:tc>
      </w:tr>
      <w:tr w14:paraId="5870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4" w:type="dxa"/>
            <w:noWrap w:val="0"/>
            <w:vAlign w:val="center"/>
          </w:tcPr>
          <w:p w14:paraId="7ADA7A37">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highlight w:val="none"/>
              </w:rPr>
            </w:pPr>
            <w:r>
              <w:rPr>
                <w:rFonts w:hint="eastAsia" w:ascii="微软雅黑" w:hAnsi="微软雅黑" w:eastAsia="微软雅黑" w:cs="微软雅黑"/>
                <w:kern w:val="0"/>
                <w:sz w:val="24"/>
                <w:szCs w:val="24"/>
                <w:highlight w:val="none"/>
              </w:rPr>
              <w:t>业绩</w:t>
            </w:r>
          </w:p>
        </w:tc>
        <w:tc>
          <w:tcPr>
            <w:tcW w:w="6724" w:type="dxa"/>
            <w:noWrap w:val="0"/>
            <w:vAlign w:val="center"/>
          </w:tcPr>
          <w:p w14:paraId="17A91901">
            <w:pPr>
              <w:keepNext w:val="0"/>
              <w:keepLines w:val="0"/>
              <w:suppressLineNumbers w:val="0"/>
              <w:snapToGrid w:val="0"/>
              <w:spacing w:before="0" w:beforeAutospacing="0" w:after="0" w:afterAutospacing="0"/>
              <w:ind w:left="0" w:right="0"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投标人具有近三年（20</w:t>
            </w:r>
            <w:r>
              <w:rPr>
                <w:rFonts w:hint="eastAsia" w:ascii="微软雅黑" w:hAnsi="微软雅黑" w:eastAsia="微软雅黑" w:cs="微软雅黑"/>
                <w:sz w:val="24"/>
                <w:szCs w:val="24"/>
                <w:highlight w:val="none"/>
                <w:lang w:val="en-US" w:eastAsia="zh-CN"/>
              </w:rPr>
              <w:t>22</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1</w:t>
            </w:r>
            <w:r>
              <w:rPr>
                <w:rFonts w:hint="eastAsia" w:ascii="微软雅黑" w:hAnsi="微软雅黑" w:eastAsia="微软雅黑" w:cs="微软雅黑"/>
                <w:sz w:val="24"/>
                <w:szCs w:val="24"/>
                <w:highlight w:val="none"/>
              </w:rPr>
              <w:t>月至今，以合同签订时间为准）类似</w:t>
            </w:r>
            <w:r>
              <w:rPr>
                <w:rFonts w:hint="eastAsia" w:ascii="微软雅黑" w:hAnsi="微软雅黑" w:eastAsia="微软雅黑" w:cs="微软雅黑"/>
                <w:sz w:val="24"/>
                <w:szCs w:val="24"/>
                <w:highlight w:val="none"/>
                <w:lang w:val="en-US" w:eastAsia="zh-CN"/>
              </w:rPr>
              <w:t>项目</w:t>
            </w:r>
            <w:r>
              <w:rPr>
                <w:rFonts w:hint="eastAsia" w:ascii="微软雅黑" w:hAnsi="微软雅黑" w:eastAsia="微软雅黑" w:cs="微软雅黑"/>
                <w:sz w:val="24"/>
                <w:szCs w:val="24"/>
                <w:highlight w:val="none"/>
              </w:rPr>
              <w:t>业绩，每提供1份得</w:t>
            </w: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分，最高得</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分。</w:t>
            </w:r>
          </w:p>
          <w:p w14:paraId="40AE7DC6">
            <w:pPr>
              <w:keepNext w:val="0"/>
              <w:keepLines w:val="0"/>
              <w:suppressLineNumbers w:val="0"/>
              <w:snapToGrid w:val="0"/>
              <w:spacing w:before="0" w:beforeAutospacing="0" w:after="0" w:afterAutospacing="0"/>
              <w:ind w:left="0" w:leftChars="0" w:right="0" w:rightChars="0" w:firstLine="480" w:firstLineChars="200"/>
              <w:rPr>
                <w:rFonts w:hint="eastAsia"/>
                <w:highlight w:val="none"/>
                <w:lang w:val="en-US" w:eastAsia="zh-CN"/>
              </w:rPr>
            </w:pPr>
            <w:r>
              <w:rPr>
                <w:rFonts w:hint="eastAsia" w:ascii="微软雅黑" w:hAnsi="微软雅黑" w:eastAsia="微软雅黑" w:cs="微软雅黑"/>
                <w:sz w:val="24"/>
                <w:szCs w:val="24"/>
                <w:highlight w:val="none"/>
              </w:rPr>
              <w:t>注：业绩以投标文件中的合同复印件加盖公章为准。</w:t>
            </w:r>
          </w:p>
        </w:tc>
        <w:tc>
          <w:tcPr>
            <w:tcW w:w="1193" w:type="dxa"/>
            <w:noWrap w:val="0"/>
            <w:vAlign w:val="center"/>
          </w:tcPr>
          <w:p w14:paraId="734CDC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10</w:t>
            </w:r>
          </w:p>
        </w:tc>
      </w:tr>
    </w:tbl>
    <w:p w14:paraId="03A5526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、其他事项说明</w:t>
      </w:r>
    </w:p>
    <w:p w14:paraId="25D0503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（1）因落实政府采购政策进行价格调整的，以调整后的价格计算评审基准价和磋商报价。</w:t>
      </w:r>
    </w:p>
    <w:p w14:paraId="2A1B035E">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（2）评审时，磋商小组根据以上内容进行综合比较，自主打分，分数四舍五入保留两位小数，独立对每个供应商的响应文件进行评价，并汇总每个供应商的得分。</w:t>
      </w:r>
    </w:p>
    <w:p w14:paraId="71C177A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推荐成交候选供应商名单</w:t>
      </w:r>
    </w:p>
    <w:p w14:paraId="06A3177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sz w:val="24"/>
          <w:szCs w:val="24"/>
        </w:rPr>
        <w:t>磋商小组应当根据综合评分情况，按照评审得分由高到低顺序推荐</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名以上成交候选供应商，并编写评审报告。符合《政府采购竞争性磋商采购方式管理暂行办法》第二十一条第三款情形的，可以推荐2家成交候选供应商。评审得分相同的，按照</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由低到高的顺序推荐。评审得分且</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相同的，按照技术指标优劣顺序推荐</w:t>
      </w:r>
      <w:r>
        <w:rPr>
          <w:rFonts w:hint="eastAsia" w:ascii="微软雅黑" w:hAnsi="微软雅黑" w:eastAsia="微软雅黑" w:cs="微软雅黑"/>
          <w:sz w:val="24"/>
          <w:szCs w:val="24"/>
          <w:lang w:val="zh-CN"/>
        </w:rPr>
        <w:t xml:space="preserve">，磋商小组依据评审结果写出评审报告。 </w:t>
      </w:r>
      <w:bookmarkStart w:id="163" w:name="_Toc495908032"/>
      <w:bookmarkStart w:id="164" w:name="_Toc29653"/>
      <w:bookmarkStart w:id="165" w:name="_Toc1760"/>
      <w:bookmarkStart w:id="166" w:name="_Toc24137"/>
      <w:bookmarkStart w:id="167" w:name="_Toc495681387"/>
      <w:bookmarkStart w:id="168" w:name="_Toc495681514"/>
      <w:bookmarkStart w:id="169" w:name="_Toc24034"/>
      <w:bookmarkStart w:id="170" w:name="_Toc27934"/>
      <w:bookmarkStart w:id="171" w:name="_Toc17215"/>
      <w:bookmarkStart w:id="172" w:name="_Toc23379"/>
      <w:bookmarkStart w:id="173" w:name="_Toc23448"/>
      <w:bookmarkStart w:id="174" w:name="_Toc7764"/>
      <w:bookmarkStart w:id="175" w:name="_Toc20731"/>
      <w:bookmarkStart w:id="176" w:name="_Toc5827"/>
      <w:bookmarkStart w:id="177" w:name="_Toc7148"/>
      <w:bookmarkStart w:id="178" w:name="_Toc3862"/>
      <w:bookmarkStart w:id="179" w:name="_Toc17157"/>
      <w:bookmarkStart w:id="180" w:name="_Toc28733"/>
      <w:bookmarkStart w:id="181" w:name="_Toc14274"/>
      <w:bookmarkStart w:id="182" w:name="_Toc2288"/>
      <w:bookmarkStart w:id="183" w:name="_Toc1682"/>
      <w:bookmarkStart w:id="184" w:name="_Toc5898"/>
      <w:bookmarkStart w:id="185" w:name="_Toc495681233"/>
      <w:bookmarkStart w:id="186" w:name="_Toc495909078"/>
      <w:bookmarkStart w:id="187" w:name="_Toc31793"/>
      <w:bookmarkStart w:id="188" w:name="_Toc29740"/>
    </w:p>
    <w:p w14:paraId="35094298">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1"/>
        <w:rPr>
          <w:rFonts w:hint="eastAsia" w:ascii="微软雅黑" w:hAnsi="微软雅黑" w:eastAsia="微软雅黑" w:cs="微软雅黑"/>
          <w:b/>
          <w:sz w:val="24"/>
          <w:szCs w:val="24"/>
        </w:rPr>
      </w:pPr>
      <w:bookmarkStart w:id="189" w:name="_Toc18236"/>
      <w:bookmarkStart w:id="190" w:name="_Toc655"/>
      <w:r>
        <w:rPr>
          <w:rFonts w:hint="eastAsia" w:ascii="微软雅黑" w:hAnsi="微软雅黑" w:eastAsia="微软雅黑" w:cs="微软雅黑"/>
          <w:b/>
          <w:sz w:val="24"/>
          <w:szCs w:val="24"/>
          <w:lang w:val="en-US" w:eastAsia="zh-CN"/>
        </w:rPr>
        <w:t>八</w:t>
      </w:r>
      <w:r>
        <w:rPr>
          <w:rFonts w:hint="eastAsia" w:ascii="微软雅黑" w:hAnsi="微软雅黑" w:eastAsia="微软雅黑" w:cs="微软雅黑"/>
          <w:b/>
          <w:sz w:val="24"/>
          <w:szCs w:val="24"/>
        </w:rPr>
        <w:t>、确定成交供应商</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38920CE">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（一）采购代理机构应在评审结束后</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个工作日内将评审报告送采购人。</w:t>
      </w:r>
    </w:p>
    <w:p w14:paraId="1324773A">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FF0000"/>
          <w:sz w:val="24"/>
          <w:szCs w:val="24"/>
          <w:lang w:val="zh-CN"/>
        </w:rPr>
      </w:pPr>
      <w:r>
        <w:rPr>
          <w:rFonts w:hint="eastAsia" w:ascii="微软雅黑" w:hAnsi="微软雅黑" w:eastAsia="微软雅黑" w:cs="微软雅黑"/>
          <w:sz w:val="24"/>
          <w:szCs w:val="24"/>
          <w:lang w:val="zh-CN"/>
        </w:rPr>
        <w:t>（二）采购人在收到评审报告后</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val="zh-CN"/>
        </w:rPr>
        <w:t>个工作日内，</w:t>
      </w:r>
      <w:r>
        <w:rPr>
          <w:rFonts w:hint="eastAsia" w:ascii="微软雅黑" w:hAnsi="微软雅黑" w:eastAsia="微软雅黑" w:cs="微软雅黑"/>
          <w:sz w:val="24"/>
          <w:szCs w:val="24"/>
          <w:lang w:val="en-US" w:eastAsia="zh-CN"/>
        </w:rPr>
        <w:t>在</w:t>
      </w:r>
      <w:r>
        <w:rPr>
          <w:rFonts w:hint="eastAsia" w:ascii="微软雅黑" w:hAnsi="微软雅黑" w:eastAsia="微软雅黑" w:cs="微软雅黑"/>
          <w:sz w:val="24"/>
          <w:szCs w:val="24"/>
          <w:lang w:val="zh-CN"/>
        </w:rPr>
        <w:t>评审报告</w:t>
      </w:r>
      <w:r>
        <w:rPr>
          <w:rFonts w:hint="eastAsia" w:ascii="微软雅黑" w:hAnsi="微软雅黑" w:eastAsia="微软雅黑" w:cs="微软雅黑"/>
          <w:sz w:val="24"/>
          <w:szCs w:val="24"/>
          <w:lang w:val="en-US" w:eastAsia="zh-CN"/>
        </w:rPr>
        <w:t>确定</w:t>
      </w:r>
      <w:r>
        <w:rPr>
          <w:rFonts w:hint="eastAsia" w:ascii="微软雅黑" w:hAnsi="微软雅黑" w:eastAsia="微软雅黑" w:cs="微软雅黑"/>
          <w:sz w:val="24"/>
          <w:szCs w:val="24"/>
          <w:lang w:val="zh-CN"/>
        </w:rPr>
        <w:t>的成交候选人</w:t>
      </w:r>
      <w:r>
        <w:rPr>
          <w:rFonts w:hint="eastAsia" w:ascii="微软雅黑" w:hAnsi="微软雅黑" w:eastAsia="微软雅黑" w:cs="微软雅黑"/>
          <w:sz w:val="24"/>
          <w:szCs w:val="24"/>
          <w:lang w:val="en-US" w:eastAsia="zh-CN"/>
        </w:rPr>
        <w:t>名单</w:t>
      </w:r>
      <w:r>
        <w:rPr>
          <w:rFonts w:hint="eastAsia" w:ascii="微软雅黑" w:hAnsi="微软雅黑" w:eastAsia="微软雅黑" w:cs="微软雅黑"/>
          <w:sz w:val="24"/>
          <w:szCs w:val="24"/>
          <w:lang w:val="zh-CN"/>
        </w:rPr>
        <w:t>中</w:t>
      </w:r>
      <w:r>
        <w:rPr>
          <w:rFonts w:hint="eastAsia" w:ascii="微软雅黑" w:hAnsi="微软雅黑" w:eastAsia="微软雅黑" w:cs="微软雅黑"/>
          <w:sz w:val="24"/>
          <w:szCs w:val="24"/>
          <w:lang w:val="en-US" w:eastAsia="zh-CN"/>
        </w:rPr>
        <w:t>按顺序</w:t>
      </w:r>
      <w:r>
        <w:rPr>
          <w:rFonts w:hint="eastAsia" w:ascii="微软雅黑" w:hAnsi="微软雅黑" w:eastAsia="微软雅黑" w:cs="微软雅黑"/>
          <w:sz w:val="24"/>
          <w:szCs w:val="24"/>
          <w:lang w:val="zh-CN"/>
        </w:rPr>
        <w:t>确定成交供应商，复函采购代理机构。采购人在收到评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报告5个工作日内未按评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报告推荐的</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lang w:val="zh-CN"/>
        </w:rPr>
        <w:t>候选人顺序确定</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，又不能说明合法理由的，视同按评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报告推荐的顺序确定排名第一的</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lang w:val="zh-CN"/>
        </w:rPr>
        <w:t>候选人为</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w:t>
      </w:r>
    </w:p>
    <w:p w14:paraId="4A1EC2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lang w:val="en-US" w:eastAsia="zh-CN"/>
        </w:rPr>
      </w:pPr>
      <w:bookmarkStart w:id="191" w:name="_Toc31980"/>
      <w:bookmarkStart w:id="192" w:name="_Toc4865"/>
      <w:r>
        <w:rPr>
          <w:rFonts w:hint="eastAsia" w:ascii="微软雅黑" w:hAnsi="微软雅黑" w:eastAsia="微软雅黑" w:cs="微软雅黑"/>
          <w:sz w:val="24"/>
          <w:szCs w:val="24"/>
          <w:lang w:val="zh-CN"/>
        </w:rPr>
        <w:t>（三）采购代理机构当自</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确定之日起2个工作日内，在省级以上财政部门指定的媒体上公告成交结果，公告期限为1个工作日，并向成交供应商发“成交通知书”。</w:t>
      </w:r>
      <w:bookmarkEnd w:id="191"/>
      <w:bookmarkEnd w:id="192"/>
    </w:p>
    <w:p w14:paraId="47D081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lang w:val="zh-CN"/>
        </w:rPr>
      </w:pPr>
      <w:bookmarkStart w:id="193" w:name="_Toc10245"/>
      <w:r>
        <w:rPr>
          <w:rFonts w:hint="eastAsia" w:ascii="微软雅黑" w:hAnsi="微软雅黑" w:eastAsia="微软雅黑" w:cs="微软雅黑"/>
          <w:b/>
          <w:sz w:val="24"/>
          <w:szCs w:val="24"/>
          <w:lang w:val="en-US" w:eastAsia="zh-CN"/>
        </w:rPr>
        <w:t>九、</w:t>
      </w:r>
      <w:r>
        <w:rPr>
          <w:rFonts w:hint="eastAsia" w:ascii="微软雅黑" w:hAnsi="微软雅黑" w:eastAsia="微软雅黑" w:cs="微软雅黑"/>
          <w:b/>
          <w:sz w:val="24"/>
          <w:szCs w:val="24"/>
          <w:lang w:val="zh-CN"/>
        </w:rPr>
        <w:t>质疑与投诉</w:t>
      </w:r>
      <w:bookmarkEnd w:id="193"/>
    </w:p>
    <w:p w14:paraId="58BFB0C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（一）质疑</w:t>
      </w:r>
    </w:p>
    <w:p w14:paraId="13C4C8B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供应商认为磋商文件、磋商过程或成交结果使自身的合法权益受到损害，可以在法定期限内</w:t>
      </w:r>
      <w:r>
        <w:rPr>
          <w:rFonts w:hint="eastAsia" w:ascii="微软雅黑" w:hAnsi="微软雅黑" w:eastAsia="微软雅黑" w:cs="微软雅黑"/>
          <w:sz w:val="24"/>
          <w:szCs w:val="24"/>
          <w:lang w:val="zh-CN" w:eastAsia="zh-CN"/>
        </w:rPr>
        <w:t>，</w:t>
      </w:r>
      <w:r>
        <w:rPr>
          <w:rFonts w:hint="eastAsia" w:ascii="微软雅黑" w:hAnsi="微软雅黑" w:eastAsia="微软雅黑" w:cs="微软雅黑"/>
          <w:sz w:val="24"/>
          <w:szCs w:val="24"/>
          <w:lang w:val="zh-CN"/>
        </w:rPr>
        <w:t>以书面形式向采购代理机构或采购人当面递交质疑</w:t>
      </w:r>
      <w:r>
        <w:rPr>
          <w:rFonts w:hint="eastAsia" w:ascii="微软雅黑" w:hAnsi="微软雅黑" w:eastAsia="微软雅黑" w:cs="微软雅黑"/>
          <w:sz w:val="24"/>
          <w:szCs w:val="24"/>
          <w:highlight w:val="none"/>
          <w:lang w:val="zh-CN" w:eastAsia="zh-CN"/>
        </w:rPr>
        <w:t>，</w:t>
      </w:r>
      <w:r>
        <w:rPr>
          <w:rFonts w:hint="eastAsia" w:ascii="微软雅黑" w:hAnsi="微软雅黑" w:eastAsia="微软雅黑" w:cs="微软雅黑"/>
          <w:sz w:val="24"/>
          <w:szCs w:val="24"/>
          <w:highlight w:val="none"/>
          <w:lang w:val="zh-CN"/>
        </w:rPr>
        <w:t>针对同一采购程序环节的质疑应一次性提出。</w:t>
      </w:r>
    </w:p>
    <w:p w14:paraId="1EF7D76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（1）提出质疑应当递交质疑函和必要的证明材料，质疑函应当包括以下主要内容：</w:t>
      </w:r>
    </w:p>
    <w:p w14:paraId="4C62A6E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①供应商的姓名或者名称</w:t>
      </w:r>
      <w:r>
        <w:rPr>
          <w:rFonts w:hint="eastAsia" w:ascii="微软雅黑" w:hAnsi="微软雅黑" w:eastAsia="微软雅黑" w:cs="微软雅黑"/>
          <w:sz w:val="24"/>
          <w:szCs w:val="24"/>
        </w:rPr>
        <w:t xml:space="preserve">、地址、邮编、联系人及联系电话；②质疑项目的名称、编号；③具体、明确的质疑事项和与质疑事项相关的请求；④事实依据；⑤必要的法律依据；⑥提出质疑的日期。 </w:t>
      </w:r>
    </w:p>
    <w:p w14:paraId="159CFA9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（2）质疑函应当由法定代表人签字并加盖公章，公章不得以合同章或其他印章代替。</w:t>
      </w:r>
    </w:p>
    <w:p w14:paraId="224F71B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（3）质疑人可以授权代表办理质疑事项，授权代表办理质疑事项时，除递交质疑函外，还应当递交法人授权委托书及授权代表的有效身份证明，授权委托书应当载明委托代理的具体权限和事项。</w:t>
      </w:r>
    </w:p>
    <w:p w14:paraId="1E5E74B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符合要求的质疑，采购代理机构将予以受理并答复</w:t>
      </w:r>
      <w:r>
        <w:rPr>
          <w:rFonts w:hint="eastAsia" w:ascii="微软雅黑" w:hAnsi="微软雅黑" w:eastAsia="微软雅黑" w:cs="微软雅黑"/>
          <w:sz w:val="24"/>
          <w:szCs w:val="24"/>
          <w:lang w:eastAsia="zh-CN"/>
        </w:rPr>
        <w:t>。</w:t>
      </w:r>
    </w:p>
    <w:p w14:paraId="3EB7F5C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采购代理机构或采购人将在收到书面质疑后7个工作日内做出答复，并以书面形式通知质疑人和其他有关供应商。</w:t>
      </w:r>
    </w:p>
    <w:p w14:paraId="4667B9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（二）投诉</w:t>
      </w:r>
    </w:p>
    <w:p w14:paraId="4658EAF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质疑人对采购代理机构或采购人的答复不满意，以及采购代理机构或采购人未在规定时间内做出答复的，可以在答复期满后15个工作日内向政府采购监管机构提出投诉。</w:t>
      </w:r>
    </w:p>
    <w:p w14:paraId="043EFAF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投诉的事项不得超出已质疑事项的范围。</w:t>
      </w:r>
    </w:p>
    <w:p w14:paraId="4D93C485">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highlight w:val="none"/>
        </w:rPr>
      </w:pPr>
      <w:bookmarkStart w:id="194" w:name="_Toc31152"/>
      <w:bookmarkStart w:id="195" w:name="_Toc251"/>
      <w:r>
        <w:rPr>
          <w:rFonts w:hint="eastAsia" w:ascii="微软雅黑" w:hAnsi="微软雅黑" w:eastAsia="微软雅黑" w:cs="微软雅黑"/>
          <w:b/>
          <w:sz w:val="24"/>
          <w:szCs w:val="24"/>
          <w:highlight w:val="none"/>
          <w:lang w:val="en-US" w:eastAsia="zh-CN"/>
        </w:rPr>
        <w:t>十</w:t>
      </w:r>
      <w:r>
        <w:rPr>
          <w:rFonts w:hint="eastAsia" w:ascii="微软雅黑" w:hAnsi="微软雅黑" w:eastAsia="微软雅黑" w:cs="微软雅黑"/>
          <w:b/>
          <w:sz w:val="24"/>
          <w:szCs w:val="24"/>
          <w:highlight w:val="none"/>
          <w:lang w:eastAsia="zh-CN"/>
        </w:rPr>
        <w:t>、</w:t>
      </w:r>
      <w:r>
        <w:rPr>
          <w:rFonts w:hint="eastAsia" w:ascii="微软雅黑" w:hAnsi="微软雅黑" w:eastAsia="微软雅黑" w:cs="微软雅黑"/>
          <w:b/>
          <w:sz w:val="24"/>
          <w:szCs w:val="24"/>
          <w:highlight w:val="none"/>
        </w:rPr>
        <w:t>履约保证金</w:t>
      </w:r>
      <w:bookmarkEnd w:id="194"/>
    </w:p>
    <w:p w14:paraId="7DD274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val="0"/>
          <w:bCs/>
          <w:sz w:val="24"/>
          <w:szCs w:val="24"/>
          <w:highlight w:val="yellow"/>
        </w:rPr>
      </w:pPr>
      <w:r>
        <w:rPr>
          <w:rFonts w:hint="eastAsia" w:ascii="微软雅黑" w:hAnsi="微软雅黑" w:eastAsia="微软雅黑" w:cs="微软雅黑"/>
          <w:color w:val="auto"/>
          <w:sz w:val="24"/>
          <w:szCs w:val="24"/>
          <w:highlight w:val="none"/>
          <w:lang w:val="zh-CN"/>
        </w:rPr>
        <w:t>本项目成交供应商是否需要向采购人缴纳履行保证金：</w:t>
      </w:r>
      <w:r>
        <w:rPr>
          <w:rFonts w:hint="eastAsia" w:ascii="微软雅黑" w:hAnsi="微软雅黑" w:eastAsia="微软雅黑" w:cs="微软雅黑"/>
          <w:color w:val="auto"/>
          <w:sz w:val="24"/>
          <w:szCs w:val="24"/>
          <w:highlight w:val="none"/>
          <w:u w:val="single"/>
          <w:lang w:val="en-US" w:eastAsia="zh-CN"/>
        </w:rPr>
        <w:t xml:space="preserve"> 否  </w:t>
      </w:r>
      <w:r>
        <w:rPr>
          <w:rFonts w:hint="eastAsia" w:ascii="微软雅黑" w:hAnsi="微软雅黑" w:eastAsia="微软雅黑" w:cs="微软雅黑"/>
          <w:color w:val="auto"/>
          <w:sz w:val="24"/>
          <w:szCs w:val="24"/>
          <w:highlight w:val="none"/>
          <w:lang w:val="zh-CN"/>
        </w:rPr>
        <w:t>。</w:t>
      </w:r>
    </w:p>
    <w:p w14:paraId="7342E19C">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rPr>
      </w:pPr>
      <w:bookmarkStart w:id="196" w:name="_Toc9592"/>
      <w:r>
        <w:rPr>
          <w:rFonts w:hint="eastAsia" w:ascii="微软雅黑" w:hAnsi="微软雅黑" w:eastAsia="微软雅黑" w:cs="微软雅黑"/>
          <w:b/>
          <w:sz w:val="24"/>
          <w:szCs w:val="24"/>
          <w:lang w:val="en-US" w:eastAsia="zh-CN"/>
        </w:rPr>
        <w:t>十一</w:t>
      </w:r>
      <w:r>
        <w:rPr>
          <w:rFonts w:hint="eastAsia" w:ascii="微软雅黑" w:hAnsi="微软雅黑" w:eastAsia="微软雅黑" w:cs="微软雅黑"/>
          <w:b/>
          <w:sz w:val="24"/>
          <w:szCs w:val="24"/>
        </w:rPr>
        <w:t>、合同</w:t>
      </w:r>
      <w:bookmarkEnd w:id="195"/>
      <w:bookmarkEnd w:id="196"/>
    </w:p>
    <w:p w14:paraId="46C9E91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sz w:val="24"/>
          <w:szCs w:val="24"/>
        </w:rPr>
        <w:t>（一）采购人应当</w:t>
      </w:r>
      <w:r>
        <w:rPr>
          <w:rFonts w:hint="eastAsia" w:ascii="微软雅黑" w:hAnsi="微软雅黑" w:eastAsia="微软雅黑" w:cs="微软雅黑"/>
          <w:sz w:val="24"/>
          <w:szCs w:val="24"/>
          <w:lang w:val="en-US" w:eastAsia="zh-CN"/>
        </w:rPr>
        <w:t>自</w:t>
      </w:r>
      <w:r>
        <w:rPr>
          <w:rFonts w:hint="eastAsia" w:ascii="微软雅黑" w:hAnsi="微软雅黑" w:eastAsia="微软雅黑" w:cs="微软雅黑"/>
          <w:sz w:val="24"/>
          <w:szCs w:val="24"/>
        </w:rPr>
        <w:t>成交通知书发出之日起30日内，</w:t>
      </w:r>
      <w:r>
        <w:rPr>
          <w:rFonts w:hint="eastAsia" w:ascii="微软雅黑" w:hAnsi="微软雅黑" w:eastAsia="微软雅黑" w:cs="微软雅黑"/>
          <w:sz w:val="24"/>
          <w:szCs w:val="24"/>
          <w:lang w:val="zh-CN"/>
        </w:rPr>
        <w:t>按照磋商文件和成交供应商响应文件（包括评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中形成的澄清文件）的</w:t>
      </w:r>
      <w:r>
        <w:rPr>
          <w:rFonts w:hint="eastAsia" w:ascii="微软雅黑" w:hAnsi="微软雅黑" w:eastAsia="微软雅黑" w:cs="微软雅黑"/>
          <w:sz w:val="24"/>
          <w:szCs w:val="24"/>
          <w:lang w:val="en-US" w:eastAsia="zh-CN"/>
        </w:rPr>
        <w:t>规</w:t>
      </w:r>
      <w:r>
        <w:rPr>
          <w:rFonts w:hint="eastAsia" w:ascii="微软雅黑" w:hAnsi="微软雅黑" w:eastAsia="微软雅黑" w:cs="微软雅黑"/>
          <w:sz w:val="24"/>
          <w:szCs w:val="24"/>
          <w:lang w:val="zh-CN"/>
        </w:rPr>
        <w:t>定，与成交供应商</w:t>
      </w:r>
      <w:r>
        <w:rPr>
          <w:rFonts w:hint="eastAsia" w:ascii="微软雅黑" w:hAnsi="微软雅黑" w:eastAsia="微软雅黑" w:cs="微软雅黑"/>
          <w:sz w:val="24"/>
          <w:szCs w:val="24"/>
          <w:lang w:val="en-US" w:eastAsia="zh-CN"/>
        </w:rPr>
        <w:t>签订书面合同。所签订的合同不得对</w:t>
      </w:r>
      <w:r>
        <w:rPr>
          <w:rFonts w:hint="eastAsia" w:ascii="微软雅黑" w:hAnsi="微软雅黑" w:eastAsia="微软雅黑" w:cs="微软雅黑"/>
          <w:sz w:val="24"/>
          <w:szCs w:val="24"/>
          <w:lang w:val="zh-CN"/>
        </w:rPr>
        <w:t>磋商文件</w:t>
      </w:r>
      <w:r>
        <w:rPr>
          <w:rFonts w:hint="eastAsia" w:ascii="微软雅黑" w:hAnsi="微软雅黑" w:eastAsia="微软雅黑" w:cs="微软雅黑"/>
          <w:sz w:val="24"/>
          <w:szCs w:val="24"/>
          <w:lang w:val="en-US" w:eastAsia="zh-CN"/>
        </w:rPr>
        <w:t>确定的事项和成交供应</w:t>
      </w:r>
      <w:r>
        <w:rPr>
          <w:rFonts w:hint="eastAsia" w:ascii="微软雅黑" w:hAnsi="微软雅黑" w:eastAsia="微软雅黑" w:cs="微软雅黑"/>
          <w:color w:val="auto"/>
          <w:sz w:val="24"/>
          <w:szCs w:val="24"/>
          <w:highlight w:val="none"/>
          <w:lang w:val="en-US" w:eastAsia="zh-CN"/>
        </w:rPr>
        <w:t>商响应文件作实质性修改</w:t>
      </w:r>
      <w:r>
        <w:rPr>
          <w:rFonts w:hint="eastAsia" w:ascii="微软雅黑" w:hAnsi="微软雅黑" w:eastAsia="微软雅黑" w:cs="微软雅黑"/>
          <w:color w:val="auto"/>
          <w:sz w:val="24"/>
          <w:szCs w:val="24"/>
          <w:highlight w:val="none"/>
          <w:lang w:val="zh-CN"/>
        </w:rPr>
        <w:t>。</w:t>
      </w:r>
    </w:p>
    <w:p w14:paraId="53676764">
      <w:pPr>
        <w:keepNext w:val="0"/>
        <w:keepLines w:val="0"/>
        <w:pageBreakBefore w:val="0"/>
        <w:widowControl w:val="0"/>
        <w:kinsoku/>
        <w:wordWrap/>
        <w:overflowPunct/>
        <w:topLinePunct w:val="0"/>
        <w:bidi w:val="0"/>
        <w:snapToGrid w:val="0"/>
        <w:spacing w:line="360" w:lineRule="auto"/>
        <w:ind w:firstLine="480" w:firstLineChars="200"/>
        <w:textAlignment w:val="auto"/>
        <w:rPr>
          <w:rStyle w:val="29"/>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"mailto:（二）中标人需在合同签订后两个工作日内，提供完整的合同扫描件发送至邮箱（229037809@qq.com）。" </w:instrText>
      </w:r>
      <w:r>
        <w:rPr>
          <w:rFonts w:hint="eastAsia" w:ascii="微软雅黑" w:hAnsi="微软雅黑" w:eastAsia="微软雅黑" w:cs="微软雅黑"/>
          <w:color w:val="auto"/>
          <w:sz w:val="24"/>
          <w:szCs w:val="24"/>
          <w:highlight w:val="none"/>
        </w:rPr>
        <w:fldChar w:fldCharType="separate"/>
      </w:r>
      <w:r>
        <w:rPr>
          <w:rStyle w:val="29"/>
          <w:rFonts w:hint="eastAsia" w:ascii="微软雅黑" w:hAnsi="微软雅黑" w:eastAsia="微软雅黑" w:cs="微软雅黑"/>
          <w:color w:val="auto"/>
          <w:sz w:val="24"/>
          <w:szCs w:val="24"/>
          <w:highlight w:val="none"/>
        </w:rPr>
        <w:t>（二）</w:t>
      </w:r>
      <w:r>
        <w:rPr>
          <w:rStyle w:val="29"/>
          <w:rFonts w:hint="eastAsia" w:ascii="微软雅黑" w:hAnsi="微软雅黑" w:eastAsia="微软雅黑" w:cs="微软雅黑"/>
          <w:color w:val="auto"/>
          <w:sz w:val="24"/>
          <w:szCs w:val="24"/>
          <w:highlight w:val="none"/>
          <w:lang w:val="en-US" w:eastAsia="zh-CN"/>
        </w:rPr>
        <w:t>成交供应商</w:t>
      </w:r>
      <w:r>
        <w:rPr>
          <w:rStyle w:val="29"/>
          <w:rFonts w:hint="eastAsia" w:ascii="微软雅黑" w:hAnsi="微软雅黑" w:eastAsia="微软雅黑" w:cs="微软雅黑"/>
          <w:color w:val="auto"/>
          <w:sz w:val="24"/>
          <w:szCs w:val="24"/>
          <w:highlight w:val="none"/>
        </w:rPr>
        <w:t>需在合同签订后两个工作日内，提供完整的合同扫描件发送至邮箱（</w:t>
      </w:r>
      <w:bookmarkStart w:id="197" w:name="OLE_LINK5"/>
      <w:r>
        <w:rPr>
          <w:rStyle w:val="29"/>
          <w:rFonts w:hint="eastAsia" w:ascii="微软雅黑" w:hAnsi="微软雅黑" w:eastAsia="微软雅黑" w:cs="微软雅黑"/>
          <w:b w:val="0"/>
          <w:sz w:val="24"/>
          <w:szCs w:val="24"/>
          <w:highlight w:val="none"/>
          <w:lang w:val="en-US" w:eastAsia="zh-CN"/>
        </w:rPr>
        <w:t>1933250397</w:t>
      </w:r>
      <w:bookmarkEnd w:id="197"/>
      <w:r>
        <w:rPr>
          <w:rStyle w:val="29"/>
          <w:rFonts w:hint="eastAsia" w:ascii="微软雅黑" w:hAnsi="微软雅黑" w:eastAsia="微软雅黑" w:cs="微软雅黑"/>
          <w:sz w:val="24"/>
          <w:szCs w:val="24"/>
          <w:highlight w:val="none"/>
        </w:rPr>
        <w:t>@qq.com</w:t>
      </w:r>
      <w:r>
        <w:rPr>
          <w:rStyle w:val="29"/>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rPr>
        <w:fldChar w:fldCharType="end"/>
      </w:r>
    </w:p>
    <w:p w14:paraId="6C7FCAB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成交供应商无正当理由拖延或</w:t>
      </w:r>
      <w:r>
        <w:rPr>
          <w:rFonts w:hint="eastAsia" w:ascii="微软雅黑" w:hAnsi="微软雅黑" w:eastAsia="微软雅黑" w:cs="微软雅黑"/>
          <w:sz w:val="24"/>
          <w:szCs w:val="24"/>
          <w:lang w:val="zh-CN"/>
        </w:rPr>
        <w:t>拒绝与采购人签订合同</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采购人可以按照评审报告推荐的成交候选人名单排序，确定下一候选人为成交供应商，也可以重新开展政府采购活动。</w:t>
      </w:r>
      <w:r>
        <w:rPr>
          <w:rFonts w:hint="eastAsia" w:ascii="微软雅黑" w:hAnsi="微软雅黑" w:eastAsia="微软雅黑" w:cs="微软雅黑"/>
          <w:sz w:val="24"/>
          <w:szCs w:val="24"/>
        </w:rPr>
        <w:t>同时报请监督机构通报，取消其进入政府采购市场的资格，按规定予以处罚。</w:t>
      </w:r>
    </w:p>
    <w:p w14:paraId="3B683B54">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lang w:val="zh-CN"/>
        </w:rPr>
      </w:pPr>
      <w:bookmarkStart w:id="198" w:name="_Toc1783"/>
      <w:bookmarkStart w:id="199" w:name="_Toc22612"/>
      <w:bookmarkStart w:id="200" w:name="_Toc513647119"/>
      <w:bookmarkStart w:id="201" w:name="_Toc27520"/>
      <w:bookmarkStart w:id="202" w:name="_Toc10295"/>
      <w:bookmarkStart w:id="203" w:name="_Toc36034970"/>
      <w:bookmarkStart w:id="204" w:name="_Toc7736"/>
      <w:bookmarkStart w:id="205" w:name="_Toc4517"/>
      <w:bookmarkStart w:id="206" w:name="_Toc2446"/>
      <w:bookmarkStart w:id="207" w:name="_Toc10354"/>
      <w:bookmarkStart w:id="208" w:name="_Toc31715"/>
      <w:r>
        <w:rPr>
          <w:rFonts w:hint="eastAsia" w:ascii="微软雅黑" w:hAnsi="微软雅黑" w:eastAsia="微软雅黑" w:cs="微软雅黑"/>
          <w:b/>
          <w:sz w:val="24"/>
          <w:szCs w:val="24"/>
          <w:lang w:val="zh-CN"/>
        </w:rPr>
        <w:t>十</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lang w:val="zh-CN"/>
        </w:rPr>
        <w:t>、合同的履约验收</w:t>
      </w:r>
      <w:bookmarkEnd w:id="198"/>
      <w:bookmarkEnd w:id="199"/>
      <w:bookmarkEnd w:id="200"/>
      <w:bookmarkEnd w:id="201"/>
      <w:bookmarkEnd w:id="202"/>
      <w:bookmarkEnd w:id="203"/>
      <w:bookmarkEnd w:id="204"/>
      <w:bookmarkEnd w:id="205"/>
      <w:bookmarkEnd w:id="206"/>
      <w:bookmarkEnd w:id="207"/>
      <w:bookmarkEnd w:id="208"/>
    </w:p>
    <w:p w14:paraId="5258262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政府采购合同的履行、违约责任和解决争议的方法等适用《中华人民共和国</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z w:val="24"/>
          <w:szCs w:val="24"/>
          <w:lang w:val="zh-CN"/>
        </w:rPr>
        <w:t>》，采购人按照政府采购合同规定的技术、服务、安全标准组织对供应商履约情况进行验收，并出具验收书。</w:t>
      </w:r>
    </w:p>
    <w:p w14:paraId="321A3A2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rPr>
      </w:pPr>
      <w:bookmarkStart w:id="209" w:name="_Toc495681517"/>
      <w:bookmarkStart w:id="210" w:name="_Toc27381"/>
      <w:bookmarkStart w:id="211" w:name="_Toc495909081"/>
      <w:bookmarkStart w:id="212" w:name="_Toc36034971"/>
      <w:bookmarkStart w:id="213" w:name="_Toc495681236"/>
      <w:bookmarkStart w:id="214" w:name="_Toc18937"/>
      <w:bookmarkStart w:id="215" w:name="_Toc10047"/>
      <w:bookmarkStart w:id="216" w:name="_Toc31497"/>
      <w:bookmarkStart w:id="217" w:name="_Toc495681390"/>
      <w:bookmarkStart w:id="218" w:name="_Toc27965"/>
      <w:bookmarkStart w:id="219" w:name="_Toc20548"/>
      <w:bookmarkStart w:id="220" w:name="_Toc495908035"/>
      <w:bookmarkStart w:id="221" w:name="_Toc6004"/>
      <w:bookmarkStart w:id="222" w:name="_Toc28408"/>
      <w:bookmarkStart w:id="223" w:name="_Toc7778"/>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三</w:t>
      </w:r>
      <w:r>
        <w:rPr>
          <w:rFonts w:hint="eastAsia" w:ascii="微软雅黑" w:hAnsi="微软雅黑" w:eastAsia="微软雅黑" w:cs="微软雅黑"/>
          <w:b/>
          <w:sz w:val="24"/>
          <w:szCs w:val="24"/>
        </w:rPr>
        <w:t>、</w:t>
      </w:r>
      <w:bookmarkEnd w:id="209"/>
      <w:bookmarkEnd w:id="210"/>
      <w:bookmarkEnd w:id="211"/>
      <w:bookmarkEnd w:id="212"/>
      <w:bookmarkEnd w:id="213"/>
      <w:bookmarkEnd w:id="214"/>
      <w:bookmarkEnd w:id="215"/>
      <w:bookmarkEnd w:id="216"/>
      <w:bookmarkEnd w:id="217"/>
      <w:bookmarkEnd w:id="218"/>
      <w:bookmarkEnd w:id="219"/>
      <w:bookmarkEnd w:id="220"/>
      <w:r>
        <w:rPr>
          <w:rFonts w:hint="eastAsia" w:ascii="微软雅黑" w:hAnsi="微软雅黑" w:eastAsia="微软雅黑" w:cs="微软雅黑"/>
          <w:b/>
          <w:sz w:val="24"/>
          <w:szCs w:val="24"/>
          <w:lang w:val="zh-CN"/>
        </w:rPr>
        <w:t>招标代理服务费</w:t>
      </w:r>
      <w:bookmarkEnd w:id="221"/>
      <w:bookmarkEnd w:id="222"/>
      <w:bookmarkEnd w:id="223"/>
    </w:p>
    <w:p w14:paraId="3E127B2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bookmarkStart w:id="224" w:name="_Toc19647"/>
      <w:bookmarkStart w:id="225" w:name="_Toc511132992"/>
      <w:bookmarkStart w:id="226" w:name="_Toc513647121"/>
      <w:r>
        <w:rPr>
          <w:rFonts w:hint="eastAsia" w:ascii="微软雅黑" w:hAnsi="微软雅黑" w:eastAsia="微软雅黑" w:cs="微软雅黑"/>
          <w:sz w:val="24"/>
          <w:szCs w:val="24"/>
        </w:rPr>
        <w:t>（一）成交供应商在领取成交通知书前，向采购代理机构</w:t>
      </w:r>
      <w:r>
        <w:rPr>
          <w:rFonts w:hint="eastAsia" w:ascii="微软雅黑" w:hAnsi="微软雅黑" w:eastAsia="微软雅黑" w:cs="微软雅黑"/>
          <w:sz w:val="24"/>
          <w:szCs w:val="24"/>
          <w:lang w:val="en-US" w:eastAsia="zh-CN"/>
        </w:rPr>
        <w:t>一次性</w:t>
      </w:r>
      <w:r>
        <w:rPr>
          <w:rFonts w:hint="eastAsia" w:ascii="微软雅黑" w:hAnsi="微软雅黑" w:eastAsia="微软雅黑" w:cs="微软雅黑"/>
          <w:sz w:val="24"/>
          <w:szCs w:val="24"/>
        </w:rPr>
        <w:t>支</w:t>
      </w:r>
      <w:r>
        <w:rPr>
          <w:rFonts w:hint="eastAsia" w:ascii="微软雅黑" w:hAnsi="微软雅黑" w:eastAsia="微软雅黑" w:cs="微软雅黑"/>
          <w:b w:val="0"/>
          <w:bCs w:val="0"/>
          <w:sz w:val="24"/>
          <w:szCs w:val="24"/>
        </w:rPr>
        <w:t>付</w:t>
      </w:r>
      <w:r>
        <w:rPr>
          <w:rFonts w:hint="eastAsia" w:ascii="微软雅黑" w:hAnsi="微软雅黑" w:eastAsia="微软雅黑" w:cs="微软雅黑"/>
          <w:b w:val="0"/>
          <w:bCs w:val="0"/>
          <w:sz w:val="24"/>
          <w:szCs w:val="24"/>
          <w:lang w:val="zh-CN"/>
        </w:rPr>
        <w:t>招标代理服务费</w:t>
      </w:r>
      <w:r>
        <w:rPr>
          <w:rFonts w:hint="eastAsia" w:ascii="微软雅黑" w:hAnsi="微软雅黑" w:eastAsia="微软雅黑" w:cs="微软雅黑"/>
          <w:b w:val="0"/>
          <w:bCs w:val="0"/>
          <w:sz w:val="24"/>
          <w:szCs w:val="24"/>
        </w:rPr>
        <w:t>。</w:t>
      </w:r>
    </w:p>
    <w:p w14:paraId="7547F98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lang w:val="zh-CN"/>
        </w:rPr>
      </w:pPr>
      <w:r>
        <w:rPr>
          <w:rFonts w:hint="eastAsia" w:ascii="微软雅黑" w:hAnsi="微软雅黑" w:eastAsia="微软雅黑" w:cs="微软雅黑"/>
          <w:sz w:val="24"/>
          <w:szCs w:val="24"/>
        </w:rPr>
        <w:t>（二）</w:t>
      </w:r>
      <w:r>
        <w:rPr>
          <w:rFonts w:hint="eastAsia" w:ascii="微软雅黑" w:hAnsi="微软雅黑" w:eastAsia="微软雅黑" w:cs="微软雅黑"/>
          <w:color w:val="000000"/>
          <w:sz w:val="24"/>
          <w:szCs w:val="24"/>
          <w:lang w:val="zh-CN"/>
        </w:rPr>
        <w:t>招标代理服务费的计算方法：</w:t>
      </w:r>
      <w:r>
        <w:rPr>
          <w:rFonts w:hint="eastAsia" w:ascii="微软雅黑" w:hAnsi="微软雅黑" w:eastAsia="微软雅黑" w:cs="微软雅黑"/>
          <w:sz w:val="24"/>
          <w:szCs w:val="24"/>
          <w:lang w:val="zh-CN"/>
        </w:rPr>
        <w:t>以成交金额为基数，</w:t>
      </w:r>
      <w:r>
        <w:rPr>
          <w:rFonts w:hint="eastAsia" w:ascii="微软雅黑" w:hAnsi="微软雅黑" w:eastAsia="微软雅黑" w:cs="微软雅黑"/>
          <w:bCs/>
          <w:sz w:val="24"/>
          <w:szCs w:val="24"/>
        </w:rPr>
        <w:t>参考《国家计委关于印发&lt;招标代理服务收费管理暂行办法&gt;的通知》（计价格【2002】1980</w:t>
      </w:r>
      <w:r>
        <w:rPr>
          <w:rFonts w:hint="eastAsia" w:ascii="微软雅黑" w:hAnsi="微软雅黑" w:eastAsia="微软雅黑" w:cs="微软雅黑"/>
          <w:bCs/>
          <w:sz w:val="24"/>
          <w:szCs w:val="24"/>
          <w:highlight w:val="none"/>
        </w:rPr>
        <w:t>号）及《国家发改委关于降低部分建设项目收费标准规范收费行为等有关问题的通知》（发改价格[2011]534号）规定按标准收取，</w:t>
      </w:r>
      <w:r>
        <w:rPr>
          <w:rFonts w:hint="eastAsia" w:ascii="微软雅黑" w:hAnsi="微软雅黑" w:eastAsia="微软雅黑" w:cs="微软雅黑"/>
          <w:sz w:val="24"/>
          <w:szCs w:val="24"/>
          <w:highlight w:val="none"/>
        </w:rPr>
        <w:t>若按照标准收取不足</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000元，按</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000元</w:t>
      </w:r>
      <w:r>
        <w:rPr>
          <w:rFonts w:hint="eastAsia" w:ascii="微软雅黑" w:hAnsi="微软雅黑" w:eastAsia="微软雅黑" w:cs="微软雅黑"/>
          <w:sz w:val="24"/>
          <w:szCs w:val="24"/>
        </w:rPr>
        <w:t>计取</w:t>
      </w:r>
      <w:r>
        <w:rPr>
          <w:rFonts w:hint="eastAsia" w:ascii="微软雅黑" w:hAnsi="微软雅黑" w:eastAsia="微软雅黑" w:cs="微软雅黑"/>
          <w:color w:val="000000"/>
          <w:sz w:val="24"/>
          <w:szCs w:val="24"/>
          <w:lang w:val="zh-CN"/>
        </w:rPr>
        <w:t>。</w:t>
      </w:r>
    </w:p>
    <w:p w14:paraId="7D54B78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w:t>
      </w:r>
      <w:r>
        <w:rPr>
          <w:rFonts w:hint="eastAsia" w:ascii="微软雅黑" w:hAnsi="微软雅黑" w:eastAsia="微软雅黑" w:cs="微软雅黑"/>
          <w:color w:val="000000"/>
          <w:sz w:val="24"/>
          <w:szCs w:val="24"/>
          <w:lang w:val="zh-CN"/>
        </w:rPr>
        <w:t>招标代理服务费</w:t>
      </w:r>
      <w:r>
        <w:rPr>
          <w:rFonts w:hint="eastAsia" w:ascii="微软雅黑" w:hAnsi="微软雅黑" w:eastAsia="微软雅黑" w:cs="微软雅黑"/>
          <w:sz w:val="24"/>
          <w:szCs w:val="24"/>
          <w:lang w:val="zh-CN"/>
        </w:rPr>
        <w:t>可以采取现金、支票、银行汇票、电汇、网银等方式缴纳。</w:t>
      </w:r>
    </w:p>
    <w:p w14:paraId="79D1C61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（四）</w:t>
      </w:r>
      <w:r>
        <w:rPr>
          <w:rFonts w:hint="eastAsia" w:ascii="微软雅黑" w:hAnsi="微软雅黑" w:eastAsia="微软雅黑" w:cs="微软雅黑"/>
          <w:color w:val="000000"/>
          <w:sz w:val="24"/>
          <w:szCs w:val="24"/>
          <w:lang w:val="zh-CN"/>
        </w:rPr>
        <w:t>招标代理服务费</w:t>
      </w:r>
      <w:r>
        <w:rPr>
          <w:rFonts w:hint="eastAsia" w:ascii="微软雅黑" w:hAnsi="微软雅黑" w:eastAsia="微软雅黑" w:cs="微软雅黑"/>
          <w:sz w:val="24"/>
          <w:szCs w:val="24"/>
          <w:lang w:eastAsia="zh-CN"/>
        </w:rPr>
        <w:t>缴纳</w:t>
      </w:r>
      <w:r>
        <w:rPr>
          <w:rFonts w:hint="eastAsia" w:ascii="微软雅黑" w:hAnsi="微软雅黑" w:eastAsia="微软雅黑" w:cs="微软雅黑"/>
          <w:sz w:val="24"/>
          <w:szCs w:val="24"/>
        </w:rPr>
        <w:t>信息：</w:t>
      </w:r>
    </w:p>
    <w:p w14:paraId="1FAFA41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银行户名：</w:t>
      </w:r>
      <w:r>
        <w:rPr>
          <w:rFonts w:hint="eastAsia" w:ascii="微软雅黑" w:hAnsi="微软雅黑" w:eastAsia="微软雅黑" w:cs="微软雅黑"/>
          <w:sz w:val="24"/>
          <w:szCs w:val="24"/>
          <w:lang w:val="zh-CN"/>
        </w:rPr>
        <w:t>陕西众灿品诚项目管理有限公司</w:t>
      </w:r>
    </w:p>
    <w:p w14:paraId="3AB7D59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开户银行</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招商银行西安分行钟楼支行</w:t>
      </w:r>
    </w:p>
    <w:p w14:paraId="38D126D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账    号：</w:t>
      </w:r>
      <w:r>
        <w:rPr>
          <w:rFonts w:hint="eastAsia" w:ascii="微软雅黑" w:hAnsi="微软雅黑" w:eastAsia="微软雅黑" w:cs="微软雅黑"/>
          <w:sz w:val="24"/>
          <w:szCs w:val="24"/>
          <w:lang w:val="en-US" w:eastAsia="zh-CN"/>
        </w:rPr>
        <w:t>129914150610901</w:t>
      </w:r>
      <w:r>
        <w:rPr>
          <w:rFonts w:hint="eastAsia" w:ascii="微软雅黑" w:hAnsi="微软雅黑" w:eastAsia="微软雅黑" w:cs="微软雅黑"/>
          <w:sz w:val="24"/>
          <w:szCs w:val="24"/>
          <w:lang w:val="zh-CN"/>
        </w:rPr>
        <w:t xml:space="preserve"> </w:t>
      </w:r>
    </w:p>
    <w:p w14:paraId="5D27F5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highlight w:val="none"/>
          <w:lang w:val="zh-CN"/>
        </w:rPr>
      </w:pPr>
      <w:bookmarkStart w:id="227" w:name="_Toc36034972"/>
      <w:bookmarkStart w:id="228" w:name="_Toc8770"/>
      <w:bookmarkStart w:id="229" w:name="_Toc11343"/>
      <w:bookmarkStart w:id="230" w:name="_Toc24755"/>
      <w:bookmarkStart w:id="231" w:name="_Toc12145"/>
      <w:bookmarkStart w:id="232" w:name="_Toc9482"/>
      <w:bookmarkStart w:id="233" w:name="_Toc12650"/>
      <w:bookmarkStart w:id="234" w:name="_Toc32507"/>
      <w:bookmarkStart w:id="235" w:name="_Toc9496"/>
      <w:r>
        <w:rPr>
          <w:rFonts w:hint="eastAsia" w:ascii="微软雅黑" w:hAnsi="微软雅黑" w:eastAsia="微软雅黑" w:cs="微软雅黑"/>
          <w:b/>
          <w:sz w:val="24"/>
          <w:szCs w:val="24"/>
          <w:highlight w:val="none"/>
          <w:lang w:val="zh-CN"/>
        </w:rPr>
        <w:t>十</w:t>
      </w:r>
      <w:r>
        <w:rPr>
          <w:rFonts w:hint="eastAsia" w:ascii="微软雅黑" w:hAnsi="微软雅黑" w:eastAsia="微软雅黑" w:cs="微软雅黑"/>
          <w:b/>
          <w:sz w:val="24"/>
          <w:szCs w:val="24"/>
          <w:highlight w:val="none"/>
          <w:lang w:val="en-US" w:eastAsia="zh-CN"/>
        </w:rPr>
        <w:t>四</w:t>
      </w:r>
      <w:r>
        <w:rPr>
          <w:rFonts w:hint="eastAsia" w:ascii="微软雅黑" w:hAnsi="微软雅黑" w:eastAsia="微软雅黑" w:cs="微软雅黑"/>
          <w:b/>
          <w:sz w:val="24"/>
          <w:szCs w:val="24"/>
          <w:highlight w:val="none"/>
          <w:lang w:val="zh-CN"/>
        </w:rPr>
        <w:t>、</w:t>
      </w:r>
      <w:bookmarkEnd w:id="224"/>
      <w:bookmarkEnd w:id="225"/>
      <w:bookmarkEnd w:id="226"/>
      <w:bookmarkEnd w:id="227"/>
      <w:bookmarkEnd w:id="228"/>
      <w:bookmarkEnd w:id="229"/>
      <w:bookmarkEnd w:id="230"/>
      <w:bookmarkEnd w:id="231"/>
      <w:bookmarkEnd w:id="232"/>
      <w:bookmarkEnd w:id="233"/>
      <w:bookmarkEnd w:id="234"/>
      <w:r>
        <w:rPr>
          <w:rFonts w:hint="eastAsia" w:ascii="微软雅黑" w:hAnsi="微软雅黑" w:eastAsia="微软雅黑" w:cs="微软雅黑"/>
          <w:b/>
          <w:sz w:val="24"/>
          <w:szCs w:val="24"/>
          <w:highlight w:val="none"/>
          <w:lang w:val="zh-CN"/>
        </w:rPr>
        <w:t>需要落实的政府采购政策</w:t>
      </w:r>
      <w:bookmarkEnd w:id="235"/>
    </w:p>
    <w:p w14:paraId="06A3BC4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一）本项目执行政府强制、优先采购节能产品，优先采购环境标志产品，支持中小企业，支持监狱和戒毒企业、残疾人企业、扶持不发达地区和少数民族地区、支持脱贫攻坚等相关政策，具体包括但不限于以下内容：</w:t>
      </w:r>
    </w:p>
    <w:p w14:paraId="505168E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1.中小企业发展政策：《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w:t>
      </w:r>
    </w:p>
    <w:p w14:paraId="3513FB6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2.绿色发展政策：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商品包装政府采购需求标准（试行）》和《快递包装政府采购需求标准（试行）》（财办库[2020]123 号）。</w:t>
      </w:r>
    </w:p>
    <w:p w14:paraId="7B89A8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3.支持脱贫攻坚政策：《财政部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526966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4.融资担保政策：陕西省财政厅关于印发《陕西省中小企业政府采购信用融资办法》（陕财办采〔2018〕23 号）、《陕西省财政厅关于加快推进我省中小企业政府采购信用融资工作的通知》（陕财办采〔2020〕15 号）。</w:t>
      </w:r>
    </w:p>
    <w:p w14:paraId="0B67F5E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eastAsia="zh-CN"/>
        </w:rPr>
        <w:t>（二）供应商享受优惠政策时应如实提供所需要的证明文件，如存在虚假材料应标，将取消其投标资格，并依照《中华人民共和国政府采购法》等国家有关规定追究相应责任。</w:t>
      </w:r>
    </w:p>
    <w:p w14:paraId="348CE76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中小企业（含中型、小型、微型企业）</w:t>
      </w:r>
    </w:p>
    <w:p w14:paraId="66F4180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符合国务院有关部门根据企业从业人员、营业收入、资产总额等指标制定的中小企业划型标准（工信部联企业〔2011〕300号）及国家统计局关于印发《统计上大中小微型企业划分办法（2017）》</w:t>
      </w:r>
      <w:r>
        <w:rPr>
          <w:rFonts w:hint="eastAsia" w:ascii="微软雅黑" w:hAnsi="微软雅黑" w:eastAsia="微软雅黑" w:cs="微软雅黑"/>
          <w:color w:val="000000"/>
          <w:sz w:val="24"/>
          <w:szCs w:val="24"/>
          <w:highlight w:val="none"/>
          <w:lang w:val="en-US" w:eastAsia="zh-CN"/>
        </w:rPr>
        <w:t>的通知</w:t>
      </w:r>
      <w:r>
        <w:rPr>
          <w:rFonts w:hint="eastAsia" w:ascii="微软雅黑" w:hAnsi="微软雅黑" w:eastAsia="微软雅黑" w:cs="微软雅黑"/>
          <w:color w:val="000000"/>
          <w:sz w:val="24"/>
          <w:szCs w:val="24"/>
          <w:highlight w:val="none"/>
          <w:lang w:val="zh-CN" w:eastAsia="zh-CN"/>
        </w:rPr>
        <w:t>，提供中小企业制造的货物、由中小企业承建的工程或者由中小企业承接的服务。</w:t>
      </w:r>
    </w:p>
    <w:p w14:paraId="6C3D004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在货物采购项目中，供应商提供的货物既有中小企业制造货物，也有大型企业制造货物的，不享受本办法规定的中小企业扶持政策。</w:t>
      </w:r>
    </w:p>
    <w:p w14:paraId="0B63C43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中小企业参加投标时，应出具《政府采购促进中小企业发展管理办法》（财库[2020]46号）文件规定的《中小企业声明函》，否则不享受相关中小企业扶持政策。</w:t>
      </w:r>
    </w:p>
    <w:p w14:paraId="1D396AF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监狱企业</w:t>
      </w:r>
    </w:p>
    <w:p w14:paraId="0877B95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符合《关于政府采购支持监狱企业发展有关问题的通知》（财库[2014]68号）文件规定的监狱企业，提供本企业制造的货物、由本企业承建的工程或者承接的服务。</w:t>
      </w:r>
    </w:p>
    <w:p w14:paraId="5E25D66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监狱企业投标时提供由省级以上监狱管理局、戒毒管理局(含新疆生产建设兵团)出具的属于监狱企业的证明，若未提供证明不享受扶持政策。</w:t>
      </w:r>
    </w:p>
    <w:p w14:paraId="5989737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在政府采购活动中，监狱企业视同小型、微型企业，享受相关中小企业扶持政策，若监狱企业已属于小型、微型企业的，不重复享受政策。</w:t>
      </w:r>
    </w:p>
    <w:p w14:paraId="2CE9CE4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残疾人福利性单位</w:t>
      </w:r>
    </w:p>
    <w:p w14:paraId="42CBAC5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关于促进残疾人就业政府采购政策的通知》（财库[2017]141号）文件规定的残疾人福利性单位，提供本单位制造的货物、由本企业承建的工程或者承接的服务，或者提供其他残疾人福利性单位制造的货物（不包括使用非残疾人福利性单位注册商标的货物）。</w:t>
      </w:r>
    </w:p>
    <w:p w14:paraId="2838762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残疾人福利性单位投标时须提供《残疾人福利性单位声明函》，若未提供声明不享受扶持政策。</w:t>
      </w:r>
    </w:p>
    <w:p w14:paraId="04CA59A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在政府采购活动中，残疾人福利性单位视同小型、微型企业，享受相关中小企业扶持政策，残疾人福利性单位已属于小型、微型企业的，不重复享受政策。</w:t>
      </w:r>
    </w:p>
    <w:p w14:paraId="6B52696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4、</w:t>
      </w:r>
      <w:r>
        <w:rPr>
          <w:rFonts w:hint="eastAsia" w:ascii="微软雅黑" w:hAnsi="微软雅黑" w:eastAsia="微软雅黑" w:cs="微软雅黑"/>
          <w:color w:val="000000"/>
          <w:sz w:val="24"/>
          <w:szCs w:val="24"/>
          <w:highlight w:val="none"/>
          <w:lang w:val="zh-CN" w:eastAsia="zh-CN"/>
        </w:rPr>
        <w:t>节能、环保产品政策</w:t>
      </w:r>
    </w:p>
    <w:p w14:paraId="6B1D7AD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03C52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若供应商提供的所投产品属于《关于印发环境标志产品政府采购品目清单的通知》（财库[2019]18号文）、《关于印发节能产品政府采购品目清单的通知》（财库[2019]19号文）中品目清单内</w:t>
      </w:r>
      <w:r>
        <w:rPr>
          <w:rFonts w:hint="eastAsia" w:ascii="微软雅黑" w:hAnsi="微软雅黑" w:eastAsia="微软雅黑" w:cs="微软雅黑"/>
          <w:color w:val="000000"/>
          <w:sz w:val="24"/>
          <w:szCs w:val="24"/>
          <w:highlight w:val="none"/>
          <w:lang w:val="en-US" w:eastAsia="zh-CN"/>
        </w:rPr>
        <w:t>，投标时</w:t>
      </w:r>
      <w:r>
        <w:rPr>
          <w:rFonts w:hint="eastAsia" w:ascii="微软雅黑" w:hAnsi="微软雅黑" w:eastAsia="微软雅黑" w:cs="微软雅黑"/>
          <w:color w:val="000000"/>
          <w:sz w:val="24"/>
          <w:szCs w:val="24"/>
          <w:highlight w:val="none"/>
          <w:lang w:val="zh-CN" w:eastAsia="zh-CN"/>
        </w:rPr>
        <w:t>必须按照磋商文件《节能、环境标志产品明细表》格式对此类产品单独分项报价并计算出占投标报价的百分比，并提供经国家确定的认证机构（详见《参与实施政府采购节能产品认证机构名录》）出具的处于有效期之内的节能产品、环境标志产品认证证书，采购人对获得证书的非强制产品实施政府优先采购。响应文件中未按上述要求提供相关证明，</w:t>
      </w:r>
      <w:r>
        <w:rPr>
          <w:rFonts w:hint="eastAsia" w:ascii="微软雅黑" w:hAnsi="微软雅黑" w:eastAsia="微软雅黑" w:cs="微软雅黑"/>
          <w:color w:val="000000"/>
          <w:sz w:val="24"/>
          <w:szCs w:val="24"/>
          <w:highlight w:val="none"/>
          <w:lang w:val="en-US" w:eastAsia="zh-CN"/>
        </w:rPr>
        <w:t>评审时将不予认可。</w:t>
      </w:r>
    </w:p>
    <w:p w14:paraId="4C043DD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此项只对属于品目清单内的非强制类产品进行计分，强制类产品不给予计分。</w:t>
      </w:r>
    </w:p>
    <w:p w14:paraId="0FD4525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p>
    <w:p w14:paraId="1EE54ABA">
      <w:pPr>
        <w:pStyle w:val="33"/>
        <w:rPr>
          <w:rFonts w:hint="eastAsia" w:ascii="微软雅黑" w:hAnsi="微软雅黑" w:eastAsia="微软雅黑" w:cs="微软雅黑"/>
          <w:color w:val="000000"/>
          <w:sz w:val="24"/>
          <w:szCs w:val="24"/>
          <w:highlight w:val="none"/>
          <w:lang w:val="en-US" w:eastAsia="zh-CN"/>
        </w:rPr>
      </w:pPr>
    </w:p>
    <w:p w14:paraId="34DA26A1">
      <w:pPr>
        <w:pStyle w:val="33"/>
        <w:rPr>
          <w:rFonts w:hint="eastAsia" w:ascii="微软雅黑" w:hAnsi="微软雅黑" w:eastAsia="微软雅黑" w:cs="微软雅黑"/>
          <w:color w:val="000000"/>
          <w:sz w:val="24"/>
          <w:szCs w:val="24"/>
          <w:highlight w:val="none"/>
          <w:lang w:val="en-US" w:eastAsia="zh-CN"/>
        </w:rPr>
      </w:pPr>
    </w:p>
    <w:p w14:paraId="57DD1EB7">
      <w:pPr>
        <w:pStyle w:val="33"/>
        <w:rPr>
          <w:rFonts w:hint="eastAsia" w:ascii="微软雅黑" w:hAnsi="微软雅黑" w:eastAsia="微软雅黑" w:cs="微软雅黑"/>
          <w:color w:val="000000"/>
          <w:sz w:val="24"/>
          <w:szCs w:val="24"/>
          <w:highlight w:val="none"/>
          <w:lang w:val="en-US" w:eastAsia="zh-CN"/>
        </w:rPr>
      </w:pPr>
    </w:p>
    <w:p w14:paraId="7D376CCD">
      <w:pPr>
        <w:pStyle w:val="33"/>
        <w:ind w:left="0" w:leftChars="0" w:firstLine="0" w:firstLineChars="0"/>
        <w:rPr>
          <w:rFonts w:hint="eastAsia" w:ascii="微软雅黑" w:hAnsi="微软雅黑" w:eastAsia="微软雅黑" w:cs="微软雅黑"/>
          <w:color w:val="000000"/>
          <w:sz w:val="24"/>
          <w:szCs w:val="24"/>
          <w:highlight w:val="none"/>
          <w:lang w:val="en-US" w:eastAsia="zh-CN"/>
        </w:rPr>
      </w:pPr>
    </w:p>
    <w:p w14:paraId="1F9578C8">
      <w:pPr>
        <w:pStyle w:val="2"/>
        <w:spacing w:line="360" w:lineRule="auto"/>
        <w:outlineLvl w:val="0"/>
        <w:rPr>
          <w:rFonts w:hint="eastAsia" w:ascii="微软雅黑" w:hAnsi="微软雅黑" w:eastAsia="微软雅黑" w:cs="微软雅黑"/>
          <w:sz w:val="24"/>
          <w:szCs w:val="24"/>
          <w:highlight w:val="none"/>
          <w:lang w:val="zh-CN"/>
        </w:rPr>
      </w:pPr>
      <w:bookmarkStart w:id="236" w:name="_Toc17818"/>
      <w:bookmarkStart w:id="237" w:name="_Toc26626"/>
      <w:r>
        <w:rPr>
          <w:rStyle w:val="38"/>
          <w:rFonts w:hint="eastAsia" w:hAnsi="Times New Roman" w:cs="Times New Roman"/>
          <w:b/>
          <w:bCs/>
          <w:sz w:val="32"/>
          <w:szCs w:val="32"/>
          <w:highlight w:val="none"/>
          <w:lang w:val="en-US" w:eastAsia="zh-CN"/>
        </w:rPr>
        <w:t>第三部分</w:t>
      </w:r>
      <w:bookmarkEnd w:id="236"/>
      <w:bookmarkStart w:id="238" w:name="_Toc19270"/>
      <w:bookmarkStart w:id="239" w:name="_Toc21126"/>
      <w:bookmarkStart w:id="240" w:name="_Toc2115"/>
      <w:bookmarkStart w:id="241" w:name="_Toc20842"/>
      <w:bookmarkStart w:id="242" w:name="_Toc8281"/>
      <w:bookmarkStart w:id="243" w:name="_Toc6499"/>
      <w:bookmarkStart w:id="244" w:name="_Toc20193"/>
      <w:bookmarkStart w:id="245" w:name="_Toc10035"/>
      <w:bookmarkStart w:id="246" w:name="_Toc18368"/>
      <w:bookmarkStart w:id="247" w:name="_Toc7071"/>
      <w:bookmarkStart w:id="248" w:name="_Toc26089"/>
      <w:bookmarkStart w:id="249" w:name="_Toc10239"/>
      <w:bookmarkStart w:id="250" w:name="_Toc21416"/>
      <w:bookmarkStart w:id="251" w:name="_Toc32235"/>
      <w:bookmarkStart w:id="252" w:name="_Toc419"/>
      <w:bookmarkStart w:id="253" w:name="_Toc21029"/>
      <w:bookmarkStart w:id="254" w:name="_Toc23372"/>
      <w:bookmarkStart w:id="255" w:name="_Toc8783"/>
      <w:bookmarkStart w:id="256" w:name="_Toc15092"/>
      <w:bookmarkStart w:id="257" w:name="_Toc6947"/>
      <w:bookmarkStart w:id="258" w:name="_Toc21592"/>
      <w:bookmarkStart w:id="259" w:name="_Toc16011"/>
      <w:r>
        <w:rPr>
          <w:rFonts w:hint="eastAsia" w:ascii="黑体" w:hAnsi="黑体" w:eastAsia="黑体" w:cs="黑体"/>
          <w:b/>
          <w:bCs/>
          <w:kern w:val="2"/>
          <w:sz w:val="32"/>
          <w:szCs w:val="32"/>
          <w:highlight w:val="none"/>
          <w:lang w:val="zh-CN" w:eastAsia="zh-CN" w:bidi="ar-SA"/>
        </w:rPr>
        <w:t xml:space="preserve">  采购内容及要求</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5359F8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一、项目名称</w:t>
      </w:r>
    </w:p>
    <w:p w14:paraId="536A9F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宁陕县2025年中央财政林业草原生态保护恢复资金森林修复项目</w:t>
      </w:r>
    </w:p>
    <w:p w14:paraId="6EF681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二、项目概况</w:t>
      </w:r>
    </w:p>
    <w:p w14:paraId="46EA93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项目地点：宁陕县城关镇、龙王镇、金川镇。</w:t>
      </w:r>
    </w:p>
    <w:p w14:paraId="2A422F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项目内容：宁陕县2025年中央财政林业草原生态保护恢复资金森林修复项目，建设总面积2000亩，全部为低效林改造。</w:t>
      </w:r>
    </w:p>
    <w:p w14:paraId="4BC2E6A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三、服务内容</w:t>
      </w:r>
    </w:p>
    <w:p w14:paraId="56CADA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根据本项目选择的低效林分分布情况、林分特征、林分结构、林分类型等因素，确定改造类型为综合改造，具体改造方式为补植+间伐。对于郁闭度较小的小班，采用补植改造方式。</w:t>
      </w:r>
    </w:p>
    <w:p w14:paraId="5C26AC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项目作业区优势树种以栎类（锐齿栎、栓皮栎）为主，林内有零星油松、硬阔及软阔树种。培育目标树种为栎类、油松和生长良好的硬阔类，辅助树种为硬阔、软阔等。</w:t>
      </w:r>
    </w:p>
    <w:p w14:paraId="24D64B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采伐株数强度为25%，蓄积强度为18.7%，采伐蓄积量为1120立方米，补植苗木102907株。</w:t>
      </w:r>
    </w:p>
    <w:p w14:paraId="6B6BC0AC">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pPr>
      <w:r>
        <w:rPr>
          <w:rFonts w:hint="eastAsia" w:ascii="微软雅黑" w:hAnsi="微软雅黑" w:eastAsia="微软雅黑" w:cs="微软雅黑"/>
          <w:b/>
          <w:bCs/>
          <w:sz w:val="24"/>
          <w:szCs w:val="24"/>
          <w:highlight w:val="none"/>
          <w:lang w:val="en-US" w:eastAsia="zh-CN"/>
        </w:rPr>
        <w:t>四、</w:t>
      </w:r>
      <w:r>
        <w:rPr>
          <w:rFonts w:hint="eastAsia" w:ascii="微软雅黑" w:hAnsi="微软雅黑" w:eastAsia="微软雅黑" w:cs="微软雅黑"/>
          <w:b/>
          <w:bCs/>
          <w:sz w:val="24"/>
          <w:szCs w:val="24"/>
          <w:lang w:val="en-US" w:eastAsia="zh-CN"/>
        </w:rPr>
        <w:t>低效林改造目标</w:t>
      </w:r>
    </w:p>
    <w:p w14:paraId="5A7A27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通过低效林改造，去密补疏，营造混交林，提质增效，使林分最终形成密度适中、生长良好、持续健康的复层异龄混交林，从而达到提高林分质量和生长量，增强森林的生态防护功能，提高经济效益，改善森林景观，使森林健康、持续地发展。并初步形成以森林经营方案为核心的森林可持续经营决策机制，确保区域性主要类型的林分结构更加优化，促进天然林正向演替，森林生态服务功能和固碳能力得以增强。 </w:t>
      </w:r>
    </w:p>
    <w:p w14:paraId="061125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 林分结构明显增优。对于林分结构较差、生态服务功能低下的林分类型，通过作业，林分结构明显优化，森林生态系统更加健康稳定；对于树种杂乱，生产力低下，目的树种优势不明显的林分类型，通过林分提质改造，调整林分树种组成，降低非目的树种在林内的比重，使之成为混交、复层、异龄的健康森林。 </w:t>
      </w:r>
    </w:p>
    <w:p w14:paraId="31C3F6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 林分密度明显降低。对于因密度过大，单株林木生长营养空间不足的林分，通过林分提质改造，使森林在不同年龄阶段具有合理的密度和生长空间，同时，加速林下枯落物的分解，提高土壤肥力，为保留木创造良好的生长条件。 </w:t>
      </w:r>
    </w:p>
    <w:p w14:paraId="53435E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3. 森林质量明显提高。通过林分提质改造，人工替代自然稀疏，清除影响林木生长的树干细弱、生长滞后、干形不良的个体以及枯立木、濒死木、风折木等，改善林分状况，培育最终形成密度适中、生长良好的复层异龄混交林，提高林地生产力和森林蓄积量，构建健康稳定的森林生态系统。 </w:t>
      </w:r>
    </w:p>
    <w:p w14:paraId="7D2F6C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 森林生态明显增效。通过林分提质改造，对于林分结构较差、生态服务功能低下的林分类型，通过森林抚育和林分提质改造达到优化林分结构，进而提高森林的森林生态服务功能和固碳能力。</w:t>
      </w:r>
    </w:p>
    <w:p w14:paraId="1E8094E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五、技术要求</w:t>
      </w:r>
    </w:p>
    <w:p w14:paraId="3143929D">
      <w:pPr>
        <w:pStyle w:val="32"/>
        <w:keepLines w:val="0"/>
        <w:pageBreakBefore w:val="0"/>
        <w:kinsoku/>
        <w:wordWrap/>
        <w:overflowPunct/>
        <w:topLinePunct w:val="0"/>
        <w:autoSpaceDE/>
        <w:autoSpaceDN/>
        <w:bidi w:val="0"/>
        <w:adjustRightInd/>
        <w:snapToGrid w:val="0"/>
        <w:spacing w:before="0" w:line="360" w:lineRule="auto"/>
        <w:ind w:firstLine="480" w:firstLineChars="200"/>
        <w:textAlignment w:val="auto"/>
        <w:rPr>
          <w:rFonts w:hint="eastAsia"/>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成果文件应满足国家、部门、行业、地方其他现行有关法律、规程、规范及标准。</w:t>
      </w:r>
    </w:p>
    <w:p w14:paraId="63C7C33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sz w:val="24"/>
          <w:szCs w:val="24"/>
          <w:highlight w:val="none"/>
          <w:lang w:val="en-US" w:eastAsia="zh-CN"/>
        </w:rPr>
        <w:t>六、服务期</w:t>
      </w:r>
      <w:bookmarkStart w:id="260" w:name="_Toc7027"/>
      <w:bookmarkStart w:id="261" w:name="_Toc8272"/>
      <w:r>
        <w:rPr>
          <w:rFonts w:hint="eastAsia" w:ascii="微软雅黑" w:hAnsi="微软雅黑" w:eastAsia="微软雅黑" w:cs="微软雅黑"/>
          <w:b/>
          <w:bCs/>
          <w:sz w:val="24"/>
          <w:szCs w:val="24"/>
          <w:highlight w:val="none"/>
          <w:lang w:val="en-US" w:eastAsia="zh-CN"/>
        </w:rPr>
        <w:t>：</w:t>
      </w:r>
      <w:r>
        <w:rPr>
          <w:rFonts w:hint="eastAsia" w:ascii="微软雅黑" w:hAnsi="微软雅黑" w:eastAsia="微软雅黑" w:cs="微软雅黑"/>
          <w:sz w:val="24"/>
          <w:szCs w:val="24"/>
          <w:lang w:val="en-US" w:eastAsia="zh-CN"/>
        </w:rPr>
        <w:t>90天(日历天)</w:t>
      </w:r>
    </w:p>
    <w:p w14:paraId="42162D32">
      <w:pPr>
        <w:pStyle w:val="2"/>
        <w:spacing w:line="360" w:lineRule="auto"/>
        <w:outlineLvl w:val="0"/>
        <w:rPr>
          <w:rFonts w:hint="eastAsia" w:ascii="黑体" w:hAnsi="黑体" w:eastAsia="黑体" w:cs="黑体"/>
          <w:b/>
          <w:bCs/>
          <w:kern w:val="2"/>
          <w:sz w:val="32"/>
          <w:szCs w:val="32"/>
          <w:highlight w:val="none"/>
          <w:lang w:val="zh-CN" w:eastAsia="zh-CN" w:bidi="ar-SA"/>
        </w:rPr>
      </w:pPr>
    </w:p>
    <w:p w14:paraId="06B6FD09">
      <w:pPr>
        <w:pStyle w:val="2"/>
        <w:spacing w:line="360" w:lineRule="auto"/>
        <w:outlineLvl w:val="0"/>
        <w:rPr>
          <w:rFonts w:hint="eastAsia" w:ascii="黑体" w:hAnsi="黑体" w:eastAsia="黑体" w:cs="黑体"/>
          <w:b/>
          <w:bCs/>
          <w:kern w:val="2"/>
          <w:sz w:val="32"/>
          <w:szCs w:val="32"/>
          <w:highlight w:val="none"/>
          <w:lang w:val="zh-CN" w:eastAsia="zh-CN" w:bidi="ar-SA"/>
        </w:rPr>
      </w:pPr>
    </w:p>
    <w:p w14:paraId="56E2EDD3">
      <w:pPr>
        <w:rPr>
          <w:rFonts w:hint="eastAsia" w:ascii="黑体" w:hAnsi="黑体" w:eastAsia="黑体" w:cs="黑体"/>
          <w:b/>
          <w:bCs/>
          <w:kern w:val="2"/>
          <w:sz w:val="32"/>
          <w:szCs w:val="32"/>
          <w:highlight w:val="none"/>
          <w:lang w:val="zh-CN" w:eastAsia="zh-CN" w:bidi="ar-SA"/>
        </w:rPr>
      </w:pPr>
    </w:p>
    <w:p w14:paraId="603FC2B4">
      <w:pPr>
        <w:pStyle w:val="2"/>
        <w:rPr>
          <w:rFonts w:hint="eastAsia" w:ascii="黑体" w:hAnsi="黑体" w:eastAsia="黑体" w:cs="黑体"/>
          <w:b/>
          <w:bCs/>
          <w:kern w:val="2"/>
          <w:sz w:val="32"/>
          <w:szCs w:val="32"/>
          <w:highlight w:val="none"/>
          <w:lang w:val="zh-CN" w:eastAsia="zh-CN" w:bidi="ar-SA"/>
        </w:rPr>
      </w:pPr>
    </w:p>
    <w:p w14:paraId="02DC2D04">
      <w:pPr>
        <w:rPr>
          <w:rFonts w:hint="eastAsia" w:ascii="黑体" w:hAnsi="黑体" w:eastAsia="黑体" w:cs="黑体"/>
          <w:b/>
          <w:bCs/>
          <w:kern w:val="2"/>
          <w:sz w:val="32"/>
          <w:szCs w:val="32"/>
          <w:highlight w:val="none"/>
          <w:lang w:val="zh-CN" w:eastAsia="zh-CN" w:bidi="ar-SA"/>
        </w:rPr>
      </w:pPr>
    </w:p>
    <w:p w14:paraId="3454FE8D">
      <w:pPr>
        <w:pStyle w:val="2"/>
        <w:rPr>
          <w:rFonts w:hint="eastAsia"/>
          <w:lang w:val="zh-CN" w:eastAsia="zh-CN"/>
        </w:rPr>
      </w:pPr>
    </w:p>
    <w:p w14:paraId="43FD1479">
      <w:pPr>
        <w:rPr>
          <w:rFonts w:hint="eastAsia"/>
          <w:lang w:val="zh-CN" w:eastAsia="zh-CN"/>
        </w:rPr>
      </w:pPr>
    </w:p>
    <w:p w14:paraId="5D6B2CF1">
      <w:pPr>
        <w:rPr>
          <w:rFonts w:hint="eastAsia" w:ascii="黑体" w:hAnsi="黑体" w:eastAsia="黑体" w:cs="黑体"/>
          <w:b/>
          <w:bCs/>
          <w:kern w:val="2"/>
          <w:sz w:val="32"/>
          <w:szCs w:val="32"/>
          <w:highlight w:val="none"/>
          <w:lang w:val="zh-CN" w:eastAsia="zh-CN" w:bidi="ar-SA"/>
        </w:rPr>
      </w:pPr>
    </w:p>
    <w:p w14:paraId="60FB0860">
      <w:pPr>
        <w:pStyle w:val="2"/>
        <w:rPr>
          <w:rFonts w:hint="eastAsia"/>
          <w:lang w:val="zh-CN" w:eastAsia="zh-CN"/>
        </w:rPr>
      </w:pPr>
    </w:p>
    <w:p w14:paraId="686326D8">
      <w:pPr>
        <w:rPr>
          <w:rFonts w:hint="eastAsia"/>
          <w:lang w:val="zh-CN" w:eastAsia="zh-CN"/>
        </w:rPr>
      </w:pPr>
    </w:p>
    <w:p w14:paraId="7B54B099">
      <w:pPr>
        <w:pStyle w:val="2"/>
        <w:spacing w:line="360" w:lineRule="auto"/>
        <w:jc w:val="center"/>
        <w:outlineLvl w:val="0"/>
        <w:rPr>
          <w:rFonts w:hint="eastAsia"/>
          <w:b/>
          <w:sz w:val="52"/>
          <w:lang w:eastAsia="zh-CN"/>
        </w:rPr>
      </w:pPr>
      <w:r>
        <w:rPr>
          <w:rFonts w:hint="eastAsia" w:ascii="黑体" w:hAnsi="黑体" w:eastAsia="黑体" w:cs="黑体"/>
          <w:b/>
          <w:bCs/>
          <w:kern w:val="2"/>
          <w:sz w:val="32"/>
          <w:szCs w:val="32"/>
          <w:highlight w:val="none"/>
          <w:lang w:val="zh-CN" w:eastAsia="zh-CN" w:bidi="ar-SA"/>
        </w:rPr>
        <w:t>第</w:t>
      </w:r>
      <w:r>
        <w:rPr>
          <w:rFonts w:hint="eastAsia" w:ascii="黑体" w:hAnsi="黑体" w:eastAsia="黑体" w:cs="黑体"/>
          <w:b/>
          <w:bCs/>
          <w:kern w:val="2"/>
          <w:sz w:val="32"/>
          <w:szCs w:val="32"/>
          <w:highlight w:val="none"/>
          <w:lang w:val="en-US" w:eastAsia="zh-CN" w:bidi="ar-SA"/>
        </w:rPr>
        <w:t>四</w:t>
      </w:r>
      <w:r>
        <w:rPr>
          <w:rFonts w:hint="eastAsia" w:ascii="黑体" w:hAnsi="黑体" w:eastAsia="黑体" w:cs="黑体"/>
          <w:b/>
          <w:bCs/>
          <w:kern w:val="2"/>
          <w:sz w:val="32"/>
          <w:szCs w:val="32"/>
          <w:highlight w:val="none"/>
          <w:lang w:val="zh-CN" w:eastAsia="zh-CN" w:bidi="ar-SA"/>
        </w:rPr>
        <w:t>部分  拟签订的合同条款文本</w:t>
      </w:r>
      <w:bookmarkEnd w:id="260"/>
      <w:bookmarkEnd w:id="261"/>
    </w:p>
    <w:p w14:paraId="7182D947">
      <w:pPr>
        <w:rPr>
          <w:rFonts w:hint="eastAsia"/>
          <w:lang w:eastAsia="zh-CN"/>
        </w:rPr>
      </w:pPr>
    </w:p>
    <w:p w14:paraId="0B90E69B">
      <w:pPr>
        <w:widowControl/>
        <w:jc w:val="center"/>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lang w:eastAsia="zh-CN"/>
        </w:rPr>
        <w:t>宁陕县2025年中央财政林业草原生态保护恢复资金森林修复项目</w:t>
      </w:r>
      <w:r>
        <w:rPr>
          <w:rFonts w:hint="eastAsia" w:ascii="微软雅黑" w:hAnsi="微软雅黑" w:eastAsia="微软雅黑" w:cs="微软雅黑"/>
          <w:b/>
          <w:bCs/>
          <w:kern w:val="0"/>
          <w:sz w:val="36"/>
          <w:szCs w:val="36"/>
        </w:rPr>
        <w:t>合同书</w:t>
      </w:r>
    </w:p>
    <w:p w14:paraId="1B085FE2">
      <w:pPr>
        <w:spacing w:line="360" w:lineRule="auto"/>
        <w:ind w:firstLine="480" w:firstLineChars="200"/>
        <w:rPr>
          <w:rFonts w:hint="eastAsia" w:ascii="微软雅黑" w:hAnsi="微软雅黑" w:eastAsia="微软雅黑" w:cs="微软雅黑"/>
          <w:sz w:val="24"/>
          <w:szCs w:val="24"/>
        </w:rPr>
      </w:pPr>
    </w:p>
    <w:p w14:paraId="0933D883">
      <w:pPr>
        <w:spacing w:line="360"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发包方（甲方）：</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eastAsia="zh-CN"/>
        </w:rPr>
        <w:t>宁陕县农业林业和水利局</w:t>
      </w:r>
      <w:r>
        <w:rPr>
          <w:rFonts w:hint="eastAsia" w:ascii="微软雅黑" w:hAnsi="微软雅黑" w:eastAsia="微软雅黑" w:cs="微软雅黑"/>
          <w:sz w:val="24"/>
          <w:szCs w:val="24"/>
          <w:u w:val="single"/>
        </w:rPr>
        <w:t xml:space="preserve">   </w:t>
      </w:r>
    </w:p>
    <w:p w14:paraId="02472942">
      <w:pPr>
        <w:spacing w:line="360" w:lineRule="auto"/>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 承包方（乙方）：</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3CF4A9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w:t>
      </w:r>
      <w:r>
        <w:rPr>
          <w:rFonts w:hint="eastAsia" w:ascii="微软雅黑" w:hAnsi="微软雅黑" w:eastAsia="微软雅黑" w:cs="微软雅黑"/>
          <w:sz w:val="24"/>
          <w:szCs w:val="24"/>
          <w:highlight w:val="none"/>
        </w:rPr>
        <w:t>据《中华人民共和国</w:t>
      </w:r>
      <w:r>
        <w:rPr>
          <w:rFonts w:hint="eastAsia" w:ascii="微软雅黑" w:hAnsi="微软雅黑" w:eastAsia="微软雅黑" w:cs="微软雅黑"/>
          <w:sz w:val="24"/>
          <w:szCs w:val="24"/>
          <w:highlight w:val="none"/>
          <w:lang w:val="en-US" w:eastAsia="zh-CN"/>
        </w:rPr>
        <w:t>民法典</w:t>
      </w:r>
      <w:r>
        <w:rPr>
          <w:rFonts w:hint="eastAsia" w:ascii="微软雅黑" w:hAnsi="微软雅黑" w:eastAsia="微软雅黑" w:cs="微软雅黑"/>
          <w:sz w:val="24"/>
          <w:szCs w:val="24"/>
          <w:highlight w:val="none"/>
        </w:rPr>
        <w:t>》及其他有关法律、法</w:t>
      </w:r>
      <w:r>
        <w:rPr>
          <w:rFonts w:hint="eastAsia" w:ascii="微软雅黑" w:hAnsi="微软雅黑" w:eastAsia="微软雅黑" w:cs="微软雅黑"/>
          <w:sz w:val="24"/>
          <w:szCs w:val="24"/>
        </w:rPr>
        <w:t>规，遵循平等、自愿、公平和诚信的原则，双方就下述项目范围与相关服务事项协商一致，订立本合同。</w:t>
      </w:r>
    </w:p>
    <w:p w14:paraId="26FEF7A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一、项目概况</w:t>
      </w:r>
    </w:p>
    <w:p w14:paraId="751EB0F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eastAsia="zh-CN"/>
        </w:rPr>
        <w:t xml:space="preserve">1.项目名称： </w:t>
      </w:r>
      <w:r>
        <w:rPr>
          <w:rFonts w:hint="eastAsia" w:ascii="微软雅黑" w:hAnsi="微软雅黑" w:eastAsia="微软雅黑" w:cs="微软雅黑"/>
          <w:sz w:val="24"/>
          <w:szCs w:val="24"/>
          <w:lang w:val="en-US" w:eastAsia="zh-CN"/>
        </w:rPr>
        <w:t>宁陕县2025年中央财政林业草原生态保护恢复资金森林修复项目</w:t>
      </w:r>
      <w:r>
        <w:rPr>
          <w:rFonts w:hint="eastAsia" w:ascii="微软雅黑" w:hAnsi="微软雅黑" w:eastAsia="微软雅黑" w:cs="微软雅黑"/>
          <w:sz w:val="24"/>
          <w:szCs w:val="24"/>
        </w:rPr>
        <w:t xml:space="preserve"> </w:t>
      </w:r>
    </w:p>
    <w:p w14:paraId="33CA2B7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2.项目地点：宁陕县</w:t>
      </w:r>
      <w:r>
        <w:rPr>
          <w:rFonts w:hint="eastAsia" w:ascii="微软雅黑" w:hAnsi="微软雅黑" w:eastAsia="微软雅黑" w:cs="微软雅黑"/>
          <w:kern w:val="0"/>
          <w:sz w:val="24"/>
          <w:szCs w:val="24"/>
          <w:lang w:val="en-US" w:eastAsia="zh-CN"/>
        </w:rPr>
        <w:t>城关镇、龙王镇、金川镇</w:t>
      </w:r>
      <w:r>
        <w:rPr>
          <w:rFonts w:hint="eastAsia" w:ascii="微软雅黑" w:hAnsi="微软雅黑" w:eastAsia="微软雅黑" w:cs="微软雅黑"/>
          <w:kern w:val="0"/>
          <w:sz w:val="24"/>
          <w:szCs w:val="24"/>
          <w:lang w:eastAsia="zh-CN"/>
        </w:rPr>
        <w:t xml:space="preserve">                                            </w:t>
      </w:r>
    </w:p>
    <w:p w14:paraId="4592C17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3.项目内容：宁陕县2025年中央财政林业草原生态保护恢复资金森林修复项目</w:t>
      </w:r>
      <w:r>
        <w:rPr>
          <w:rFonts w:hint="eastAsia" w:ascii="微软雅黑" w:hAnsi="微软雅黑" w:eastAsia="微软雅黑" w:cs="微软雅黑"/>
          <w:sz w:val="24"/>
          <w:szCs w:val="24"/>
          <w:lang w:val="en-US" w:eastAsia="zh-CN"/>
        </w:rPr>
        <w:t>，投标文件标明的清单所含内容。</w:t>
      </w:r>
      <w:r>
        <w:rPr>
          <w:rFonts w:hint="eastAsia" w:ascii="微软雅黑" w:hAnsi="微软雅黑" w:eastAsia="微软雅黑" w:cs="微软雅黑"/>
          <w:kern w:val="0"/>
          <w:sz w:val="24"/>
          <w:szCs w:val="24"/>
          <w:lang w:eastAsia="zh-CN"/>
        </w:rPr>
        <w:t xml:space="preserve">   </w:t>
      </w:r>
    </w:p>
    <w:p w14:paraId="06D9983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4.项目金额：</w:t>
      </w:r>
    </w:p>
    <w:p w14:paraId="1D8205B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二、工程期限</w:t>
      </w:r>
    </w:p>
    <w:p w14:paraId="5943465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1、经双方商定工程总工期为90天(日历天)，自2025年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日开工至2025年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日竣工。</w:t>
      </w:r>
    </w:p>
    <w:p w14:paraId="607DB90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2、在组织施工过程中，如遇下列情况，得顺延工期，双方应及时进行协商，并通过书面形式确定顺延期限：</w:t>
      </w:r>
    </w:p>
    <w:p w14:paraId="774C861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(1).因天灾或人力不能抗拒的原因被迫停工者;</w:t>
      </w:r>
    </w:p>
    <w:p w14:paraId="6B096DD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(2).因甲方提出变更计划或变更施工图而不能继续施工者;</w:t>
      </w:r>
    </w:p>
    <w:p w14:paraId="3AC75BA7">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(3).按施工准备规定，不能提供施工场地、水、电源，道路未能畅通，障碍物未能清除，影响进场施工;</w:t>
      </w:r>
    </w:p>
    <w:p w14:paraId="7D965C6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(4).非承包方原因而监理签证不及时而影响下一道工序施工;</w:t>
      </w:r>
    </w:p>
    <w:p w14:paraId="0A4C12F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(5).未按合同规定拨付预付款、工程进度款或代购材料差价款而影响施工;</w:t>
      </w:r>
    </w:p>
    <w:p w14:paraId="288E9DC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w:t>
      </w:r>
    </w:p>
    <w:p w14:paraId="2C6B45B3">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sz w:val="24"/>
          <w:szCs w:val="24"/>
          <w:lang w:eastAsia="zh-CN"/>
        </w:rPr>
        <w:t>三、</w:t>
      </w:r>
      <w:r>
        <w:rPr>
          <w:rFonts w:hint="eastAsia" w:ascii="微软雅黑" w:hAnsi="微软雅黑" w:eastAsia="微软雅黑" w:cs="微软雅黑"/>
          <w:b/>
          <w:bCs/>
          <w:color w:val="auto"/>
          <w:kern w:val="0"/>
          <w:sz w:val="24"/>
          <w:szCs w:val="24"/>
        </w:rPr>
        <w:t xml:space="preserve"> 施工与设计变更</w:t>
      </w:r>
    </w:p>
    <w:p w14:paraId="60A756F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lang w:val="en-US" w:eastAsia="zh-CN"/>
        </w:rPr>
        <w:t xml:space="preserve"> 1</w:t>
      </w:r>
      <w:r>
        <w:rPr>
          <w:rFonts w:hint="eastAsia" w:ascii="微软雅黑" w:hAnsi="微软雅黑" w:eastAsia="微软雅黑" w:cs="微软雅黑"/>
          <w:color w:val="auto"/>
          <w:kern w:val="0"/>
          <w:sz w:val="24"/>
          <w:szCs w:val="24"/>
        </w:rPr>
        <w:t>、乙方要依据国家颁发的施工验收规范和质量检验标准以及设计要求组织施工，要全部达到合格。</w:t>
      </w:r>
    </w:p>
    <w:p w14:paraId="75A3C4F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2</w:t>
      </w:r>
      <w:r>
        <w:rPr>
          <w:rFonts w:hint="eastAsia" w:ascii="微软雅黑" w:hAnsi="微软雅黑" w:eastAsia="微软雅黑" w:cs="微软雅黑"/>
          <w:color w:val="auto"/>
          <w:kern w:val="0"/>
          <w:sz w:val="24"/>
          <w:szCs w:val="24"/>
        </w:rPr>
        <w:t>、要坚持按图施工，任何一方不得随意变更设计。</w:t>
      </w:r>
    </w:p>
    <w:p w14:paraId="53D4E55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rPr>
        <w:t>1</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rPr>
        <w:t>.施工中如发现设计有错误或严重不合理的地方，乙方应以书面形式通知甲方，由甲方在7天内与原设计单位商定，提出修改或变更设计文件，经甲乙双方签订协议后，方准施工。</w:t>
      </w:r>
    </w:p>
    <w:p w14:paraId="0525594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rPr>
        <w:t>2</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rPr>
        <w:t>.在施工中，如遇中途停建、缓建，甲乙双方对在建工程，应商定做到安全部</w:t>
      </w:r>
      <w:r>
        <w:rPr>
          <w:rFonts w:hint="eastAsia" w:ascii="微软雅黑" w:hAnsi="微软雅黑" w:eastAsia="微软雅黑" w:cs="微软雅黑"/>
          <w:color w:val="auto"/>
          <w:kern w:val="0"/>
          <w:sz w:val="24"/>
          <w:szCs w:val="24"/>
          <w:lang w:eastAsia="zh-CN"/>
        </w:rPr>
        <w:t>署</w:t>
      </w:r>
      <w:r>
        <w:rPr>
          <w:rFonts w:hint="eastAsia" w:ascii="微软雅黑" w:hAnsi="微软雅黑" w:eastAsia="微软雅黑" w:cs="微软雅黑"/>
          <w:color w:val="auto"/>
          <w:kern w:val="0"/>
          <w:sz w:val="24"/>
          <w:szCs w:val="24"/>
        </w:rPr>
        <w:t>。</w:t>
      </w:r>
    </w:p>
    <w:p w14:paraId="1E95FC5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b/>
          <w:bCs/>
          <w:color w:val="auto"/>
          <w:kern w:val="0"/>
          <w:sz w:val="24"/>
          <w:szCs w:val="24"/>
          <w:lang w:eastAsia="zh-CN"/>
        </w:rPr>
      </w:pPr>
      <w:r>
        <w:rPr>
          <w:rFonts w:hint="eastAsia" w:ascii="微软雅黑" w:hAnsi="微软雅黑" w:eastAsia="微软雅黑" w:cs="微软雅黑"/>
          <w:b/>
          <w:bCs/>
          <w:color w:val="auto"/>
          <w:sz w:val="24"/>
          <w:szCs w:val="24"/>
          <w:lang w:eastAsia="zh-CN"/>
        </w:rPr>
        <w:t>四</w:t>
      </w:r>
      <w:r>
        <w:rPr>
          <w:rFonts w:hint="eastAsia" w:ascii="微软雅黑" w:hAnsi="微软雅黑" w:eastAsia="微软雅黑" w:cs="微软雅黑"/>
          <w:b/>
          <w:bCs/>
          <w:color w:val="auto"/>
          <w:sz w:val="24"/>
          <w:szCs w:val="24"/>
        </w:rPr>
        <w:t>、</w:t>
      </w:r>
      <w:r>
        <w:rPr>
          <w:rFonts w:hint="eastAsia" w:ascii="微软雅黑" w:hAnsi="微软雅黑" w:eastAsia="微软雅黑" w:cs="微软雅黑"/>
          <w:b/>
          <w:bCs/>
          <w:color w:val="auto"/>
          <w:kern w:val="0"/>
          <w:sz w:val="24"/>
          <w:szCs w:val="24"/>
        </w:rPr>
        <w:t xml:space="preserve"> 工程价款的支付与结算</w:t>
      </w:r>
      <w:r>
        <w:rPr>
          <w:rFonts w:hint="eastAsia" w:ascii="微软雅黑" w:hAnsi="微软雅黑" w:eastAsia="微软雅黑" w:cs="微软雅黑"/>
          <w:b/>
          <w:bCs/>
          <w:color w:val="auto"/>
          <w:kern w:val="0"/>
          <w:sz w:val="24"/>
          <w:szCs w:val="24"/>
          <w:lang w:eastAsia="zh-CN"/>
        </w:rPr>
        <w:t>：</w:t>
      </w:r>
    </w:p>
    <w:p w14:paraId="7F3A2DD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本合同签订后，乙方应及时安排进行施工。甲方支付乙方工程款30%；待乙方完成全部工程后，经甲方组织竣工验收，</w:t>
      </w:r>
      <w:r>
        <w:rPr>
          <w:rFonts w:hint="eastAsia" w:ascii="微软雅黑" w:hAnsi="微软雅黑" w:eastAsia="微软雅黑" w:cs="微软雅黑"/>
          <w:color w:val="auto"/>
          <w:sz w:val="24"/>
          <w:szCs w:val="24"/>
          <w:highlight w:val="none"/>
          <w:lang w:val="en-US" w:eastAsia="zh-CN"/>
        </w:rPr>
        <w:t>验收合格后一次性支付合同全部价款；同时乙方向甲方缴纳5%的合同价款作为履约保证金。养护12个月后，验收合格，甲方根据审计金额退还乙方履约保证金。</w:t>
      </w:r>
    </w:p>
    <w:p w14:paraId="6AA89C9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sz w:val="24"/>
          <w:szCs w:val="24"/>
        </w:rPr>
        <w:t>、工程质量。</w:t>
      </w:r>
      <w:r>
        <w:rPr>
          <w:rFonts w:hint="eastAsia" w:ascii="微软雅黑" w:hAnsi="微软雅黑" w:eastAsia="微软雅黑" w:cs="微软雅黑"/>
          <w:color w:val="auto"/>
          <w:sz w:val="24"/>
          <w:szCs w:val="24"/>
        </w:rPr>
        <w:t> </w:t>
      </w:r>
    </w:p>
    <w:p w14:paraId="22C24DB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     1、所栽苗木质量必须符合工程要求，不得擅自改变苗木品种、规格及质量</w:t>
      </w:r>
      <w:r>
        <w:rPr>
          <w:rFonts w:hint="eastAsia" w:ascii="微软雅黑" w:hAnsi="微软雅黑" w:eastAsia="微软雅黑" w:cs="微软雅黑"/>
          <w:color w:val="auto"/>
          <w:sz w:val="24"/>
          <w:szCs w:val="24"/>
          <w:lang w:eastAsia="zh-CN"/>
        </w:rPr>
        <w:t>。</w:t>
      </w:r>
    </w:p>
    <w:p w14:paraId="2B95504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2、施工过程中，乙方必须服从甲方的监督检查和质量管理，如因质量问题造成返工，其费用由乙方全部负责</w:t>
      </w:r>
      <w:r>
        <w:rPr>
          <w:rFonts w:hint="eastAsia" w:ascii="微软雅黑" w:hAnsi="微软雅黑" w:eastAsia="微软雅黑" w:cs="微软雅黑"/>
          <w:color w:val="auto"/>
          <w:sz w:val="24"/>
          <w:szCs w:val="24"/>
          <w:lang w:eastAsia="zh-CN"/>
        </w:rPr>
        <w:t>。</w:t>
      </w:r>
    </w:p>
    <w:p w14:paraId="65A17B4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w:t>
      </w:r>
      <w:r>
        <w:rPr>
          <w:rFonts w:hint="eastAsia" w:ascii="微软雅黑" w:hAnsi="微软雅黑" w:eastAsia="微软雅黑" w:cs="微软雅黑"/>
          <w:b/>
          <w:bCs/>
          <w:color w:val="auto"/>
          <w:sz w:val="24"/>
          <w:szCs w:val="24"/>
        </w:rPr>
        <w:t xml:space="preserve">  </w:t>
      </w:r>
      <w:r>
        <w:rPr>
          <w:rFonts w:hint="eastAsia" w:ascii="微软雅黑" w:hAnsi="微软雅黑" w:eastAsia="微软雅黑" w:cs="微软雅黑"/>
          <w:b/>
          <w:bCs/>
          <w:color w:val="auto"/>
          <w:sz w:val="24"/>
          <w:szCs w:val="24"/>
          <w:lang w:eastAsia="zh-CN"/>
        </w:rPr>
        <w:t>六</w:t>
      </w:r>
      <w:r>
        <w:rPr>
          <w:rFonts w:hint="eastAsia" w:ascii="微软雅黑" w:hAnsi="微软雅黑" w:eastAsia="微软雅黑" w:cs="微软雅黑"/>
          <w:b/>
          <w:bCs/>
          <w:color w:val="auto"/>
          <w:sz w:val="24"/>
          <w:szCs w:val="24"/>
        </w:rPr>
        <w:t>、</w:t>
      </w:r>
      <w:r>
        <w:rPr>
          <w:rFonts w:hint="eastAsia" w:ascii="微软雅黑" w:hAnsi="微软雅黑" w:eastAsia="微软雅黑" w:cs="微软雅黑"/>
          <w:b/>
          <w:bCs/>
          <w:color w:val="auto"/>
          <w:sz w:val="24"/>
          <w:szCs w:val="24"/>
          <w:lang w:val="en-US" w:eastAsia="zh-CN"/>
        </w:rPr>
        <w:t>管护</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color w:val="auto"/>
          <w:sz w:val="24"/>
          <w:szCs w:val="24"/>
        </w:rPr>
        <w:t> </w:t>
      </w:r>
    </w:p>
    <w:p w14:paraId="27BFDF2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rPr>
        <w:t>     栽植后及时浇透水；及时中耕除草、</w:t>
      </w:r>
      <w:r>
        <w:rPr>
          <w:rFonts w:hint="eastAsia" w:ascii="微软雅黑" w:hAnsi="微软雅黑" w:eastAsia="微软雅黑" w:cs="微软雅黑"/>
          <w:color w:val="auto"/>
          <w:sz w:val="24"/>
          <w:szCs w:val="24"/>
          <w:lang w:val="en-US" w:eastAsia="zh-CN"/>
        </w:rPr>
        <w:t>管护</w:t>
      </w:r>
      <w:r>
        <w:rPr>
          <w:rFonts w:hint="eastAsia" w:ascii="微软雅黑" w:hAnsi="微软雅黑" w:eastAsia="微软雅黑" w:cs="微软雅黑"/>
          <w:color w:val="auto"/>
          <w:sz w:val="24"/>
          <w:szCs w:val="24"/>
        </w:rPr>
        <w:t>，确保苗木正常生长；苗木要及时防治病虫害；乙方包栽包活，在栽植完工后，要养护苗木1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个月</w:t>
      </w:r>
      <w:r>
        <w:rPr>
          <w:rFonts w:hint="eastAsia" w:ascii="微软雅黑" w:hAnsi="微软雅黑" w:eastAsia="微软雅黑" w:cs="微软雅黑"/>
          <w:color w:val="auto"/>
          <w:sz w:val="24"/>
          <w:szCs w:val="24"/>
          <w:lang w:eastAsia="zh-CN"/>
        </w:rPr>
        <w:t>，养护期</w:t>
      </w:r>
      <w:r>
        <w:rPr>
          <w:rFonts w:hint="eastAsia" w:ascii="微软雅黑" w:hAnsi="微软雅黑" w:eastAsia="微软雅黑" w:cs="微软雅黑"/>
          <w:color w:val="auto"/>
          <w:sz w:val="24"/>
          <w:szCs w:val="24"/>
        </w:rPr>
        <w:t>间发生的费用由乙方</w:t>
      </w:r>
      <w:r>
        <w:rPr>
          <w:rFonts w:hint="eastAsia" w:ascii="微软雅黑" w:hAnsi="微软雅黑" w:eastAsia="微软雅黑" w:cs="微软雅黑"/>
          <w:color w:val="auto"/>
          <w:sz w:val="24"/>
          <w:szCs w:val="24"/>
          <w:lang w:eastAsia="zh-CN"/>
        </w:rPr>
        <w:t>承</w:t>
      </w:r>
      <w:r>
        <w:rPr>
          <w:rFonts w:hint="eastAsia" w:ascii="微软雅黑" w:hAnsi="微软雅黑" w:eastAsia="微软雅黑" w:cs="微软雅黑"/>
          <w:color w:val="auto"/>
          <w:sz w:val="24"/>
          <w:szCs w:val="24"/>
        </w:rPr>
        <w:t xml:space="preserve">担。  </w:t>
      </w:r>
    </w:p>
    <w:p w14:paraId="6B36165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lang w:val="en-US" w:eastAsia="zh-CN"/>
        </w:rPr>
        <w:t>七、</w:t>
      </w:r>
      <w:r>
        <w:rPr>
          <w:rFonts w:hint="eastAsia" w:ascii="微软雅黑" w:hAnsi="微软雅黑" w:eastAsia="微软雅黑" w:cs="微软雅黑"/>
          <w:b/>
          <w:bCs/>
          <w:color w:val="auto"/>
          <w:sz w:val="24"/>
          <w:szCs w:val="24"/>
        </w:rPr>
        <w:t>违约责任</w:t>
      </w:r>
      <w:r>
        <w:rPr>
          <w:rFonts w:hint="eastAsia" w:ascii="微软雅黑" w:hAnsi="微软雅黑" w:eastAsia="微软雅黑" w:cs="微软雅黑"/>
          <w:color w:val="auto"/>
          <w:sz w:val="24"/>
          <w:szCs w:val="24"/>
        </w:rPr>
        <w:t>。 </w:t>
      </w:r>
    </w:p>
    <w:p w14:paraId="1284015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甲方责任： </w:t>
      </w:r>
    </w:p>
    <w:p w14:paraId="1935CEDD">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负责协调施工地点及周边关系。</w:t>
      </w:r>
    </w:p>
    <w:p w14:paraId="071B5CC1">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负责向乙方进行技术交底。</w:t>
      </w:r>
    </w:p>
    <w:p w14:paraId="1C43F893">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lang w:val="en-US" w:eastAsia="zh-CN"/>
        </w:rPr>
        <w:t>负责按合同规定的期限及形式支付工程款。</w:t>
      </w:r>
    </w:p>
    <w:p w14:paraId="50C08AE3">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4、工程竣工后及时组织验收。</w:t>
      </w:r>
    </w:p>
    <w:p w14:paraId="6E2ECD4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乙方责任： </w:t>
      </w:r>
    </w:p>
    <w:p w14:paraId="59E2CF8A">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必须服从甲方工作人员的技术监督和质量管理。</w:t>
      </w:r>
    </w:p>
    <w:p w14:paraId="692D8D8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工程质量不符合合同规定</w:t>
      </w:r>
      <w:r>
        <w:rPr>
          <w:rFonts w:hint="eastAsia" w:ascii="微软雅黑" w:hAnsi="微软雅黑" w:eastAsia="微软雅黑" w:cs="微软雅黑"/>
          <w:color w:val="auto"/>
          <w:sz w:val="24"/>
          <w:szCs w:val="24"/>
          <w:lang w:eastAsia="zh-CN"/>
        </w:rPr>
        <w:t>的</w:t>
      </w:r>
      <w:r>
        <w:rPr>
          <w:rFonts w:hint="eastAsia" w:ascii="微软雅黑" w:hAnsi="微软雅黑" w:eastAsia="微软雅黑" w:cs="微软雅黑"/>
          <w:color w:val="auto"/>
          <w:sz w:val="24"/>
          <w:szCs w:val="24"/>
        </w:rPr>
        <w:t>，负责及时返工，由此造成的损失由乙方自行承担。 </w:t>
      </w:r>
    </w:p>
    <w:p w14:paraId="57EDC87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3、负责按合同规定的期限，保质保量按时完成工程项目。</w:t>
      </w:r>
    </w:p>
    <w:p w14:paraId="18DBAF4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4、工程完工后，负责施工现场清理。</w:t>
      </w:r>
    </w:p>
    <w:p w14:paraId="4A75954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eastAsia="zh-CN"/>
        </w:rPr>
        <w:t>八</w:t>
      </w:r>
      <w:r>
        <w:rPr>
          <w:rFonts w:hint="eastAsia" w:ascii="微软雅黑" w:hAnsi="微软雅黑" w:eastAsia="微软雅黑" w:cs="微软雅黑"/>
          <w:b/>
          <w:bCs/>
          <w:color w:val="auto"/>
          <w:sz w:val="24"/>
          <w:szCs w:val="24"/>
        </w:rPr>
        <w:t>、安全责任。</w:t>
      </w:r>
    </w:p>
    <w:p w14:paraId="24E58CE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w:t>
      </w:r>
      <w:r>
        <w:rPr>
          <w:rFonts w:hint="eastAsia" w:ascii="微软雅黑" w:hAnsi="微软雅黑" w:eastAsia="微软雅黑" w:cs="微软雅黑"/>
          <w:sz w:val="24"/>
          <w:szCs w:val="24"/>
          <w:lang w:eastAsia="zh-CN"/>
        </w:rPr>
        <w:t>负责</w:t>
      </w:r>
      <w:r>
        <w:rPr>
          <w:rFonts w:hint="eastAsia" w:ascii="微软雅黑" w:hAnsi="微软雅黑" w:eastAsia="微软雅黑" w:cs="微软雅黑"/>
          <w:sz w:val="24"/>
          <w:szCs w:val="24"/>
        </w:rPr>
        <w:t>在施工期间所发生的一切不安全事故、甲方概不负责。</w:t>
      </w:r>
    </w:p>
    <w:p w14:paraId="3467770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eastAsia="zh-CN"/>
        </w:rPr>
        <w:t>九</w:t>
      </w:r>
      <w:r>
        <w:rPr>
          <w:rFonts w:hint="eastAsia" w:ascii="微软雅黑" w:hAnsi="微软雅黑" w:eastAsia="微软雅黑" w:cs="微软雅黑"/>
          <w:b/>
          <w:bCs/>
          <w:sz w:val="24"/>
          <w:szCs w:val="24"/>
        </w:rPr>
        <w:t>、合同的生效与终止。</w:t>
      </w:r>
      <w:r>
        <w:rPr>
          <w:rFonts w:hint="eastAsia" w:ascii="微软雅黑" w:hAnsi="微软雅黑" w:eastAsia="微软雅黑" w:cs="微软雅黑"/>
          <w:sz w:val="24"/>
          <w:szCs w:val="24"/>
        </w:rPr>
        <w:t> </w:t>
      </w:r>
    </w:p>
    <w:p w14:paraId="755A92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本合同自双方签字盖章后生效。竣工结算，甲方支付完毕，乙方将工程交付甲方后条款终止。 </w:t>
      </w:r>
    </w:p>
    <w:p w14:paraId="1C540F8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十、合同份数。 </w:t>
      </w:r>
    </w:p>
    <w:p w14:paraId="2912587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本合同一式</w:t>
      </w:r>
      <w:r>
        <w:rPr>
          <w:rFonts w:hint="eastAsia" w:ascii="微软雅黑" w:hAnsi="微软雅黑" w:eastAsia="微软雅黑" w:cs="微软雅黑"/>
          <w:sz w:val="24"/>
          <w:szCs w:val="24"/>
          <w:lang w:eastAsia="zh-CN"/>
        </w:rPr>
        <w:t>五</w:t>
      </w:r>
      <w:r>
        <w:rPr>
          <w:rFonts w:hint="eastAsia" w:ascii="微软雅黑" w:hAnsi="微软雅黑" w:eastAsia="微软雅黑" w:cs="微软雅黑"/>
          <w:sz w:val="24"/>
          <w:szCs w:val="24"/>
        </w:rPr>
        <w:t>份，具有同等</w:t>
      </w:r>
      <w:r>
        <w:rPr>
          <w:rFonts w:hint="eastAsia" w:ascii="微软雅黑" w:hAnsi="微软雅黑" w:eastAsia="微软雅黑" w:cs="微软雅黑"/>
          <w:sz w:val="24"/>
          <w:szCs w:val="24"/>
          <w:lang w:eastAsia="zh-CN"/>
        </w:rPr>
        <w:t>法律</w:t>
      </w:r>
      <w:r>
        <w:rPr>
          <w:rFonts w:hint="eastAsia" w:ascii="微软雅黑" w:hAnsi="微软雅黑" w:eastAsia="微软雅黑" w:cs="微软雅黑"/>
          <w:sz w:val="24"/>
          <w:szCs w:val="24"/>
        </w:rPr>
        <w:t>效力，甲、乙双方签字盖章后各执一份。其它由甲乙双方分送有关部门存档。 </w:t>
      </w:r>
    </w:p>
    <w:p w14:paraId="6C0853F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 xml:space="preserve"> 十</w:t>
      </w: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、本合同未经事宜，双方协商解决。</w:t>
      </w:r>
      <w:r>
        <w:rPr>
          <w:rFonts w:hint="eastAsia" w:ascii="微软雅黑" w:hAnsi="微软雅黑" w:eastAsia="微软雅黑" w:cs="微软雅黑"/>
          <w:sz w:val="24"/>
          <w:szCs w:val="24"/>
        </w:rPr>
        <w:t> </w:t>
      </w:r>
    </w:p>
    <w:p w14:paraId="0D429407">
      <w:pPr>
        <w:spacing w:line="360" w:lineRule="auto"/>
        <w:rPr>
          <w:rFonts w:hint="eastAsia" w:ascii="微软雅黑" w:hAnsi="微软雅黑" w:eastAsia="微软雅黑" w:cs="微软雅黑"/>
          <w:sz w:val="24"/>
          <w:szCs w:val="24"/>
        </w:rPr>
      </w:pPr>
    </w:p>
    <w:p w14:paraId="353CA530">
      <w:pPr>
        <w:spacing w:line="360" w:lineRule="auto"/>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rPr>
        <w:t>甲方：</w:t>
      </w:r>
      <w:r>
        <w:rPr>
          <w:rFonts w:hint="eastAsia" w:ascii="微软雅黑" w:hAnsi="微软雅黑" w:eastAsia="微软雅黑" w:cs="微软雅黑"/>
          <w:sz w:val="24"/>
          <w:szCs w:val="24"/>
          <w:lang w:eastAsia="zh-CN"/>
        </w:rPr>
        <w:t>宁陕县农业林业和水利局</w:t>
      </w:r>
      <w:r>
        <w:rPr>
          <w:rFonts w:hint="eastAsia" w:ascii="微软雅黑" w:hAnsi="微软雅黑" w:eastAsia="微软雅黑" w:cs="微软雅黑"/>
          <w:sz w:val="24"/>
          <w:szCs w:val="24"/>
        </w:rPr>
        <w:t xml:space="preserve">      乙方：</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p>
    <w:p w14:paraId="31662279">
      <w:pPr>
        <w:spacing w:line="360" w:lineRule="auto"/>
        <w:rPr>
          <w:rFonts w:hint="eastAsia" w:ascii="微软雅黑" w:hAnsi="微软雅黑" w:eastAsia="微软雅黑" w:cs="微软雅黑"/>
          <w:sz w:val="24"/>
          <w:szCs w:val="24"/>
          <w:u w:val="single"/>
        </w:rPr>
      </w:pPr>
    </w:p>
    <w:p w14:paraId="599A0610">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甲方法人代表(盖章)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乙方法人代表(盖章) </w:t>
      </w:r>
    </w:p>
    <w:p w14:paraId="627936FC">
      <w:pPr>
        <w:spacing w:line="360" w:lineRule="auto"/>
        <w:rPr>
          <w:rFonts w:hint="eastAsia" w:ascii="微软雅黑" w:hAnsi="微软雅黑" w:eastAsia="微软雅黑" w:cs="微软雅黑"/>
          <w:sz w:val="24"/>
          <w:szCs w:val="24"/>
        </w:rPr>
      </w:pPr>
    </w:p>
    <w:p w14:paraId="05BA8766">
      <w:pPr>
        <w:spacing w:line="240" w:lineRule="auto"/>
        <w:ind w:firstLine="480" w:firstLineChars="200"/>
        <w:jc w:val="both"/>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sz w:val="24"/>
          <w:szCs w:val="24"/>
        </w:rPr>
        <w:t>　合同签订日期：                         签约地点：</w:t>
      </w:r>
    </w:p>
    <w:p w14:paraId="64E4C43B">
      <w:pPr>
        <w:jc w:val="center"/>
        <w:outlineLvl w:val="0"/>
        <w:rPr>
          <w:rFonts w:hint="eastAsia" w:ascii="黑体" w:hAnsi="黑体" w:eastAsia="黑体" w:cs="黑体"/>
          <w:b/>
          <w:bCs/>
          <w:kern w:val="2"/>
          <w:sz w:val="32"/>
          <w:szCs w:val="32"/>
          <w:lang w:val="zh-CN" w:eastAsia="zh-CN" w:bidi="ar-SA"/>
        </w:rPr>
      </w:pPr>
      <w:bookmarkStart w:id="262" w:name="_Toc24000"/>
      <w:bookmarkStart w:id="263" w:name="_Toc29716"/>
      <w:bookmarkStart w:id="264" w:name="_Toc4874"/>
      <w:bookmarkStart w:id="265" w:name="_Toc27016"/>
      <w:bookmarkStart w:id="266" w:name="_Toc28463"/>
      <w:bookmarkStart w:id="267" w:name="_Toc36034975"/>
      <w:bookmarkStart w:id="268" w:name="_Toc26155"/>
      <w:bookmarkStart w:id="269" w:name="_Toc8625"/>
    </w:p>
    <w:p w14:paraId="3CA6A42F">
      <w:pPr>
        <w:pStyle w:val="2"/>
        <w:rPr>
          <w:rFonts w:hint="eastAsia" w:ascii="黑体" w:hAnsi="黑体" w:eastAsia="黑体" w:cs="黑体"/>
          <w:b/>
          <w:bCs/>
          <w:kern w:val="2"/>
          <w:sz w:val="32"/>
          <w:szCs w:val="32"/>
          <w:lang w:val="zh-CN" w:eastAsia="zh-CN" w:bidi="ar-SA"/>
        </w:rPr>
      </w:pPr>
    </w:p>
    <w:p w14:paraId="39C83929">
      <w:pPr>
        <w:pStyle w:val="3"/>
        <w:rPr>
          <w:rFonts w:hint="eastAsia" w:ascii="黑体" w:hAnsi="黑体" w:eastAsia="黑体" w:cs="黑体"/>
          <w:b/>
          <w:bCs/>
          <w:kern w:val="2"/>
          <w:sz w:val="32"/>
          <w:szCs w:val="32"/>
          <w:lang w:val="zh-CN" w:eastAsia="zh-CN" w:bidi="ar-SA"/>
        </w:rPr>
      </w:pPr>
    </w:p>
    <w:p w14:paraId="6B7ECBC5">
      <w:pPr>
        <w:pStyle w:val="3"/>
        <w:rPr>
          <w:rFonts w:hint="eastAsia" w:ascii="黑体" w:hAnsi="黑体" w:eastAsia="黑体" w:cs="黑体"/>
          <w:b/>
          <w:bCs/>
          <w:kern w:val="2"/>
          <w:sz w:val="32"/>
          <w:szCs w:val="32"/>
          <w:lang w:val="zh-CN" w:eastAsia="zh-CN" w:bidi="ar-SA"/>
        </w:rPr>
      </w:pPr>
    </w:p>
    <w:p w14:paraId="481D8324">
      <w:pPr>
        <w:pStyle w:val="3"/>
        <w:rPr>
          <w:rFonts w:hint="eastAsia" w:ascii="黑体" w:hAnsi="黑体" w:eastAsia="黑体" w:cs="黑体"/>
          <w:b/>
          <w:bCs/>
          <w:kern w:val="2"/>
          <w:sz w:val="32"/>
          <w:szCs w:val="32"/>
          <w:lang w:val="zh-CN" w:eastAsia="zh-CN" w:bidi="ar-SA"/>
        </w:rPr>
      </w:pPr>
    </w:p>
    <w:p w14:paraId="4DD8891B">
      <w:pPr>
        <w:pStyle w:val="3"/>
        <w:rPr>
          <w:rFonts w:hint="eastAsia" w:ascii="黑体" w:hAnsi="黑体" w:eastAsia="黑体" w:cs="黑体"/>
          <w:b/>
          <w:bCs/>
          <w:kern w:val="2"/>
          <w:sz w:val="32"/>
          <w:szCs w:val="32"/>
          <w:lang w:val="zh-CN" w:eastAsia="zh-CN" w:bidi="ar-SA"/>
        </w:rPr>
      </w:pPr>
    </w:p>
    <w:p w14:paraId="49B484C1">
      <w:pPr>
        <w:pStyle w:val="3"/>
        <w:rPr>
          <w:rFonts w:hint="eastAsia" w:ascii="黑体" w:hAnsi="黑体" w:eastAsia="黑体" w:cs="黑体"/>
          <w:b/>
          <w:bCs/>
          <w:kern w:val="2"/>
          <w:sz w:val="32"/>
          <w:szCs w:val="32"/>
          <w:lang w:val="zh-CN" w:eastAsia="zh-CN" w:bidi="ar-SA"/>
        </w:rPr>
      </w:pPr>
    </w:p>
    <w:p w14:paraId="28059EDC">
      <w:pPr>
        <w:pStyle w:val="3"/>
        <w:rPr>
          <w:rFonts w:hint="eastAsia" w:ascii="黑体" w:hAnsi="黑体" w:eastAsia="黑体" w:cs="黑体"/>
          <w:b/>
          <w:bCs/>
          <w:kern w:val="2"/>
          <w:sz w:val="32"/>
          <w:szCs w:val="32"/>
          <w:lang w:val="zh-CN" w:eastAsia="zh-CN" w:bidi="ar-SA"/>
        </w:rPr>
      </w:pPr>
    </w:p>
    <w:p w14:paraId="7EDA2FEA">
      <w:pPr>
        <w:pStyle w:val="3"/>
        <w:rPr>
          <w:rFonts w:hint="eastAsia" w:ascii="黑体" w:hAnsi="黑体" w:eastAsia="黑体" w:cs="黑体"/>
          <w:b/>
          <w:bCs/>
          <w:kern w:val="2"/>
          <w:sz w:val="32"/>
          <w:szCs w:val="32"/>
          <w:lang w:val="zh-CN" w:eastAsia="zh-CN" w:bidi="ar-SA"/>
        </w:rPr>
      </w:pPr>
    </w:p>
    <w:p w14:paraId="62FCA07E">
      <w:pPr>
        <w:pStyle w:val="3"/>
        <w:rPr>
          <w:rFonts w:hint="eastAsia" w:ascii="黑体" w:hAnsi="黑体" w:eastAsia="黑体" w:cs="黑体"/>
          <w:b/>
          <w:bCs/>
          <w:kern w:val="2"/>
          <w:sz w:val="32"/>
          <w:szCs w:val="32"/>
          <w:lang w:val="zh-CN" w:eastAsia="zh-CN" w:bidi="ar-SA"/>
        </w:rPr>
      </w:pPr>
    </w:p>
    <w:p w14:paraId="571DEA3E">
      <w:pPr>
        <w:pStyle w:val="3"/>
        <w:rPr>
          <w:rFonts w:hint="eastAsia" w:ascii="黑体" w:hAnsi="黑体" w:eastAsia="黑体" w:cs="黑体"/>
          <w:b/>
          <w:bCs/>
          <w:kern w:val="2"/>
          <w:sz w:val="32"/>
          <w:szCs w:val="32"/>
          <w:lang w:val="zh-CN" w:eastAsia="zh-CN" w:bidi="ar-SA"/>
        </w:rPr>
      </w:pPr>
    </w:p>
    <w:p w14:paraId="71510496">
      <w:pPr>
        <w:pStyle w:val="3"/>
        <w:rPr>
          <w:rFonts w:hint="eastAsia" w:ascii="黑体" w:hAnsi="黑体" w:eastAsia="黑体" w:cs="黑体"/>
          <w:b/>
          <w:bCs/>
          <w:kern w:val="2"/>
          <w:sz w:val="32"/>
          <w:szCs w:val="32"/>
          <w:lang w:val="zh-CN" w:eastAsia="zh-CN" w:bidi="ar-SA"/>
        </w:rPr>
      </w:pPr>
    </w:p>
    <w:p w14:paraId="717D8CB9">
      <w:pPr>
        <w:pStyle w:val="3"/>
        <w:rPr>
          <w:rFonts w:hint="eastAsia" w:ascii="黑体" w:hAnsi="黑体" w:eastAsia="黑体" w:cs="黑体"/>
          <w:b/>
          <w:bCs/>
          <w:kern w:val="2"/>
          <w:sz w:val="32"/>
          <w:szCs w:val="32"/>
          <w:lang w:val="zh-CN" w:eastAsia="zh-CN" w:bidi="ar-SA"/>
        </w:rPr>
      </w:pPr>
    </w:p>
    <w:p w14:paraId="3003494F">
      <w:pPr>
        <w:pStyle w:val="3"/>
        <w:rPr>
          <w:rFonts w:hint="eastAsia" w:ascii="黑体" w:hAnsi="黑体" w:eastAsia="黑体" w:cs="黑体"/>
          <w:b/>
          <w:bCs/>
          <w:kern w:val="2"/>
          <w:sz w:val="32"/>
          <w:szCs w:val="32"/>
          <w:lang w:val="zh-CN" w:eastAsia="zh-CN" w:bidi="ar-SA"/>
        </w:rPr>
      </w:pPr>
    </w:p>
    <w:p w14:paraId="1940F714">
      <w:pPr>
        <w:pStyle w:val="3"/>
        <w:rPr>
          <w:rFonts w:hint="eastAsia" w:ascii="黑体" w:hAnsi="黑体" w:eastAsia="黑体" w:cs="黑体"/>
          <w:b/>
          <w:bCs/>
          <w:kern w:val="2"/>
          <w:sz w:val="32"/>
          <w:szCs w:val="32"/>
          <w:lang w:val="zh-CN" w:eastAsia="zh-CN" w:bidi="ar-SA"/>
        </w:rPr>
      </w:pPr>
    </w:p>
    <w:p w14:paraId="4827D1DB">
      <w:pPr>
        <w:pStyle w:val="3"/>
        <w:rPr>
          <w:rFonts w:hint="eastAsia" w:ascii="黑体" w:hAnsi="黑体" w:eastAsia="黑体" w:cs="黑体"/>
          <w:b/>
          <w:bCs/>
          <w:kern w:val="2"/>
          <w:sz w:val="32"/>
          <w:szCs w:val="32"/>
          <w:lang w:val="zh-CN" w:eastAsia="zh-CN" w:bidi="ar-SA"/>
        </w:rPr>
      </w:pPr>
    </w:p>
    <w:p w14:paraId="34376AF1">
      <w:pPr>
        <w:pStyle w:val="3"/>
        <w:rPr>
          <w:rFonts w:hint="eastAsia" w:ascii="黑体" w:hAnsi="黑体" w:eastAsia="黑体" w:cs="黑体"/>
          <w:b/>
          <w:bCs/>
          <w:kern w:val="2"/>
          <w:sz w:val="32"/>
          <w:szCs w:val="32"/>
          <w:lang w:val="zh-CN" w:eastAsia="zh-CN" w:bidi="ar-SA"/>
        </w:rPr>
      </w:pPr>
    </w:p>
    <w:p w14:paraId="02FF3D66">
      <w:pPr>
        <w:pStyle w:val="3"/>
        <w:rPr>
          <w:rFonts w:hint="eastAsia" w:ascii="黑体" w:hAnsi="黑体" w:eastAsia="黑体" w:cs="黑体"/>
          <w:b/>
          <w:bCs/>
          <w:kern w:val="2"/>
          <w:sz w:val="32"/>
          <w:szCs w:val="32"/>
          <w:lang w:val="zh-CN" w:eastAsia="zh-CN" w:bidi="ar-SA"/>
        </w:rPr>
      </w:pPr>
    </w:p>
    <w:p w14:paraId="537F1B90">
      <w:pPr>
        <w:pStyle w:val="3"/>
        <w:rPr>
          <w:rFonts w:hint="eastAsia" w:ascii="黑体" w:hAnsi="黑体" w:eastAsia="黑体" w:cs="黑体"/>
          <w:b/>
          <w:bCs/>
          <w:kern w:val="2"/>
          <w:sz w:val="32"/>
          <w:szCs w:val="32"/>
          <w:lang w:val="zh-CN" w:eastAsia="zh-CN" w:bidi="ar-SA"/>
        </w:rPr>
      </w:pPr>
    </w:p>
    <w:p w14:paraId="6D7F9DD7">
      <w:pPr>
        <w:jc w:val="center"/>
        <w:outlineLvl w:val="0"/>
        <w:rPr>
          <w:rFonts w:hint="eastAsia" w:ascii="黑体" w:hAnsi="黑体" w:eastAsia="黑体" w:cs="黑体"/>
          <w:b/>
          <w:bCs/>
          <w:kern w:val="2"/>
          <w:sz w:val="32"/>
          <w:szCs w:val="32"/>
          <w:lang w:val="zh-CN" w:eastAsia="zh-CN" w:bidi="ar-SA"/>
        </w:rPr>
      </w:pPr>
    </w:p>
    <w:p w14:paraId="130364B5">
      <w:pPr>
        <w:jc w:val="center"/>
        <w:outlineLvl w:val="0"/>
        <w:rPr>
          <w:rFonts w:hint="eastAsia"/>
          <w:lang w:val="zh-CN"/>
        </w:rPr>
      </w:pPr>
      <w:r>
        <w:rPr>
          <w:rFonts w:hint="eastAsia" w:ascii="黑体" w:hAnsi="黑体" w:eastAsia="黑体" w:cs="黑体"/>
          <w:b/>
          <w:bCs/>
          <w:kern w:val="2"/>
          <w:sz w:val="32"/>
          <w:szCs w:val="32"/>
          <w:lang w:val="zh-CN" w:eastAsia="zh-CN" w:bidi="ar-SA"/>
        </w:rPr>
        <w:t>第</w:t>
      </w:r>
      <w:r>
        <w:rPr>
          <w:rFonts w:hint="eastAsia" w:ascii="黑体" w:hAnsi="黑体" w:eastAsia="黑体" w:cs="黑体"/>
          <w:b/>
          <w:bCs/>
          <w:kern w:val="2"/>
          <w:sz w:val="32"/>
          <w:szCs w:val="32"/>
          <w:lang w:val="en-US" w:eastAsia="zh-CN" w:bidi="ar-SA"/>
        </w:rPr>
        <w:t>五</w:t>
      </w:r>
      <w:r>
        <w:rPr>
          <w:rFonts w:hint="eastAsia" w:ascii="黑体" w:hAnsi="黑体" w:eastAsia="黑体" w:cs="黑体"/>
          <w:b/>
          <w:bCs/>
          <w:kern w:val="2"/>
          <w:sz w:val="32"/>
          <w:szCs w:val="32"/>
          <w:lang w:val="zh-CN" w:eastAsia="zh-CN" w:bidi="ar-SA"/>
        </w:rPr>
        <w:t>部分 响应文件格式</w:t>
      </w:r>
      <w:bookmarkEnd w:id="262"/>
      <w:bookmarkEnd w:id="263"/>
      <w:bookmarkEnd w:id="264"/>
      <w:bookmarkEnd w:id="265"/>
      <w:bookmarkEnd w:id="266"/>
      <w:bookmarkEnd w:id="267"/>
      <w:bookmarkEnd w:id="268"/>
      <w:bookmarkEnd w:id="269"/>
    </w:p>
    <w:p w14:paraId="077AF64B">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zh-CN"/>
        </w:rPr>
      </w:pPr>
    </w:p>
    <w:p w14:paraId="33492B7E">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政府采购项目</w:t>
      </w:r>
    </w:p>
    <w:p w14:paraId="4F3DC3DC">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zh-CN"/>
        </w:rPr>
        <w:t>项目编号：</w:t>
      </w:r>
      <w:r>
        <w:rPr>
          <w:rFonts w:hint="eastAsia" w:ascii="仿宋_GB2312" w:hAnsi="宋体" w:eastAsia="仿宋_GB2312"/>
          <w:b/>
          <w:bCs/>
          <w:sz w:val="32"/>
          <w:szCs w:val="32"/>
          <w:lang w:val="en-US" w:eastAsia="zh-CN"/>
        </w:rPr>
        <w:t>ZCPC-2025-037</w:t>
      </w:r>
    </w:p>
    <w:p w14:paraId="144446E8">
      <w:pPr>
        <w:tabs>
          <w:tab w:val="left" w:pos="5670"/>
        </w:tabs>
        <w:autoSpaceDE w:val="0"/>
        <w:autoSpaceDN w:val="0"/>
        <w:adjustRightInd w:val="0"/>
        <w:snapToGrid w:val="0"/>
        <w:spacing w:line="360" w:lineRule="auto"/>
        <w:ind w:firstLine="300"/>
      </w:pPr>
    </w:p>
    <w:p w14:paraId="45B41B6B"/>
    <w:p w14:paraId="65BB9C06">
      <w:pPr>
        <w:tabs>
          <w:tab w:val="left" w:pos="5670"/>
        </w:tabs>
        <w:autoSpaceDE w:val="0"/>
        <w:autoSpaceDN w:val="0"/>
        <w:adjustRightInd w:val="0"/>
        <w:snapToGrid w:val="0"/>
        <w:spacing w:line="360" w:lineRule="auto"/>
        <w:ind w:firstLine="300"/>
        <w:rPr>
          <w:rFonts w:hint="eastAsia"/>
        </w:rPr>
      </w:pPr>
    </w:p>
    <w:p w14:paraId="1D75F1F4">
      <w:pPr>
        <w:pStyle w:val="2"/>
        <w:rPr>
          <w:rFonts w:hint="eastAsia"/>
        </w:rPr>
      </w:pPr>
    </w:p>
    <w:p w14:paraId="74E9D3E0">
      <w:pPr>
        <w:tabs>
          <w:tab w:val="left" w:pos="5670"/>
        </w:tabs>
        <w:autoSpaceDE w:val="0"/>
        <w:autoSpaceDN w:val="0"/>
        <w:adjustRightInd w:val="0"/>
        <w:snapToGrid w:val="0"/>
        <w:spacing w:line="360" w:lineRule="auto"/>
        <w:ind w:firstLine="300"/>
      </w:pPr>
    </w:p>
    <w:p w14:paraId="0601D5A3">
      <w:pPr>
        <w:pStyle w:val="17"/>
        <w:jc w:val="center"/>
        <w:rPr>
          <w:rFonts w:hint="eastAsia" w:ascii="宋体" w:hAnsi="宋体"/>
          <w:b/>
          <w:bCs/>
          <w:sz w:val="44"/>
          <w:szCs w:val="44"/>
          <w:lang w:eastAsia="zh-CN"/>
        </w:rPr>
      </w:pPr>
      <w:r>
        <w:rPr>
          <w:rFonts w:hint="eastAsia" w:ascii="宋体" w:hAnsi="宋体"/>
          <w:b/>
          <w:bCs/>
          <w:sz w:val="44"/>
          <w:szCs w:val="44"/>
          <w:highlight w:val="none"/>
          <w:lang w:eastAsia="zh-CN"/>
        </w:rPr>
        <w:t>宁陕县2025年中央财政林业草原生态保护恢复资金森林修复项目</w:t>
      </w:r>
    </w:p>
    <w:p w14:paraId="6136E00A">
      <w:pPr>
        <w:pStyle w:val="17"/>
        <w:rPr>
          <w:rFonts w:hint="eastAsia"/>
        </w:rPr>
      </w:pPr>
    </w:p>
    <w:p w14:paraId="75CD8A55">
      <w:pPr>
        <w:rPr>
          <w:rFonts w:hint="eastAsia"/>
        </w:rPr>
      </w:pPr>
    </w:p>
    <w:p w14:paraId="57E3F09D">
      <w:pPr>
        <w:pStyle w:val="2"/>
        <w:rPr>
          <w:rFonts w:hint="eastAsia"/>
        </w:rPr>
      </w:pPr>
    </w:p>
    <w:p w14:paraId="14A36411">
      <w:pPr>
        <w:pStyle w:val="2"/>
        <w:rPr>
          <w:rFonts w:hint="eastAsia"/>
        </w:rPr>
      </w:pPr>
    </w:p>
    <w:p w14:paraId="35E39F09">
      <w:pPr>
        <w:outlineLvl w:val="9"/>
        <w:rPr>
          <w:rFonts w:hint="eastAsia" w:ascii="Times New Roman" w:eastAsia="宋体"/>
        </w:rPr>
      </w:pPr>
    </w:p>
    <w:p w14:paraId="30268003">
      <w:pPr>
        <w:spacing w:line="360" w:lineRule="auto"/>
        <w:jc w:val="center"/>
        <w:rPr>
          <w:rFonts w:hint="eastAsia" w:ascii="宋体" w:hAnsi="宋体"/>
          <w:b/>
          <w:kern w:val="0"/>
          <w:sz w:val="44"/>
          <w:szCs w:val="44"/>
        </w:rPr>
      </w:pPr>
      <w:r>
        <w:rPr>
          <w:rFonts w:hint="eastAsia" w:ascii="宋体" w:hAnsi="宋体"/>
          <w:b/>
          <w:kern w:val="0"/>
          <w:sz w:val="44"/>
          <w:szCs w:val="44"/>
        </w:rPr>
        <w:t>响</w:t>
      </w:r>
      <w:r>
        <w:rPr>
          <w:rFonts w:hint="eastAsia" w:ascii="宋体" w:hAnsi="宋体"/>
          <w:b/>
          <w:kern w:val="0"/>
          <w:sz w:val="44"/>
          <w:szCs w:val="44"/>
          <w:lang w:val="en-US" w:eastAsia="zh-CN"/>
        </w:rPr>
        <w:t xml:space="preserve"> </w:t>
      </w:r>
      <w:r>
        <w:rPr>
          <w:rFonts w:hint="eastAsia" w:ascii="宋体" w:hAnsi="宋体"/>
          <w:b/>
          <w:kern w:val="0"/>
          <w:sz w:val="44"/>
          <w:szCs w:val="44"/>
        </w:rPr>
        <w:t>应</w:t>
      </w:r>
      <w:r>
        <w:rPr>
          <w:rFonts w:hint="eastAsia" w:ascii="宋体" w:hAnsi="宋体"/>
          <w:b/>
          <w:kern w:val="0"/>
          <w:sz w:val="44"/>
          <w:szCs w:val="44"/>
          <w:lang w:val="en-US" w:eastAsia="zh-CN"/>
        </w:rPr>
        <w:t xml:space="preserve"> </w:t>
      </w:r>
      <w:r>
        <w:rPr>
          <w:rFonts w:hint="eastAsia" w:ascii="宋体" w:hAnsi="宋体"/>
          <w:b/>
          <w:kern w:val="0"/>
          <w:sz w:val="44"/>
          <w:szCs w:val="44"/>
        </w:rPr>
        <w:t>文</w:t>
      </w:r>
      <w:r>
        <w:rPr>
          <w:rFonts w:hint="eastAsia" w:ascii="宋体" w:hAnsi="宋体"/>
          <w:b/>
          <w:kern w:val="0"/>
          <w:sz w:val="44"/>
          <w:szCs w:val="44"/>
          <w:lang w:val="en-US" w:eastAsia="zh-CN"/>
        </w:rPr>
        <w:t xml:space="preserve"> </w:t>
      </w:r>
      <w:r>
        <w:rPr>
          <w:rFonts w:hint="eastAsia" w:ascii="宋体" w:hAnsi="宋体"/>
          <w:b/>
          <w:kern w:val="0"/>
          <w:sz w:val="44"/>
          <w:szCs w:val="44"/>
        </w:rPr>
        <w:t>件</w:t>
      </w:r>
    </w:p>
    <w:p w14:paraId="763D3CFE">
      <w:pPr>
        <w:pStyle w:val="2"/>
        <w:jc w:val="center"/>
        <w:rPr>
          <w:rFonts w:hint="eastAsia"/>
        </w:rPr>
      </w:pPr>
      <w:r>
        <w:rPr>
          <w:rFonts w:hint="eastAsia" w:ascii="仿宋_GB2312" w:hAnsi="仿宋_GB2312" w:eastAsia="仿宋_GB2312" w:cs="仿宋_GB2312"/>
          <w:sz w:val="32"/>
          <w:szCs w:val="32"/>
        </w:rPr>
        <w:t>(格式)</w:t>
      </w:r>
    </w:p>
    <w:p w14:paraId="68E22940">
      <w:pPr>
        <w:spacing w:line="480" w:lineRule="auto"/>
        <w:rPr>
          <w:rFonts w:hint="eastAsia" w:ascii="仿宋_GB2312" w:hAnsi="宋体" w:eastAsia="仿宋_GB2312"/>
          <w:b/>
          <w:bCs/>
          <w:sz w:val="32"/>
          <w:szCs w:val="32"/>
        </w:rPr>
      </w:pPr>
    </w:p>
    <w:p w14:paraId="796CAF5C">
      <w:pPr>
        <w:rPr>
          <w:rFonts w:hint="eastAsia"/>
        </w:rPr>
      </w:pPr>
    </w:p>
    <w:p w14:paraId="262DD94E">
      <w:pPr>
        <w:pStyle w:val="2"/>
        <w:rPr>
          <w:rFonts w:hint="eastAsia"/>
        </w:rPr>
      </w:pPr>
    </w:p>
    <w:p w14:paraId="40D1E890">
      <w:pPr>
        <w:pStyle w:val="2"/>
        <w:rPr>
          <w:rFonts w:hint="eastAsia"/>
        </w:rPr>
      </w:pPr>
    </w:p>
    <w:p w14:paraId="62E465AB">
      <w:pPr>
        <w:rPr>
          <w:rFonts w:hint="eastAsia"/>
        </w:rPr>
      </w:pPr>
    </w:p>
    <w:p w14:paraId="657DA6BF">
      <w:pPr>
        <w:spacing w:line="360" w:lineRule="auto"/>
        <w:ind w:left="420" w:leftChars="200" w:firstLine="556" w:firstLineChars="265"/>
        <w:rPr>
          <w:rFonts w:hint="eastAsia"/>
          <w:highlight w:val="yellow"/>
        </w:rPr>
      </w:pPr>
    </w:p>
    <w:p w14:paraId="1B1222D0">
      <w:pPr>
        <w:spacing w:line="360" w:lineRule="auto"/>
        <w:ind w:left="420" w:leftChars="200" w:firstLine="851" w:firstLineChars="265"/>
        <w:rPr>
          <w:rFonts w:hint="eastAsia" w:ascii="仿宋_GB2312" w:hAnsi="宋体" w:eastAsia="仿宋_GB2312"/>
          <w:b/>
          <w:bCs/>
          <w:sz w:val="32"/>
          <w:szCs w:val="32"/>
        </w:rPr>
      </w:pPr>
      <w:r>
        <w:rPr>
          <w:rFonts w:hint="eastAsia" w:ascii="仿宋_GB2312" w:hAnsi="宋体" w:eastAsia="仿宋_GB2312"/>
          <w:b/>
          <w:bCs/>
          <w:sz w:val="32"/>
          <w:szCs w:val="32"/>
        </w:rPr>
        <w:t>供应商</w:t>
      </w:r>
      <w:r>
        <w:rPr>
          <w:rFonts w:hint="eastAsia" w:ascii="仿宋_GB2312" w:hAnsi="宋体" w:eastAsia="仿宋_GB2312"/>
          <w:b/>
          <w:bCs/>
          <w:sz w:val="32"/>
          <w:szCs w:val="32"/>
          <w:lang w:val="en-US" w:eastAsia="zh-CN"/>
        </w:rPr>
        <w:t>名称</w:t>
      </w:r>
      <w:r>
        <w:rPr>
          <w:rFonts w:hint="eastAsia" w:ascii="仿宋_GB2312" w:hAnsi="宋体" w:eastAsia="仿宋_GB2312"/>
          <w:b/>
          <w:bCs/>
          <w:sz w:val="32"/>
          <w:szCs w:val="32"/>
        </w:rPr>
        <w:t>：</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（盖章）</w:t>
      </w:r>
    </w:p>
    <w:p w14:paraId="6E4E9F24">
      <w:pPr>
        <w:spacing w:line="360" w:lineRule="auto"/>
        <w:ind w:firstLine="1285" w:firstLineChars="400"/>
        <w:rPr>
          <w:rFonts w:hint="eastAsia" w:ascii="仿宋_GB2312" w:hAnsi="宋体" w:eastAsia="仿宋_GB2312"/>
          <w:b/>
          <w:bCs/>
          <w:sz w:val="32"/>
          <w:szCs w:val="32"/>
        </w:rPr>
      </w:pPr>
      <w:r>
        <w:rPr>
          <w:rFonts w:hint="eastAsia" w:ascii="仿宋_GB2312" w:hAnsi="宋体" w:eastAsia="仿宋_GB2312"/>
          <w:b/>
          <w:sz w:val="32"/>
        </w:rPr>
        <w:t>法定代表人或授权代表：</w:t>
      </w:r>
      <w:r>
        <w:rPr>
          <w:rFonts w:hint="eastAsia" w:ascii="仿宋_GB2312" w:hAnsi="宋体" w:eastAsia="仿宋_GB2312"/>
          <w:b/>
          <w:sz w:val="32"/>
          <w:u w:val="single"/>
        </w:rPr>
        <w:t xml:space="preserve">           </w:t>
      </w:r>
      <w:r>
        <w:rPr>
          <w:rFonts w:hint="eastAsia" w:ascii="仿宋_GB2312" w:hAnsi="宋体" w:eastAsia="仿宋_GB2312"/>
          <w:b/>
          <w:bCs/>
          <w:sz w:val="32"/>
          <w:szCs w:val="32"/>
        </w:rPr>
        <w:t>（签字</w:t>
      </w:r>
      <w:r>
        <w:rPr>
          <w:rFonts w:hint="eastAsia" w:ascii="仿宋_GB2312" w:hAnsi="宋体" w:eastAsia="仿宋_GB2312"/>
          <w:b/>
          <w:bCs/>
          <w:sz w:val="32"/>
          <w:szCs w:val="32"/>
          <w:lang w:val="en-US" w:eastAsia="zh-CN"/>
        </w:rPr>
        <w:t>或盖章</w:t>
      </w:r>
      <w:r>
        <w:rPr>
          <w:rFonts w:hint="eastAsia" w:ascii="仿宋_GB2312" w:hAnsi="宋体" w:eastAsia="仿宋_GB2312"/>
          <w:b/>
          <w:bCs/>
          <w:sz w:val="32"/>
          <w:szCs w:val="32"/>
        </w:rPr>
        <w:t>）</w:t>
      </w:r>
    </w:p>
    <w:p w14:paraId="1635708A">
      <w:pPr>
        <w:pStyle w:val="2"/>
        <w:rPr>
          <w:rFonts w:hint="eastAsia" w:ascii="微软雅黑" w:hAnsi="微软雅黑" w:eastAsia="微软雅黑" w:cs="微软雅黑"/>
          <w:sz w:val="24"/>
          <w:szCs w:val="24"/>
          <w:lang w:val="zh-CN"/>
        </w:rPr>
      </w:pPr>
      <w:r>
        <w:rPr>
          <w:rFonts w:hint="eastAsia" w:ascii="仿宋_GB2312" w:hAnsi="宋体" w:eastAsia="仿宋_GB2312"/>
          <w:b/>
          <w:bCs/>
          <w:sz w:val="32"/>
          <w:szCs w:val="32"/>
        </w:rPr>
        <w:t>日    期：</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年</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月</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日</w:t>
      </w:r>
    </w:p>
    <w:p w14:paraId="4DE469E9">
      <w:pPr>
        <w:rPr>
          <w:rFonts w:hint="eastAsia"/>
          <w:lang w:val="zh-CN"/>
        </w:rPr>
      </w:pPr>
    </w:p>
    <w:p w14:paraId="3C0D003D">
      <w:pPr>
        <w:pStyle w:val="2"/>
        <w:rPr>
          <w:rFonts w:hint="eastAsia" w:ascii="微软雅黑" w:hAnsi="微软雅黑" w:eastAsia="微软雅黑" w:cs="微软雅黑"/>
          <w:sz w:val="24"/>
          <w:szCs w:val="24"/>
          <w:lang w:val="zh-CN"/>
        </w:rPr>
      </w:pPr>
    </w:p>
    <w:p w14:paraId="7EFC5E11">
      <w:pPr>
        <w:rPr>
          <w:rFonts w:hint="eastAsia"/>
          <w:lang w:val="zh-CN"/>
        </w:rPr>
      </w:pPr>
    </w:p>
    <w:p w14:paraId="1A154DFC">
      <w:pPr>
        <w:rPr>
          <w:rFonts w:hint="eastAsia"/>
          <w:lang w:val="en-US" w:eastAsia="zh-CN"/>
        </w:rPr>
      </w:pPr>
    </w:p>
    <w:p w14:paraId="4D2D6B41">
      <w:pPr>
        <w:bidi w:val="0"/>
        <w:rPr>
          <w:rFonts w:hint="eastAsia"/>
          <w:lang w:val="en-US" w:eastAsia="zh-CN"/>
        </w:rPr>
      </w:pPr>
    </w:p>
    <w:p w14:paraId="01C19645">
      <w:pPr>
        <w:bidi w:val="0"/>
        <w:rPr>
          <w:rFonts w:hint="eastAsia"/>
          <w:lang w:val="en-US" w:eastAsia="zh-CN"/>
        </w:rPr>
      </w:pPr>
    </w:p>
    <w:p w14:paraId="7CF21781">
      <w:pPr>
        <w:autoSpaceDE w:val="0"/>
        <w:autoSpaceDN w:val="0"/>
        <w:adjustRightInd w:val="0"/>
        <w:spacing w:line="360" w:lineRule="auto"/>
        <w:jc w:val="center"/>
        <w:rPr>
          <w:rFonts w:ascii="宋体" w:hAnsi="宋体"/>
          <w:b/>
          <w:bCs/>
          <w:sz w:val="44"/>
          <w:szCs w:val="44"/>
          <w:lang w:val="zh-CN"/>
        </w:rPr>
      </w:pPr>
    </w:p>
    <w:p w14:paraId="19A501FA">
      <w:pPr>
        <w:autoSpaceDE w:val="0"/>
        <w:autoSpaceDN w:val="0"/>
        <w:adjustRightInd w:val="0"/>
        <w:spacing w:line="360" w:lineRule="auto"/>
        <w:jc w:val="center"/>
        <w:rPr>
          <w:rFonts w:hint="eastAsia" w:ascii="宋体" w:hAnsi="宋体"/>
          <w:b/>
          <w:bCs/>
          <w:sz w:val="44"/>
          <w:szCs w:val="44"/>
          <w:lang w:val="zh-CN"/>
        </w:rPr>
      </w:pPr>
      <w:r>
        <w:rPr>
          <w:rFonts w:ascii="宋体" w:hAnsi="宋体"/>
          <w:b/>
          <w:bCs/>
          <w:sz w:val="44"/>
          <w:szCs w:val="44"/>
          <w:lang w:val="zh-CN"/>
        </w:rPr>
        <w:t>目      录</w:t>
      </w:r>
    </w:p>
    <w:p w14:paraId="5B550C91">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一、 响应函 ……………………………………………页码</w:t>
      </w:r>
    </w:p>
    <w:p w14:paraId="034B9149">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二、 首次磋商报价表 ………………………………………</w:t>
      </w:r>
    </w:p>
    <w:p w14:paraId="0FBBEA1D">
      <w:pPr>
        <w:spacing w:before="120" w:beforeLines="50" w:line="560" w:lineRule="exact"/>
        <w:ind w:firstLine="461" w:firstLineChars="164"/>
        <w:rPr>
          <w:rFonts w:hint="eastAsia" w:ascii="宋体" w:hAnsi="宋体"/>
          <w:b/>
          <w:sz w:val="28"/>
          <w:szCs w:val="28"/>
        </w:rPr>
      </w:pPr>
      <w:r>
        <w:rPr>
          <w:rFonts w:ascii="宋体" w:hAnsi="宋体"/>
          <w:b/>
          <w:sz w:val="28"/>
          <w:szCs w:val="28"/>
        </w:rPr>
        <w:t>三、</w:t>
      </w:r>
      <w:r>
        <w:rPr>
          <w:rFonts w:hint="eastAsia" w:ascii="宋体" w:hAnsi="宋体"/>
          <w:b/>
          <w:sz w:val="28"/>
          <w:szCs w:val="28"/>
        </w:rPr>
        <w:t xml:space="preserve"> </w:t>
      </w:r>
      <w:r>
        <w:rPr>
          <w:rFonts w:hint="eastAsia" w:ascii="宋体" w:hAnsi="宋体"/>
          <w:b/>
          <w:sz w:val="28"/>
          <w:szCs w:val="28"/>
          <w:lang w:val="zh-CN"/>
        </w:rPr>
        <w:t>费用组成明细表</w:t>
      </w:r>
      <w:r>
        <w:rPr>
          <w:rFonts w:ascii="宋体" w:hAnsi="宋体"/>
          <w:b/>
          <w:sz w:val="28"/>
          <w:szCs w:val="28"/>
        </w:rPr>
        <w:t xml:space="preserve"> …………………………</w:t>
      </w:r>
      <w:r>
        <w:rPr>
          <w:rFonts w:hint="eastAsia" w:ascii="宋体" w:hAnsi="宋体"/>
          <w:b/>
          <w:sz w:val="28"/>
          <w:szCs w:val="28"/>
        </w:rPr>
        <w:t>……………</w:t>
      </w:r>
    </w:p>
    <w:p w14:paraId="066DC889">
      <w:pPr>
        <w:spacing w:before="120" w:beforeLines="50" w:line="560" w:lineRule="exact"/>
        <w:ind w:firstLine="461" w:firstLineChars="164"/>
        <w:rPr>
          <w:rFonts w:hint="eastAsia" w:ascii="宋体" w:hAnsi="宋体"/>
          <w:b/>
          <w:sz w:val="28"/>
          <w:szCs w:val="28"/>
        </w:rPr>
      </w:pPr>
      <w:r>
        <w:rPr>
          <w:rFonts w:hint="eastAsia" w:ascii="宋体" w:hAnsi="宋体"/>
          <w:b/>
          <w:sz w:val="28"/>
          <w:szCs w:val="28"/>
          <w:lang w:val="en-US" w:eastAsia="zh-CN"/>
        </w:rPr>
        <w:t>四</w:t>
      </w:r>
      <w:r>
        <w:rPr>
          <w:rFonts w:ascii="宋体" w:hAnsi="宋体"/>
          <w:b/>
          <w:sz w:val="28"/>
          <w:szCs w:val="28"/>
        </w:rPr>
        <w:t>、</w:t>
      </w:r>
      <w:r>
        <w:rPr>
          <w:rFonts w:hint="eastAsia" w:ascii="宋体" w:hAnsi="宋体"/>
          <w:b/>
          <w:sz w:val="28"/>
          <w:szCs w:val="28"/>
        </w:rPr>
        <w:t xml:space="preserve"> 供应商资格证明文件 …………………………………</w:t>
      </w:r>
    </w:p>
    <w:p w14:paraId="35B330BC">
      <w:pPr>
        <w:spacing w:before="120" w:beforeLines="50" w:line="560" w:lineRule="exact"/>
        <w:ind w:firstLine="461" w:firstLineChars="164"/>
        <w:rPr>
          <w:rFonts w:hint="eastAsia" w:ascii="宋体" w:hAnsi="宋体"/>
          <w:b/>
          <w:sz w:val="28"/>
          <w:szCs w:val="28"/>
        </w:rPr>
      </w:pPr>
      <w:r>
        <w:rPr>
          <w:rFonts w:hint="eastAsia" w:ascii="宋体" w:hAnsi="宋体"/>
          <w:b/>
          <w:sz w:val="28"/>
          <w:szCs w:val="28"/>
          <w:lang w:val="en-US" w:eastAsia="zh-CN"/>
        </w:rPr>
        <w:t>五</w:t>
      </w:r>
      <w:r>
        <w:rPr>
          <w:rFonts w:hint="eastAsia" w:ascii="宋体" w:hAnsi="宋体"/>
          <w:b/>
          <w:sz w:val="28"/>
          <w:szCs w:val="28"/>
        </w:rPr>
        <w:t>、 合同条款偏离</w:t>
      </w:r>
      <w:r>
        <w:rPr>
          <w:rFonts w:hint="eastAsia" w:ascii="宋体" w:hAnsi="宋体"/>
          <w:b/>
          <w:sz w:val="28"/>
          <w:szCs w:val="28"/>
          <w:lang w:eastAsia="zh-CN"/>
        </w:rPr>
        <w:t>表</w:t>
      </w:r>
      <w:r>
        <w:rPr>
          <w:rFonts w:hint="eastAsia" w:ascii="宋体" w:hAnsi="宋体"/>
          <w:b/>
          <w:sz w:val="28"/>
          <w:szCs w:val="28"/>
          <w:lang w:val="en-US" w:eastAsia="zh-CN"/>
        </w:rPr>
        <w:t xml:space="preserve"> </w:t>
      </w:r>
      <w:r>
        <w:rPr>
          <w:rFonts w:hint="eastAsia" w:ascii="宋体" w:hAnsi="宋体"/>
          <w:b/>
          <w:sz w:val="28"/>
          <w:szCs w:val="28"/>
        </w:rPr>
        <w:t>…………………………………………</w:t>
      </w:r>
    </w:p>
    <w:p w14:paraId="1D911944">
      <w:pPr>
        <w:spacing w:before="120" w:beforeLines="50" w:line="560" w:lineRule="exact"/>
        <w:ind w:firstLine="461" w:firstLineChars="164"/>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 响应方案说</w:t>
      </w:r>
      <w:r>
        <w:rPr>
          <w:rFonts w:hint="eastAsia" w:ascii="宋体" w:hAnsi="宋体"/>
          <w:b/>
          <w:sz w:val="28"/>
          <w:szCs w:val="28"/>
          <w:lang w:val="en-US" w:eastAsia="zh-CN"/>
        </w:rPr>
        <w:t>明</w:t>
      </w:r>
      <w:r>
        <w:rPr>
          <w:rFonts w:hint="eastAsia" w:ascii="宋体" w:hAnsi="宋体"/>
          <w:b/>
          <w:sz w:val="28"/>
          <w:szCs w:val="28"/>
        </w:rPr>
        <w:t>……………………………………………</w:t>
      </w:r>
    </w:p>
    <w:p w14:paraId="78F828DF">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七、 业绩的有关证明材料</w:t>
      </w:r>
      <w:r>
        <w:rPr>
          <w:rFonts w:hint="eastAsia" w:ascii="宋体" w:hAnsi="宋体"/>
          <w:b/>
          <w:sz w:val="28"/>
          <w:szCs w:val="28"/>
          <w:lang w:val="en-US" w:eastAsia="zh-CN"/>
        </w:rPr>
        <w:t xml:space="preserve"> </w:t>
      </w:r>
      <w:r>
        <w:rPr>
          <w:rFonts w:hint="eastAsia" w:ascii="宋体" w:hAnsi="宋体"/>
          <w:b/>
          <w:sz w:val="28"/>
          <w:szCs w:val="28"/>
        </w:rPr>
        <w:t>…………………………………</w:t>
      </w:r>
    </w:p>
    <w:p w14:paraId="1332E3B5">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 xml:space="preserve">八、 </w:t>
      </w:r>
      <w:r>
        <w:rPr>
          <w:rFonts w:hint="eastAsia" w:ascii="宋体" w:hAnsi="宋体" w:eastAsia="宋体" w:cs="Times New Roman"/>
          <w:b/>
          <w:sz w:val="28"/>
          <w:szCs w:val="28"/>
          <w:lang w:val="en-US" w:eastAsia="zh-CN"/>
        </w:rPr>
        <w:t xml:space="preserve">拒绝政府采购领域商业贿赂承诺书 </w:t>
      </w:r>
      <w:r>
        <w:rPr>
          <w:rFonts w:hint="eastAsia" w:ascii="宋体" w:hAnsi="宋体"/>
          <w:b/>
          <w:sz w:val="28"/>
          <w:szCs w:val="28"/>
        </w:rPr>
        <w:t>…………………</w:t>
      </w:r>
    </w:p>
    <w:p w14:paraId="08302380">
      <w:pPr>
        <w:spacing w:before="120" w:beforeLines="50" w:line="560" w:lineRule="exact"/>
        <w:ind w:firstLine="461" w:firstLineChars="164"/>
        <w:rPr>
          <w:rFonts w:hint="default"/>
          <w:lang w:val="en-US" w:eastAsia="zh-CN"/>
        </w:rPr>
      </w:pPr>
      <w:r>
        <w:rPr>
          <w:rFonts w:hint="eastAsia" w:ascii="宋体" w:hAnsi="宋体"/>
          <w:b/>
          <w:sz w:val="28"/>
          <w:szCs w:val="28"/>
        </w:rPr>
        <w:t>九、 供应商认为有必要补充说明的事项</w:t>
      </w:r>
      <w:r>
        <w:rPr>
          <w:rFonts w:hint="eastAsia" w:ascii="宋体" w:hAnsi="宋体"/>
          <w:b/>
          <w:sz w:val="28"/>
          <w:szCs w:val="28"/>
          <w:lang w:val="en-US" w:eastAsia="zh-CN"/>
        </w:rPr>
        <w:t xml:space="preserve"> </w:t>
      </w:r>
      <w:r>
        <w:rPr>
          <w:rFonts w:hint="eastAsia" w:ascii="宋体" w:hAnsi="宋体"/>
          <w:b/>
          <w:sz w:val="28"/>
          <w:szCs w:val="28"/>
        </w:rPr>
        <w:t>……………………</w:t>
      </w:r>
    </w:p>
    <w:p w14:paraId="083DB173">
      <w:pPr>
        <w:bidi w:val="0"/>
        <w:rPr>
          <w:rFonts w:hint="eastAsia"/>
          <w:lang w:val="zh-CN" w:eastAsia="zh-CN"/>
        </w:rPr>
      </w:pPr>
    </w:p>
    <w:p w14:paraId="158B0957">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p>
    <w:p w14:paraId="07440346">
      <w:pPr>
        <w:pStyle w:val="2"/>
        <w:rPr>
          <w:rFonts w:hint="eastAsia" w:ascii="黑体" w:hAnsi="黑体" w:eastAsia="黑体" w:cs="黑体"/>
          <w:b/>
          <w:bCs/>
          <w:kern w:val="2"/>
          <w:sz w:val="32"/>
          <w:szCs w:val="32"/>
          <w:lang w:val="zh-CN" w:eastAsia="zh-CN" w:bidi="ar-SA"/>
        </w:rPr>
      </w:pPr>
    </w:p>
    <w:p w14:paraId="6C7927B9">
      <w:pPr>
        <w:rPr>
          <w:rFonts w:hint="eastAsia" w:ascii="黑体" w:hAnsi="黑体" w:eastAsia="黑体" w:cs="黑体"/>
          <w:b/>
          <w:bCs/>
          <w:kern w:val="2"/>
          <w:sz w:val="32"/>
          <w:szCs w:val="32"/>
          <w:lang w:val="zh-CN" w:eastAsia="zh-CN" w:bidi="ar-SA"/>
        </w:rPr>
      </w:pPr>
    </w:p>
    <w:p w14:paraId="6EB14FF7">
      <w:pPr>
        <w:pStyle w:val="2"/>
        <w:rPr>
          <w:rFonts w:hint="eastAsia" w:ascii="黑体" w:hAnsi="黑体" w:eastAsia="黑体" w:cs="黑体"/>
          <w:b/>
          <w:bCs/>
          <w:kern w:val="2"/>
          <w:sz w:val="32"/>
          <w:szCs w:val="32"/>
          <w:lang w:val="zh-CN" w:eastAsia="zh-CN" w:bidi="ar-SA"/>
        </w:rPr>
      </w:pPr>
    </w:p>
    <w:p w14:paraId="20A2DD76">
      <w:pPr>
        <w:rPr>
          <w:rFonts w:hint="eastAsia" w:ascii="黑体" w:hAnsi="黑体" w:eastAsia="黑体" w:cs="黑体"/>
          <w:b/>
          <w:bCs/>
          <w:kern w:val="2"/>
          <w:sz w:val="32"/>
          <w:szCs w:val="32"/>
          <w:lang w:val="zh-CN" w:eastAsia="zh-CN" w:bidi="ar-SA"/>
        </w:rPr>
      </w:pPr>
    </w:p>
    <w:p w14:paraId="10BAA0D7">
      <w:pPr>
        <w:pStyle w:val="2"/>
        <w:rPr>
          <w:rFonts w:hint="eastAsia" w:ascii="黑体" w:hAnsi="黑体" w:eastAsia="黑体" w:cs="黑体"/>
          <w:b/>
          <w:bCs/>
          <w:kern w:val="2"/>
          <w:sz w:val="32"/>
          <w:szCs w:val="32"/>
          <w:lang w:val="zh-CN" w:eastAsia="zh-CN" w:bidi="ar-SA"/>
        </w:rPr>
      </w:pPr>
    </w:p>
    <w:p w14:paraId="2B4BB22E">
      <w:pPr>
        <w:rPr>
          <w:rFonts w:hint="eastAsia" w:ascii="黑体" w:hAnsi="黑体" w:eastAsia="黑体" w:cs="黑体"/>
          <w:b/>
          <w:bCs/>
          <w:kern w:val="2"/>
          <w:sz w:val="32"/>
          <w:szCs w:val="32"/>
          <w:lang w:val="zh-CN" w:eastAsia="zh-CN" w:bidi="ar-SA"/>
        </w:rPr>
      </w:pPr>
    </w:p>
    <w:p w14:paraId="52D5E820">
      <w:pPr>
        <w:pStyle w:val="2"/>
        <w:rPr>
          <w:rFonts w:hint="eastAsia" w:ascii="黑体" w:hAnsi="黑体" w:eastAsia="黑体" w:cs="黑体"/>
          <w:b/>
          <w:bCs/>
          <w:kern w:val="2"/>
          <w:sz w:val="32"/>
          <w:szCs w:val="32"/>
          <w:lang w:val="zh-CN" w:eastAsia="zh-CN" w:bidi="ar-SA"/>
        </w:rPr>
      </w:pPr>
    </w:p>
    <w:p w14:paraId="6369C5D6">
      <w:pPr>
        <w:rPr>
          <w:rFonts w:hint="eastAsia" w:ascii="黑体" w:hAnsi="黑体" w:eastAsia="黑体" w:cs="黑体"/>
          <w:b/>
          <w:bCs/>
          <w:kern w:val="2"/>
          <w:sz w:val="32"/>
          <w:szCs w:val="32"/>
          <w:lang w:val="zh-CN" w:eastAsia="zh-CN" w:bidi="ar-SA"/>
        </w:rPr>
      </w:pPr>
    </w:p>
    <w:p w14:paraId="0A2301C6">
      <w:pPr>
        <w:pStyle w:val="2"/>
        <w:rPr>
          <w:rFonts w:hint="eastAsia" w:ascii="黑体" w:hAnsi="黑体" w:eastAsia="黑体" w:cs="黑体"/>
          <w:b/>
          <w:bCs/>
          <w:kern w:val="2"/>
          <w:sz w:val="32"/>
          <w:szCs w:val="32"/>
          <w:lang w:val="zh-CN" w:eastAsia="zh-CN" w:bidi="ar-SA"/>
        </w:rPr>
      </w:pPr>
    </w:p>
    <w:p w14:paraId="3AB45C80">
      <w:pPr>
        <w:rPr>
          <w:rFonts w:hint="eastAsia" w:ascii="黑体" w:hAnsi="黑体" w:eastAsia="黑体" w:cs="黑体"/>
          <w:b/>
          <w:bCs/>
          <w:kern w:val="2"/>
          <w:sz w:val="32"/>
          <w:szCs w:val="32"/>
          <w:lang w:val="zh-CN" w:eastAsia="zh-CN" w:bidi="ar-SA"/>
        </w:rPr>
      </w:pPr>
    </w:p>
    <w:p w14:paraId="2B499274">
      <w:pPr>
        <w:pStyle w:val="17"/>
        <w:rPr>
          <w:rFonts w:hint="eastAsia" w:ascii="黑体" w:hAnsi="黑体" w:eastAsia="黑体" w:cs="黑体"/>
          <w:b/>
          <w:bCs/>
          <w:kern w:val="2"/>
          <w:sz w:val="32"/>
          <w:szCs w:val="32"/>
          <w:lang w:val="zh-CN" w:eastAsia="zh-CN" w:bidi="ar-SA"/>
        </w:rPr>
      </w:pPr>
    </w:p>
    <w:p w14:paraId="01FDF138">
      <w:pPr>
        <w:pStyle w:val="2"/>
        <w:rPr>
          <w:rFonts w:hint="eastAsia"/>
          <w:lang w:val="zh-CN" w:eastAsia="zh-CN"/>
        </w:rPr>
      </w:pPr>
    </w:p>
    <w:p w14:paraId="12C3EFB5">
      <w:pPr>
        <w:rPr>
          <w:rFonts w:hint="eastAsia" w:ascii="黑体" w:hAnsi="黑体" w:eastAsia="黑体" w:cs="黑体"/>
          <w:b/>
          <w:bCs/>
          <w:kern w:val="2"/>
          <w:sz w:val="32"/>
          <w:szCs w:val="32"/>
          <w:lang w:val="zh-CN" w:eastAsia="zh-CN" w:bidi="ar-SA"/>
        </w:rPr>
      </w:pPr>
    </w:p>
    <w:p w14:paraId="1E3949C0">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p>
    <w:p w14:paraId="4AEB5B86">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r>
        <w:rPr>
          <w:rFonts w:hint="eastAsia" w:ascii="黑体" w:hAnsi="黑体" w:eastAsia="黑体" w:cs="黑体"/>
          <w:b/>
          <w:bCs/>
          <w:kern w:val="2"/>
          <w:sz w:val="32"/>
          <w:szCs w:val="32"/>
          <w:lang w:val="zh-CN" w:eastAsia="zh-CN" w:bidi="ar-SA"/>
        </w:rPr>
        <w:t>一、响应函</w:t>
      </w:r>
    </w:p>
    <w:p w14:paraId="57C4C875">
      <w:pPr>
        <w:keepNext w:val="0"/>
        <w:keepLines w:val="0"/>
        <w:pageBreakBefore w:val="0"/>
        <w:widowControl w:val="0"/>
        <w:kinsoku/>
        <w:wordWrap/>
        <w:overflowPunct/>
        <w:topLinePunct w:val="0"/>
        <w:bidi w:val="0"/>
        <w:snapToGrid w:val="0"/>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 xml:space="preserve">     （采购人名称）    ：</w:t>
      </w:r>
    </w:p>
    <w:p w14:paraId="6FFCD59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我单位收到贵公司关于</w:t>
      </w:r>
      <w:r>
        <w:rPr>
          <w:rFonts w:hint="eastAsia" w:ascii="微软雅黑" w:hAnsi="微软雅黑" w:eastAsia="微软雅黑" w:cs="微软雅黑"/>
          <w:sz w:val="24"/>
          <w:szCs w:val="24"/>
          <w:u w:val="single"/>
          <w:lang w:eastAsia="zh-CN"/>
        </w:rPr>
        <w:t>宁陕县2025年中央财政林业草原生态保护恢复资金森林修复项目</w:t>
      </w:r>
      <w:r>
        <w:rPr>
          <w:rFonts w:hint="eastAsia" w:ascii="微软雅黑" w:hAnsi="微软雅黑" w:eastAsia="微软雅黑" w:cs="微软雅黑"/>
          <w:sz w:val="24"/>
          <w:szCs w:val="24"/>
          <w:u w:val="single"/>
        </w:rPr>
        <w:t>（项目编号：</w:t>
      </w:r>
      <w:r>
        <w:rPr>
          <w:rFonts w:hint="eastAsia" w:ascii="微软雅黑" w:hAnsi="微软雅黑" w:eastAsia="微软雅黑" w:cs="微软雅黑"/>
          <w:sz w:val="24"/>
          <w:szCs w:val="24"/>
          <w:u w:val="single"/>
          <w:lang w:val="en-US" w:eastAsia="zh-CN"/>
        </w:rPr>
        <w:t>ZCPC-2025-037</w:t>
      </w:r>
      <w:r>
        <w:rPr>
          <w:rFonts w:hint="eastAsia" w:ascii="微软雅黑" w:hAnsi="微软雅黑" w:eastAsia="微软雅黑" w:cs="微软雅黑"/>
          <w:sz w:val="24"/>
          <w:szCs w:val="24"/>
          <w:u w:val="single"/>
          <w:lang w:eastAsia="zh-CN"/>
        </w:rPr>
        <w:t>）</w:t>
      </w:r>
      <w:r>
        <w:rPr>
          <w:rFonts w:hint="eastAsia" w:ascii="微软雅黑" w:hAnsi="微软雅黑" w:eastAsia="微软雅黑" w:cs="微软雅黑"/>
          <w:sz w:val="24"/>
          <w:szCs w:val="24"/>
        </w:rPr>
        <w:t>磋商文件，经详细研究，我们决定参加本次</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活动。为此，我方郑重声明以下诸点，并负法律责任。</w:t>
      </w:r>
    </w:p>
    <w:p w14:paraId="5CB5C59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一、愿意按照磋商文件中的一切要求，向采购人提供所需</w:t>
      </w:r>
      <w:r>
        <w:rPr>
          <w:rFonts w:hint="eastAsia" w:ascii="微软雅黑" w:hAnsi="微软雅黑" w:eastAsia="微软雅黑" w:cs="微软雅黑"/>
          <w:sz w:val="24"/>
          <w:szCs w:val="24"/>
          <w:lang w:eastAsia="zh-CN"/>
        </w:rPr>
        <w:t>货物及相应服务</w:t>
      </w:r>
      <w:r>
        <w:rPr>
          <w:rFonts w:hint="eastAsia" w:ascii="微软雅黑" w:hAnsi="微软雅黑" w:eastAsia="微软雅黑" w:cs="微软雅黑"/>
          <w:sz w:val="24"/>
          <w:szCs w:val="24"/>
        </w:rPr>
        <w:t>。</w:t>
      </w:r>
    </w:p>
    <w:p w14:paraId="2898409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二、按磋商文件的规定，我公司的首次磋商报价为：人民币（大写）：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元），并对其后的磋商报价负法律责任。</w:t>
      </w:r>
    </w:p>
    <w:p w14:paraId="5BAF195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三、我方保证</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提供的数据和材料真实、准确。否则，愿承担相关的法律责任。</w:t>
      </w:r>
    </w:p>
    <w:p w14:paraId="10E8283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四、我方已详细阅读了磋商文件，完全理解并放弃提出含糊不清或易形成歧义的表述和资料。</w:t>
      </w:r>
    </w:p>
    <w:p w14:paraId="3AA1C33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五、我方愿意向贵方提供任何与本次磋商有关的数据、情况和技术资料，若贵方需要，我方愿意提供我方做出的一切承诺的证明材料。</w:t>
      </w:r>
    </w:p>
    <w:p w14:paraId="793336C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六、我方</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有效期为</w:t>
      </w:r>
      <w:r>
        <w:rPr>
          <w:rFonts w:hint="eastAsia" w:ascii="微软雅黑" w:hAnsi="微软雅黑" w:eastAsia="微软雅黑" w:cs="微软雅黑"/>
          <w:sz w:val="24"/>
          <w:szCs w:val="24"/>
          <w:lang w:eastAsia="zh-CN"/>
        </w:rPr>
        <w:t>自响应文件递交截止之日起</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个日历日，磋商后在规定的</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有效期内撤回</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，我们愿接受政府采购的有关处罚决定。</w:t>
      </w:r>
    </w:p>
    <w:p w14:paraId="14B80A2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七、我方承诺遵守《中华人民共和国政府采购法》及其实施条例的有关规定，保证在获得成交资格后：</w:t>
      </w:r>
    </w:p>
    <w:p w14:paraId="380B7B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（1）按照磋商文件确定的事项签订合同，履行双方所签订的合同，并承担合同规定的责任和义务；</w:t>
      </w:r>
    </w:p>
    <w:p w14:paraId="1EE8F16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（2）我方保证在</w:t>
      </w:r>
      <w:r>
        <w:rPr>
          <w:rFonts w:hint="eastAsia" w:ascii="微软雅黑" w:hAnsi="微软雅黑" w:eastAsia="微软雅黑" w:cs="微软雅黑"/>
          <w:b/>
          <w:bCs/>
          <w:sz w:val="24"/>
          <w:szCs w:val="24"/>
          <w:lang w:val="en-US" w:eastAsia="zh-CN"/>
        </w:rPr>
        <w:t>成交</w:t>
      </w:r>
      <w:r>
        <w:rPr>
          <w:rFonts w:hint="eastAsia" w:ascii="微软雅黑" w:hAnsi="微软雅黑" w:eastAsia="微软雅黑" w:cs="微软雅黑"/>
          <w:b/>
          <w:bCs/>
          <w:sz w:val="24"/>
          <w:szCs w:val="24"/>
        </w:rPr>
        <w:t>公告发布后</w:t>
      </w:r>
      <w:r>
        <w:rPr>
          <w:rFonts w:hint="eastAsia" w:ascii="微软雅黑" w:hAnsi="微软雅黑" w:eastAsia="微软雅黑" w:cs="微软雅黑"/>
          <w:b/>
          <w:bCs/>
          <w:sz w:val="24"/>
          <w:szCs w:val="24"/>
          <w:lang w:val="en-US" w:eastAsia="zh-CN"/>
        </w:rPr>
        <w:t>7</w:t>
      </w:r>
      <w:r>
        <w:rPr>
          <w:rFonts w:hint="eastAsia" w:ascii="微软雅黑" w:hAnsi="微软雅黑" w:eastAsia="微软雅黑" w:cs="微软雅黑"/>
          <w:b/>
          <w:bCs/>
          <w:sz w:val="24"/>
          <w:szCs w:val="24"/>
        </w:rPr>
        <w:t>个工作日内按规定和标准向贵方缴纳</w:t>
      </w:r>
      <w:r>
        <w:rPr>
          <w:rFonts w:hint="eastAsia" w:ascii="微软雅黑" w:hAnsi="微软雅黑" w:eastAsia="微软雅黑" w:cs="微软雅黑"/>
          <w:b/>
          <w:bCs/>
          <w:sz w:val="24"/>
          <w:szCs w:val="24"/>
          <w:lang w:val="en-US" w:eastAsia="zh-CN"/>
        </w:rPr>
        <w:t>招标代理</w:t>
      </w:r>
      <w:r>
        <w:rPr>
          <w:rFonts w:hint="eastAsia" w:ascii="微软雅黑" w:hAnsi="微软雅黑" w:eastAsia="微软雅黑" w:cs="微软雅黑"/>
          <w:b/>
          <w:bCs/>
          <w:sz w:val="24"/>
          <w:szCs w:val="24"/>
        </w:rPr>
        <w:t>服务费；</w:t>
      </w:r>
    </w:p>
    <w:p w14:paraId="65CCC73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有效期延长至合同履行完毕。</w:t>
      </w:r>
    </w:p>
    <w:p w14:paraId="6ADBF08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八、我方完全理解最低报价不是成交的唯一条件，并尊重磋商小组的评评审结论和</w:t>
      </w:r>
      <w:r>
        <w:rPr>
          <w:rFonts w:hint="eastAsia" w:ascii="微软雅黑" w:hAnsi="微软雅黑" w:eastAsia="微软雅黑" w:cs="微软雅黑"/>
          <w:sz w:val="24"/>
          <w:szCs w:val="24"/>
          <w:lang w:val="en-US" w:eastAsia="zh-CN"/>
        </w:rPr>
        <w:t>定标</w:t>
      </w:r>
      <w:r>
        <w:rPr>
          <w:rFonts w:hint="eastAsia" w:ascii="微软雅黑" w:hAnsi="微软雅黑" w:eastAsia="微软雅黑" w:cs="微软雅黑"/>
          <w:sz w:val="24"/>
          <w:szCs w:val="24"/>
        </w:rPr>
        <w:t>结果。</w:t>
      </w:r>
    </w:p>
    <w:p w14:paraId="11C13E8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九、一旦我方成交,我方同意与使用单位签订保密协议。</w:t>
      </w:r>
    </w:p>
    <w:p w14:paraId="398178D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color w:val="FF0000"/>
          <w:sz w:val="24"/>
          <w:szCs w:val="24"/>
          <w:lang w:eastAsia="zh-CN"/>
        </w:rPr>
      </w:pPr>
      <w:r>
        <w:rPr>
          <w:rFonts w:hint="eastAsia" w:ascii="微软雅黑" w:hAnsi="微软雅黑" w:eastAsia="微软雅黑" w:cs="微软雅黑"/>
          <w:sz w:val="24"/>
          <w:szCs w:val="24"/>
        </w:rPr>
        <w:t>十、有关于本</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的函电，请按下列地址联系</w:t>
      </w:r>
      <w:r>
        <w:rPr>
          <w:rFonts w:hint="eastAsia" w:ascii="微软雅黑" w:hAnsi="微软雅黑" w:eastAsia="微软雅黑" w:cs="微软雅黑"/>
          <w:sz w:val="24"/>
          <w:szCs w:val="24"/>
          <w:lang w:eastAsia="zh-CN"/>
        </w:rPr>
        <w:t>：</w:t>
      </w:r>
    </w:p>
    <w:p w14:paraId="1F7B8D8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sz w:val="24"/>
          <w:szCs w:val="24"/>
          <w:u w:val="singl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w:t>
      </w:r>
      <w:r>
        <w:rPr>
          <w:rFonts w:hint="eastAsia" w:ascii="微软雅黑" w:hAnsi="微软雅黑" w:eastAsia="微软雅黑" w:cs="微软雅黑"/>
          <w:sz w:val="24"/>
          <w:szCs w:val="24"/>
        </w:rPr>
        <w:t>称（</w:t>
      </w:r>
      <w:r>
        <w:rPr>
          <w:rFonts w:hint="eastAsia" w:ascii="微软雅黑" w:hAnsi="微软雅黑" w:eastAsia="微软雅黑" w:cs="微软雅黑"/>
          <w:sz w:val="24"/>
          <w:szCs w:val="24"/>
          <w:lang w:val="en-US" w:eastAsia="zh-CN"/>
        </w:rPr>
        <w:t>盖</w:t>
      </w:r>
      <w:r>
        <w:rPr>
          <w:rFonts w:hint="eastAsia" w:ascii="微软雅黑" w:hAnsi="微软雅黑" w:eastAsia="微软雅黑" w:cs="微软雅黑"/>
          <w:sz w:val="24"/>
          <w:szCs w:val="24"/>
        </w:rPr>
        <w:t>章）：</w:t>
      </w:r>
      <w:r>
        <w:rPr>
          <w:rFonts w:hint="eastAsia" w:ascii="微软雅黑" w:hAnsi="微软雅黑" w:eastAsia="微软雅黑" w:cs="微软雅黑"/>
          <w:b/>
          <w:sz w:val="24"/>
          <w:szCs w:val="24"/>
          <w:u w:val="single"/>
        </w:rPr>
        <w:t xml:space="preserve">                                </w:t>
      </w:r>
    </w:p>
    <w:p w14:paraId="3655D0B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14:paraId="4E9287B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w:t>
      </w:r>
      <w:r>
        <w:rPr>
          <w:rFonts w:hint="eastAsia" w:ascii="微软雅黑" w:hAnsi="微软雅黑" w:eastAsia="微软雅黑" w:cs="微软雅黑"/>
          <w:b/>
          <w:sz w:val="24"/>
          <w:szCs w:val="24"/>
          <w:u w:val="single"/>
        </w:rPr>
        <w:t xml:space="preserve">                                          </w:t>
      </w:r>
    </w:p>
    <w:p w14:paraId="19871D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r>
        <w:rPr>
          <w:rFonts w:hint="eastAsia" w:ascii="微软雅黑" w:hAnsi="微软雅黑" w:eastAsia="微软雅黑" w:cs="微软雅黑"/>
          <w:b/>
          <w:sz w:val="24"/>
          <w:szCs w:val="24"/>
          <w:u w:val="single"/>
        </w:rPr>
        <w:t xml:space="preserve">                                          </w:t>
      </w:r>
    </w:p>
    <w:p w14:paraId="586EABB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账    号：</w:t>
      </w:r>
      <w:r>
        <w:rPr>
          <w:rFonts w:hint="eastAsia" w:ascii="微软雅黑" w:hAnsi="微软雅黑" w:eastAsia="微软雅黑" w:cs="微软雅黑"/>
          <w:b/>
          <w:sz w:val="24"/>
          <w:szCs w:val="24"/>
          <w:u w:val="single"/>
        </w:rPr>
        <w:t xml:space="preserve">                                          </w:t>
      </w:r>
    </w:p>
    <w:p w14:paraId="6D2F5DB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w:t>
      </w:r>
      <w:r>
        <w:rPr>
          <w:rFonts w:hint="eastAsia" w:ascii="微软雅黑" w:hAnsi="微软雅黑" w:eastAsia="微软雅黑" w:cs="微软雅黑"/>
          <w:b/>
          <w:sz w:val="24"/>
          <w:szCs w:val="24"/>
          <w:u w:val="single"/>
        </w:rPr>
        <w:t xml:space="preserve">                                          </w:t>
      </w:r>
    </w:p>
    <w:p w14:paraId="549E3F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传    真：</w:t>
      </w:r>
      <w:r>
        <w:rPr>
          <w:rFonts w:hint="eastAsia" w:ascii="微软雅黑" w:hAnsi="微软雅黑" w:eastAsia="微软雅黑" w:cs="微软雅黑"/>
          <w:b/>
          <w:sz w:val="24"/>
          <w:szCs w:val="24"/>
          <w:u w:val="single"/>
        </w:rPr>
        <w:t xml:space="preserve">                                          </w:t>
      </w:r>
    </w:p>
    <w:p w14:paraId="3F4F5C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邮    编：</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 xml:space="preserve">                  </w:t>
      </w:r>
    </w:p>
    <w:p w14:paraId="78CEE6D1">
      <w:pPr>
        <w:autoSpaceDE w:val="0"/>
        <w:autoSpaceDN w:val="0"/>
        <w:adjustRightInd w:val="0"/>
        <w:snapToGrid w:val="0"/>
        <w:spacing w:line="36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14:paraId="7A1C097D">
      <w:pPr>
        <w:pStyle w:val="17"/>
        <w:spacing w:line="360" w:lineRule="auto"/>
        <w:ind w:firstLine="480" w:firstLineChars="200"/>
        <w:rPr>
          <w:rFonts w:hint="eastAsia" w:ascii="微软雅黑" w:hAnsi="微软雅黑" w:eastAsia="微软雅黑" w:cs="微软雅黑"/>
          <w:sz w:val="24"/>
          <w:szCs w:val="24"/>
        </w:rPr>
      </w:pPr>
    </w:p>
    <w:p w14:paraId="5609FBD3">
      <w:pPr>
        <w:autoSpaceDE w:val="0"/>
        <w:autoSpaceDN w:val="0"/>
        <w:adjustRightInd w:val="0"/>
        <w:spacing w:line="360" w:lineRule="auto"/>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说明：除可填报项目外对本</w:t>
      </w:r>
      <w:r>
        <w:rPr>
          <w:rFonts w:hint="eastAsia" w:ascii="微软雅黑" w:hAnsi="微软雅黑" w:eastAsia="微软雅黑" w:cs="微软雅黑"/>
          <w:sz w:val="24"/>
          <w:szCs w:val="24"/>
          <w:lang w:val="en-US" w:eastAsia="zh-CN"/>
        </w:rPr>
        <w:t>磋商响应</w:t>
      </w:r>
      <w:r>
        <w:rPr>
          <w:rFonts w:hint="eastAsia" w:ascii="微软雅黑" w:hAnsi="微软雅黑" w:eastAsia="微软雅黑" w:cs="微软雅黑"/>
          <w:sz w:val="24"/>
          <w:szCs w:val="24"/>
        </w:rPr>
        <w:t>函的任何修改将被视为非实质性响应投标从而导致该投标被拒绝</w:t>
      </w:r>
      <w:r>
        <w:rPr>
          <w:rFonts w:hint="eastAsia" w:ascii="微软雅黑" w:hAnsi="微软雅黑" w:eastAsia="微软雅黑" w:cs="微软雅黑"/>
          <w:sz w:val="24"/>
          <w:szCs w:val="24"/>
          <w:lang w:eastAsia="zh-CN"/>
        </w:rPr>
        <w:t>。</w:t>
      </w:r>
    </w:p>
    <w:p w14:paraId="15A2F9B9">
      <w:pPr>
        <w:pStyle w:val="2"/>
        <w:rPr>
          <w:rFonts w:hint="eastAsia" w:ascii="微软雅黑" w:hAnsi="微软雅黑" w:eastAsia="微软雅黑" w:cs="微软雅黑"/>
          <w:sz w:val="24"/>
          <w:szCs w:val="24"/>
          <w:lang w:eastAsia="zh-CN"/>
        </w:rPr>
      </w:pPr>
    </w:p>
    <w:p w14:paraId="413E5E5F">
      <w:pPr>
        <w:rPr>
          <w:rFonts w:hint="eastAsia" w:ascii="微软雅黑" w:hAnsi="微软雅黑" w:eastAsia="微软雅黑" w:cs="微软雅黑"/>
          <w:sz w:val="24"/>
          <w:szCs w:val="24"/>
          <w:lang w:eastAsia="zh-CN"/>
        </w:rPr>
      </w:pPr>
    </w:p>
    <w:p w14:paraId="42CFFC59">
      <w:pPr>
        <w:pStyle w:val="2"/>
        <w:rPr>
          <w:rFonts w:hint="eastAsia" w:ascii="微软雅黑" w:hAnsi="微软雅黑" w:eastAsia="微软雅黑" w:cs="微软雅黑"/>
          <w:sz w:val="24"/>
          <w:szCs w:val="24"/>
          <w:lang w:eastAsia="zh-CN"/>
        </w:rPr>
      </w:pPr>
    </w:p>
    <w:p w14:paraId="76D7CA0B">
      <w:pPr>
        <w:rPr>
          <w:rFonts w:hint="eastAsia" w:ascii="微软雅黑" w:hAnsi="微软雅黑" w:eastAsia="微软雅黑" w:cs="微软雅黑"/>
          <w:sz w:val="24"/>
          <w:szCs w:val="24"/>
          <w:lang w:eastAsia="zh-CN"/>
        </w:rPr>
      </w:pPr>
    </w:p>
    <w:p w14:paraId="785F1266">
      <w:pPr>
        <w:pStyle w:val="2"/>
        <w:rPr>
          <w:rFonts w:hint="eastAsia" w:ascii="微软雅黑" w:hAnsi="微软雅黑" w:eastAsia="微软雅黑" w:cs="微软雅黑"/>
          <w:sz w:val="24"/>
          <w:szCs w:val="24"/>
          <w:lang w:eastAsia="zh-CN"/>
        </w:rPr>
      </w:pPr>
    </w:p>
    <w:p w14:paraId="7DB6957A">
      <w:pPr>
        <w:rPr>
          <w:rFonts w:hint="eastAsia" w:ascii="微软雅黑" w:hAnsi="微软雅黑" w:eastAsia="微软雅黑" w:cs="微软雅黑"/>
          <w:sz w:val="24"/>
          <w:szCs w:val="24"/>
          <w:lang w:eastAsia="zh-CN"/>
        </w:rPr>
      </w:pPr>
    </w:p>
    <w:p w14:paraId="4DA9433A">
      <w:pPr>
        <w:pStyle w:val="17"/>
        <w:rPr>
          <w:rFonts w:hint="eastAsia" w:ascii="微软雅黑" w:hAnsi="微软雅黑" w:eastAsia="微软雅黑" w:cs="微软雅黑"/>
          <w:sz w:val="24"/>
          <w:szCs w:val="24"/>
          <w:lang w:eastAsia="zh-CN"/>
        </w:rPr>
      </w:pPr>
    </w:p>
    <w:p w14:paraId="3F88B07E">
      <w:pPr>
        <w:rPr>
          <w:rFonts w:hint="eastAsia" w:ascii="微软雅黑" w:hAnsi="微软雅黑" w:eastAsia="微软雅黑" w:cs="微软雅黑"/>
          <w:sz w:val="24"/>
          <w:szCs w:val="24"/>
          <w:lang w:eastAsia="zh-CN"/>
        </w:rPr>
      </w:pPr>
    </w:p>
    <w:p w14:paraId="44AC06A4">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r>
        <w:rPr>
          <w:rFonts w:hint="eastAsia" w:ascii="黑体" w:hAnsi="黑体" w:eastAsia="黑体" w:cs="黑体"/>
          <w:b/>
          <w:bCs/>
          <w:kern w:val="2"/>
          <w:sz w:val="32"/>
          <w:szCs w:val="32"/>
          <w:lang w:val="zh-CN" w:eastAsia="zh-CN" w:bidi="ar-SA"/>
        </w:rPr>
        <w:t xml:space="preserve">二、首次磋商报价表  </w:t>
      </w:r>
    </w:p>
    <w:tbl>
      <w:tblPr>
        <w:tblStyle w:val="2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6146"/>
      </w:tblGrid>
      <w:tr w14:paraId="1324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501" w:type="dxa"/>
            <w:noWrap w:val="0"/>
            <w:vAlign w:val="center"/>
          </w:tcPr>
          <w:p w14:paraId="70481647">
            <w:pPr>
              <w:keepNext w:val="0"/>
              <w:keepLines w:val="0"/>
              <w:suppressLineNumbers w:val="0"/>
              <w:snapToGrid w:val="0"/>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146" w:type="dxa"/>
            <w:noWrap w:val="0"/>
            <w:vAlign w:val="center"/>
          </w:tcPr>
          <w:p w14:paraId="7938669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24"/>
                <w:szCs w:val="24"/>
              </w:rPr>
            </w:pPr>
          </w:p>
        </w:tc>
      </w:tr>
      <w:tr w14:paraId="439F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501" w:type="dxa"/>
            <w:noWrap w:val="0"/>
            <w:vAlign w:val="center"/>
          </w:tcPr>
          <w:p w14:paraId="6861383D">
            <w:pPr>
              <w:keepNext w:val="0"/>
              <w:keepLines w:val="0"/>
              <w:suppressLineNumbers w:val="0"/>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w:t>
            </w:r>
          </w:p>
        </w:tc>
        <w:tc>
          <w:tcPr>
            <w:tcW w:w="6146" w:type="dxa"/>
            <w:noWrap w:val="0"/>
            <w:vAlign w:val="center"/>
          </w:tcPr>
          <w:p w14:paraId="5A89EDB7">
            <w:pPr>
              <w:keepNext w:val="0"/>
              <w:keepLines w:val="0"/>
              <w:suppressLineNumbers w:val="0"/>
              <w:spacing w:before="0" w:beforeAutospacing="0" w:after="0" w:afterAutospacing="0"/>
              <w:ind w:left="0" w:right="0"/>
              <w:jc w:val="center"/>
              <w:rPr>
                <w:rFonts w:hint="eastAsia" w:ascii="微软雅黑" w:hAnsi="微软雅黑" w:eastAsia="微软雅黑" w:cs="微软雅黑"/>
                <w:sz w:val="24"/>
                <w:szCs w:val="24"/>
              </w:rPr>
            </w:pPr>
          </w:p>
        </w:tc>
      </w:tr>
      <w:tr w14:paraId="3FDD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3501" w:type="dxa"/>
            <w:noWrap w:val="0"/>
            <w:vAlign w:val="center"/>
          </w:tcPr>
          <w:p w14:paraId="172C2A15">
            <w:pPr>
              <w:keepNext w:val="0"/>
              <w:keepLines w:val="0"/>
              <w:suppressLineNumbers w:val="0"/>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w:t>
            </w:r>
            <w:r>
              <w:rPr>
                <w:rFonts w:hint="eastAsia" w:ascii="微软雅黑" w:hAnsi="微软雅黑" w:eastAsia="微软雅黑" w:cs="微软雅黑"/>
                <w:sz w:val="24"/>
                <w:szCs w:val="24"/>
                <w:lang w:val="en-US" w:eastAsia="zh-CN"/>
              </w:rPr>
              <w:t>总</w:t>
            </w:r>
            <w:r>
              <w:rPr>
                <w:rFonts w:hint="eastAsia" w:ascii="微软雅黑" w:hAnsi="微软雅黑" w:eastAsia="微软雅黑" w:cs="微软雅黑"/>
                <w:sz w:val="24"/>
                <w:szCs w:val="24"/>
              </w:rPr>
              <w:t>报价</w:t>
            </w:r>
          </w:p>
          <w:p w14:paraId="41C2C42A">
            <w:pPr>
              <w:keepNext w:val="0"/>
              <w:keepLines w:val="0"/>
              <w:suppressLineNumbers w:val="0"/>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（元）</w:t>
            </w:r>
          </w:p>
        </w:tc>
        <w:tc>
          <w:tcPr>
            <w:tcW w:w="6146" w:type="dxa"/>
            <w:noWrap w:val="0"/>
            <w:vAlign w:val="center"/>
          </w:tcPr>
          <w:p w14:paraId="0A72B787">
            <w:pPr>
              <w:keepNext w:val="0"/>
              <w:keepLines w:val="0"/>
              <w:suppressLineNumbers w:val="0"/>
              <w:spacing w:before="0" w:beforeAutospacing="0" w:after="0" w:afterAutospacing="0"/>
              <w:ind w:left="0" w:right="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大写</w:t>
            </w:r>
            <w:r>
              <w:rPr>
                <w:rFonts w:hint="eastAsia" w:ascii="微软雅黑" w:hAnsi="微软雅黑" w:eastAsia="微软雅黑" w:cs="微软雅黑"/>
                <w:sz w:val="24"/>
                <w:szCs w:val="24"/>
                <w:lang w:eastAsia="zh-CN"/>
              </w:rPr>
              <w:t>：</w:t>
            </w:r>
          </w:p>
          <w:p w14:paraId="4EC3970F">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p w14:paraId="689CE334">
            <w:pPr>
              <w:keepNext w:val="0"/>
              <w:keepLines w:val="0"/>
              <w:suppressLineNumbers w:val="0"/>
              <w:spacing w:before="0" w:beforeAutospacing="0" w:after="0" w:afterAutospacing="0"/>
              <w:ind w:left="0" w:right="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小写</w:t>
            </w:r>
            <w:r>
              <w:rPr>
                <w:rFonts w:hint="eastAsia" w:ascii="微软雅黑" w:hAnsi="微软雅黑" w:eastAsia="微软雅黑" w:cs="微软雅黑"/>
                <w:sz w:val="24"/>
                <w:szCs w:val="24"/>
                <w:lang w:eastAsia="zh-CN"/>
              </w:rPr>
              <w:t>：</w:t>
            </w:r>
          </w:p>
        </w:tc>
      </w:tr>
      <w:tr w14:paraId="388A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501" w:type="dxa"/>
            <w:noWrap w:val="0"/>
            <w:vAlign w:val="center"/>
          </w:tcPr>
          <w:p w14:paraId="1F43242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w:t>
            </w:r>
            <w:r>
              <w:rPr>
                <w:rFonts w:hint="eastAsia" w:ascii="微软雅黑" w:hAnsi="微软雅黑" w:eastAsia="微软雅黑" w:cs="微软雅黑"/>
                <w:kern w:val="0"/>
                <w:sz w:val="24"/>
                <w:szCs w:val="24"/>
              </w:rPr>
              <w:t>期</w:t>
            </w:r>
          </w:p>
        </w:tc>
        <w:tc>
          <w:tcPr>
            <w:tcW w:w="6146" w:type="dxa"/>
            <w:noWrap w:val="0"/>
            <w:vAlign w:val="center"/>
          </w:tcPr>
          <w:p w14:paraId="6F4232F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rPr>
            </w:pPr>
          </w:p>
        </w:tc>
      </w:tr>
      <w:tr w14:paraId="6E7A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647" w:type="dxa"/>
            <w:gridSpan w:val="2"/>
            <w:noWrap w:val="0"/>
            <w:vAlign w:val="center"/>
          </w:tcPr>
          <w:p w14:paraId="1E9C3DB7">
            <w:pPr>
              <w:keepNext w:val="0"/>
              <w:keepLines w:val="0"/>
              <w:widowControl/>
              <w:suppressLineNumbers w:val="0"/>
              <w:spacing w:before="0" w:beforeAutospacing="0" w:after="0" w:afterAutospacing="0" w:line="240" w:lineRule="auto"/>
              <w:ind w:left="640" w:right="0" w:hanging="480" w:hangingChars="200"/>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说明：</w:t>
            </w:r>
          </w:p>
          <w:p w14:paraId="4C4EB695">
            <w:pPr>
              <w:keepNext w:val="0"/>
              <w:keepLines w:val="0"/>
              <w:widowControl/>
              <w:suppressLineNumbers w:val="0"/>
              <w:spacing w:before="0" w:beforeAutospacing="0" w:after="0" w:afterAutospacing="0" w:line="240" w:lineRule="auto"/>
              <w:ind w:left="0" w:right="0"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1、磋商报价以元为单位，大小写不一致时，以大写为准。</w:t>
            </w:r>
          </w:p>
          <w:p w14:paraId="21CD81E2">
            <w:pPr>
              <w:keepNext w:val="0"/>
              <w:keepLines w:val="0"/>
              <w:widowControl/>
              <w:suppressLineNumbers w:val="0"/>
              <w:spacing w:before="0" w:beforeAutospacing="0" w:after="0" w:afterAutospacing="0"/>
              <w:ind w:left="0" w:right="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2、除可填报项目外对本首次磋商报价表的任何修改将被视为非实质性响应从而导致该投标被拒绝。</w:t>
            </w:r>
          </w:p>
        </w:tc>
      </w:tr>
    </w:tbl>
    <w:p w14:paraId="23240C43">
      <w:pPr>
        <w:widowControl/>
        <w:spacing w:line="360" w:lineRule="auto"/>
        <w:ind w:firstLine="480" w:firstLineChars="200"/>
        <w:rPr>
          <w:rFonts w:hint="eastAsia" w:ascii="微软雅黑" w:hAnsi="微软雅黑" w:eastAsia="微软雅黑" w:cs="微软雅黑"/>
          <w:bCs/>
          <w:kern w:val="0"/>
          <w:sz w:val="24"/>
          <w:szCs w:val="24"/>
        </w:rPr>
      </w:pPr>
    </w:p>
    <w:p w14:paraId="1C0FD887">
      <w:pPr>
        <w:spacing w:line="360" w:lineRule="auto"/>
        <w:ind w:firstLine="1920" w:firstLineChars="800"/>
        <w:rPr>
          <w:rFonts w:hint="eastAsia" w:ascii="微软雅黑" w:hAnsi="微软雅黑" w:eastAsia="微软雅黑" w:cs="微软雅黑"/>
          <w:sz w:val="24"/>
          <w:szCs w:val="24"/>
        </w:rPr>
      </w:pPr>
    </w:p>
    <w:p w14:paraId="5236F43D">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highlight w:val="none"/>
        </w:rPr>
        <w:t>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57D9C827">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E42FED4">
      <w:pPr>
        <w:ind w:firstLine="2160" w:firstLineChars="9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69F3844D">
      <w:pPr>
        <w:pStyle w:val="2"/>
        <w:rPr>
          <w:rFonts w:hint="eastAsia" w:ascii="微软雅黑" w:hAnsi="微软雅黑" w:eastAsia="微软雅黑" w:cs="微软雅黑"/>
          <w:sz w:val="24"/>
          <w:szCs w:val="24"/>
          <w:lang w:eastAsia="zh-CN"/>
        </w:rPr>
      </w:pPr>
    </w:p>
    <w:p w14:paraId="433EAB79">
      <w:pPr>
        <w:rPr>
          <w:rFonts w:hint="eastAsia" w:ascii="微软雅黑" w:hAnsi="微软雅黑" w:eastAsia="微软雅黑" w:cs="微软雅黑"/>
          <w:sz w:val="24"/>
          <w:szCs w:val="24"/>
          <w:lang w:eastAsia="zh-CN"/>
        </w:rPr>
      </w:pPr>
    </w:p>
    <w:p w14:paraId="46AFF1A7">
      <w:pPr>
        <w:pStyle w:val="2"/>
        <w:rPr>
          <w:rFonts w:hint="eastAsia" w:ascii="微软雅黑" w:hAnsi="微软雅黑" w:eastAsia="微软雅黑" w:cs="微软雅黑"/>
          <w:sz w:val="24"/>
          <w:szCs w:val="24"/>
          <w:lang w:eastAsia="zh-CN"/>
        </w:rPr>
      </w:pPr>
    </w:p>
    <w:p w14:paraId="3DD2ADD3">
      <w:pPr>
        <w:rPr>
          <w:rFonts w:hint="eastAsia" w:ascii="微软雅黑" w:hAnsi="微软雅黑" w:eastAsia="微软雅黑" w:cs="微软雅黑"/>
          <w:sz w:val="24"/>
          <w:szCs w:val="24"/>
          <w:lang w:eastAsia="zh-CN"/>
        </w:rPr>
      </w:pPr>
    </w:p>
    <w:p w14:paraId="35DD361A">
      <w:pPr>
        <w:pStyle w:val="33"/>
        <w:rPr>
          <w:rFonts w:hint="eastAsia" w:ascii="微软雅黑" w:hAnsi="微软雅黑" w:eastAsia="微软雅黑" w:cs="微软雅黑"/>
          <w:sz w:val="24"/>
          <w:szCs w:val="24"/>
          <w:lang w:eastAsia="zh-CN"/>
        </w:rPr>
      </w:pPr>
    </w:p>
    <w:p w14:paraId="462DEA8A">
      <w:pPr>
        <w:pStyle w:val="33"/>
        <w:rPr>
          <w:rFonts w:hint="eastAsia" w:ascii="微软雅黑" w:hAnsi="微软雅黑" w:eastAsia="微软雅黑" w:cs="微软雅黑"/>
          <w:sz w:val="24"/>
          <w:szCs w:val="24"/>
          <w:lang w:eastAsia="zh-CN"/>
        </w:rPr>
      </w:pPr>
    </w:p>
    <w:p w14:paraId="73AAAB19">
      <w:pPr>
        <w:pStyle w:val="33"/>
        <w:rPr>
          <w:rFonts w:hint="eastAsia" w:ascii="微软雅黑" w:hAnsi="微软雅黑" w:eastAsia="微软雅黑" w:cs="微软雅黑"/>
          <w:sz w:val="24"/>
          <w:szCs w:val="24"/>
          <w:lang w:eastAsia="zh-CN"/>
        </w:rPr>
      </w:pPr>
    </w:p>
    <w:p w14:paraId="110F3420">
      <w:pPr>
        <w:pStyle w:val="2"/>
        <w:rPr>
          <w:rFonts w:hint="eastAsia" w:ascii="微软雅黑" w:hAnsi="微软雅黑" w:eastAsia="微软雅黑" w:cs="微软雅黑"/>
          <w:sz w:val="24"/>
          <w:szCs w:val="24"/>
          <w:lang w:eastAsia="zh-CN"/>
        </w:rPr>
      </w:pPr>
    </w:p>
    <w:p w14:paraId="48114E26">
      <w:pPr>
        <w:adjustRightInd w:val="0"/>
        <w:snapToGrid w:val="0"/>
        <w:spacing w:line="360" w:lineRule="auto"/>
        <w:ind w:left="420" w:leftChars="200"/>
        <w:jc w:val="center"/>
        <w:rPr>
          <w:rFonts w:hint="eastAsia" w:ascii="仿宋_GB2312" w:eastAsia="仿宋_GB2312"/>
          <w:sz w:val="32"/>
          <w:szCs w:val="32"/>
        </w:rPr>
      </w:pPr>
      <w:bookmarkStart w:id="270" w:name="_Toc28486"/>
      <w:r>
        <w:rPr>
          <w:rFonts w:hint="eastAsia" w:ascii="黑体" w:hAnsi="黑体" w:eastAsia="黑体" w:cs="黑体"/>
          <w:b/>
          <w:bCs/>
          <w:kern w:val="2"/>
          <w:sz w:val="32"/>
          <w:szCs w:val="32"/>
          <w:lang w:val="zh-CN" w:eastAsia="zh-CN" w:bidi="ar-SA"/>
        </w:rPr>
        <w:t>三、费用组成明细表</w:t>
      </w:r>
      <w:bookmarkEnd w:id="270"/>
    </w:p>
    <w:p w14:paraId="0C27AAE2">
      <w:pPr>
        <w:pStyle w:val="23"/>
        <w:adjustRightInd w:val="0"/>
        <w:snapToGrid w:val="0"/>
        <w:spacing w:line="360" w:lineRule="auto"/>
        <w:ind w:firstLine="640" w:firstLineChars="200"/>
        <w:rPr>
          <w:rFonts w:hint="eastAsia" w:ascii="仿宋_GB2312" w:eastAsia="仿宋_GB2312"/>
          <w:sz w:val="32"/>
          <w:szCs w:val="32"/>
        </w:rPr>
      </w:pPr>
    </w:p>
    <w:p w14:paraId="03A0FA2D">
      <w:pPr>
        <w:pStyle w:val="23"/>
        <w:adjustRightInd w:val="0"/>
        <w:snapToGrid w:val="0"/>
        <w:spacing w:line="360" w:lineRule="auto"/>
        <w:ind w:firstLine="480" w:firstLineChars="200"/>
        <w:jc w:val="left"/>
        <w:rPr>
          <w:rFonts w:hint="eastAsia"/>
          <w:b/>
          <w:sz w:val="44"/>
          <w:szCs w:val="44"/>
        </w:rPr>
      </w:pPr>
      <w:r>
        <w:rPr>
          <w:rFonts w:hint="eastAsia" w:ascii="微软雅黑" w:hAnsi="微软雅黑" w:eastAsia="微软雅黑" w:cs="微软雅黑"/>
          <w:kern w:val="2"/>
          <w:sz w:val="24"/>
          <w:szCs w:val="24"/>
          <w:lang w:val="en-US" w:eastAsia="zh-CN" w:bidi="ar-SA"/>
        </w:rPr>
        <w:t>说明：对磋商报价组成进行详细说明，各供应商自行填写。最终磋商报价后，各供应商提供的费用组成明细表中各项报价执行同比例下浮原则。</w:t>
      </w:r>
    </w:p>
    <w:p w14:paraId="479EAE57">
      <w:pPr>
        <w:spacing w:line="360" w:lineRule="auto"/>
        <w:rPr>
          <w:rFonts w:hint="eastAsia" w:ascii="仿宋_GB2312" w:hAnsi="宋体" w:eastAsia="仿宋_GB2312"/>
          <w:sz w:val="32"/>
          <w:szCs w:val="32"/>
        </w:rPr>
      </w:pPr>
    </w:p>
    <w:p w14:paraId="2A52ED3D">
      <w:pPr>
        <w:pStyle w:val="2"/>
        <w:rPr>
          <w:rFonts w:hint="eastAsia" w:ascii="仿宋_GB2312" w:hAnsi="宋体" w:eastAsia="仿宋_GB2312"/>
          <w:sz w:val="32"/>
          <w:szCs w:val="32"/>
        </w:rPr>
      </w:pPr>
    </w:p>
    <w:p w14:paraId="21D88F24">
      <w:pPr>
        <w:rPr>
          <w:rFonts w:hint="eastAsia" w:ascii="仿宋_GB2312" w:hAnsi="宋体" w:eastAsia="仿宋_GB2312"/>
          <w:sz w:val="32"/>
          <w:szCs w:val="32"/>
        </w:rPr>
      </w:pPr>
    </w:p>
    <w:p w14:paraId="639A90C2">
      <w:pPr>
        <w:pStyle w:val="2"/>
        <w:rPr>
          <w:rFonts w:hint="eastAsia" w:ascii="仿宋_GB2312" w:hAnsi="宋体" w:eastAsia="仿宋_GB2312"/>
          <w:sz w:val="32"/>
          <w:szCs w:val="32"/>
        </w:rPr>
      </w:pPr>
    </w:p>
    <w:p w14:paraId="1B145A4A">
      <w:pPr>
        <w:rPr>
          <w:rFonts w:hint="eastAsia"/>
        </w:rPr>
      </w:pPr>
    </w:p>
    <w:p w14:paraId="0B832132">
      <w:pPr>
        <w:spacing w:line="360" w:lineRule="auto"/>
        <w:ind w:firstLine="2560" w:firstLineChars="800"/>
        <w:rPr>
          <w:rFonts w:hint="eastAsia" w:ascii="仿宋_GB2312" w:hAnsi="宋体" w:eastAsia="仿宋_GB2312"/>
          <w:sz w:val="32"/>
        </w:rPr>
      </w:pPr>
    </w:p>
    <w:p w14:paraId="217960F6">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highlight w:val="none"/>
        </w:rPr>
        <w:t>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5C101471">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7CC37810">
      <w:pPr>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16690450">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7E042C3B">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5EB3A3BA">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6D9F7817">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194C9224">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4425E7D5">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7FD7D124">
      <w:pPr>
        <w:pStyle w:val="2"/>
        <w:rPr>
          <w:rFonts w:hint="eastAsia" w:ascii="黑体" w:hAnsi="黑体" w:eastAsia="黑体" w:cs="黑体"/>
          <w:b/>
          <w:bCs/>
          <w:kern w:val="2"/>
          <w:sz w:val="32"/>
          <w:szCs w:val="32"/>
          <w:lang w:val="en-US" w:eastAsia="zh-CN" w:bidi="ar-SA"/>
        </w:rPr>
      </w:pPr>
    </w:p>
    <w:p w14:paraId="352D7DB4">
      <w:pPr>
        <w:rPr>
          <w:rFonts w:hint="eastAsia"/>
          <w:lang w:val="en-US" w:eastAsia="zh-CN"/>
        </w:rPr>
      </w:pPr>
    </w:p>
    <w:p w14:paraId="0355CBD7">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0D92A9EC">
      <w:pPr>
        <w:pStyle w:val="33"/>
        <w:rPr>
          <w:rFonts w:hint="eastAsia" w:ascii="黑体" w:hAnsi="黑体" w:eastAsia="黑体" w:cs="黑体"/>
          <w:b/>
          <w:bCs/>
          <w:kern w:val="2"/>
          <w:sz w:val="32"/>
          <w:szCs w:val="32"/>
          <w:lang w:val="en-US" w:eastAsia="zh-CN" w:bidi="ar-SA"/>
        </w:rPr>
      </w:pPr>
    </w:p>
    <w:p w14:paraId="5ED978C1">
      <w:pPr>
        <w:pStyle w:val="33"/>
        <w:rPr>
          <w:rFonts w:hint="eastAsia" w:ascii="黑体" w:hAnsi="黑体" w:eastAsia="黑体" w:cs="黑体"/>
          <w:b/>
          <w:bCs/>
          <w:kern w:val="2"/>
          <w:sz w:val="32"/>
          <w:szCs w:val="32"/>
          <w:lang w:val="en-US" w:eastAsia="zh-CN" w:bidi="ar-SA"/>
        </w:rPr>
      </w:pPr>
    </w:p>
    <w:p w14:paraId="75D870DC">
      <w:pPr>
        <w:pStyle w:val="33"/>
        <w:rPr>
          <w:rFonts w:hint="eastAsia" w:ascii="黑体" w:hAnsi="黑体" w:eastAsia="黑体" w:cs="黑体"/>
          <w:b/>
          <w:bCs/>
          <w:kern w:val="2"/>
          <w:sz w:val="32"/>
          <w:szCs w:val="32"/>
          <w:lang w:val="en-US" w:eastAsia="zh-CN" w:bidi="ar-SA"/>
        </w:rPr>
      </w:pPr>
    </w:p>
    <w:p w14:paraId="6A637AAA">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6FFC983E">
      <w:pPr>
        <w:autoSpaceDE w:val="0"/>
        <w:autoSpaceDN w:val="0"/>
        <w:adjustRightInd w:val="0"/>
        <w:spacing w:line="360" w:lineRule="auto"/>
        <w:jc w:val="center"/>
        <w:rPr>
          <w:rFonts w:hint="eastAsia" w:ascii="宋体" w:hAnsi="宋体"/>
          <w:b/>
          <w:sz w:val="44"/>
          <w:szCs w:val="44"/>
        </w:rPr>
      </w:pPr>
      <w:bookmarkStart w:id="271" w:name="OLE_LINK7"/>
      <w:r>
        <w:rPr>
          <w:rFonts w:hint="eastAsia" w:ascii="黑体" w:hAnsi="黑体" w:eastAsia="黑体" w:cs="黑体"/>
          <w:b/>
          <w:bCs/>
          <w:kern w:val="2"/>
          <w:sz w:val="32"/>
          <w:szCs w:val="32"/>
          <w:lang w:val="en-US" w:eastAsia="zh-CN" w:bidi="ar-SA"/>
        </w:rPr>
        <w:t>四</w:t>
      </w:r>
      <w:r>
        <w:rPr>
          <w:rFonts w:hint="eastAsia" w:ascii="黑体" w:hAnsi="黑体" w:eastAsia="黑体" w:cs="黑体"/>
          <w:b/>
          <w:bCs/>
          <w:kern w:val="2"/>
          <w:sz w:val="32"/>
          <w:szCs w:val="32"/>
          <w:lang w:val="zh-CN" w:eastAsia="zh-CN" w:bidi="ar-SA"/>
        </w:rPr>
        <w:t>、供应商资格证明文件</w:t>
      </w:r>
    </w:p>
    <w:p w14:paraId="509BD18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基本资格条件：符合《中华人民共和国政府采购法》第二十二条的规定</w:t>
      </w:r>
      <w:r>
        <w:rPr>
          <w:rFonts w:hint="eastAsia" w:ascii="微软雅黑" w:hAnsi="微软雅黑" w:eastAsia="微软雅黑" w:cs="微软雅黑"/>
          <w:sz w:val="24"/>
          <w:szCs w:val="24"/>
        </w:rPr>
        <w:t>，并提供下列材料</w:t>
      </w:r>
      <w:r>
        <w:rPr>
          <w:rFonts w:hint="eastAsia" w:ascii="微软雅黑" w:hAnsi="微软雅黑" w:eastAsia="微软雅黑" w:cs="微软雅黑"/>
          <w:b w:val="0"/>
          <w:bCs w:val="0"/>
          <w:sz w:val="24"/>
          <w:szCs w:val="24"/>
        </w:rPr>
        <w:t>：</w:t>
      </w:r>
    </w:p>
    <w:p w14:paraId="523D261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（1）提供供应商合法注册的法人或其他组织的营业执照等证明文件或自然人的身份证明；</w:t>
      </w:r>
    </w:p>
    <w:p w14:paraId="686CE58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（2）财务状况报告</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提供具有</w:t>
      </w:r>
      <w:r>
        <w:rPr>
          <w:rFonts w:hint="eastAsia" w:ascii="微软雅黑" w:hAnsi="微软雅黑" w:eastAsia="微软雅黑" w:cs="微软雅黑"/>
          <w:color w:val="auto"/>
          <w:sz w:val="24"/>
          <w:szCs w:val="24"/>
          <w:lang w:val="en-US" w:eastAsia="zh-CN"/>
        </w:rPr>
        <w:t>经</w:t>
      </w:r>
      <w:r>
        <w:rPr>
          <w:rFonts w:hint="eastAsia" w:ascii="微软雅黑" w:hAnsi="微软雅黑" w:eastAsia="微软雅黑" w:cs="微软雅黑"/>
          <w:color w:val="auto"/>
          <w:sz w:val="24"/>
          <w:szCs w:val="24"/>
        </w:rPr>
        <w:t>审计资质单位出具的</w:t>
      </w:r>
      <w:r>
        <w:rPr>
          <w:rFonts w:hint="eastAsia" w:ascii="微软雅黑" w:hAnsi="微软雅黑" w:eastAsia="微软雅黑" w:cs="微软雅黑"/>
          <w:color w:val="auto"/>
          <w:sz w:val="24"/>
          <w:szCs w:val="24"/>
          <w:lang w:val="en-US" w:eastAsia="zh-CN"/>
        </w:rPr>
        <w:t>2024年度财务报告</w:t>
      </w:r>
      <w:r>
        <w:rPr>
          <w:rFonts w:hint="eastAsia" w:ascii="微软雅黑" w:hAnsi="微软雅黑" w:eastAsia="微软雅黑" w:cs="微软雅黑"/>
          <w:color w:val="auto"/>
          <w:sz w:val="24"/>
          <w:szCs w:val="24"/>
        </w:rPr>
        <w:t>或</w:t>
      </w:r>
      <w:r>
        <w:rPr>
          <w:rFonts w:hint="eastAsia" w:ascii="微软雅黑" w:hAnsi="微软雅黑" w:eastAsia="微软雅黑" w:cs="微软雅黑"/>
          <w:color w:val="auto"/>
          <w:sz w:val="24"/>
          <w:szCs w:val="24"/>
          <w:lang w:val="en-US" w:eastAsia="zh-CN"/>
        </w:rPr>
        <w:t>供应商开</w:t>
      </w:r>
      <w:r>
        <w:rPr>
          <w:rFonts w:hint="eastAsia" w:ascii="微软雅黑" w:hAnsi="微软雅黑" w:eastAsia="微软雅黑" w:cs="微软雅黑"/>
          <w:color w:val="auto"/>
          <w:sz w:val="24"/>
          <w:szCs w:val="24"/>
        </w:rPr>
        <w:t>户银行</w:t>
      </w:r>
      <w:r>
        <w:rPr>
          <w:rFonts w:hint="eastAsia" w:ascii="微软雅黑" w:hAnsi="微软雅黑" w:eastAsia="微软雅黑" w:cs="微软雅黑"/>
          <w:color w:val="auto"/>
          <w:sz w:val="24"/>
          <w:szCs w:val="24"/>
          <w:lang w:val="en-US" w:eastAsia="zh-CN"/>
        </w:rPr>
        <w:t>近6</w:t>
      </w:r>
      <w:r>
        <w:rPr>
          <w:rFonts w:hint="eastAsia" w:ascii="微软雅黑" w:hAnsi="微软雅黑" w:eastAsia="微软雅黑" w:cs="微软雅黑"/>
          <w:color w:val="auto"/>
          <w:sz w:val="24"/>
          <w:szCs w:val="24"/>
        </w:rPr>
        <w:t>个月内其出具的资信证明；</w:t>
      </w:r>
    </w:p>
    <w:p w14:paraId="24B6FB4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（3）依法缴纳税收和社会保障资金：提供开标截止时间前6个月内任意时段已缴纳的纳税证明或完税证明（包含增值税、企业所得税至少一种）</w:t>
      </w:r>
      <w:r>
        <w:rPr>
          <w:rFonts w:hint="eastAsia" w:ascii="微软雅黑" w:hAnsi="微软雅黑" w:eastAsia="微软雅黑" w:cs="微软雅黑"/>
          <w:color w:val="auto"/>
          <w:sz w:val="24"/>
          <w:szCs w:val="24"/>
          <w:lang w:val="en-US" w:eastAsia="zh-CN"/>
        </w:rPr>
        <w:t>和</w:t>
      </w:r>
      <w:r>
        <w:rPr>
          <w:rFonts w:hint="eastAsia" w:ascii="微软雅黑" w:hAnsi="微软雅黑" w:eastAsia="微软雅黑" w:cs="微软雅黑"/>
          <w:color w:val="auto"/>
          <w:sz w:val="24"/>
          <w:szCs w:val="24"/>
        </w:rPr>
        <w:t>已缴存的社会保障资金缴费证明或参保证明；</w:t>
      </w:r>
    </w:p>
    <w:p w14:paraId="76622CE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（4）提供具有履行本合同所必需的设备和专业技术能力的书面声明；</w:t>
      </w:r>
    </w:p>
    <w:p w14:paraId="06E39026">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rPr>
        <w:t>（5）提供参加政</w:t>
      </w:r>
      <w:r>
        <w:rPr>
          <w:rFonts w:hint="eastAsia" w:ascii="微软雅黑" w:hAnsi="微软雅黑" w:eastAsia="微软雅黑" w:cs="微软雅黑"/>
          <w:sz w:val="24"/>
          <w:szCs w:val="24"/>
          <w:highlight w:val="none"/>
        </w:rPr>
        <w:t>府采购活动前3年内在经营活动中没有重大违法记录的书面声明。</w:t>
      </w:r>
    </w:p>
    <w:p w14:paraId="6F19AEF2">
      <w:pPr>
        <w:pStyle w:val="22"/>
        <w:keepNext w:val="0"/>
        <w:keepLines w:val="0"/>
        <w:pageBreakBefore w:val="0"/>
        <w:widowControl w:val="0"/>
        <w:kinsoku/>
        <w:wordWrap/>
        <w:overflowPunct/>
        <w:topLinePunct w:val="0"/>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sz w:val="24"/>
          <w:szCs w:val="24"/>
          <w:highlight w:val="none"/>
          <w:shd w:val="clear" w:color="auto" w:fill="auto"/>
          <w:lang w:val="zh-CN"/>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shd w:val="clear" w:color="auto" w:fill="auto"/>
          <w:lang w:val="zh-CN"/>
        </w:rPr>
        <w:t>落实政府采购政策需满足的资格要求：</w:t>
      </w:r>
    </w:p>
    <w:p w14:paraId="6AB96F7D">
      <w:pPr>
        <w:pStyle w:val="22"/>
        <w:keepNext w:val="0"/>
        <w:keepLines w:val="0"/>
        <w:pageBreakBefore w:val="0"/>
        <w:kinsoku/>
        <w:wordWrap/>
        <w:overflowPunct/>
        <w:topLinePunct w:val="0"/>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本项目专门面向小微企业采购，仅限符合《政府采购促进中小企业发展管理办法》（财库〔2020〕46号）条件的中小企业参与，供应商应填写中小企业声明函并对真实性负责（残疾人福利性单位及监狱企业视同为小型、微型企业）</w:t>
      </w:r>
      <w:r>
        <w:rPr>
          <w:rFonts w:hint="eastAsia" w:ascii="微软雅黑" w:hAnsi="微软雅黑" w:eastAsia="微软雅黑" w:cs="微软雅黑"/>
          <w:color w:val="auto"/>
          <w:sz w:val="24"/>
          <w:szCs w:val="24"/>
          <w:highlight w:val="none"/>
        </w:rPr>
        <w:t>。</w:t>
      </w:r>
    </w:p>
    <w:p w14:paraId="7904E209">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 w:val="0"/>
          <w:bCs w:val="0"/>
          <w:sz w:val="24"/>
          <w:szCs w:val="24"/>
          <w:highlight w:val="none"/>
          <w:u w:val="none"/>
          <w:lang w:val="en-US" w:eastAsia="zh-CN"/>
        </w:rPr>
        <w:t>3、</w:t>
      </w:r>
      <w:r>
        <w:rPr>
          <w:rFonts w:hint="eastAsia" w:ascii="微软雅黑" w:hAnsi="微软雅黑" w:eastAsia="微软雅黑" w:cs="微软雅黑"/>
          <w:sz w:val="24"/>
          <w:szCs w:val="24"/>
          <w:highlight w:val="none"/>
        </w:rPr>
        <w:t xml:space="preserve">特定资格条件：   </w:t>
      </w:r>
    </w:p>
    <w:p w14:paraId="49C5B3A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法定代表人直接参加磋商的，须提供法定代表人身份证明(法定代表人身份证原件备查）；法定代表人授权代表参加磋商的，须提供法定代表人授权委托书(授权代表身份证原件备查）；</w:t>
      </w:r>
    </w:p>
    <w:p w14:paraId="158B8A76">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sz w:val="24"/>
          <w:szCs w:val="24"/>
          <w:highlight w:val="none"/>
          <w:lang w:val="zh-CN"/>
        </w:rPr>
        <w:t>符合《财政部关于在政府采购活动中查询及使用信用记录有关问题的通知》（财库【2016】125号）文件中信用查询的要求</w:t>
      </w:r>
      <w:r>
        <w:rPr>
          <w:rFonts w:hint="eastAsia" w:ascii="微软雅黑" w:hAnsi="微软雅黑" w:eastAsia="微软雅黑" w:cs="微软雅黑"/>
          <w:sz w:val="24"/>
          <w:szCs w:val="24"/>
          <w:highlight w:val="none"/>
        </w:rPr>
        <w:t>。</w:t>
      </w:r>
    </w:p>
    <w:p w14:paraId="18E875B0">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采购代理机构将在</w:t>
      </w:r>
      <w:r>
        <w:rPr>
          <w:rFonts w:hint="eastAsia" w:ascii="微软雅黑" w:hAnsi="微软雅黑" w:eastAsia="微软雅黑" w:cs="微软雅黑"/>
          <w:kern w:val="0"/>
          <w:sz w:val="24"/>
          <w:szCs w:val="24"/>
          <w:highlight w:val="none"/>
          <w:lang w:eastAsia="zh-CN"/>
        </w:rPr>
        <w:t>响应文件</w:t>
      </w:r>
      <w:r>
        <w:rPr>
          <w:rFonts w:hint="eastAsia" w:ascii="微软雅黑" w:hAnsi="微软雅黑" w:eastAsia="微软雅黑" w:cs="微软雅黑"/>
          <w:kern w:val="0"/>
          <w:sz w:val="24"/>
          <w:szCs w:val="24"/>
          <w:highlight w:val="none"/>
        </w:rPr>
        <w:t>递交截止日当天资格审查阶段</w:t>
      </w:r>
      <w:r>
        <w:rPr>
          <w:rFonts w:hint="eastAsia" w:ascii="微软雅黑" w:hAnsi="微软雅黑" w:eastAsia="微软雅黑" w:cs="微软雅黑"/>
          <w:kern w:val="0"/>
          <w:sz w:val="24"/>
          <w:szCs w:val="24"/>
          <w:highlight w:val="none"/>
          <w:lang w:eastAsia="zh-CN"/>
        </w:rPr>
        <w:t>在【</w:t>
      </w:r>
      <w:r>
        <w:rPr>
          <w:rFonts w:hint="eastAsia" w:ascii="微软雅黑" w:hAnsi="微软雅黑" w:eastAsia="微软雅黑" w:cs="微软雅黑"/>
          <w:kern w:val="0"/>
          <w:sz w:val="24"/>
          <w:szCs w:val="24"/>
          <w:highlight w:val="none"/>
        </w:rPr>
        <w:t>中国政府采购网（www.ccgp.gov.cn）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政府采购严重违法失信行为记录名单</w:t>
      </w:r>
      <w:r>
        <w:rPr>
          <w:rFonts w:hint="eastAsia" w:ascii="微软雅黑" w:hAnsi="微软雅黑" w:eastAsia="微软雅黑" w:cs="微软雅黑"/>
          <w:kern w:val="0"/>
          <w:sz w:val="24"/>
          <w:szCs w:val="24"/>
          <w:highlight w:val="none"/>
          <w:lang w:eastAsia="zh-CN"/>
        </w:rPr>
        <w:t>栏和【</w:t>
      </w:r>
      <w:r>
        <w:rPr>
          <w:rFonts w:hint="eastAsia" w:ascii="微软雅黑" w:hAnsi="微软雅黑" w:eastAsia="微软雅黑" w:cs="微软雅黑"/>
          <w:kern w:val="0"/>
          <w:sz w:val="24"/>
          <w:szCs w:val="24"/>
          <w:highlight w:val="none"/>
        </w:rPr>
        <w:t>信用中国”网站（www.creditchina.gov.cn）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失信被执行人、重大税收违法失信主体</w:t>
      </w:r>
      <w:r>
        <w:rPr>
          <w:rFonts w:hint="eastAsia" w:ascii="微软雅黑" w:hAnsi="微软雅黑" w:eastAsia="微软雅黑" w:cs="微软雅黑"/>
          <w:kern w:val="0"/>
          <w:sz w:val="24"/>
          <w:szCs w:val="24"/>
          <w:highlight w:val="none"/>
          <w:lang w:eastAsia="zh-CN"/>
        </w:rPr>
        <w:t>栏</w:t>
      </w:r>
      <w:r>
        <w:rPr>
          <w:rFonts w:hint="eastAsia" w:ascii="微软雅黑" w:hAnsi="微软雅黑" w:eastAsia="微软雅黑" w:cs="微软雅黑"/>
          <w:kern w:val="0"/>
          <w:sz w:val="24"/>
          <w:szCs w:val="24"/>
          <w:highlight w:val="none"/>
        </w:rPr>
        <w:t>对</w:t>
      </w:r>
      <w:r>
        <w:rPr>
          <w:rFonts w:hint="eastAsia" w:ascii="微软雅黑" w:hAnsi="微软雅黑" w:eastAsia="微软雅黑" w:cs="微软雅黑"/>
          <w:kern w:val="0"/>
          <w:sz w:val="24"/>
          <w:szCs w:val="24"/>
          <w:highlight w:val="none"/>
          <w:lang w:eastAsia="zh-CN"/>
        </w:rPr>
        <w:t>各供应商</w:t>
      </w:r>
      <w:r>
        <w:rPr>
          <w:rFonts w:hint="eastAsia" w:ascii="微软雅黑" w:hAnsi="微软雅黑" w:eastAsia="微软雅黑" w:cs="微软雅黑"/>
          <w:kern w:val="0"/>
          <w:sz w:val="24"/>
          <w:szCs w:val="24"/>
          <w:highlight w:val="none"/>
        </w:rPr>
        <w:t>的信用情况进行查询，并将网页截图附在评审资料中（如相关失信记录已失效，</w:t>
      </w:r>
      <w:r>
        <w:rPr>
          <w:rFonts w:hint="eastAsia" w:ascii="微软雅黑" w:hAnsi="微软雅黑" w:eastAsia="微软雅黑" w:cs="微软雅黑"/>
          <w:kern w:val="0"/>
          <w:sz w:val="24"/>
          <w:szCs w:val="24"/>
          <w:highlight w:val="none"/>
          <w:lang w:eastAsia="zh-CN"/>
        </w:rPr>
        <w:t>供应商</w:t>
      </w:r>
      <w:r>
        <w:rPr>
          <w:rFonts w:hint="eastAsia" w:ascii="微软雅黑" w:hAnsi="微软雅黑" w:eastAsia="微软雅黑" w:cs="微软雅黑"/>
          <w:kern w:val="0"/>
          <w:sz w:val="24"/>
          <w:szCs w:val="24"/>
          <w:highlight w:val="none"/>
        </w:rPr>
        <w:t>需提供相关证明资料，若没有则此项不需要提供）。</w:t>
      </w:r>
    </w:p>
    <w:p w14:paraId="16C2D5AD">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备注</w:t>
      </w:r>
      <w:r>
        <w:rPr>
          <w:rFonts w:hint="eastAsia" w:ascii="微软雅黑" w:hAnsi="微软雅黑" w:eastAsia="微软雅黑" w:cs="微软雅黑"/>
          <w:b w:val="0"/>
          <w:bCs w:val="0"/>
          <w:sz w:val="24"/>
          <w:szCs w:val="24"/>
        </w:rPr>
        <w:t>：</w:t>
      </w:r>
    </w:p>
    <w:p w14:paraId="67908B2B">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（1）以上为供应商必备资格要求，资格证明文件无效或缺项响应文件按无效</w:t>
      </w:r>
      <w:r>
        <w:rPr>
          <w:rFonts w:hint="eastAsia" w:ascii="微软雅黑" w:hAnsi="微软雅黑" w:eastAsia="微软雅黑" w:cs="微软雅黑"/>
          <w:b w:val="0"/>
          <w:bCs w:val="0"/>
          <w:sz w:val="24"/>
          <w:szCs w:val="24"/>
          <w:highlight w:val="none"/>
        </w:rPr>
        <w:t>响应文件处理。</w:t>
      </w:r>
    </w:p>
    <w:p w14:paraId="3C434844">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highlight w:val="none"/>
        </w:rPr>
        <w:t>分支机构参与投标时，须提供分支机构</w:t>
      </w:r>
      <w:r>
        <w:rPr>
          <w:rFonts w:hint="eastAsia" w:ascii="微软雅黑" w:hAnsi="微软雅黑" w:eastAsia="微软雅黑" w:cs="微软雅黑"/>
          <w:b w:val="0"/>
          <w:bCs w:val="0"/>
          <w:sz w:val="24"/>
          <w:szCs w:val="24"/>
          <w:highlight w:val="none"/>
          <w:lang w:eastAsia="zh-CN"/>
        </w:rPr>
        <w:t>符合</w:t>
      </w:r>
      <w:r>
        <w:rPr>
          <w:rFonts w:hint="eastAsia" w:ascii="微软雅黑" w:hAnsi="微软雅黑" w:eastAsia="微软雅黑" w:cs="微软雅黑"/>
          <w:b w:val="0"/>
          <w:bCs w:val="0"/>
          <w:sz w:val="24"/>
          <w:szCs w:val="24"/>
          <w:highlight w:val="none"/>
        </w:rPr>
        <w:t>资格要求</w:t>
      </w:r>
      <w:r>
        <w:rPr>
          <w:rFonts w:hint="eastAsia" w:ascii="微软雅黑" w:hAnsi="微软雅黑" w:eastAsia="微软雅黑" w:cs="微软雅黑"/>
          <w:b w:val="0"/>
          <w:bCs w:val="0"/>
          <w:sz w:val="24"/>
          <w:szCs w:val="24"/>
          <w:highlight w:val="none"/>
          <w:lang w:eastAsia="zh-CN"/>
        </w:rPr>
        <w:t>的</w:t>
      </w:r>
      <w:r>
        <w:rPr>
          <w:rFonts w:hint="eastAsia" w:ascii="微软雅黑" w:hAnsi="微软雅黑" w:eastAsia="微软雅黑" w:cs="微软雅黑"/>
          <w:b w:val="0"/>
          <w:bCs w:val="0"/>
          <w:sz w:val="24"/>
          <w:szCs w:val="24"/>
          <w:highlight w:val="none"/>
        </w:rPr>
        <w:t>证明文件。</w:t>
      </w:r>
    </w:p>
    <w:p w14:paraId="7CF2F0C1">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lang w:val="en-US" w:eastAsia="zh-CN"/>
        </w:rPr>
        <w:t>3</w:t>
      </w: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rPr>
        <w:t>书面声明、法定代表人身份证明和法定代表人授权委托书应按磋商文件给定的格式填写，响应文件中必须附原件，其他资格证明文件提供复印件并加盖供应商公章。</w:t>
      </w:r>
    </w:p>
    <w:p w14:paraId="43C17E37">
      <w:pPr>
        <w:keepNext w:val="0"/>
        <w:keepLines w:val="0"/>
        <w:pageBreakBefore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none"/>
        </w:rPr>
        <w:t>（</w:t>
      </w:r>
      <w:r>
        <w:rPr>
          <w:rFonts w:hint="eastAsia" w:ascii="微软雅黑" w:hAnsi="微软雅黑" w:eastAsia="微软雅黑" w:cs="微软雅黑"/>
          <w:b w:val="0"/>
          <w:bCs w:val="0"/>
          <w:sz w:val="24"/>
          <w:szCs w:val="24"/>
          <w:highlight w:val="none"/>
          <w:lang w:val="en-US" w:eastAsia="zh-CN"/>
        </w:rPr>
        <w:t>4</w:t>
      </w:r>
      <w:r>
        <w:rPr>
          <w:rFonts w:hint="eastAsia" w:ascii="微软雅黑" w:hAnsi="微软雅黑" w:eastAsia="微软雅黑" w:cs="微软雅黑"/>
          <w:b w:val="0"/>
          <w:bCs w:val="0"/>
          <w:sz w:val="24"/>
          <w:szCs w:val="24"/>
          <w:highlight w:val="none"/>
        </w:rPr>
        <w:t>）依法免税或不需要缴纳社会保障资金的供</w:t>
      </w:r>
      <w:r>
        <w:rPr>
          <w:rFonts w:hint="eastAsia" w:ascii="微软雅黑" w:hAnsi="微软雅黑" w:eastAsia="微软雅黑" w:cs="微软雅黑"/>
          <w:b w:val="0"/>
          <w:bCs w:val="0"/>
          <w:sz w:val="24"/>
          <w:szCs w:val="24"/>
        </w:rPr>
        <w:t>应商</w:t>
      </w:r>
      <w:r>
        <w:rPr>
          <w:rFonts w:hint="eastAsia" w:ascii="微软雅黑" w:hAnsi="微软雅黑" w:eastAsia="微软雅黑" w:cs="微软雅黑"/>
          <w:b w:val="0"/>
          <w:bCs w:val="0"/>
          <w:sz w:val="24"/>
          <w:szCs w:val="24"/>
          <w:lang w:eastAsia="zh-CN"/>
        </w:rPr>
        <w:t>须</w:t>
      </w:r>
      <w:r>
        <w:rPr>
          <w:rFonts w:hint="eastAsia" w:ascii="微软雅黑" w:hAnsi="微软雅黑" w:eastAsia="微软雅黑" w:cs="微软雅黑"/>
          <w:b w:val="0"/>
          <w:bCs w:val="0"/>
          <w:sz w:val="24"/>
          <w:szCs w:val="24"/>
        </w:rPr>
        <w:t>提供相应证明文件。</w:t>
      </w:r>
    </w:p>
    <w:p w14:paraId="0D931B2E">
      <w:pPr>
        <w:adjustRightInd w:val="0"/>
        <w:snapToGrid w:val="0"/>
        <w:spacing w:line="360" w:lineRule="auto"/>
        <w:rPr>
          <w:rFonts w:hint="eastAsia" w:ascii="宋体" w:hAnsi="宋体"/>
          <w:b/>
          <w:sz w:val="28"/>
          <w:szCs w:val="28"/>
        </w:rPr>
      </w:pPr>
    </w:p>
    <w:p w14:paraId="5EEF9677">
      <w:pPr>
        <w:adjustRightInd w:val="0"/>
        <w:snapToGrid w:val="0"/>
        <w:spacing w:line="360" w:lineRule="auto"/>
        <w:rPr>
          <w:rFonts w:hint="eastAsia" w:ascii="宋体" w:hAnsi="宋体"/>
          <w:b/>
          <w:sz w:val="28"/>
          <w:szCs w:val="28"/>
        </w:rPr>
      </w:pPr>
    </w:p>
    <w:p w14:paraId="5CB4BD6B">
      <w:pPr>
        <w:adjustRightInd w:val="0"/>
        <w:snapToGrid w:val="0"/>
        <w:spacing w:line="360" w:lineRule="auto"/>
        <w:rPr>
          <w:rFonts w:hint="eastAsia" w:ascii="宋体" w:hAnsi="宋体"/>
          <w:b/>
          <w:sz w:val="28"/>
          <w:szCs w:val="28"/>
        </w:rPr>
      </w:pPr>
    </w:p>
    <w:p w14:paraId="2F920665">
      <w:pPr>
        <w:adjustRightInd w:val="0"/>
        <w:snapToGrid w:val="0"/>
        <w:spacing w:line="360" w:lineRule="auto"/>
        <w:rPr>
          <w:rFonts w:hint="eastAsia" w:ascii="宋体" w:hAnsi="宋体"/>
          <w:b/>
          <w:sz w:val="28"/>
          <w:szCs w:val="28"/>
        </w:rPr>
      </w:pPr>
    </w:p>
    <w:p w14:paraId="4ED4ED87">
      <w:pPr>
        <w:pStyle w:val="33"/>
        <w:rPr>
          <w:rFonts w:hint="eastAsia" w:ascii="宋体" w:hAnsi="宋体"/>
          <w:b/>
          <w:sz w:val="28"/>
          <w:szCs w:val="28"/>
        </w:rPr>
      </w:pPr>
    </w:p>
    <w:p w14:paraId="65C6AD2E">
      <w:pPr>
        <w:pStyle w:val="33"/>
        <w:rPr>
          <w:rFonts w:hint="eastAsia" w:ascii="宋体" w:hAnsi="宋体"/>
          <w:b/>
          <w:sz w:val="28"/>
          <w:szCs w:val="28"/>
        </w:rPr>
      </w:pPr>
    </w:p>
    <w:p w14:paraId="123C996C">
      <w:pPr>
        <w:pStyle w:val="33"/>
        <w:rPr>
          <w:rFonts w:hint="eastAsia" w:ascii="宋体" w:hAnsi="宋体"/>
          <w:b/>
          <w:sz w:val="28"/>
          <w:szCs w:val="28"/>
        </w:rPr>
      </w:pPr>
    </w:p>
    <w:p w14:paraId="01E2CA79">
      <w:pPr>
        <w:pStyle w:val="33"/>
        <w:rPr>
          <w:rFonts w:hint="eastAsia" w:ascii="宋体" w:hAnsi="宋体"/>
          <w:b/>
          <w:sz w:val="28"/>
          <w:szCs w:val="28"/>
        </w:rPr>
      </w:pPr>
    </w:p>
    <w:p w14:paraId="3BD7C3AB">
      <w:pPr>
        <w:pStyle w:val="33"/>
        <w:rPr>
          <w:rFonts w:hint="eastAsia" w:ascii="宋体" w:hAnsi="宋体"/>
          <w:b/>
          <w:sz w:val="28"/>
          <w:szCs w:val="28"/>
        </w:rPr>
      </w:pPr>
    </w:p>
    <w:p w14:paraId="3700CA4A">
      <w:pPr>
        <w:pStyle w:val="33"/>
        <w:rPr>
          <w:rFonts w:hint="eastAsia" w:ascii="宋体" w:hAnsi="宋体"/>
          <w:b/>
          <w:sz w:val="28"/>
          <w:szCs w:val="28"/>
        </w:rPr>
      </w:pPr>
    </w:p>
    <w:p w14:paraId="178E7606">
      <w:pPr>
        <w:pStyle w:val="33"/>
        <w:rPr>
          <w:rFonts w:hint="eastAsia" w:ascii="宋体" w:hAnsi="宋体"/>
          <w:b/>
          <w:sz w:val="28"/>
          <w:szCs w:val="28"/>
        </w:rPr>
      </w:pPr>
    </w:p>
    <w:p w14:paraId="06464F55">
      <w:pPr>
        <w:pStyle w:val="33"/>
        <w:rPr>
          <w:rFonts w:hint="eastAsia" w:ascii="宋体" w:hAnsi="宋体"/>
          <w:b/>
          <w:sz w:val="28"/>
          <w:szCs w:val="28"/>
        </w:rPr>
      </w:pPr>
    </w:p>
    <w:p w14:paraId="7FB82ACD">
      <w:pPr>
        <w:pStyle w:val="33"/>
        <w:rPr>
          <w:rFonts w:hint="eastAsia" w:ascii="宋体" w:hAnsi="宋体"/>
          <w:b/>
          <w:sz w:val="28"/>
          <w:szCs w:val="28"/>
        </w:rPr>
      </w:pPr>
    </w:p>
    <w:p w14:paraId="3EE7DFD3">
      <w:pPr>
        <w:pStyle w:val="33"/>
        <w:rPr>
          <w:rFonts w:hint="eastAsia" w:ascii="宋体" w:hAnsi="宋体"/>
          <w:b/>
          <w:sz w:val="28"/>
          <w:szCs w:val="28"/>
        </w:rPr>
      </w:pPr>
    </w:p>
    <w:p w14:paraId="7D807263">
      <w:pPr>
        <w:pStyle w:val="33"/>
        <w:rPr>
          <w:rFonts w:hint="eastAsia" w:ascii="宋体" w:hAnsi="宋体"/>
          <w:b/>
          <w:sz w:val="28"/>
          <w:szCs w:val="28"/>
        </w:rPr>
      </w:pPr>
    </w:p>
    <w:p w14:paraId="2449BB04">
      <w:pPr>
        <w:pStyle w:val="33"/>
        <w:rPr>
          <w:rFonts w:hint="eastAsia" w:ascii="宋体" w:hAnsi="宋体"/>
          <w:b/>
          <w:sz w:val="28"/>
          <w:szCs w:val="28"/>
        </w:rPr>
      </w:pPr>
    </w:p>
    <w:p w14:paraId="093E281A">
      <w:pPr>
        <w:adjustRightInd w:val="0"/>
        <w:snapToGrid w:val="0"/>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附1：</w:t>
      </w:r>
    </w:p>
    <w:p w14:paraId="3BADED3C">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履行合同所必需的设备和专业技术能力的书面声明</w:t>
      </w:r>
    </w:p>
    <w:p w14:paraId="720EB0F7">
      <w:pPr>
        <w:spacing w:line="360" w:lineRule="auto"/>
        <w:rPr>
          <w:rFonts w:hint="eastAsia" w:ascii="微软雅黑" w:hAnsi="微软雅黑" w:eastAsia="微软雅黑" w:cs="微软雅黑"/>
          <w:spacing w:val="4"/>
          <w:sz w:val="24"/>
          <w:szCs w:val="24"/>
          <w:u w:val="single"/>
        </w:rPr>
      </w:pPr>
    </w:p>
    <w:p w14:paraId="716C39A2">
      <w:pPr>
        <w:keepNext w:val="0"/>
        <w:keepLines w:val="0"/>
        <w:pageBreakBefore w:val="0"/>
        <w:widowControl w:val="0"/>
        <w:kinsoku/>
        <w:wordWrap/>
        <w:overflowPunct/>
        <w:topLinePunct w:val="0"/>
        <w:bidi w:val="0"/>
        <w:snapToGrid/>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（采购人名称）：</w:t>
      </w:r>
    </w:p>
    <w:p w14:paraId="24E5E5C4">
      <w:pPr>
        <w:keepNext w:val="0"/>
        <w:keepLines w:val="0"/>
        <w:pageBreakBefore w:val="0"/>
        <w:widowControl w:val="0"/>
        <w:kinsoku/>
        <w:wordWrap/>
        <w:overflowPunct/>
        <w:topLinePunct w:val="0"/>
        <w:bidi w:val="0"/>
        <w:snapToGrid/>
        <w:spacing w:line="360" w:lineRule="auto"/>
        <w:ind w:firstLine="496"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4"/>
          <w:sz w:val="24"/>
          <w:szCs w:val="24"/>
          <w:u w:val="single"/>
        </w:rPr>
        <w:t xml:space="preserve">      （供应商名称）    </w:t>
      </w:r>
      <w:r>
        <w:rPr>
          <w:rFonts w:hint="eastAsia" w:ascii="微软雅黑" w:hAnsi="微软雅黑" w:eastAsia="微软雅黑" w:cs="微软雅黑"/>
          <w:spacing w:val="4"/>
          <w:sz w:val="24"/>
          <w:szCs w:val="24"/>
        </w:rPr>
        <w:t xml:space="preserve"> 于</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年</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月</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日在中华人民共和国境内</w:t>
      </w:r>
      <w:r>
        <w:rPr>
          <w:rFonts w:hint="eastAsia" w:ascii="微软雅黑" w:hAnsi="微软雅黑" w:eastAsia="微软雅黑" w:cs="微软雅黑"/>
          <w:spacing w:val="4"/>
          <w:sz w:val="24"/>
          <w:szCs w:val="24"/>
          <w:u w:val="single"/>
        </w:rPr>
        <w:t xml:space="preserve">               （详细注册地址）     </w:t>
      </w:r>
      <w:r>
        <w:rPr>
          <w:rFonts w:hint="eastAsia" w:ascii="微软雅黑" w:hAnsi="微软雅黑" w:eastAsia="微软雅黑" w:cs="微软雅黑"/>
          <w:spacing w:val="4"/>
          <w:sz w:val="24"/>
          <w:szCs w:val="24"/>
        </w:rPr>
        <w:t>合法注册并经营，公司主营业务为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，营业（生产经营）面积为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 xml:space="preserve"> ，现有员工数量为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，本公司郑重承诺，具有履行本合同所必需的设备和专业技术能力。</w:t>
      </w:r>
      <w:r>
        <w:rPr>
          <w:rFonts w:hint="eastAsia" w:ascii="微软雅黑" w:hAnsi="微软雅黑" w:eastAsia="微软雅黑" w:cs="微软雅黑"/>
          <w:sz w:val="24"/>
          <w:szCs w:val="24"/>
        </w:rPr>
        <w:t>如有</w:t>
      </w:r>
      <w:r>
        <w:rPr>
          <w:rFonts w:hint="eastAsia" w:ascii="微软雅黑" w:hAnsi="微软雅黑" w:eastAsia="微软雅黑" w:cs="微软雅黑"/>
          <w:sz w:val="24"/>
          <w:szCs w:val="24"/>
          <w:highlight w:val="none"/>
          <w:lang w:eastAsia="zh-CN"/>
        </w:rPr>
        <w:t>虚假</w:t>
      </w:r>
      <w:r>
        <w:rPr>
          <w:rFonts w:hint="eastAsia" w:ascii="微软雅黑" w:hAnsi="微软雅黑" w:eastAsia="微软雅黑" w:cs="微软雅黑"/>
          <w:sz w:val="24"/>
          <w:szCs w:val="24"/>
          <w:highlight w:val="none"/>
        </w:rPr>
        <w:t>，我方将无条件地退出本项目的采购活动，并遵照《政府采购法》有关"提供虚假材料的规定"接受处罚。</w:t>
      </w:r>
    </w:p>
    <w:p w14:paraId="3E2306C8">
      <w:pPr>
        <w:pStyle w:val="17"/>
        <w:rPr>
          <w:rFonts w:hint="eastAsia"/>
          <w:lang w:eastAsia="zh-CN"/>
        </w:rPr>
      </w:pPr>
    </w:p>
    <w:p w14:paraId="2F328FBF">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27547B90">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46A1185">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6F562B6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微软雅黑" w:hAnsi="微软雅黑" w:eastAsia="微软雅黑" w:cs="微软雅黑"/>
          <w:b/>
          <w:spacing w:val="-6"/>
          <w:sz w:val="24"/>
          <w:szCs w:val="24"/>
          <w:lang w:eastAsia="zh-CN"/>
        </w:rPr>
      </w:pPr>
      <w:r>
        <w:rPr>
          <w:rFonts w:hint="eastAsia" w:ascii="微软雅黑" w:hAnsi="微软雅黑" w:eastAsia="微软雅黑" w:cs="微软雅黑"/>
          <w:b/>
          <w:sz w:val="24"/>
          <w:szCs w:val="24"/>
        </w:rPr>
        <w:br w:type="page"/>
      </w:r>
      <w:r>
        <w:rPr>
          <w:rFonts w:hint="eastAsia" w:ascii="微软雅黑" w:hAnsi="微软雅黑" w:eastAsia="微软雅黑" w:cs="微软雅黑"/>
          <w:b/>
          <w:sz w:val="24"/>
          <w:szCs w:val="24"/>
        </w:rPr>
        <w:t>附2</w:t>
      </w:r>
      <w:r>
        <w:rPr>
          <w:rFonts w:hint="eastAsia" w:ascii="微软雅黑" w:hAnsi="微软雅黑" w:eastAsia="微软雅黑" w:cs="微软雅黑"/>
          <w:b/>
          <w:sz w:val="24"/>
          <w:szCs w:val="24"/>
          <w:lang w:eastAsia="zh-CN"/>
        </w:rPr>
        <w:t>：</w:t>
      </w:r>
    </w:p>
    <w:p w14:paraId="6C446F1B">
      <w:pPr>
        <w:autoSpaceDE w:val="0"/>
        <w:autoSpaceDN w:val="0"/>
        <w:adjustRightIn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pacing w:val="-6"/>
          <w:sz w:val="24"/>
          <w:szCs w:val="24"/>
        </w:rPr>
        <w:t>参加政府采购活动前</w:t>
      </w:r>
      <w:r>
        <w:rPr>
          <w:rFonts w:hint="eastAsia" w:ascii="微软雅黑" w:hAnsi="微软雅黑" w:eastAsia="微软雅黑" w:cs="微软雅黑"/>
          <w:b/>
          <w:spacing w:val="-6"/>
          <w:sz w:val="24"/>
          <w:szCs w:val="24"/>
          <w:lang w:val="en-US" w:eastAsia="zh-CN"/>
        </w:rPr>
        <w:t>3</w:t>
      </w:r>
      <w:r>
        <w:rPr>
          <w:rFonts w:hint="eastAsia" w:ascii="微软雅黑" w:hAnsi="微软雅黑" w:eastAsia="微软雅黑" w:cs="微软雅黑"/>
          <w:b/>
          <w:spacing w:val="-6"/>
          <w:sz w:val="24"/>
          <w:szCs w:val="24"/>
        </w:rPr>
        <w:t>年内无重大违法记录的书面声明</w:t>
      </w:r>
    </w:p>
    <w:p w14:paraId="0EA54ABD">
      <w:pPr>
        <w:snapToGrid w:val="0"/>
        <w:spacing w:line="360" w:lineRule="auto"/>
        <w:ind w:firstLine="480" w:firstLineChars="200"/>
        <w:rPr>
          <w:rFonts w:hint="eastAsia" w:ascii="微软雅黑" w:hAnsi="微软雅黑" w:eastAsia="微软雅黑" w:cs="微软雅黑"/>
          <w:sz w:val="24"/>
          <w:szCs w:val="24"/>
        </w:rPr>
      </w:pPr>
    </w:p>
    <w:p w14:paraId="5323E8A3">
      <w:pPr>
        <w:keepNext w:val="0"/>
        <w:keepLines w:val="0"/>
        <w:pageBreakBefore w:val="0"/>
        <w:widowControl w:val="0"/>
        <w:kinsoku/>
        <w:wordWrap/>
        <w:overflowPunct/>
        <w:topLinePunct w:val="0"/>
        <w:bidi w:val="0"/>
        <w:snapToGrid/>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 xml:space="preserve">     （采购人名称）    ：</w:t>
      </w:r>
    </w:p>
    <w:p w14:paraId="30A5E51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rPr>
        <w:t xml:space="preserve"> 我方_______________（供应商名称）郑重声明在参加本次政府采购活动前3年内的经营活动没有重大违法记录。如</w:t>
      </w:r>
      <w:r>
        <w:rPr>
          <w:rFonts w:hint="eastAsia" w:ascii="微软雅黑" w:hAnsi="微软雅黑" w:eastAsia="微软雅黑" w:cs="微软雅黑"/>
          <w:sz w:val="24"/>
          <w:szCs w:val="24"/>
          <w:highlight w:val="none"/>
        </w:rPr>
        <w:t>有虚假，我方将无条件地退出本项目的采购活动，并遵照《政府采购法》有关"提供虚假材料的规定"接受处罚。</w:t>
      </w:r>
    </w:p>
    <w:p w14:paraId="6C75F62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特此声明。</w:t>
      </w:r>
    </w:p>
    <w:p w14:paraId="1121BFF0">
      <w:pPr>
        <w:pStyle w:val="2"/>
        <w:rPr>
          <w:rFonts w:hint="eastAsia" w:ascii="微软雅黑" w:hAnsi="微软雅黑" w:eastAsia="微软雅黑" w:cs="微软雅黑"/>
          <w:sz w:val="24"/>
          <w:szCs w:val="24"/>
          <w:highlight w:val="none"/>
        </w:rPr>
      </w:pPr>
    </w:p>
    <w:p w14:paraId="13136882">
      <w:pPr>
        <w:pStyle w:val="2"/>
        <w:rPr>
          <w:rFonts w:hint="eastAsia" w:ascii="微软雅黑" w:hAnsi="微软雅黑" w:eastAsia="微软雅黑" w:cs="微软雅黑"/>
          <w:sz w:val="24"/>
          <w:szCs w:val="24"/>
          <w:highlight w:val="none"/>
        </w:rPr>
      </w:pPr>
    </w:p>
    <w:p w14:paraId="08276311">
      <w:pPr>
        <w:rPr>
          <w:rFonts w:hint="eastAsia" w:ascii="微软雅黑" w:hAnsi="微软雅黑" w:eastAsia="微软雅黑" w:cs="微软雅黑"/>
          <w:sz w:val="24"/>
          <w:szCs w:val="24"/>
          <w:highlight w:val="none"/>
        </w:rPr>
      </w:pPr>
    </w:p>
    <w:p w14:paraId="67DF3CBB">
      <w:pPr>
        <w:autoSpaceDE w:val="0"/>
        <w:autoSpaceDN w:val="0"/>
        <w:adjustRightInd w:val="0"/>
        <w:spacing w:line="360" w:lineRule="auto"/>
        <w:ind w:firstLine="480" w:firstLineChars="200"/>
        <w:rPr>
          <w:rFonts w:hint="eastAsia" w:ascii="微软雅黑" w:hAnsi="微软雅黑" w:eastAsia="微软雅黑" w:cs="微软雅黑"/>
          <w:sz w:val="24"/>
          <w:szCs w:val="24"/>
          <w:highlight w:val="none"/>
        </w:rPr>
      </w:pPr>
    </w:p>
    <w:p w14:paraId="0F73BCCF">
      <w:pPr>
        <w:spacing w:line="360" w:lineRule="auto"/>
        <w:ind w:firstLine="2160" w:firstLineChars="900"/>
        <w:rPr>
          <w:rFonts w:hint="eastAsia" w:ascii="微软雅黑" w:hAnsi="微软雅黑" w:eastAsia="微软雅黑" w:cs="微软雅黑"/>
          <w:sz w:val="24"/>
          <w:szCs w:val="24"/>
          <w:highlight w:val="none"/>
        </w:rPr>
      </w:pPr>
      <w:bookmarkStart w:id="272" w:name="_Toc495909105"/>
      <w:bookmarkStart w:id="273" w:name="_Toc495681541"/>
      <w:bookmarkStart w:id="274" w:name="_Toc495908056"/>
      <w:bookmarkStart w:id="275" w:name="_Toc495681260"/>
      <w:bookmarkStart w:id="276" w:name="_Toc495671271"/>
      <w:bookmarkStart w:id="277" w:name="_Toc495681414"/>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4DC75983">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w:t>
      </w:r>
      <w:r>
        <w:rPr>
          <w:rFonts w:hint="eastAsia" w:ascii="微软雅黑" w:hAnsi="微软雅黑" w:eastAsia="微软雅黑" w:cs="微软雅黑"/>
          <w:sz w:val="24"/>
          <w:szCs w:val="24"/>
          <w:lang w:eastAsia="zh-CN"/>
        </w:rPr>
        <w:t>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0E07D8B8">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618204CC">
      <w:pPr>
        <w:adjustRightInd w:val="0"/>
        <w:snapToGrid w:val="0"/>
        <w:spacing w:line="360" w:lineRule="auto"/>
        <w:jc w:val="both"/>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u w:val="single"/>
        </w:rPr>
        <w:br w:type="page"/>
      </w:r>
      <w:r>
        <w:rPr>
          <w:rFonts w:hint="eastAsia" w:ascii="微软雅黑" w:hAnsi="微软雅黑" w:eastAsia="微软雅黑" w:cs="微软雅黑"/>
          <w:b/>
          <w:sz w:val="24"/>
          <w:szCs w:val="24"/>
          <w:lang w:eastAsia="zh-CN"/>
        </w:rPr>
        <w:t>附</w:t>
      </w:r>
      <w:r>
        <w:rPr>
          <w:rFonts w:hint="eastAsia" w:ascii="微软雅黑" w:hAnsi="微软雅黑" w:eastAsia="微软雅黑" w:cs="微软雅黑"/>
          <w:b/>
          <w:sz w:val="24"/>
          <w:szCs w:val="24"/>
          <w:lang w:val="en-US" w:eastAsia="zh-CN"/>
        </w:rPr>
        <w:t>3：</w:t>
      </w:r>
    </w:p>
    <w:p w14:paraId="55539D79">
      <w:pPr>
        <w:adjustRightInd w:val="0"/>
        <w:snapToGrid w:val="0"/>
        <w:spacing w:line="360" w:lineRule="auto"/>
        <w:jc w:val="center"/>
        <w:rPr>
          <w:rFonts w:hint="eastAsia" w:ascii="仿宋_GB2312" w:hAnsi="仿宋_GB2312" w:eastAsia="仿宋_GB2312" w:cs="仿宋_GB2312"/>
          <w:sz w:val="28"/>
          <w:szCs w:val="28"/>
          <w:highlight w:val="none"/>
          <w:lang w:val="zh-CN"/>
        </w:rPr>
      </w:pPr>
      <w:r>
        <w:rPr>
          <w:rFonts w:hint="eastAsia" w:ascii="微软雅黑" w:hAnsi="微软雅黑" w:eastAsia="微软雅黑" w:cs="微软雅黑"/>
          <w:b/>
          <w:spacing w:val="6"/>
          <w:sz w:val="24"/>
          <w:szCs w:val="24"/>
          <w:lang w:val="zh-CN"/>
        </w:rPr>
        <w:t>中小企业声明函（服务）</w:t>
      </w:r>
    </w:p>
    <w:p w14:paraId="1ED11039">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本公司（联合体）郑重声明，根据《政府采购促进中小企业发展管理办法》（财库﹝2020﹞46号）的规定，本公司（联合体）参加</w:t>
      </w:r>
      <w:r>
        <w:rPr>
          <w:rFonts w:hint="eastAsia" w:ascii="微软雅黑" w:hAnsi="微软雅黑" w:eastAsia="微软雅黑" w:cs="微软雅黑"/>
          <w:spacing w:val="6"/>
          <w:sz w:val="24"/>
          <w:szCs w:val="24"/>
          <w:u w:val="single"/>
          <w:lang w:val="zh-CN"/>
        </w:rPr>
        <w:t>（单位名称）</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lang w:val="zh-CN"/>
        </w:rPr>
        <w:t>的</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u w:val="single"/>
          <w:lang w:val="zh-CN"/>
        </w:rPr>
        <w:t>（项目名称）</w:t>
      </w:r>
      <w:r>
        <w:rPr>
          <w:rFonts w:hint="eastAsia" w:ascii="微软雅黑" w:hAnsi="微软雅黑" w:eastAsia="微软雅黑" w:cs="微软雅黑"/>
          <w:spacing w:val="6"/>
          <w:sz w:val="24"/>
          <w:szCs w:val="24"/>
          <w:lang w:val="zh-CN"/>
        </w:rPr>
        <w:t>采购活动，服务全部由符合政策要求的中小企业承接。相关企业（含联合体中的中小企业、签订分包意向协议的中小企业）的具体情况如下：</w:t>
      </w:r>
    </w:p>
    <w:p w14:paraId="4E58C136">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u w:val="single"/>
          <w:lang w:val="zh-CN"/>
        </w:rPr>
        <w:t>（标的名称）</w:t>
      </w:r>
      <w:r>
        <w:rPr>
          <w:rFonts w:hint="eastAsia" w:ascii="微软雅黑" w:hAnsi="微软雅黑" w:eastAsia="微软雅黑" w:cs="微软雅黑"/>
          <w:spacing w:val="6"/>
          <w:sz w:val="24"/>
          <w:szCs w:val="24"/>
          <w:lang w:val="zh-CN"/>
        </w:rPr>
        <w:t>，属于</w:t>
      </w:r>
      <w:r>
        <w:rPr>
          <w:rFonts w:hint="eastAsia" w:ascii="微软雅黑" w:hAnsi="微软雅黑" w:eastAsia="微软雅黑" w:cs="微软雅黑"/>
          <w:spacing w:val="6"/>
          <w:sz w:val="24"/>
          <w:szCs w:val="24"/>
          <w:u w:val="single"/>
          <w:lang w:val="zh-CN"/>
        </w:rPr>
        <w:t>农、林、牧、渔业</w:t>
      </w:r>
      <w:r>
        <w:rPr>
          <w:rFonts w:hint="eastAsia" w:ascii="微软雅黑" w:hAnsi="微软雅黑" w:eastAsia="微软雅黑" w:cs="微软雅黑"/>
          <w:spacing w:val="6"/>
          <w:sz w:val="24"/>
          <w:szCs w:val="24"/>
          <w:u w:val="none"/>
          <w:lang w:val="en-US" w:eastAsia="zh-CN"/>
        </w:rPr>
        <w:t>，</w:t>
      </w:r>
      <w:r>
        <w:rPr>
          <w:rFonts w:hint="eastAsia" w:ascii="微软雅黑" w:hAnsi="微软雅黑" w:eastAsia="微软雅黑" w:cs="微软雅黑"/>
          <w:spacing w:val="6"/>
          <w:sz w:val="24"/>
          <w:szCs w:val="24"/>
          <w:lang w:val="zh-CN"/>
        </w:rPr>
        <w:t>承接企业为</w:t>
      </w:r>
      <w:r>
        <w:rPr>
          <w:rFonts w:hint="eastAsia" w:ascii="微软雅黑" w:hAnsi="微软雅黑" w:eastAsia="微软雅黑" w:cs="微软雅黑"/>
          <w:spacing w:val="6"/>
          <w:sz w:val="24"/>
          <w:szCs w:val="24"/>
          <w:u w:val="single"/>
          <w:lang w:val="zh-CN"/>
        </w:rPr>
        <w:t>（企业名称）</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lang w:val="zh-CN"/>
        </w:rPr>
        <w:t>，从业人员</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人，营业收入为</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万元，资产总额为</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万元，属于</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 xml:space="preserve">中型企业、 小型企业、微型企业）； </w:t>
      </w:r>
    </w:p>
    <w:p w14:paraId="087ECF7D">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以上企业，不属于大企业的分支机构，不存在控股股东 为大企业的情形，也不存在与大企业的负责人为同一人的情 形。</w:t>
      </w:r>
    </w:p>
    <w:p w14:paraId="490B2528">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 xml:space="preserve">本企业对上述声明内容的真实性负责。如有虚假，将依 法承担相应责任。 </w:t>
      </w:r>
    </w:p>
    <w:p w14:paraId="1B10A420">
      <w:pPr>
        <w:spacing w:line="360" w:lineRule="auto"/>
        <w:ind w:firstLine="504" w:firstLineChars="200"/>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en-US" w:eastAsia="zh-CN"/>
        </w:rPr>
        <w:t xml:space="preserve">        </w:t>
      </w:r>
    </w:p>
    <w:p w14:paraId="2709477E">
      <w:pPr>
        <w:spacing w:line="360" w:lineRule="auto"/>
        <w:ind w:firstLine="4536" w:firstLineChars="18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 xml:space="preserve">企业名称（盖章）： </w:t>
      </w:r>
    </w:p>
    <w:p w14:paraId="5AEEF912">
      <w:pPr>
        <w:spacing w:line="360" w:lineRule="auto"/>
        <w:ind w:firstLine="504" w:firstLineChars="200"/>
        <w:jc w:val="left"/>
        <w:rPr>
          <w:rFonts w:hint="eastAsia" w:ascii="微软雅黑" w:hAnsi="微软雅黑" w:eastAsia="微软雅黑" w:cs="微软雅黑"/>
          <w:spacing w:val="6"/>
          <w:sz w:val="24"/>
          <w:szCs w:val="24"/>
        </w:rPr>
        <w:sectPr>
          <w:footerReference r:id="rId4" w:type="default"/>
          <w:pgSz w:w="11906" w:h="16838"/>
          <w:pgMar w:top="1418" w:right="1418" w:bottom="1418" w:left="1418" w:header="851" w:footer="992" w:gutter="0"/>
          <w:pgBorders w:offsetFrom="page">
            <w:top w:val="none" w:sz="0" w:space="0"/>
            <w:left w:val="none" w:sz="0" w:space="0"/>
            <w:bottom w:val="none" w:sz="0" w:space="0"/>
            <w:right w:val="none" w:sz="0" w:space="0"/>
          </w:pgBorders>
          <w:pgNumType w:fmt="decimal" w:start="1"/>
          <w:cols w:space="720" w:num="1"/>
          <w:rtlGutter w:val="1"/>
          <w:docGrid w:linePitch="312" w:charSpace="0"/>
        </w:sect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en-US" w:eastAsia="zh-CN"/>
        </w:rPr>
        <w:t xml:space="preserve">    </w:t>
      </w:r>
      <w:r>
        <w:rPr>
          <w:rFonts w:hint="eastAsia" w:ascii="微软雅黑" w:hAnsi="微软雅黑" w:eastAsia="微软雅黑" w:cs="微软雅黑"/>
          <w:spacing w:val="6"/>
          <w:sz w:val="24"/>
          <w:szCs w:val="24"/>
          <w:lang w:val="zh-CN"/>
        </w:rPr>
        <w:t xml:space="preserve">日 </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zh-CN"/>
        </w:rPr>
        <w:t>期：</w:t>
      </w:r>
    </w:p>
    <w:p w14:paraId="618C875B">
      <w:pPr>
        <w:adjustRightInd w:val="0"/>
        <w:snapToGrid w:val="0"/>
        <w:spacing w:line="360" w:lineRule="auto"/>
        <w:jc w:val="center"/>
        <w:rPr>
          <w:rFonts w:hint="eastAsia" w:ascii="微软雅黑" w:hAnsi="微软雅黑" w:eastAsia="微软雅黑" w:cs="微软雅黑"/>
          <w:b/>
          <w:spacing w:val="6"/>
          <w:sz w:val="24"/>
          <w:szCs w:val="24"/>
          <w:lang w:val="zh-CN"/>
        </w:rPr>
      </w:pPr>
    </w:p>
    <w:p w14:paraId="68C5AD19">
      <w:pPr>
        <w:adjustRightInd w:val="0"/>
        <w:snapToGrid w:val="0"/>
        <w:spacing w:line="360" w:lineRule="auto"/>
        <w:jc w:val="center"/>
        <w:rPr>
          <w:rFonts w:hint="eastAsia" w:ascii="微软雅黑" w:hAnsi="微软雅黑" w:eastAsia="微软雅黑" w:cs="微软雅黑"/>
          <w:b/>
          <w:spacing w:val="6"/>
          <w:sz w:val="24"/>
          <w:szCs w:val="24"/>
          <w:lang w:val="zh-CN"/>
        </w:rPr>
      </w:pPr>
      <w:r>
        <w:rPr>
          <w:rFonts w:hint="eastAsia" w:ascii="微软雅黑" w:hAnsi="微软雅黑" w:eastAsia="微软雅黑" w:cs="微软雅黑"/>
          <w:b/>
          <w:spacing w:val="6"/>
          <w:sz w:val="24"/>
          <w:szCs w:val="24"/>
          <w:lang w:val="zh-CN"/>
        </w:rPr>
        <w:t>残疾人福利性单位声明函（如适用）（格式）</w:t>
      </w:r>
    </w:p>
    <w:p w14:paraId="2D1559B4">
      <w:pPr>
        <w:spacing w:line="588" w:lineRule="exact"/>
        <w:rPr>
          <w:rFonts w:hint="eastAsia" w:ascii="微软雅黑" w:hAnsi="微软雅黑" w:eastAsia="微软雅黑" w:cs="微软雅黑"/>
          <w:b/>
          <w:spacing w:val="6"/>
          <w:sz w:val="24"/>
          <w:szCs w:val="24"/>
        </w:rPr>
      </w:pPr>
    </w:p>
    <w:p w14:paraId="50ADAE2A">
      <w:pPr>
        <w:spacing w:line="360" w:lineRule="auto"/>
        <w:ind w:firstLine="504" w:firstLineChars="200"/>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rPr>
        <w:t>本单位郑重声明，根据《财政部民政部中国残疾人联合会关于促进残疾人就业政府采购政策的通知》（财库</w:t>
      </w:r>
      <w:r>
        <w:rPr>
          <w:rFonts w:hint="eastAsia" w:ascii="微软雅黑" w:hAnsi="微软雅黑" w:eastAsia="微软雅黑" w:cs="微软雅黑"/>
          <w:sz w:val="24"/>
          <w:szCs w:val="24"/>
        </w:rPr>
        <w:t>〔2017〕141</w:t>
      </w:r>
      <w:r>
        <w:rPr>
          <w:rFonts w:hint="eastAsia" w:ascii="微软雅黑" w:hAnsi="微软雅黑" w:eastAsia="微软雅黑" w:cs="微软雅黑"/>
          <w:spacing w:val="6"/>
          <w:sz w:val="24"/>
          <w:szCs w:val="24"/>
        </w:rPr>
        <w:t>号）的规定，本单位为符合条件的残疾人福利性单位，且本单位参加</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rPr>
        <w:t>单位的</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rPr>
        <w:t>项目采购活动提供本单位制造的货物（由本单位承担工程/提供服务），或者提供其他残疾人福利性单位制造的货物（不包括使用非残疾人福利性单位注册商标的货物）。</w:t>
      </w:r>
    </w:p>
    <w:p w14:paraId="020A891F">
      <w:pPr>
        <w:spacing w:line="360" w:lineRule="auto"/>
        <w:ind w:firstLine="504" w:firstLineChars="200"/>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rPr>
        <w:t>本单位对上述声明的真实性负责。如有虚假，将依法承担相应责任。</w:t>
      </w:r>
    </w:p>
    <w:p w14:paraId="50857BBC">
      <w:pPr>
        <w:spacing w:line="360" w:lineRule="auto"/>
        <w:ind w:firstLine="504" w:firstLineChars="200"/>
        <w:rPr>
          <w:rFonts w:hint="eastAsia" w:ascii="微软雅黑" w:hAnsi="微软雅黑" w:eastAsia="微软雅黑" w:cs="微软雅黑"/>
          <w:spacing w:val="6"/>
          <w:sz w:val="24"/>
          <w:szCs w:val="24"/>
        </w:rPr>
      </w:pPr>
    </w:p>
    <w:p w14:paraId="5CF7A30B">
      <w:pPr>
        <w:spacing w:line="360" w:lineRule="auto"/>
        <w:ind w:firstLine="2016" w:firstLineChars="80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36DEB9D5">
      <w:pPr>
        <w:tabs>
          <w:tab w:val="left" w:pos="4860"/>
        </w:tabs>
        <w:spacing w:line="360" w:lineRule="auto"/>
        <w:ind w:right="1560" w:firstLine="504"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日期：    年   月  日</w:t>
      </w:r>
    </w:p>
    <w:p w14:paraId="49195A20">
      <w:pPr>
        <w:adjustRightInd w:val="0"/>
        <w:snapToGrid w:val="0"/>
        <w:spacing w:line="360" w:lineRule="auto"/>
        <w:rPr>
          <w:rFonts w:hint="eastAsia" w:ascii="微软雅黑" w:hAnsi="微软雅黑" w:eastAsia="微软雅黑" w:cs="微软雅黑"/>
          <w:b/>
          <w:sz w:val="24"/>
          <w:szCs w:val="24"/>
        </w:rPr>
      </w:pPr>
    </w:p>
    <w:p w14:paraId="679B8DC8">
      <w:pPr>
        <w:adjustRightInd w:val="0"/>
        <w:snapToGrid w:val="0"/>
        <w:spacing w:line="360" w:lineRule="exact"/>
        <w:ind w:firstLine="600" w:firstLineChars="25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说明：未按上述要求提供、填写的，评审时不予以考虑。</w:t>
      </w:r>
    </w:p>
    <w:p w14:paraId="730B6B2A">
      <w:pPr>
        <w:pStyle w:val="40"/>
        <w:spacing w:line="400" w:lineRule="exact"/>
        <w:rPr>
          <w:rFonts w:hint="eastAsia" w:ascii="微软雅黑" w:hAnsi="微软雅黑" w:eastAsia="微软雅黑" w:cs="微软雅黑"/>
          <w:sz w:val="24"/>
          <w:szCs w:val="24"/>
        </w:rPr>
      </w:pPr>
    </w:p>
    <w:p w14:paraId="5E4A92CF">
      <w:pPr>
        <w:pStyle w:val="40"/>
        <w:spacing w:line="400" w:lineRule="exact"/>
        <w:rPr>
          <w:rFonts w:hint="eastAsia" w:ascii="微软雅黑" w:hAnsi="微软雅黑" w:eastAsia="微软雅黑" w:cs="微软雅黑"/>
          <w:sz w:val="24"/>
          <w:szCs w:val="24"/>
        </w:rPr>
      </w:pPr>
    </w:p>
    <w:p w14:paraId="27E9D246">
      <w:pPr>
        <w:spacing w:line="588" w:lineRule="exact"/>
        <w:jc w:val="center"/>
        <w:rPr>
          <w:rFonts w:hint="eastAsia" w:ascii="微软雅黑" w:hAnsi="微软雅黑" w:eastAsia="微软雅黑" w:cs="微软雅黑"/>
          <w:b/>
          <w:spacing w:val="6"/>
          <w:sz w:val="24"/>
          <w:szCs w:val="24"/>
        </w:rPr>
      </w:pPr>
      <w:r>
        <w:rPr>
          <w:rFonts w:hint="eastAsia" w:ascii="微软雅黑" w:hAnsi="微软雅黑" w:eastAsia="微软雅黑" w:cs="微软雅黑"/>
          <w:b/>
          <w:spacing w:val="6"/>
          <w:sz w:val="24"/>
          <w:szCs w:val="24"/>
        </w:rPr>
        <w:br w:type="page"/>
      </w:r>
    </w:p>
    <w:p w14:paraId="110A2552">
      <w:pPr>
        <w:spacing w:line="588" w:lineRule="exact"/>
        <w:jc w:val="center"/>
        <w:rPr>
          <w:rFonts w:hint="eastAsia" w:ascii="微软雅黑" w:hAnsi="微软雅黑" w:eastAsia="微软雅黑" w:cs="微软雅黑"/>
          <w:b/>
          <w:spacing w:val="6"/>
          <w:sz w:val="24"/>
          <w:szCs w:val="24"/>
        </w:rPr>
      </w:pPr>
      <w:r>
        <w:rPr>
          <w:rFonts w:hint="eastAsia" w:ascii="微软雅黑" w:hAnsi="微软雅黑" w:eastAsia="微软雅黑" w:cs="微软雅黑"/>
          <w:b/>
          <w:spacing w:val="6"/>
          <w:sz w:val="24"/>
          <w:szCs w:val="24"/>
          <w:lang w:val="zh-CN"/>
        </w:rPr>
        <w:t>监狱、戒毒企业声明函（如适用）（格式）</w:t>
      </w:r>
    </w:p>
    <w:p w14:paraId="077F608C">
      <w:pPr>
        <w:pStyle w:val="17"/>
        <w:rPr>
          <w:rFonts w:hint="eastAsia" w:ascii="微软雅黑" w:hAnsi="微软雅黑" w:eastAsia="微软雅黑" w:cs="微软雅黑"/>
          <w:sz w:val="24"/>
          <w:szCs w:val="24"/>
        </w:rPr>
      </w:pPr>
    </w:p>
    <w:p w14:paraId="7B47B319">
      <w:pPr>
        <w:spacing w:line="360" w:lineRule="auto"/>
        <w:ind w:firstLine="480"/>
        <w:rPr>
          <w:rFonts w:hint="eastAsia" w:ascii="微软雅黑" w:hAnsi="微软雅黑" w:eastAsia="微软雅黑" w:cs="微软雅黑"/>
          <w:sz w:val="24"/>
          <w:szCs w:val="24"/>
        </w:rPr>
      </w:pPr>
    </w:p>
    <w:p w14:paraId="0630F33A">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本单位郑重声明，根据《财政部司法部关于政府采购支持监狱企业发展有关问题的通知》（财库〔2014〕68号）的规定，本单位为符合条件的监狱、戒毒企业，且本单位参加的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项目采购活动提供本单位制造的货物（由本单位承担工程/提供服务），或者提供其他监狱、戒毒企业制造的货物（不包括使用非监狱、戒毒企业注册商标的货物）。</w:t>
      </w:r>
    </w:p>
    <w:p w14:paraId="0E0ADFE5">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本单位对上述声明的真实性负责。如有虚假，将依法承担相应责任。</w:t>
      </w:r>
    </w:p>
    <w:p w14:paraId="192D695F">
      <w:pPr>
        <w:spacing w:line="360" w:lineRule="auto"/>
        <w:ind w:firstLine="480"/>
        <w:rPr>
          <w:rFonts w:hint="eastAsia" w:ascii="微软雅黑" w:hAnsi="微软雅黑" w:eastAsia="微软雅黑" w:cs="微软雅黑"/>
          <w:sz w:val="24"/>
          <w:szCs w:val="24"/>
        </w:rPr>
      </w:pPr>
    </w:p>
    <w:p w14:paraId="5E0705F7">
      <w:pPr>
        <w:spacing w:line="360" w:lineRule="auto"/>
        <w:ind w:firstLine="2016" w:firstLineChars="80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0DC4A14F">
      <w:pPr>
        <w:tabs>
          <w:tab w:val="left" w:pos="4860"/>
        </w:tabs>
        <w:spacing w:line="360" w:lineRule="auto"/>
        <w:ind w:right="1560" w:firstLine="504"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日期：    年   月  日</w:t>
      </w:r>
    </w:p>
    <w:p w14:paraId="7C7E0933">
      <w:pPr>
        <w:tabs>
          <w:tab w:val="left" w:pos="4860"/>
        </w:tabs>
        <w:spacing w:line="360" w:lineRule="auto"/>
        <w:ind w:right="1560" w:firstLine="480" w:firstLineChars="200"/>
        <w:jc w:val="center"/>
        <w:rPr>
          <w:rFonts w:hint="eastAsia" w:ascii="微软雅黑" w:hAnsi="微软雅黑" w:eastAsia="微软雅黑" w:cs="微软雅黑"/>
          <w:sz w:val="24"/>
          <w:szCs w:val="24"/>
        </w:rPr>
      </w:pPr>
    </w:p>
    <w:p w14:paraId="12817EC0">
      <w:pPr>
        <w:pStyle w:val="17"/>
        <w:tabs>
          <w:tab w:val="center" w:pos="4140"/>
          <w:tab w:val="right" w:pos="8300"/>
          <w:tab w:val="clear" w:pos="4153"/>
          <w:tab w:val="clear" w:pos="8306"/>
        </w:tabs>
        <w:spacing w:line="560" w:lineRule="exact"/>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备注：未按上述要求提供、填写的，评审时不予以考虑。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提供的《监狱、戒毒企业声明函》必须真实有效，</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应当提供由省级以上监狱管理局、戒毒管理局(含新疆生产建设兵团)出具的属于监狱企业的证明文件。</w:t>
      </w:r>
    </w:p>
    <w:p w14:paraId="059059B9">
      <w:pPr>
        <w:adjustRightInd w:val="0"/>
        <w:snapToGrid w:val="0"/>
        <w:spacing w:line="360" w:lineRule="auto"/>
        <w:rPr>
          <w:rFonts w:hint="eastAsia" w:ascii="微软雅黑" w:hAnsi="微软雅黑" w:eastAsia="微软雅黑" w:cs="微软雅黑"/>
          <w:sz w:val="24"/>
          <w:szCs w:val="24"/>
          <w:lang w:val="zh-CN"/>
        </w:rPr>
      </w:pPr>
    </w:p>
    <w:bookmarkEnd w:id="272"/>
    <w:bookmarkEnd w:id="273"/>
    <w:bookmarkEnd w:id="274"/>
    <w:bookmarkEnd w:id="275"/>
    <w:bookmarkEnd w:id="276"/>
    <w:bookmarkEnd w:id="277"/>
    <w:p w14:paraId="3EAF6474">
      <w:pPr>
        <w:adjustRightInd w:val="0"/>
        <w:snapToGrid w:val="0"/>
        <w:spacing w:line="360" w:lineRule="auto"/>
        <w:rPr>
          <w:rFonts w:hint="eastAsia" w:ascii="微软雅黑" w:hAnsi="微软雅黑" w:eastAsia="微软雅黑" w:cs="微软雅黑"/>
          <w:b/>
          <w:sz w:val="24"/>
          <w:szCs w:val="24"/>
          <w:lang w:eastAsia="zh-CN"/>
        </w:rPr>
      </w:pPr>
      <w:r>
        <w:rPr>
          <w:rFonts w:hint="eastAsia" w:ascii="微软雅黑" w:hAnsi="微软雅黑" w:eastAsia="微软雅黑" w:cs="微软雅黑"/>
          <w:sz w:val="24"/>
          <w:szCs w:val="24"/>
          <w:lang w:val="zh-CN"/>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4</w:t>
      </w:r>
      <w:r>
        <w:rPr>
          <w:rFonts w:hint="eastAsia" w:ascii="微软雅黑" w:hAnsi="微软雅黑" w:eastAsia="微软雅黑" w:cs="微软雅黑"/>
          <w:b/>
          <w:sz w:val="24"/>
          <w:szCs w:val="24"/>
          <w:lang w:eastAsia="zh-CN"/>
        </w:rPr>
        <w:t>：</w:t>
      </w:r>
    </w:p>
    <w:p w14:paraId="56D054D2">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法定代表人身份证明/法定代表人授权</w:t>
      </w:r>
      <w:r>
        <w:rPr>
          <w:rFonts w:hint="eastAsia" w:ascii="微软雅黑" w:hAnsi="微软雅黑" w:eastAsia="微软雅黑" w:cs="微软雅黑"/>
          <w:b/>
          <w:sz w:val="24"/>
          <w:szCs w:val="24"/>
          <w:lang w:val="en-US" w:eastAsia="zh-CN"/>
        </w:rPr>
        <w:t>委托</w:t>
      </w:r>
      <w:r>
        <w:rPr>
          <w:rFonts w:hint="eastAsia" w:ascii="微软雅黑" w:hAnsi="微软雅黑" w:eastAsia="微软雅黑" w:cs="微软雅黑"/>
          <w:b/>
          <w:sz w:val="24"/>
          <w:szCs w:val="24"/>
        </w:rPr>
        <w:t>书</w:t>
      </w:r>
    </w:p>
    <w:p w14:paraId="64B8DD3A">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（1）法定代表人身份证明</w:t>
      </w:r>
    </w:p>
    <w:p w14:paraId="79E2E89A">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kern w:val="0"/>
          <w:sz w:val="24"/>
          <w:szCs w:val="24"/>
        </w:rPr>
        <w:t>名称：</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w:t>
      </w:r>
    </w:p>
    <w:p w14:paraId="2F9DC8EC">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统一社会信用代码：</w:t>
      </w:r>
      <w:r>
        <w:rPr>
          <w:rFonts w:hint="eastAsia" w:ascii="微软雅黑" w:hAnsi="微软雅黑" w:eastAsia="微软雅黑" w:cs="微软雅黑"/>
          <w:kern w:val="0"/>
          <w:sz w:val="24"/>
          <w:szCs w:val="24"/>
          <w:u w:val="single"/>
        </w:rPr>
        <w:t xml:space="preserve">                                  </w:t>
      </w:r>
    </w:p>
    <w:p w14:paraId="7D0D05B0">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注册地址：</w:t>
      </w:r>
      <w:r>
        <w:rPr>
          <w:rFonts w:hint="eastAsia" w:ascii="微软雅黑" w:hAnsi="微软雅黑" w:eastAsia="微软雅黑" w:cs="微软雅黑"/>
          <w:kern w:val="0"/>
          <w:sz w:val="24"/>
          <w:szCs w:val="24"/>
          <w:u w:val="single"/>
        </w:rPr>
        <w:t xml:space="preserve">                                          </w:t>
      </w:r>
    </w:p>
    <w:p w14:paraId="07A683EE">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成立时间：</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年 </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日；经营期限：</w:t>
      </w:r>
      <w:r>
        <w:rPr>
          <w:rFonts w:hint="eastAsia" w:ascii="微软雅黑" w:hAnsi="微软雅黑" w:eastAsia="微软雅黑" w:cs="微软雅黑"/>
          <w:kern w:val="0"/>
          <w:sz w:val="24"/>
          <w:szCs w:val="24"/>
          <w:u w:val="single"/>
        </w:rPr>
        <w:t xml:space="preserve">                  </w:t>
      </w:r>
    </w:p>
    <w:p w14:paraId="6BD600FE">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经营范围：主营：</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；兼营：</w:t>
      </w:r>
      <w:r>
        <w:rPr>
          <w:rFonts w:hint="eastAsia" w:ascii="微软雅黑" w:hAnsi="微软雅黑" w:eastAsia="微软雅黑" w:cs="微软雅黑"/>
          <w:kern w:val="0"/>
          <w:sz w:val="24"/>
          <w:szCs w:val="24"/>
          <w:u w:val="single"/>
        </w:rPr>
        <w:t xml:space="preserve">              </w:t>
      </w:r>
    </w:p>
    <w:p w14:paraId="2D116631">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姓名：</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性别：</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年龄：</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系</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w:t>
      </w:r>
      <w:r>
        <w:rPr>
          <w:rFonts w:hint="eastAsia" w:ascii="微软雅黑" w:hAnsi="微软雅黑" w:eastAsia="微软雅黑" w:cs="微软雅黑"/>
          <w:sz w:val="24"/>
          <w:szCs w:val="24"/>
        </w:rPr>
        <w:t>供应商</w:t>
      </w:r>
      <w:r>
        <w:rPr>
          <w:rFonts w:hint="eastAsia" w:ascii="微软雅黑" w:hAnsi="微软雅黑" w:eastAsia="微软雅黑" w:cs="微软雅黑"/>
          <w:kern w:val="0"/>
          <w:sz w:val="24"/>
          <w:szCs w:val="24"/>
        </w:rPr>
        <w:t>名称）的法定代表人。</w:t>
      </w:r>
    </w:p>
    <w:p w14:paraId="1EBCDBAF">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特此证明。</w:t>
      </w:r>
    </w:p>
    <w:p w14:paraId="54A55E9C">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附：法定代表人身份证复印件</w:t>
      </w:r>
    </w:p>
    <w:tbl>
      <w:tblPr>
        <w:tblStyle w:val="25"/>
        <w:tblW w:w="0" w:type="auto"/>
        <w:jc w:val="center"/>
        <w:tblLayout w:type="fixed"/>
        <w:tblCellMar>
          <w:top w:w="0" w:type="dxa"/>
          <w:left w:w="108" w:type="dxa"/>
          <w:bottom w:w="0" w:type="dxa"/>
          <w:right w:w="108" w:type="dxa"/>
        </w:tblCellMar>
      </w:tblPr>
      <w:tblGrid>
        <w:gridCol w:w="4549"/>
      </w:tblGrid>
      <w:tr w14:paraId="1D6605A9">
        <w:tblPrEx>
          <w:tblCellMar>
            <w:top w:w="0" w:type="dxa"/>
            <w:left w:w="108" w:type="dxa"/>
            <w:bottom w:w="0" w:type="dxa"/>
            <w:right w:w="108" w:type="dxa"/>
          </w:tblCellMar>
        </w:tblPrEx>
        <w:trPr>
          <w:trHeight w:val="2494" w:hRule="atLeast"/>
          <w:jc w:val="center"/>
        </w:trPr>
        <w:tc>
          <w:tcPr>
            <w:tcW w:w="4549" w:type="dxa"/>
            <w:tcBorders>
              <w:top w:val="single" w:color="auto" w:sz="6" w:space="0"/>
              <w:left w:val="single" w:color="auto" w:sz="6" w:space="0"/>
              <w:bottom w:val="single" w:color="auto" w:sz="6" w:space="0"/>
              <w:right w:val="single" w:color="auto" w:sz="6" w:space="0"/>
            </w:tcBorders>
            <w:noWrap w:val="0"/>
            <w:vAlign w:val="center"/>
          </w:tcPr>
          <w:p w14:paraId="6F98D9D8">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法定代表人身份证复印件</w:t>
            </w:r>
          </w:p>
          <w:p w14:paraId="25C893B6">
            <w:pPr>
              <w:keepNext w:val="0"/>
              <w:keepLines w:val="0"/>
              <w:suppressLineNumbers w:val="0"/>
              <w:adjustRightInd w:val="0"/>
              <w:snapToGrid w:val="0"/>
              <w:spacing w:before="0" w:beforeAutospacing="0" w:after="0" w:afterAutospacing="0" w:line="348" w:lineRule="auto"/>
              <w:ind w:left="0" w:right="0"/>
              <w:jc w:val="cente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（正反两面）</w:t>
            </w:r>
          </w:p>
        </w:tc>
      </w:tr>
    </w:tbl>
    <w:p w14:paraId="52024CA7">
      <w:pPr>
        <w:spacing w:line="360" w:lineRule="auto"/>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说明：仅限法定代表人参加磋商时提供。</w:t>
      </w:r>
    </w:p>
    <w:p w14:paraId="52578912">
      <w:pPr>
        <w:spacing w:line="360" w:lineRule="auto"/>
        <w:ind w:firstLine="1920" w:firstLineChars="8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盖</w:t>
      </w:r>
      <w:r>
        <w:rPr>
          <w:rFonts w:hint="eastAsia" w:ascii="微软雅黑" w:hAnsi="微软雅黑" w:eastAsia="微软雅黑" w:cs="微软雅黑"/>
          <w:sz w:val="24"/>
          <w:szCs w:val="24"/>
        </w:rPr>
        <w:t>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5F7F4042">
      <w:pPr>
        <w:adjustRightInd w:val="0"/>
        <w:snapToGrid w:val="0"/>
        <w:spacing w:line="360" w:lineRule="auto"/>
        <w:ind w:firstLine="1920" w:firstLineChars="8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3894EFAD">
      <w:pPr>
        <w:adjustRightInd w:val="0"/>
        <w:snapToGrid w:val="0"/>
        <w:spacing w:line="360" w:lineRule="auto"/>
        <w:jc w:val="center"/>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rPr>
        <w:br w:type="page"/>
      </w:r>
      <w:r>
        <w:rPr>
          <w:rFonts w:hint="eastAsia" w:ascii="微软雅黑" w:hAnsi="微软雅黑" w:eastAsia="微软雅黑" w:cs="微软雅黑"/>
          <w:b/>
          <w:sz w:val="24"/>
          <w:szCs w:val="24"/>
        </w:rPr>
        <w:t>（2）法定代表人授权</w:t>
      </w:r>
      <w:r>
        <w:rPr>
          <w:rFonts w:hint="eastAsia" w:ascii="微软雅黑" w:hAnsi="微软雅黑" w:eastAsia="微软雅黑" w:cs="微软雅黑"/>
          <w:b/>
          <w:sz w:val="24"/>
          <w:szCs w:val="24"/>
          <w:lang w:val="en-US" w:eastAsia="zh-CN"/>
        </w:rPr>
        <w:t>委托</w:t>
      </w:r>
      <w:r>
        <w:rPr>
          <w:rFonts w:hint="eastAsia" w:ascii="微软雅黑" w:hAnsi="微软雅黑" w:eastAsia="微软雅黑" w:cs="微软雅黑"/>
          <w:b/>
          <w:sz w:val="24"/>
          <w:szCs w:val="24"/>
        </w:rPr>
        <w:t>书</w:t>
      </w:r>
    </w:p>
    <w:p w14:paraId="370E9DD9">
      <w:pPr>
        <w:spacing w:line="360" w:lineRule="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（采购人名称）    ：</w:t>
      </w:r>
    </w:p>
    <w:p w14:paraId="4803FEAE">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注册于</w:t>
      </w:r>
      <w:r>
        <w:rPr>
          <w:rFonts w:hint="eastAsia" w:ascii="微软雅黑" w:hAnsi="微软雅黑" w:eastAsia="微软雅黑" w:cs="微软雅黑"/>
          <w:sz w:val="24"/>
          <w:szCs w:val="24"/>
          <w:u w:val="single"/>
          <w:lang w:val="zh-CN"/>
        </w:rPr>
        <w:t xml:space="preserve">      （工商行政管理局名称）</w:t>
      </w:r>
      <w:r>
        <w:rPr>
          <w:rFonts w:hint="eastAsia" w:ascii="微软雅黑" w:hAnsi="微软雅黑" w:eastAsia="微软雅黑" w:cs="微软雅黑"/>
          <w:sz w:val="24"/>
          <w:szCs w:val="24"/>
          <w:lang w:val="zh-CN"/>
        </w:rPr>
        <w:t>之</w:t>
      </w:r>
      <w:r>
        <w:rPr>
          <w:rFonts w:hint="eastAsia" w:ascii="微软雅黑" w:hAnsi="微软雅黑" w:eastAsia="微软雅黑" w:cs="微软雅黑"/>
          <w:sz w:val="24"/>
          <w:szCs w:val="24"/>
          <w:u w:val="single"/>
          <w:lang w:val="zh-CN"/>
        </w:rPr>
        <w:t xml:space="preserve">     （供应商全称）</w:t>
      </w:r>
      <w:r>
        <w:rPr>
          <w:rFonts w:hint="eastAsia" w:ascii="微软雅黑" w:hAnsi="微软雅黑" w:eastAsia="微软雅黑" w:cs="微软雅黑"/>
          <w:sz w:val="24"/>
          <w:szCs w:val="24"/>
          <w:lang w:val="zh-CN"/>
        </w:rPr>
        <w:t>的法定代表人</w:t>
      </w:r>
      <w:r>
        <w:rPr>
          <w:rFonts w:hint="eastAsia" w:ascii="微软雅黑" w:hAnsi="微软雅黑" w:eastAsia="微软雅黑" w:cs="微软雅黑"/>
          <w:sz w:val="24"/>
          <w:szCs w:val="24"/>
          <w:u w:val="single"/>
          <w:lang w:val="zh-CN"/>
        </w:rPr>
        <w:t xml:space="preserve">      （姓名）</w:t>
      </w:r>
      <w:r>
        <w:rPr>
          <w:rFonts w:hint="eastAsia" w:ascii="微软雅黑" w:hAnsi="微软雅黑" w:eastAsia="微软雅黑" w:cs="微软雅黑"/>
          <w:sz w:val="24"/>
          <w:szCs w:val="24"/>
          <w:lang w:val="zh-CN"/>
        </w:rPr>
        <w:t>授权</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授权代表</w:t>
      </w:r>
      <w:r>
        <w:rPr>
          <w:rFonts w:hint="eastAsia" w:ascii="微软雅黑" w:hAnsi="微软雅黑" w:eastAsia="微软雅黑" w:cs="微软雅黑"/>
          <w:sz w:val="24"/>
          <w:szCs w:val="24"/>
          <w:u w:val="single"/>
          <w:lang w:val="zh-CN"/>
        </w:rPr>
        <w:t>姓名）</w:t>
      </w:r>
      <w:r>
        <w:rPr>
          <w:rFonts w:hint="eastAsia" w:ascii="微软雅黑" w:hAnsi="微软雅黑" w:eastAsia="微软雅黑" w:cs="微软雅黑"/>
          <w:sz w:val="24"/>
          <w:szCs w:val="24"/>
        </w:rPr>
        <w:t>为我方合法</w:t>
      </w:r>
      <w:r>
        <w:rPr>
          <w:rFonts w:hint="eastAsia" w:ascii="微软雅黑" w:hAnsi="微软雅黑" w:eastAsia="微软雅黑" w:cs="微软雅黑"/>
          <w:sz w:val="24"/>
          <w:szCs w:val="24"/>
          <w:lang w:val="en-US" w:eastAsia="zh-CN"/>
        </w:rPr>
        <w:t>委托代理人</w:t>
      </w:r>
      <w:r>
        <w:rPr>
          <w:rFonts w:hint="eastAsia" w:ascii="微软雅黑" w:hAnsi="微软雅黑" w:eastAsia="微软雅黑" w:cs="微软雅黑"/>
          <w:sz w:val="24"/>
          <w:szCs w:val="24"/>
        </w:rPr>
        <w:t>。代理人根据授权，以我方名义签署、澄清、说明、递交、撤回、修改</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（项目名称） </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、签订合同和处理有关事宜，其法律后果由我方承担。</w:t>
      </w:r>
    </w:p>
    <w:p w14:paraId="0F543DDB">
      <w:pPr>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代理人无转委托权。</w:t>
      </w:r>
    </w:p>
    <w:p w14:paraId="6299C258">
      <w:pPr>
        <w:autoSpaceDE w:val="0"/>
        <w:autoSpaceDN w:val="0"/>
        <w:adjustRightInd w:val="0"/>
        <w:spacing w:line="360" w:lineRule="auto"/>
        <w:ind w:firstLine="630" w:firstLineChars="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说明：</w:t>
      </w:r>
      <w:r>
        <w:rPr>
          <w:rFonts w:hint="eastAsia" w:ascii="微软雅黑" w:hAnsi="微软雅黑" w:eastAsia="微软雅黑" w:cs="微软雅黑"/>
          <w:sz w:val="24"/>
          <w:szCs w:val="24"/>
          <w:highlight w:val="none"/>
        </w:rPr>
        <w:t>本授权</w:t>
      </w:r>
      <w:r>
        <w:rPr>
          <w:rFonts w:hint="eastAsia" w:ascii="微软雅黑" w:hAnsi="微软雅黑" w:eastAsia="微软雅黑" w:cs="微软雅黑"/>
          <w:sz w:val="24"/>
          <w:szCs w:val="24"/>
          <w:highlight w:val="none"/>
          <w:lang w:eastAsia="zh-CN"/>
        </w:rPr>
        <w:t>委托</w:t>
      </w:r>
      <w:r>
        <w:rPr>
          <w:rFonts w:hint="eastAsia" w:ascii="微软雅黑" w:hAnsi="微软雅黑" w:eastAsia="微软雅黑" w:cs="微软雅黑"/>
          <w:sz w:val="24"/>
          <w:szCs w:val="24"/>
          <w:highlight w:val="none"/>
        </w:rPr>
        <w:t>书</w:t>
      </w:r>
      <w:r>
        <w:rPr>
          <w:rFonts w:hint="eastAsia" w:ascii="微软雅黑" w:hAnsi="微软雅黑" w:eastAsia="微软雅黑" w:cs="微软雅黑"/>
          <w:sz w:val="24"/>
          <w:szCs w:val="24"/>
          <w:highlight w:val="none"/>
          <w:lang w:eastAsia="zh-CN"/>
        </w:rPr>
        <w:t>自</w:t>
      </w:r>
      <w:r>
        <w:rPr>
          <w:rFonts w:hint="eastAsia" w:ascii="微软雅黑" w:hAnsi="微软雅黑" w:eastAsia="微软雅黑" w:cs="微软雅黑"/>
          <w:sz w:val="24"/>
          <w:szCs w:val="24"/>
          <w:highlight w:val="none"/>
        </w:rPr>
        <w:t>签发之日起</w:t>
      </w:r>
      <w:r>
        <w:rPr>
          <w:rFonts w:hint="eastAsia" w:ascii="微软雅黑" w:hAnsi="微软雅黑" w:eastAsia="微软雅黑" w:cs="微软雅黑"/>
          <w:sz w:val="24"/>
          <w:szCs w:val="24"/>
          <w:highlight w:val="none"/>
          <w:lang w:eastAsia="zh-CN"/>
        </w:rPr>
        <w:t>生效，授权委托书有效期自投标有效期</w:t>
      </w:r>
      <w:r>
        <w:rPr>
          <w:rFonts w:hint="eastAsia" w:ascii="微软雅黑" w:hAnsi="微软雅黑" w:eastAsia="微软雅黑" w:cs="微软雅黑"/>
          <w:sz w:val="24"/>
          <w:szCs w:val="24"/>
          <w:highlight w:val="none"/>
          <w:lang w:val="en-US" w:eastAsia="zh-CN"/>
        </w:rPr>
        <w:t>届满之日起</w:t>
      </w:r>
      <w:r>
        <w:rPr>
          <w:rFonts w:hint="eastAsia" w:ascii="微软雅黑" w:hAnsi="微软雅黑" w:eastAsia="微软雅黑" w:cs="微软雅黑"/>
          <w:sz w:val="24"/>
          <w:szCs w:val="24"/>
          <w:highlight w:val="none"/>
          <w:lang w:val="zh-CN"/>
        </w:rPr>
        <w:t>失效，仅限授权代表参加投标时提供。</w:t>
      </w:r>
    </w:p>
    <w:p w14:paraId="19678B76">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章）</w:t>
      </w:r>
    </w:p>
    <w:p w14:paraId="742BEF89">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（签字或盖章）</w:t>
      </w:r>
    </w:p>
    <w:p w14:paraId="5818F8F6">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身份证号码：</w:t>
      </w:r>
      <w:r>
        <w:rPr>
          <w:rFonts w:hint="eastAsia" w:ascii="微软雅黑" w:hAnsi="微软雅黑" w:eastAsia="微软雅黑" w:cs="微软雅黑"/>
          <w:sz w:val="24"/>
          <w:szCs w:val="24"/>
          <w:u w:val="single"/>
        </w:rPr>
        <w:t xml:space="preserve">                   </w:t>
      </w:r>
    </w:p>
    <w:p w14:paraId="687E6FC6">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授权代表</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（签      字）</w:t>
      </w:r>
    </w:p>
    <w:p w14:paraId="52426997">
      <w:pPr>
        <w:spacing w:line="360"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身份证号码：</w:t>
      </w:r>
      <w:r>
        <w:rPr>
          <w:rFonts w:hint="eastAsia" w:ascii="微软雅黑" w:hAnsi="微软雅黑" w:eastAsia="微软雅黑" w:cs="微软雅黑"/>
          <w:sz w:val="24"/>
          <w:szCs w:val="24"/>
          <w:u w:val="single"/>
        </w:rPr>
        <w:t xml:space="preserve">                   </w:t>
      </w:r>
    </w:p>
    <w:p w14:paraId="087FBA12">
      <w:pPr>
        <w:spacing w:line="360" w:lineRule="auto"/>
        <w:ind w:firstLine="4080" w:firstLineChars="17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14:paraId="65A22A02">
      <w:pPr>
        <w:numPr>
          <w:ins w:id="0" w:author="admin" w:date="2018-10-15T16:11:00Z"/>
        </w:numPr>
        <w:spacing w:line="480" w:lineRule="auto"/>
        <w:ind w:firstLine="42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6" name="文本框 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30EC8">
                            <w:pPr>
                              <w:jc w:val="center"/>
                              <w:rPr>
                                <w:rFonts w:hint="eastAsia" w:ascii="黑体" w:eastAsia="黑体"/>
                                <w:sz w:val="32"/>
                                <w:szCs w:val="32"/>
                              </w:rPr>
                            </w:pPr>
                          </w:p>
                          <w:p w14:paraId="68B90FDB">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37A225E3">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wps:txbx>
                      <wps:bodyPr upright="1"/>
                    </wps:wsp>
                  </a:graphicData>
                </a:graphic>
              </wp:anchor>
            </w:drawing>
          </mc:Choice>
          <mc:Fallback>
            <w:pict>
              <v:shape id="_x0000_s1026" o:spid="_x0000_s1026" o:spt="202" type="#_x0000_t202" style="position:absolute;left:0pt;margin-left:-9pt;margin-top:7.8pt;height:124.8pt;width:225.75pt;z-index:251659264;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pjCANoAAAAKAQAADwAAAAAAAAAB&#10;ACAAAAAiAAAAZHJzL2Rvd25yZXYueG1sUEsBAhQAFAAAAAgAh07iQAjPbDgOAgAANwQAAA4AAAAA&#10;AAAAAQAgAAAAKQEAAGRycy9lMm9Eb2MueG1sUEsFBgAAAAAGAAYAWQEAAKkFAAAAAA==&#10;">
                <v:fill on="t" focussize="0,0"/>
                <v:stroke color="#000000" joinstyle="miter"/>
                <v:imagedata o:title=""/>
                <o:lock v:ext="edit" aspectratio="f"/>
                <v:textbox>
                  <w:txbxContent>
                    <w:p w14:paraId="75D30EC8">
                      <w:pPr>
                        <w:jc w:val="center"/>
                        <w:rPr>
                          <w:rFonts w:hint="eastAsia" w:ascii="黑体" w:eastAsia="黑体"/>
                          <w:sz w:val="32"/>
                          <w:szCs w:val="32"/>
                        </w:rPr>
                      </w:pPr>
                    </w:p>
                    <w:p w14:paraId="68B90FDB">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37A225E3">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v:textbox>
              </v:shape>
            </w:pict>
          </mc:Fallback>
        </mc:AlternateContent>
      </w:r>
      <w:r>
        <w:rPr>
          <w:rFonts w:hint="eastAsia" w:ascii="微软雅黑" w:hAnsi="微软雅黑" w:eastAsia="微软雅黑" w:cs="微软雅黑"/>
          <w:bCs/>
          <w:sz w:val="24"/>
          <w:szCs w:val="24"/>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99060</wp:posOffset>
                </wp:positionV>
                <wp:extent cx="2867025" cy="1584960"/>
                <wp:effectExtent l="4445" t="4445" r="5080" b="10795"/>
                <wp:wrapNone/>
                <wp:docPr id="7" name="文本框 7"/>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5C5E75">
                            <w:pPr>
                              <w:jc w:val="center"/>
                              <w:rPr>
                                <w:rFonts w:hint="eastAsia" w:ascii="黑体" w:eastAsia="黑体"/>
                                <w:sz w:val="32"/>
                                <w:szCs w:val="32"/>
                              </w:rPr>
                            </w:pPr>
                          </w:p>
                          <w:p w14:paraId="5404045F">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b w:val="0"/>
                                <w:bCs w:val="0"/>
                                <w:color w:val="auto"/>
                                <w:sz w:val="32"/>
                                <w:szCs w:val="32"/>
                                <w:highlight w:val="none"/>
                                <w:lang w:eastAsia="zh-CN"/>
                              </w:rPr>
                              <w:t>授权代表</w:t>
                            </w:r>
                            <w:r>
                              <w:rPr>
                                <w:rFonts w:hint="eastAsia" w:ascii="仿宋_GB2312" w:hAnsi="宋体" w:eastAsia="仿宋_GB2312"/>
                                <w:b w:val="0"/>
                                <w:bCs w:val="0"/>
                                <w:color w:val="auto"/>
                                <w:sz w:val="32"/>
                                <w:szCs w:val="32"/>
                                <w:highlight w:val="none"/>
                              </w:rPr>
                              <w:t>身份证复印</w:t>
                            </w:r>
                            <w:r>
                              <w:rPr>
                                <w:rFonts w:hint="eastAsia" w:ascii="仿宋_GB2312" w:hAnsi="宋体" w:eastAsia="仿宋_GB2312"/>
                                <w:sz w:val="32"/>
                                <w:szCs w:val="32"/>
                              </w:rPr>
                              <w:t>件</w:t>
                            </w:r>
                          </w:p>
                          <w:p w14:paraId="44F0818A">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wps:txbx>
                      <wps:bodyPr upright="1"/>
                    </wps:wsp>
                  </a:graphicData>
                </a:graphic>
              </wp:anchor>
            </w:drawing>
          </mc:Choice>
          <mc:Fallback>
            <w:pict>
              <v:shape id="_x0000_s1026" o:spid="_x0000_s1026" o:spt="202" type="#_x0000_t202" style="position:absolute;left:0pt;margin-left:243pt;margin-top:7.8pt;height:124.8pt;width:225.75pt;z-index:251660288;mso-width-relative:page;mso-height-relative:page;" fillcolor="#FFFFFF" filled="t" stroked="t" coordsize="21600,21600" o:gfxdata="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aWF02gAAAAoBAAAPAAAAAAAAAAEA&#10;IAAAACIAAABkcnMvZG93bnJldi54bWxQSwECFAAUAAAACACHTuJAtG3N0w0CAAA3BAAADgAAAAAA&#10;AAABACAAAAApAQAAZHJzL2Uyb0RvYy54bWxQSwUGAAAAAAYABgBZAQAAqAUAAAAA&#10;">
                <v:fill on="t" focussize="0,0"/>
                <v:stroke color="#000000" joinstyle="miter"/>
                <v:imagedata o:title=""/>
                <o:lock v:ext="edit" aspectratio="f"/>
                <v:textbox>
                  <w:txbxContent>
                    <w:p w14:paraId="635C5E75">
                      <w:pPr>
                        <w:jc w:val="center"/>
                        <w:rPr>
                          <w:rFonts w:hint="eastAsia" w:ascii="黑体" w:eastAsia="黑体"/>
                          <w:sz w:val="32"/>
                          <w:szCs w:val="32"/>
                        </w:rPr>
                      </w:pPr>
                    </w:p>
                    <w:p w14:paraId="5404045F">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b w:val="0"/>
                          <w:bCs w:val="0"/>
                          <w:color w:val="auto"/>
                          <w:sz w:val="32"/>
                          <w:szCs w:val="32"/>
                          <w:highlight w:val="none"/>
                          <w:lang w:eastAsia="zh-CN"/>
                        </w:rPr>
                        <w:t>授权代表</w:t>
                      </w:r>
                      <w:r>
                        <w:rPr>
                          <w:rFonts w:hint="eastAsia" w:ascii="仿宋_GB2312" w:hAnsi="宋体" w:eastAsia="仿宋_GB2312"/>
                          <w:b w:val="0"/>
                          <w:bCs w:val="0"/>
                          <w:color w:val="auto"/>
                          <w:sz w:val="32"/>
                          <w:szCs w:val="32"/>
                          <w:highlight w:val="none"/>
                        </w:rPr>
                        <w:t>身份证复印</w:t>
                      </w:r>
                      <w:r>
                        <w:rPr>
                          <w:rFonts w:hint="eastAsia" w:ascii="仿宋_GB2312" w:hAnsi="宋体" w:eastAsia="仿宋_GB2312"/>
                          <w:sz w:val="32"/>
                          <w:szCs w:val="32"/>
                        </w:rPr>
                        <w:t>件</w:t>
                      </w:r>
                    </w:p>
                    <w:p w14:paraId="44F0818A">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v:textbox>
              </v:shape>
            </w:pict>
          </mc:Fallback>
        </mc:AlternateContent>
      </w:r>
    </w:p>
    <w:p w14:paraId="760A1B34">
      <w:pPr>
        <w:spacing w:line="480" w:lineRule="auto"/>
        <w:ind w:firstLine="420"/>
        <w:rPr>
          <w:rFonts w:hint="eastAsia" w:ascii="微软雅黑" w:hAnsi="微软雅黑" w:eastAsia="微软雅黑" w:cs="微软雅黑"/>
          <w:bCs/>
          <w:sz w:val="24"/>
          <w:szCs w:val="24"/>
        </w:rPr>
      </w:pPr>
    </w:p>
    <w:p w14:paraId="33CAD054">
      <w:pPr>
        <w:spacing w:line="480" w:lineRule="auto"/>
        <w:ind w:firstLine="420"/>
        <w:rPr>
          <w:rFonts w:hint="eastAsia" w:ascii="微软雅黑" w:hAnsi="微软雅黑" w:eastAsia="微软雅黑" w:cs="微软雅黑"/>
          <w:bCs/>
          <w:sz w:val="24"/>
          <w:szCs w:val="24"/>
        </w:rPr>
      </w:pPr>
    </w:p>
    <w:p w14:paraId="19FCEA87">
      <w:pPr>
        <w:adjustRightInd w:val="0"/>
        <w:snapToGrid w:val="0"/>
        <w:spacing w:line="360" w:lineRule="auto"/>
        <w:jc w:val="both"/>
        <w:rPr>
          <w:rFonts w:hint="eastAsia" w:ascii="微软雅黑" w:hAnsi="微软雅黑" w:eastAsia="微软雅黑" w:cs="微软雅黑"/>
          <w:sz w:val="24"/>
          <w:szCs w:val="24"/>
          <w:lang w:val="en-US" w:eastAsia="zh-CN"/>
        </w:rPr>
      </w:pPr>
      <w:bookmarkStart w:id="278" w:name="_Toc14440"/>
      <w:bookmarkStart w:id="279" w:name="_Toc29876"/>
      <w:bookmarkStart w:id="280" w:name="_Toc15159"/>
      <w:r>
        <w:rPr>
          <w:rFonts w:hint="eastAsia" w:ascii="微软雅黑" w:hAnsi="微软雅黑" w:eastAsia="微软雅黑" w:cs="微软雅黑"/>
          <w:b/>
          <w:bCs/>
          <w:kern w:val="2"/>
          <w:sz w:val="24"/>
          <w:szCs w:val="24"/>
          <w:lang w:val="zh-CN" w:eastAsia="zh-CN" w:bidi="ar-SA"/>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5：</w:t>
      </w:r>
    </w:p>
    <w:p w14:paraId="2F346201">
      <w:pPr>
        <w:adjustRightInd w:val="0"/>
        <w:snapToGrid w:val="0"/>
        <w:spacing w:line="360" w:lineRule="auto"/>
        <w:jc w:val="center"/>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rPr>
        <w:t>供应商关系关联</w:t>
      </w:r>
      <w:r>
        <w:rPr>
          <w:rFonts w:hint="eastAsia" w:ascii="微软雅黑" w:hAnsi="微软雅黑" w:eastAsia="微软雅黑" w:cs="微软雅黑"/>
          <w:b/>
          <w:bCs/>
          <w:sz w:val="24"/>
          <w:szCs w:val="24"/>
          <w:highlight w:val="none"/>
          <w:lang w:eastAsia="zh-CN"/>
        </w:rPr>
        <w:t>声明</w:t>
      </w:r>
    </w:p>
    <w:p w14:paraId="46F167B2">
      <w:pPr>
        <w:spacing w:line="540" w:lineRule="exact"/>
        <w:ind w:right="-197" w:rightChars="-94"/>
        <w:jc w:val="lef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u w:val="single"/>
        </w:rPr>
        <w:t>（采购人名称）    ：</w:t>
      </w:r>
    </w:p>
    <w:p w14:paraId="74A9819B">
      <w:pPr>
        <w:spacing w:line="540" w:lineRule="exact"/>
        <w:ind w:right="-197" w:rightChars="-94"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我</w:t>
      </w:r>
      <w:r>
        <w:rPr>
          <w:rFonts w:hint="eastAsia" w:ascii="微软雅黑" w:hAnsi="微软雅黑" w:eastAsia="微软雅黑" w:cs="微软雅黑"/>
          <w:sz w:val="24"/>
          <w:szCs w:val="24"/>
          <w:highlight w:val="none"/>
          <w:lang w:eastAsia="zh-CN"/>
        </w:rPr>
        <w:t>单位作为</w:t>
      </w:r>
      <w:r>
        <w:rPr>
          <w:rFonts w:hint="eastAsia" w:ascii="微软雅黑" w:hAnsi="微软雅黑" w:eastAsia="微软雅黑" w:cs="微软雅黑"/>
          <w:sz w:val="24"/>
          <w:szCs w:val="24"/>
          <w:highlight w:val="none"/>
          <w:u w:val="single"/>
          <w:lang w:val="en-US" w:eastAsia="zh-CN"/>
        </w:rPr>
        <w:t xml:space="preserve">   （项目名称）    </w:t>
      </w:r>
      <w:r>
        <w:rPr>
          <w:rFonts w:hint="eastAsia" w:ascii="微软雅黑" w:hAnsi="微软雅黑" w:eastAsia="微软雅黑" w:cs="微软雅黑"/>
          <w:sz w:val="24"/>
          <w:szCs w:val="24"/>
          <w:highlight w:val="none"/>
          <w:lang w:val="en-US" w:eastAsia="zh-CN"/>
        </w:rPr>
        <w:t>的供应商，在此郑重声明</w:t>
      </w:r>
      <w:r>
        <w:rPr>
          <w:rFonts w:hint="eastAsia" w:ascii="微软雅黑" w:hAnsi="微软雅黑" w:eastAsia="微软雅黑" w:cs="微软雅黑"/>
          <w:sz w:val="24"/>
          <w:szCs w:val="24"/>
          <w:highlight w:val="none"/>
          <w:lang w:eastAsia="zh-CN"/>
        </w:rPr>
        <w:t>：</w:t>
      </w:r>
    </w:p>
    <w:p w14:paraId="7F994664">
      <w:pPr>
        <w:spacing w:line="540" w:lineRule="exact"/>
        <w:ind w:right="-197" w:rightChars="-94"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一、在本次采购活动中</w:t>
      </w:r>
      <w:r>
        <w:rPr>
          <w:rFonts w:hint="eastAsia" w:ascii="微软雅黑" w:hAnsi="微软雅黑" w:eastAsia="微软雅黑" w:cs="微软雅黑"/>
          <w:sz w:val="24"/>
          <w:szCs w:val="24"/>
          <w:highlight w:val="none"/>
          <w:u w:val="single"/>
          <w:lang w:eastAsia="zh-CN"/>
        </w:rPr>
        <w:t xml:space="preserve">   （填“存在”或“不存在”）</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eastAsia="zh-CN"/>
        </w:rPr>
        <w:t>与参加本项目其它供应商负责人为同一人，或有控股、管理等关联关系。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47"/>
      </w:tblGrid>
      <w:tr w14:paraId="36F8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76" w:type="dxa"/>
            <w:gridSpan w:val="2"/>
            <w:shd w:val="clear" w:color="auto" w:fill="EEECE1"/>
            <w:noWrap w:val="0"/>
            <w:vAlign w:val="center"/>
          </w:tcPr>
          <w:p w14:paraId="31D267D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lang w:val="en-US" w:eastAsia="zh-CN" w:bidi="ar"/>
              </w:rPr>
              <w:t>直接控股、管理关系证明</w:t>
            </w:r>
          </w:p>
        </w:tc>
      </w:tr>
      <w:tr w14:paraId="7D22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453" w:type="dxa"/>
            <w:noWrap w:val="0"/>
            <w:vAlign w:val="center"/>
          </w:tcPr>
          <w:p w14:paraId="3D7C6D6D">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控股关系</w:t>
            </w:r>
          </w:p>
        </w:tc>
        <w:tc>
          <w:tcPr>
            <w:tcW w:w="7923" w:type="dxa"/>
            <w:noWrap w:val="0"/>
            <w:vAlign w:val="center"/>
          </w:tcPr>
          <w:p w14:paraId="480F9F3F">
            <w:pPr>
              <w:keepNext w:val="0"/>
              <w:keepLines w:val="0"/>
              <w:widowControl/>
              <w:suppressLineNumbers w:val="0"/>
              <w:spacing w:before="0" w:beforeAutospacing="0" w:after="0" w:afterAutospacing="0" w:line="360" w:lineRule="auto"/>
              <w:ind w:left="0" w:right="0"/>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我单位管理的具有独立法人的下属单位：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w:t>
            </w:r>
            <w:r>
              <w:rPr>
                <w:rFonts w:hint="eastAsia" w:ascii="微软雅黑" w:hAnsi="微软雅黑" w:eastAsia="微软雅黑" w:cs="微软雅黑"/>
                <w:color w:val="000000"/>
                <w:kern w:val="0"/>
                <w:sz w:val="24"/>
                <w:szCs w:val="24"/>
                <w:highlight w:val="none"/>
                <w:vertAlign w:val="baseline"/>
                <w:lang w:val="en-US" w:eastAsia="zh-CN" w:bidi="ar"/>
              </w:rPr>
              <w:t>。</w:t>
            </w:r>
          </w:p>
          <w:p w14:paraId="5E436A66">
            <w:pPr>
              <w:keepNext w:val="0"/>
              <w:keepLines w:val="0"/>
              <w:widowControl/>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我单位的上级管理单位：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w:t>
            </w:r>
            <w:r>
              <w:rPr>
                <w:rFonts w:hint="eastAsia" w:ascii="微软雅黑" w:hAnsi="微软雅黑" w:eastAsia="微软雅黑" w:cs="微软雅黑"/>
                <w:color w:val="000000"/>
                <w:kern w:val="0"/>
                <w:sz w:val="24"/>
                <w:szCs w:val="24"/>
                <w:highlight w:val="none"/>
                <w:vertAlign w:val="baseline"/>
                <w:lang w:val="en-US" w:eastAsia="zh-CN" w:bidi="ar"/>
              </w:rPr>
              <w:t>。</w:t>
            </w:r>
          </w:p>
        </w:tc>
      </w:tr>
      <w:tr w14:paraId="56FC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53" w:type="dxa"/>
            <w:noWrap w:val="0"/>
            <w:vAlign w:val="center"/>
          </w:tcPr>
          <w:p w14:paraId="4F33F549">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管理关系</w:t>
            </w:r>
          </w:p>
        </w:tc>
        <w:tc>
          <w:tcPr>
            <w:tcW w:w="7923" w:type="dxa"/>
            <w:noWrap w:val="0"/>
            <w:vAlign w:val="center"/>
          </w:tcPr>
          <w:p w14:paraId="09E01498">
            <w:pPr>
              <w:keepNext w:val="0"/>
              <w:keepLines w:val="0"/>
              <w:widowControl/>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我单位控股的单位：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 </w:t>
            </w:r>
            <w:r>
              <w:rPr>
                <w:rFonts w:hint="eastAsia" w:ascii="微软雅黑" w:hAnsi="微软雅黑" w:eastAsia="微软雅黑" w:cs="微软雅黑"/>
                <w:color w:val="000000"/>
                <w:kern w:val="0"/>
                <w:sz w:val="24"/>
                <w:szCs w:val="24"/>
                <w:highlight w:val="none"/>
                <w:vertAlign w:val="baseline"/>
                <w:lang w:val="en-US" w:eastAsia="zh-CN" w:bidi="ar"/>
              </w:rPr>
              <w:t>。</w:t>
            </w:r>
          </w:p>
          <w:p w14:paraId="593BDB55">
            <w:pPr>
              <w:keepNext w:val="0"/>
              <w:keepLines w:val="0"/>
              <w:widowControl/>
              <w:suppressLineNumbers w:val="0"/>
              <w:spacing w:before="0" w:beforeAutospacing="0" w:after="0" w:afterAutospacing="0" w:line="360" w:lineRule="auto"/>
              <w:ind w:left="0" w:right="0"/>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我单位被</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（有填控股单位全称，没有填“/”）  </w:t>
            </w:r>
            <w:r>
              <w:rPr>
                <w:rFonts w:hint="eastAsia" w:ascii="微软雅黑" w:hAnsi="微软雅黑" w:eastAsia="微软雅黑" w:cs="微软雅黑"/>
                <w:color w:val="000000"/>
                <w:kern w:val="0"/>
                <w:sz w:val="24"/>
                <w:szCs w:val="24"/>
                <w:highlight w:val="none"/>
                <w:vertAlign w:val="baseline"/>
                <w:lang w:val="en-US" w:eastAsia="zh-CN" w:bidi="ar"/>
              </w:rPr>
              <w:t>单位控股。</w:t>
            </w:r>
          </w:p>
        </w:tc>
      </w:tr>
    </w:tbl>
    <w:p w14:paraId="227BDAC2">
      <w:pPr>
        <w:spacing w:line="540" w:lineRule="exact"/>
        <w:ind w:right="-197" w:rightChars="-94"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本单位对上述声明的真实性负责</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如有</w:t>
      </w:r>
      <w:r>
        <w:rPr>
          <w:rFonts w:hint="eastAsia" w:ascii="微软雅黑" w:hAnsi="微软雅黑" w:eastAsia="微软雅黑" w:cs="微软雅黑"/>
          <w:sz w:val="24"/>
          <w:szCs w:val="24"/>
          <w:highlight w:val="none"/>
          <w:lang w:eastAsia="zh-CN"/>
        </w:rPr>
        <w:t>虚假</w:t>
      </w:r>
      <w:r>
        <w:rPr>
          <w:rFonts w:hint="eastAsia" w:ascii="微软雅黑" w:hAnsi="微软雅黑" w:eastAsia="微软雅黑" w:cs="微软雅黑"/>
          <w:sz w:val="24"/>
          <w:szCs w:val="24"/>
          <w:highlight w:val="none"/>
        </w:rPr>
        <w:t>，我方将无条件地退出本项目的采购活动，并遵照《政府采购法》有关"提供虚假材料的规定"接受处罚。</w:t>
      </w:r>
    </w:p>
    <w:p w14:paraId="1AC77925">
      <w:pPr>
        <w:spacing w:line="540" w:lineRule="exact"/>
        <w:ind w:right="-197" w:rightChars="-94"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特此声明。</w:t>
      </w:r>
    </w:p>
    <w:p w14:paraId="6169570A">
      <w:pPr>
        <w:spacing w:line="240" w:lineRule="auto"/>
        <w:ind w:firstLine="1920" w:firstLineChars="800"/>
        <w:rPr>
          <w:rFonts w:hint="eastAsia" w:ascii="微软雅黑" w:hAnsi="微软雅黑" w:eastAsia="微软雅黑" w:cs="微软雅黑"/>
          <w:sz w:val="24"/>
          <w:szCs w:val="24"/>
          <w:highlight w:val="none"/>
        </w:rPr>
      </w:pPr>
    </w:p>
    <w:p w14:paraId="1803EB03">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301F7FF8">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026997D9">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2AF4F8CE">
      <w:pPr>
        <w:keepNext w:val="0"/>
        <w:keepLines w:val="0"/>
        <w:widowControl/>
        <w:suppressLineNumbers w:val="0"/>
        <w:jc w:val="both"/>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sz w:val="24"/>
          <w:szCs w:val="24"/>
          <w:u w:val="single"/>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6：</w:t>
      </w:r>
    </w:p>
    <w:p w14:paraId="1B171CE5">
      <w:pPr>
        <w:adjustRightInd w:val="0"/>
        <w:snapToGrid w:val="0"/>
        <w:spacing w:line="36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lang w:val="en-US" w:eastAsia="zh-CN"/>
        </w:rPr>
        <w:t>非联合体不分包投标声明</w:t>
      </w:r>
    </w:p>
    <w:p w14:paraId="49505C4A">
      <w:pPr>
        <w:spacing w:line="540" w:lineRule="exact"/>
        <w:ind w:right="-197" w:rightChars="-94"/>
        <w:jc w:val="lef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u w:val="single"/>
        </w:rPr>
        <w:t>（采购人名称）    ：</w:t>
      </w:r>
    </w:p>
    <w:p w14:paraId="3E00206E">
      <w:pPr>
        <w:keepNext w:val="0"/>
        <w:keepLines w:val="0"/>
        <w:widowControl/>
        <w:suppressLineNumbers w:val="0"/>
        <w:ind w:firstLine="480" w:firstLineChars="20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我</w:t>
      </w:r>
      <w:r>
        <w:rPr>
          <w:rFonts w:hint="eastAsia" w:ascii="微软雅黑" w:hAnsi="微软雅黑" w:eastAsia="微软雅黑" w:cs="微软雅黑"/>
          <w:sz w:val="24"/>
          <w:szCs w:val="24"/>
          <w:highlight w:val="none"/>
          <w:lang w:eastAsia="zh-CN"/>
        </w:rPr>
        <w:t>单位作为</w:t>
      </w:r>
      <w:r>
        <w:rPr>
          <w:rFonts w:hint="eastAsia" w:ascii="微软雅黑" w:hAnsi="微软雅黑" w:eastAsia="微软雅黑" w:cs="微软雅黑"/>
          <w:sz w:val="24"/>
          <w:szCs w:val="24"/>
          <w:highlight w:val="none"/>
          <w:u w:val="single"/>
          <w:lang w:val="en-US" w:eastAsia="zh-CN"/>
        </w:rPr>
        <w:t xml:space="preserve">   （项目名称）    </w:t>
      </w:r>
      <w:r>
        <w:rPr>
          <w:rFonts w:hint="eastAsia" w:ascii="微软雅黑" w:hAnsi="微软雅黑" w:eastAsia="微软雅黑" w:cs="微软雅黑"/>
          <w:sz w:val="24"/>
          <w:szCs w:val="24"/>
          <w:highlight w:val="none"/>
          <w:lang w:val="en-US" w:eastAsia="zh-CN"/>
        </w:rPr>
        <w:t xml:space="preserve">的供应商，在此郑重声明本项目为非联合体投标，本项目实施过程由本单位独立承担。 </w:t>
      </w:r>
    </w:p>
    <w:p w14:paraId="5F3A169C">
      <w:pPr>
        <w:keepNext w:val="0"/>
        <w:keepLines w:val="0"/>
        <w:widowControl/>
        <w:suppressLineNumbers w:val="0"/>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 xml:space="preserve">本单位对上述声明的真实性负责。如有虚假，将依法承担相应责任。 </w:t>
      </w:r>
    </w:p>
    <w:p w14:paraId="6A90882C">
      <w:pPr>
        <w:spacing w:line="360" w:lineRule="auto"/>
        <w:ind w:firstLine="2160" w:firstLineChars="900"/>
        <w:rPr>
          <w:rFonts w:hint="eastAsia" w:ascii="微软雅黑" w:hAnsi="微软雅黑" w:eastAsia="微软雅黑" w:cs="微软雅黑"/>
          <w:sz w:val="24"/>
          <w:szCs w:val="24"/>
          <w:highlight w:val="none"/>
        </w:rPr>
      </w:pPr>
    </w:p>
    <w:p w14:paraId="4D40222B">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48D6167A">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rPr>
        <w:t xml:space="preserve">           </w:t>
      </w:r>
    </w:p>
    <w:p w14:paraId="717263D7">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bookmarkEnd w:id="271"/>
    <w:p w14:paraId="69980829">
      <w:pPr>
        <w:autoSpaceDE w:val="0"/>
        <w:autoSpaceDN w:val="0"/>
        <w:adjustRightInd w:val="0"/>
        <w:spacing w:line="360" w:lineRule="auto"/>
        <w:ind w:firstLine="480" w:firstLineChars="200"/>
        <w:jc w:val="center"/>
        <w:outlineLvl w:val="9"/>
        <w:rPr>
          <w:rFonts w:hint="eastAsia" w:ascii="微软雅黑" w:hAnsi="微软雅黑" w:eastAsia="微软雅黑" w:cs="微软雅黑"/>
          <w:b/>
          <w:bCs/>
          <w:kern w:val="2"/>
          <w:sz w:val="24"/>
          <w:szCs w:val="24"/>
          <w:lang w:val="zh-CN" w:eastAsia="zh-CN" w:bidi="ar-SA"/>
        </w:rPr>
      </w:pPr>
      <w:r>
        <w:rPr>
          <w:rFonts w:hint="eastAsia" w:ascii="微软雅黑" w:hAnsi="微软雅黑" w:eastAsia="微软雅黑" w:cs="微软雅黑"/>
          <w:b/>
          <w:bCs/>
          <w:kern w:val="2"/>
          <w:sz w:val="24"/>
          <w:szCs w:val="24"/>
          <w:lang w:val="zh-CN" w:eastAsia="zh-CN" w:bidi="ar-SA"/>
        </w:rPr>
        <w:br w:type="page"/>
      </w:r>
      <w:r>
        <w:rPr>
          <w:rFonts w:hint="eastAsia" w:ascii="黑体" w:hAnsi="黑体" w:eastAsia="黑体" w:cs="黑体"/>
          <w:b/>
          <w:bCs/>
          <w:kern w:val="2"/>
          <w:sz w:val="32"/>
          <w:szCs w:val="32"/>
          <w:lang w:val="zh-CN" w:eastAsia="zh-CN" w:bidi="ar-SA"/>
        </w:rPr>
        <w:t>五、合同条款偏离表</w:t>
      </w:r>
      <w:bookmarkEnd w:id="278"/>
      <w:bookmarkEnd w:id="279"/>
      <w:bookmarkEnd w:id="280"/>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45"/>
        <w:gridCol w:w="3140"/>
        <w:gridCol w:w="2519"/>
      </w:tblGrid>
      <w:tr w14:paraId="4186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82" w:type="dxa"/>
            <w:noWrap w:val="0"/>
            <w:vAlign w:val="center"/>
          </w:tcPr>
          <w:p w14:paraId="7EA847CB">
            <w:pPr>
              <w:keepNext w:val="0"/>
              <w:keepLines w:val="0"/>
              <w:suppressLineNumbers w:val="0"/>
              <w:adjustRightInd w:val="0"/>
              <w:snapToGrid w:val="0"/>
              <w:spacing w:before="0" w:beforeAutospacing="0" w:after="0" w:afterAutospacing="0"/>
              <w:ind w:left="0"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2745" w:type="dxa"/>
            <w:noWrap w:val="0"/>
            <w:vAlign w:val="center"/>
          </w:tcPr>
          <w:p w14:paraId="6DE87FC3">
            <w:pPr>
              <w:keepNext w:val="0"/>
              <w:keepLines w:val="0"/>
              <w:suppressLineNumbers w:val="0"/>
              <w:adjustRightInd w:val="0"/>
              <w:snapToGrid w:val="0"/>
              <w:spacing w:before="0" w:beforeAutospacing="0" w:after="0" w:afterAutospacing="0"/>
              <w:ind w:left="0"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磋商文件</w:t>
            </w:r>
          </w:p>
          <w:p w14:paraId="1B803F13">
            <w:pPr>
              <w:keepNext w:val="0"/>
              <w:keepLines w:val="0"/>
              <w:suppressLineNumbers w:val="0"/>
              <w:adjustRightInd w:val="0"/>
              <w:snapToGrid w:val="0"/>
              <w:spacing w:before="0" w:beforeAutospacing="0" w:after="0" w:afterAutospacing="0"/>
              <w:ind w:left="0"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合同条款要求</w:t>
            </w:r>
          </w:p>
        </w:tc>
        <w:tc>
          <w:tcPr>
            <w:tcW w:w="3140" w:type="dxa"/>
            <w:noWrap w:val="0"/>
            <w:vAlign w:val="center"/>
          </w:tcPr>
          <w:p w14:paraId="4C663010">
            <w:pPr>
              <w:keepNext w:val="0"/>
              <w:keepLines w:val="0"/>
              <w:suppressLineNumbers w:val="0"/>
              <w:adjustRightInd w:val="0"/>
              <w:snapToGrid w:val="0"/>
              <w:spacing w:before="0" w:beforeAutospacing="0" w:after="0" w:afterAutospacing="0"/>
              <w:ind w:left="0"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响应文件</w:t>
            </w:r>
          </w:p>
          <w:p w14:paraId="30437655">
            <w:pPr>
              <w:keepNext w:val="0"/>
              <w:keepLines w:val="0"/>
              <w:suppressLineNumbers w:val="0"/>
              <w:adjustRightInd w:val="0"/>
              <w:snapToGrid w:val="0"/>
              <w:spacing w:before="0" w:beforeAutospacing="0" w:after="0" w:afterAutospacing="0"/>
              <w:ind w:left="0"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合同条款响应</w:t>
            </w:r>
          </w:p>
        </w:tc>
        <w:tc>
          <w:tcPr>
            <w:tcW w:w="2519" w:type="dxa"/>
            <w:noWrap w:val="0"/>
            <w:vAlign w:val="center"/>
          </w:tcPr>
          <w:p w14:paraId="6FE235EB">
            <w:pPr>
              <w:keepNext w:val="0"/>
              <w:keepLines w:val="0"/>
              <w:suppressLineNumbers w:val="0"/>
              <w:adjustRightInd w:val="0"/>
              <w:snapToGrid w:val="0"/>
              <w:spacing w:before="0" w:beforeAutospacing="0" w:after="0" w:afterAutospacing="0"/>
              <w:ind w:left="0"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偏离</w:t>
            </w:r>
          </w:p>
          <w:p w14:paraId="438E0AD4">
            <w:pPr>
              <w:keepNext w:val="0"/>
              <w:keepLines w:val="0"/>
              <w:suppressLineNumbers w:val="0"/>
              <w:adjustRightInd w:val="0"/>
              <w:snapToGrid w:val="0"/>
              <w:spacing w:before="0" w:beforeAutospacing="0" w:after="0" w:afterAutospacing="0"/>
              <w:ind w:left="0"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及其影响</w:t>
            </w:r>
          </w:p>
        </w:tc>
      </w:tr>
      <w:tr w14:paraId="44AC0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2497CA15">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745" w:type="dxa"/>
            <w:noWrap w:val="0"/>
            <w:vAlign w:val="top"/>
          </w:tcPr>
          <w:p w14:paraId="79F9A7B3">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3140" w:type="dxa"/>
            <w:noWrap w:val="0"/>
            <w:vAlign w:val="top"/>
          </w:tcPr>
          <w:p w14:paraId="2AB95810">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519" w:type="dxa"/>
            <w:noWrap w:val="0"/>
            <w:vAlign w:val="top"/>
          </w:tcPr>
          <w:p w14:paraId="350FC527">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r>
      <w:tr w14:paraId="186B1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512F14CA">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745" w:type="dxa"/>
            <w:noWrap w:val="0"/>
            <w:vAlign w:val="top"/>
          </w:tcPr>
          <w:p w14:paraId="0F649790">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3140" w:type="dxa"/>
            <w:noWrap w:val="0"/>
            <w:vAlign w:val="top"/>
          </w:tcPr>
          <w:p w14:paraId="49CB50A2">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519" w:type="dxa"/>
            <w:noWrap w:val="0"/>
            <w:vAlign w:val="top"/>
          </w:tcPr>
          <w:p w14:paraId="13AED703">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r>
      <w:tr w14:paraId="19D20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2BB0807B">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745" w:type="dxa"/>
            <w:noWrap w:val="0"/>
            <w:vAlign w:val="top"/>
          </w:tcPr>
          <w:p w14:paraId="33FE814F">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3140" w:type="dxa"/>
            <w:noWrap w:val="0"/>
            <w:vAlign w:val="top"/>
          </w:tcPr>
          <w:p w14:paraId="77D3C572">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519" w:type="dxa"/>
            <w:noWrap w:val="0"/>
            <w:vAlign w:val="top"/>
          </w:tcPr>
          <w:p w14:paraId="58313224">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r>
      <w:tr w14:paraId="26718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3A1AF806">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745" w:type="dxa"/>
            <w:noWrap w:val="0"/>
            <w:vAlign w:val="top"/>
          </w:tcPr>
          <w:p w14:paraId="4C494076">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3140" w:type="dxa"/>
            <w:noWrap w:val="0"/>
            <w:vAlign w:val="top"/>
          </w:tcPr>
          <w:p w14:paraId="13FC5F36">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519" w:type="dxa"/>
            <w:noWrap w:val="0"/>
            <w:vAlign w:val="top"/>
          </w:tcPr>
          <w:p w14:paraId="27CA9652">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r>
      <w:tr w14:paraId="0ADFE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19922004">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745" w:type="dxa"/>
            <w:noWrap w:val="0"/>
            <w:vAlign w:val="top"/>
          </w:tcPr>
          <w:p w14:paraId="24D05AB0">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3140" w:type="dxa"/>
            <w:noWrap w:val="0"/>
            <w:vAlign w:val="top"/>
          </w:tcPr>
          <w:p w14:paraId="2FD8FD3E">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c>
          <w:tcPr>
            <w:tcW w:w="2519" w:type="dxa"/>
            <w:noWrap w:val="0"/>
            <w:vAlign w:val="top"/>
          </w:tcPr>
          <w:p w14:paraId="5CF71B8D">
            <w:pPr>
              <w:keepNext w:val="0"/>
              <w:keepLines w:val="0"/>
              <w:suppressLineNumbers w:val="0"/>
              <w:adjustRightInd w:val="0"/>
              <w:snapToGrid w:val="0"/>
              <w:spacing w:before="0" w:beforeAutospacing="0" w:after="0" w:afterAutospacing="0" w:line="360" w:lineRule="auto"/>
              <w:ind w:left="0" w:right="24"/>
              <w:rPr>
                <w:rFonts w:hint="eastAsia" w:ascii="微软雅黑" w:hAnsi="微软雅黑" w:eastAsia="微软雅黑" w:cs="微软雅黑"/>
                <w:bCs/>
                <w:sz w:val="24"/>
                <w:szCs w:val="24"/>
              </w:rPr>
            </w:pPr>
          </w:p>
        </w:tc>
      </w:tr>
    </w:tbl>
    <w:p w14:paraId="121A320C">
      <w:pPr>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w:t>
      </w:r>
    </w:p>
    <w:p w14:paraId="56F10D73">
      <w:pPr>
        <w:numPr>
          <w:ins w:id="1" w:author="admin" w:date="2018-10-15T16:10:00Z"/>
        </w:numPr>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1、本表只填写响应文件中与磋商文件有偏离（包括正偏离和负偏离）的内容，响应文件中合同条款响应与磋商文件要求完全一致的，不用在此表中列出，但必须提交空白表（需签字盖章）。</w:t>
      </w:r>
    </w:p>
    <w:p w14:paraId="3186FA1A">
      <w:pPr>
        <w:tabs>
          <w:tab w:val="left" w:pos="7665"/>
        </w:tabs>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2、供应商必须据实填写，不得虚假响应，否则将取消其磋商或成交资格，并按有关规定进处罚。</w:t>
      </w:r>
    </w:p>
    <w:p w14:paraId="7264FF9D">
      <w:pPr>
        <w:spacing w:line="360" w:lineRule="auto"/>
        <w:ind w:firstLine="1920" w:firstLineChars="800"/>
        <w:rPr>
          <w:rFonts w:hint="eastAsia" w:ascii="微软雅黑" w:hAnsi="微软雅黑" w:eastAsia="微软雅黑" w:cs="微软雅黑"/>
          <w:sz w:val="24"/>
          <w:szCs w:val="24"/>
        </w:rPr>
      </w:pPr>
    </w:p>
    <w:p w14:paraId="54075A31">
      <w:pPr>
        <w:spacing w:line="360" w:lineRule="auto"/>
        <w:ind w:firstLine="1920" w:firstLineChars="800"/>
        <w:rPr>
          <w:rFonts w:hint="eastAsia" w:ascii="微软雅黑" w:hAnsi="微软雅黑" w:eastAsia="微软雅黑" w:cs="微软雅黑"/>
          <w:sz w:val="24"/>
          <w:szCs w:val="24"/>
        </w:rPr>
      </w:pPr>
    </w:p>
    <w:p w14:paraId="5BB935C5">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w:t>
      </w:r>
      <w:r>
        <w:rPr>
          <w:rFonts w:hint="eastAsia" w:ascii="微软雅黑" w:hAnsi="微软雅黑" w:eastAsia="微软雅黑" w:cs="微软雅黑"/>
          <w:sz w:val="24"/>
          <w:szCs w:val="24"/>
          <w:highlight w:val="none"/>
        </w:rPr>
        <w:t>（盖章）：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8D91BED">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F15F96E">
      <w:pPr>
        <w:pStyle w:val="2"/>
        <w:ind w:firstLine="2160" w:firstLineChars="900"/>
        <w:jc w:val="both"/>
        <w:rPr>
          <w:rFonts w:hint="eastAsia" w:ascii="仿宋_GB2312" w:hAnsi="宋体" w:eastAsia="仿宋_GB2312"/>
          <w:sz w:val="28"/>
          <w:szCs w:val="28"/>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仿宋_GB2312" w:hAnsi="宋体" w:eastAsia="仿宋_GB2312"/>
          <w:sz w:val="28"/>
          <w:szCs w:val="28"/>
          <w:u w:val="single"/>
        </w:rPr>
        <w:t xml:space="preserve">   </w:t>
      </w:r>
    </w:p>
    <w:p w14:paraId="0D372DB5">
      <w:pPr>
        <w:rPr>
          <w:rFonts w:hint="eastAsia" w:ascii="仿宋_GB2312" w:hAnsi="宋体" w:eastAsia="仿宋_GB2312"/>
          <w:sz w:val="28"/>
          <w:szCs w:val="28"/>
          <w:u w:val="single"/>
        </w:rPr>
      </w:pPr>
    </w:p>
    <w:p w14:paraId="5735B33C">
      <w:pPr>
        <w:pStyle w:val="2"/>
        <w:rPr>
          <w:rFonts w:hint="eastAsia" w:ascii="仿宋_GB2312" w:hAnsi="宋体" w:eastAsia="仿宋_GB2312"/>
          <w:sz w:val="28"/>
          <w:szCs w:val="28"/>
          <w:u w:val="single"/>
        </w:rPr>
      </w:pPr>
    </w:p>
    <w:p w14:paraId="4282D19E">
      <w:pPr>
        <w:rPr>
          <w:rFonts w:hint="eastAsia" w:ascii="仿宋_GB2312" w:hAnsi="宋体" w:eastAsia="仿宋_GB2312"/>
          <w:sz w:val="28"/>
          <w:szCs w:val="28"/>
          <w:u w:val="single"/>
        </w:rPr>
      </w:pPr>
    </w:p>
    <w:p w14:paraId="36BCD8D6">
      <w:pPr>
        <w:pStyle w:val="2"/>
        <w:rPr>
          <w:rFonts w:hint="eastAsia" w:ascii="仿宋_GB2312" w:hAnsi="宋体" w:eastAsia="仿宋_GB2312"/>
          <w:sz w:val="28"/>
          <w:szCs w:val="28"/>
          <w:u w:val="single"/>
        </w:rPr>
      </w:pPr>
    </w:p>
    <w:p w14:paraId="05CEE3E4">
      <w:pPr>
        <w:pStyle w:val="41"/>
        <w:ind w:left="0" w:leftChars="0" w:firstLine="0" w:firstLineChars="0"/>
        <w:jc w:val="center"/>
        <w:rPr>
          <w:rFonts w:hint="eastAsia"/>
          <w:b/>
          <w:bCs/>
          <w:sz w:val="44"/>
          <w:szCs w:val="44"/>
        </w:rPr>
      </w:pPr>
      <w:bookmarkStart w:id="281" w:name="_Toc511298215"/>
      <w:bookmarkStart w:id="282" w:name="_Toc2876"/>
      <w:bookmarkStart w:id="283" w:name="_Toc495908045"/>
      <w:bookmarkStart w:id="284" w:name="_Toc495681249"/>
      <w:bookmarkStart w:id="285" w:name="_Toc495909094"/>
      <w:bookmarkStart w:id="286" w:name="_Toc495681403"/>
      <w:bookmarkStart w:id="287" w:name="_Toc495681530"/>
      <w:bookmarkStart w:id="288" w:name="_Toc23840"/>
      <w:r>
        <w:rPr>
          <w:rFonts w:hint="eastAsia" w:ascii="黑体" w:hAnsi="黑体" w:eastAsia="黑体" w:cs="黑体"/>
          <w:b/>
          <w:bCs/>
          <w:kern w:val="2"/>
          <w:sz w:val="32"/>
          <w:szCs w:val="32"/>
          <w:lang w:val="en-US" w:eastAsia="zh-CN" w:bidi="ar-SA"/>
        </w:rPr>
        <w:t>六</w:t>
      </w:r>
      <w:r>
        <w:rPr>
          <w:rFonts w:hint="eastAsia" w:ascii="黑体" w:hAnsi="黑体" w:eastAsia="黑体" w:cs="黑体"/>
          <w:b/>
          <w:bCs/>
          <w:kern w:val="2"/>
          <w:sz w:val="32"/>
          <w:szCs w:val="32"/>
          <w:lang w:val="zh-CN" w:eastAsia="zh-CN" w:bidi="ar-SA"/>
        </w:rPr>
        <w:t>、响应方案说明</w:t>
      </w:r>
      <w:bookmarkEnd w:id="281"/>
      <w:bookmarkEnd w:id="282"/>
    </w:p>
    <w:p w14:paraId="14719115">
      <w:pPr>
        <w:pStyle w:val="41"/>
        <w:ind w:firstLine="640"/>
        <w:rPr>
          <w:rFonts w:eastAsia="仿宋_GB2312"/>
          <w:sz w:val="32"/>
          <w:szCs w:val="32"/>
        </w:rPr>
      </w:pPr>
    </w:p>
    <w:p w14:paraId="229B6BEB">
      <w:pPr>
        <w:pStyle w:val="41"/>
        <w:ind w:firstLine="640"/>
        <w:rPr>
          <w:rFonts w:hint="eastAsia" w:ascii="微软雅黑" w:hAnsi="微软雅黑" w:eastAsia="微软雅黑" w:cs="微软雅黑"/>
          <w:sz w:val="24"/>
          <w:szCs w:val="24"/>
        </w:rPr>
      </w:pPr>
      <w:r>
        <w:rPr>
          <w:rFonts w:hint="eastAsia" w:ascii="微软雅黑" w:hAnsi="微软雅黑" w:eastAsia="微软雅黑" w:cs="微软雅黑"/>
          <w:sz w:val="24"/>
          <w:szCs w:val="24"/>
        </w:rPr>
        <w:t>格式自定，参照磋商文件第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部分《评审方法和程序》各条款的要求，结合第</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部分《采购内容及技术要求》编制响应方案。</w:t>
      </w:r>
    </w:p>
    <w:bookmarkEnd w:id="283"/>
    <w:bookmarkEnd w:id="284"/>
    <w:bookmarkEnd w:id="285"/>
    <w:bookmarkEnd w:id="286"/>
    <w:bookmarkEnd w:id="287"/>
    <w:p w14:paraId="08684D31">
      <w:pPr>
        <w:adjustRightInd w:val="0"/>
        <w:snapToGrid w:val="0"/>
        <w:spacing w:line="360" w:lineRule="auto"/>
        <w:jc w:val="center"/>
        <w:rPr>
          <w:rFonts w:hint="eastAsia" w:ascii="宋体" w:hAnsi="宋体"/>
          <w:b/>
          <w:bCs/>
          <w:sz w:val="44"/>
          <w:szCs w:val="44"/>
        </w:rPr>
      </w:pPr>
      <w:r>
        <w:rPr>
          <w:rFonts w:hint="eastAsia"/>
          <w:b/>
          <w:bCs/>
          <w:sz w:val="28"/>
          <w:szCs w:val="28"/>
        </w:rPr>
        <w:br w:type="page"/>
      </w:r>
      <w:r>
        <w:rPr>
          <w:rFonts w:hint="eastAsia" w:ascii="黑体" w:hAnsi="黑体" w:eastAsia="黑体" w:cs="黑体"/>
          <w:b/>
          <w:bCs/>
          <w:kern w:val="2"/>
          <w:sz w:val="32"/>
          <w:szCs w:val="32"/>
          <w:lang w:val="en-US" w:eastAsia="zh-CN" w:bidi="ar-SA"/>
        </w:rPr>
        <w:t>七</w:t>
      </w:r>
      <w:r>
        <w:rPr>
          <w:rFonts w:hint="eastAsia" w:ascii="黑体" w:hAnsi="黑体" w:eastAsia="黑体" w:cs="黑体"/>
          <w:b/>
          <w:bCs/>
          <w:kern w:val="2"/>
          <w:sz w:val="32"/>
          <w:szCs w:val="32"/>
          <w:lang w:val="zh-CN" w:eastAsia="zh-CN" w:bidi="ar-SA"/>
        </w:rPr>
        <w:t>、业绩的有关证明材料</w:t>
      </w:r>
      <w:bookmarkEnd w:id="288"/>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885"/>
        <w:gridCol w:w="2933"/>
        <w:gridCol w:w="1710"/>
        <w:gridCol w:w="1710"/>
      </w:tblGrid>
      <w:tr w14:paraId="3E5C1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48" w:type="dxa"/>
            <w:noWrap w:val="0"/>
            <w:vAlign w:val="center"/>
          </w:tcPr>
          <w:p w14:paraId="3349AE4D">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885" w:type="dxa"/>
            <w:noWrap w:val="0"/>
            <w:vAlign w:val="center"/>
          </w:tcPr>
          <w:p w14:paraId="5048B154">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合同</w:t>
            </w:r>
          </w:p>
          <w:p w14:paraId="6E1392EB">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签订时间</w:t>
            </w:r>
          </w:p>
        </w:tc>
        <w:tc>
          <w:tcPr>
            <w:tcW w:w="2933" w:type="dxa"/>
            <w:noWrap w:val="0"/>
            <w:vAlign w:val="center"/>
          </w:tcPr>
          <w:p w14:paraId="1C1AEE0A">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用户名称</w:t>
            </w:r>
          </w:p>
        </w:tc>
        <w:tc>
          <w:tcPr>
            <w:tcW w:w="1710" w:type="dxa"/>
            <w:noWrap w:val="0"/>
            <w:vAlign w:val="center"/>
          </w:tcPr>
          <w:p w14:paraId="0EF18A73">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项目名称</w:t>
            </w:r>
          </w:p>
        </w:tc>
        <w:tc>
          <w:tcPr>
            <w:tcW w:w="1710" w:type="dxa"/>
            <w:noWrap w:val="0"/>
            <w:vAlign w:val="center"/>
          </w:tcPr>
          <w:p w14:paraId="77D8B280">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合同</w:t>
            </w:r>
          </w:p>
          <w:p w14:paraId="3443E8BF">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金额</w:t>
            </w:r>
          </w:p>
        </w:tc>
      </w:tr>
      <w:tr w14:paraId="2A58C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3B9DA51A">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1D95CB76">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5751716A">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2459A3CC">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3FD64C91">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r w14:paraId="28779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657DA6CA">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36335B68">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3B7E8F18">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5F7A32E5">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73C2C362">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r w14:paraId="68250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914F71B">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777A11C9">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1D78397C">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6334F5E9">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60888DAB">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r w14:paraId="719D3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22F36BD7">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21830A8E">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468662CB">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533E2510">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575BD855">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r w14:paraId="3C07E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68166F32">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2526383B">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4C0728DE">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1A5C48FF">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3F11506C">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r w14:paraId="0FF12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5C9016BF">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732F3900">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75B6E0C7">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5C2AC062">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7BA5C372">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r w14:paraId="5D896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05566224">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038F0EB9">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01DEF12B">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36128BC6">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7E152C27">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r w14:paraId="4E1E6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5013E199">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885" w:type="dxa"/>
            <w:noWrap w:val="0"/>
            <w:vAlign w:val="top"/>
          </w:tcPr>
          <w:p w14:paraId="078C54D7">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2933" w:type="dxa"/>
            <w:noWrap w:val="0"/>
            <w:vAlign w:val="top"/>
          </w:tcPr>
          <w:p w14:paraId="7E896E53">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0D4A1DCA">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c>
          <w:tcPr>
            <w:tcW w:w="1710" w:type="dxa"/>
            <w:noWrap w:val="0"/>
            <w:vAlign w:val="top"/>
          </w:tcPr>
          <w:p w14:paraId="47474812">
            <w:pPr>
              <w:keepNext w:val="0"/>
              <w:keepLines w:val="0"/>
              <w:suppressLineNumbers w:val="0"/>
              <w:spacing w:before="0" w:beforeAutospacing="0" w:after="0" w:afterAutospacing="0"/>
              <w:ind w:left="0" w:right="0"/>
              <w:rPr>
                <w:rFonts w:hint="eastAsia" w:ascii="微软雅黑" w:hAnsi="微软雅黑" w:eastAsia="微软雅黑" w:cs="微软雅黑"/>
                <w:sz w:val="24"/>
                <w:szCs w:val="24"/>
              </w:rPr>
            </w:pPr>
          </w:p>
        </w:tc>
      </w:tr>
    </w:tbl>
    <w:p w14:paraId="37955930">
      <w:pPr>
        <w:autoSpaceDE w:val="0"/>
        <w:autoSpaceDN w:val="0"/>
        <w:adjustRightInd w:val="0"/>
        <w:spacing w:line="62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说明：</w:t>
      </w:r>
    </w:p>
    <w:p w14:paraId="53D6DE3E">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1</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本表后附合同复印件加盖公章，合同签订时间及金额以合同中体现的内容为准。</w:t>
      </w:r>
    </w:p>
    <w:p w14:paraId="6AE2894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供应商应如实列出以上情况，如有隐瞒，一经查实将导致其响应文件被拒绝。</w:t>
      </w:r>
    </w:p>
    <w:p w14:paraId="757152C6">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3</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未按上述要求提供、填写的，评审时不予以考虑。</w:t>
      </w:r>
    </w:p>
    <w:p w14:paraId="28C6644F">
      <w:pPr>
        <w:spacing w:line="360" w:lineRule="auto"/>
        <w:ind w:firstLine="1920" w:firstLineChars="800"/>
        <w:rPr>
          <w:rFonts w:hint="eastAsia" w:ascii="微软雅黑" w:hAnsi="微软雅黑" w:eastAsia="微软雅黑" w:cs="微软雅黑"/>
          <w:sz w:val="24"/>
          <w:szCs w:val="24"/>
          <w:highlight w:val="none"/>
        </w:rPr>
      </w:pPr>
    </w:p>
    <w:p w14:paraId="1EF8517A">
      <w:pPr>
        <w:adjustRightInd w:val="0"/>
        <w:snapToGrid w:val="0"/>
        <w:spacing w:line="360" w:lineRule="auto"/>
        <w:jc w:val="center"/>
        <w:rPr>
          <w:rFonts w:hint="eastAsia" w:ascii="黑体" w:hAnsi="黑体" w:eastAsia="黑体" w:cs="黑体"/>
          <w:b/>
          <w:bCs/>
          <w:kern w:val="2"/>
          <w:sz w:val="32"/>
          <w:szCs w:val="32"/>
          <w:lang w:val="zh-CN" w:eastAsia="zh-CN" w:bidi="ar-SA"/>
        </w:rPr>
      </w:pPr>
      <w:r>
        <w:rPr>
          <w:rFonts w:hint="eastAsia" w:ascii="微软雅黑" w:hAnsi="微软雅黑" w:eastAsia="微软雅黑" w:cs="微软雅黑"/>
          <w:sz w:val="24"/>
          <w:szCs w:val="24"/>
          <w:highlight w:val="none"/>
        </w:rPr>
        <w:br w:type="page"/>
      </w:r>
      <w:bookmarkStart w:id="289" w:name="OLE_LINK8"/>
      <w:bookmarkStart w:id="290" w:name="_GoBack"/>
      <w:r>
        <w:rPr>
          <w:rFonts w:hint="eastAsia" w:ascii="黑体" w:hAnsi="黑体" w:eastAsia="黑体" w:cs="黑体"/>
          <w:b/>
          <w:bCs/>
          <w:kern w:val="2"/>
          <w:sz w:val="32"/>
          <w:szCs w:val="32"/>
          <w:lang w:val="en-US" w:eastAsia="zh-CN" w:bidi="ar-SA"/>
        </w:rPr>
        <w:t>八</w:t>
      </w:r>
      <w:r>
        <w:rPr>
          <w:rFonts w:hint="eastAsia" w:ascii="黑体" w:hAnsi="黑体" w:eastAsia="黑体" w:cs="黑体"/>
          <w:b/>
          <w:bCs/>
          <w:kern w:val="2"/>
          <w:sz w:val="32"/>
          <w:szCs w:val="32"/>
          <w:lang w:val="zh-CN" w:eastAsia="zh-CN" w:bidi="ar-SA"/>
        </w:rPr>
        <w:t>、供应商拒绝政府采购领域商业贿赂承诺书</w:t>
      </w:r>
    </w:p>
    <w:p w14:paraId="6DA2C997">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为响应党中央、国务院关于治理政府采购领域商业贿赂行为的号召，我公司在此庄严承诺：</w:t>
      </w:r>
    </w:p>
    <w:p w14:paraId="5EF48E15">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一、在参与政府采购活动中遵纪守法、诚信经营、公平竞标。</w:t>
      </w:r>
    </w:p>
    <w:p w14:paraId="403F76E0">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二、不向政府采购人、采购代理机构和政府采购评审专家进行任何形式的商业贿赂以谋取交易机会。</w:t>
      </w:r>
    </w:p>
    <w:p w14:paraId="0B89A5EC">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三、不向政府采购代理机构和采购人提供虚假资质证明文件或采用虚假应标方式参与政府采购市场竞争并谋取成交。</w:t>
      </w:r>
    </w:p>
    <w:p w14:paraId="54B2DA5E">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四、不采取“围标、陪标”等商业欺诈手段获得政府采购订单。</w:t>
      </w:r>
    </w:p>
    <w:p w14:paraId="41D42BBB">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五、不采取不正当手段诋毁、排挤其他供应商。</w:t>
      </w:r>
    </w:p>
    <w:p w14:paraId="61F6CC87">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六、不在提供货物和服务时“偷梁换柱、以次充好”损害采购人的合法权益。</w:t>
      </w:r>
    </w:p>
    <w:p w14:paraId="46368848">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七、不与采购人、采购代理机构、政府采购评审专家或其它供应商恶意串通，进行质疑和投诉，维护政府采购市场秩序。</w:t>
      </w:r>
    </w:p>
    <w:p w14:paraId="715DCA68">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八、尊重和接受政府采购监督管理部门的监督和政府采购代理机构招标采购要求，承担因违约行为给采购人造成的损失。</w:t>
      </w:r>
    </w:p>
    <w:p w14:paraId="064E08B1">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 xml:space="preserve">    九、不发生其他有悖于政府采购公开、公平、公正和诚信原则的行为。                                    </w:t>
      </w:r>
    </w:p>
    <w:p w14:paraId="7381CBA1">
      <w:pPr>
        <w:spacing w:line="360" w:lineRule="auto"/>
        <w:ind w:firstLine="1920" w:firstLineChars="800"/>
        <w:rPr>
          <w:rFonts w:hint="eastAsia" w:ascii="微软雅黑" w:hAnsi="微软雅黑" w:eastAsia="微软雅黑" w:cs="微软雅黑"/>
          <w:sz w:val="24"/>
          <w:szCs w:val="24"/>
          <w:highlight w:val="none"/>
        </w:rPr>
      </w:pPr>
    </w:p>
    <w:p w14:paraId="5D25D944">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0CD4FA24">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法定代表人或授权代表（签字）：</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458C194E">
      <w:pPr>
        <w:spacing w:line="360" w:lineRule="auto"/>
        <w:ind w:firstLine="2160" w:firstLineChars="9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bookmarkEnd w:id="289"/>
    </w:p>
    <w:bookmarkEnd w:id="290"/>
    <w:p w14:paraId="7BF34467">
      <w:pPr>
        <w:jc w:val="center"/>
        <w:rPr>
          <w:rFonts w:hint="eastAsia"/>
          <w:highlight w:val="none"/>
          <w:lang w:val="en-US" w:eastAsia="zh-CN"/>
        </w:rPr>
      </w:pPr>
      <w:r>
        <w:rPr>
          <w:rFonts w:hint="eastAsia" w:ascii="微软雅黑" w:hAnsi="微软雅黑" w:eastAsia="微软雅黑" w:cs="微软雅黑"/>
          <w:sz w:val="24"/>
          <w:szCs w:val="24"/>
          <w:highlight w:val="none"/>
          <w:u w:val="single"/>
        </w:rPr>
        <w:br w:type="page"/>
      </w:r>
      <w:r>
        <w:rPr>
          <w:rFonts w:hint="eastAsia" w:ascii="黑体" w:hAnsi="黑体" w:eastAsia="黑体" w:cs="黑体"/>
          <w:b/>
          <w:bCs/>
          <w:kern w:val="2"/>
          <w:sz w:val="32"/>
          <w:szCs w:val="32"/>
          <w:highlight w:val="none"/>
          <w:lang w:val="en-US" w:eastAsia="zh-CN" w:bidi="ar-SA"/>
        </w:rPr>
        <w:t>九</w:t>
      </w:r>
      <w:r>
        <w:rPr>
          <w:rFonts w:hint="eastAsia" w:ascii="黑体" w:hAnsi="黑体" w:eastAsia="黑体" w:cs="黑体"/>
          <w:b/>
          <w:bCs/>
          <w:kern w:val="2"/>
          <w:sz w:val="32"/>
          <w:szCs w:val="32"/>
          <w:highlight w:val="none"/>
          <w:lang w:val="zh-CN" w:eastAsia="zh-CN" w:bidi="ar-SA"/>
        </w:rPr>
        <w:t>、供应商认为有必要补充说明的事项</w:t>
      </w: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A34FE-5DC7-45E0-B947-D2FA63BCCC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76830D8-1EB8-4213-BEEA-994944A5ED01}"/>
  </w:font>
  <w:font w:name="微软雅黑">
    <w:panose1 w:val="020B0503020204020204"/>
    <w:charset w:val="86"/>
    <w:family w:val="auto"/>
    <w:pitch w:val="default"/>
    <w:sig w:usb0="80000287" w:usb1="2ACF3C50" w:usb2="00000016" w:usb3="00000000" w:csb0="0004001F" w:csb1="00000000"/>
    <w:embedRegular r:id="rId3" w:fontKey="{36325BDA-600F-4EE0-9E56-85359D9BF5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9D58">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0382B">
                          <w:pPr>
                            <w:pStyle w:val="17"/>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30382B">
                    <w:pPr>
                      <w:pStyle w:val="17"/>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lang w:val="en-US" w:eastAsia="zh-CN"/>
                      </w:rPr>
                      <w:t>54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463A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D23B4"/>
    <w:multiLevelType w:val="singleLevel"/>
    <w:tmpl w:val="8D6D23B4"/>
    <w:lvl w:ilvl="0" w:tentative="0">
      <w:start w:val="1"/>
      <w:numFmt w:val="decimal"/>
      <w:suff w:val="nothing"/>
      <w:lvlText w:val="%1、"/>
      <w:lvlJc w:val="left"/>
      <w:pPr>
        <w:ind w:left="393" w:leftChars="0" w:firstLine="0" w:firstLineChars="0"/>
      </w:pPr>
    </w:lvl>
  </w:abstractNum>
  <w:abstractNum w:abstractNumId="1">
    <w:nsid w:val="D4E1C6F9"/>
    <w:multiLevelType w:val="singleLevel"/>
    <w:tmpl w:val="D4E1C6F9"/>
    <w:lvl w:ilvl="0" w:tentative="0">
      <w:start w:val="1"/>
      <w:numFmt w:val="decimal"/>
      <w:suff w:val="nothing"/>
      <w:lvlText w:val="%1、"/>
      <w:lvlJc w:val="left"/>
      <w:pPr>
        <w:ind w:left="393" w:leftChars="0" w:firstLine="0" w:firstLineChars="0"/>
      </w:pPr>
    </w:lvl>
  </w:abstractNum>
  <w:abstractNum w:abstractNumId="2">
    <w:nsid w:val="F0501DBC"/>
    <w:multiLevelType w:val="singleLevel"/>
    <w:tmpl w:val="F0501DB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OWVmYjBmM2NkNjA3Mzk2YjI0NGQzY2JjNGEwNDgifQ=="/>
  </w:docVars>
  <w:rsids>
    <w:rsidRoot w:val="04425736"/>
    <w:rsid w:val="00DB33DA"/>
    <w:rsid w:val="01254F0B"/>
    <w:rsid w:val="0187483D"/>
    <w:rsid w:val="029B180B"/>
    <w:rsid w:val="02A81B3F"/>
    <w:rsid w:val="03182E99"/>
    <w:rsid w:val="031B1A2A"/>
    <w:rsid w:val="03F0199C"/>
    <w:rsid w:val="04425736"/>
    <w:rsid w:val="048209F9"/>
    <w:rsid w:val="04D16E90"/>
    <w:rsid w:val="04F73E4E"/>
    <w:rsid w:val="051061DD"/>
    <w:rsid w:val="05545379"/>
    <w:rsid w:val="057A2C1A"/>
    <w:rsid w:val="05845725"/>
    <w:rsid w:val="05D23E37"/>
    <w:rsid w:val="060223FC"/>
    <w:rsid w:val="0635691E"/>
    <w:rsid w:val="06BD70AD"/>
    <w:rsid w:val="06CC7B9C"/>
    <w:rsid w:val="06E674E3"/>
    <w:rsid w:val="072B2DAF"/>
    <w:rsid w:val="07347FFB"/>
    <w:rsid w:val="07643926"/>
    <w:rsid w:val="07F54551"/>
    <w:rsid w:val="08C75AEE"/>
    <w:rsid w:val="08EC6A2A"/>
    <w:rsid w:val="09120D2B"/>
    <w:rsid w:val="09363922"/>
    <w:rsid w:val="09FB077D"/>
    <w:rsid w:val="0A5851E2"/>
    <w:rsid w:val="0A7C40CF"/>
    <w:rsid w:val="0B0D380B"/>
    <w:rsid w:val="0B4E04A0"/>
    <w:rsid w:val="0B5E763D"/>
    <w:rsid w:val="0B631A7D"/>
    <w:rsid w:val="0B990BFB"/>
    <w:rsid w:val="0BAC60A0"/>
    <w:rsid w:val="0BD976A4"/>
    <w:rsid w:val="0BE01DA1"/>
    <w:rsid w:val="0C683F43"/>
    <w:rsid w:val="0D6E6DC9"/>
    <w:rsid w:val="0DA33F9D"/>
    <w:rsid w:val="0DD11667"/>
    <w:rsid w:val="0DEF5214"/>
    <w:rsid w:val="0E35096D"/>
    <w:rsid w:val="0E3D648A"/>
    <w:rsid w:val="0E4D3028"/>
    <w:rsid w:val="0E844A8D"/>
    <w:rsid w:val="0F9811B3"/>
    <w:rsid w:val="10731E18"/>
    <w:rsid w:val="11127147"/>
    <w:rsid w:val="113F222E"/>
    <w:rsid w:val="11A54867"/>
    <w:rsid w:val="11CD0A75"/>
    <w:rsid w:val="12A73712"/>
    <w:rsid w:val="12F346EF"/>
    <w:rsid w:val="12FA1330"/>
    <w:rsid w:val="14463BFD"/>
    <w:rsid w:val="14545CC0"/>
    <w:rsid w:val="1491543F"/>
    <w:rsid w:val="14CA6FAE"/>
    <w:rsid w:val="14DF3FA4"/>
    <w:rsid w:val="14E76440"/>
    <w:rsid w:val="150926C4"/>
    <w:rsid w:val="150C5ECE"/>
    <w:rsid w:val="15153C4E"/>
    <w:rsid w:val="151D53EF"/>
    <w:rsid w:val="15A05265"/>
    <w:rsid w:val="17041DF5"/>
    <w:rsid w:val="174A07CA"/>
    <w:rsid w:val="17504CDA"/>
    <w:rsid w:val="1768334D"/>
    <w:rsid w:val="17C01B3C"/>
    <w:rsid w:val="182A608C"/>
    <w:rsid w:val="191D3D9B"/>
    <w:rsid w:val="194F2343"/>
    <w:rsid w:val="19A70056"/>
    <w:rsid w:val="19A759A9"/>
    <w:rsid w:val="1A332204"/>
    <w:rsid w:val="1A4F0E47"/>
    <w:rsid w:val="1AD11A1D"/>
    <w:rsid w:val="1AF247E3"/>
    <w:rsid w:val="1BA60487"/>
    <w:rsid w:val="1BCB698C"/>
    <w:rsid w:val="1BE0686F"/>
    <w:rsid w:val="1C954963"/>
    <w:rsid w:val="1D091942"/>
    <w:rsid w:val="1D1823BB"/>
    <w:rsid w:val="1E024B28"/>
    <w:rsid w:val="1E036392"/>
    <w:rsid w:val="1E822B95"/>
    <w:rsid w:val="1FDA782B"/>
    <w:rsid w:val="20850C89"/>
    <w:rsid w:val="20E83ABC"/>
    <w:rsid w:val="211A38AD"/>
    <w:rsid w:val="212E7BB2"/>
    <w:rsid w:val="219F63D1"/>
    <w:rsid w:val="21A621B6"/>
    <w:rsid w:val="21AA3516"/>
    <w:rsid w:val="221B61BB"/>
    <w:rsid w:val="22455592"/>
    <w:rsid w:val="22AF61A1"/>
    <w:rsid w:val="22E04EF3"/>
    <w:rsid w:val="238B4600"/>
    <w:rsid w:val="23A33334"/>
    <w:rsid w:val="23AC1C26"/>
    <w:rsid w:val="256F76F4"/>
    <w:rsid w:val="266D4ED1"/>
    <w:rsid w:val="27981334"/>
    <w:rsid w:val="27FF30B0"/>
    <w:rsid w:val="2A81356F"/>
    <w:rsid w:val="2AEF34E2"/>
    <w:rsid w:val="2B28102B"/>
    <w:rsid w:val="2B857210"/>
    <w:rsid w:val="2B8D7BC8"/>
    <w:rsid w:val="2BC27697"/>
    <w:rsid w:val="2C8E59C0"/>
    <w:rsid w:val="2CB63A29"/>
    <w:rsid w:val="2CCD5A31"/>
    <w:rsid w:val="2D9E7E85"/>
    <w:rsid w:val="2DCF2E13"/>
    <w:rsid w:val="2E346BCB"/>
    <w:rsid w:val="2E796FC8"/>
    <w:rsid w:val="2EBE25FD"/>
    <w:rsid w:val="2EFF5247"/>
    <w:rsid w:val="2F20218A"/>
    <w:rsid w:val="3177433A"/>
    <w:rsid w:val="31F42822"/>
    <w:rsid w:val="32FB1484"/>
    <w:rsid w:val="334212F0"/>
    <w:rsid w:val="34403A44"/>
    <w:rsid w:val="34DF325D"/>
    <w:rsid w:val="34E56399"/>
    <w:rsid w:val="354B7D17"/>
    <w:rsid w:val="356C2617"/>
    <w:rsid w:val="35EA015B"/>
    <w:rsid w:val="36676609"/>
    <w:rsid w:val="36794FEB"/>
    <w:rsid w:val="36897DF2"/>
    <w:rsid w:val="36FE3F92"/>
    <w:rsid w:val="370E6E9D"/>
    <w:rsid w:val="37DF7067"/>
    <w:rsid w:val="38217669"/>
    <w:rsid w:val="383727CD"/>
    <w:rsid w:val="3881462B"/>
    <w:rsid w:val="38B56F92"/>
    <w:rsid w:val="390B0AC4"/>
    <w:rsid w:val="392274DB"/>
    <w:rsid w:val="3A5320BE"/>
    <w:rsid w:val="3A7765C8"/>
    <w:rsid w:val="3AF03860"/>
    <w:rsid w:val="3B3918BD"/>
    <w:rsid w:val="3B3B31B7"/>
    <w:rsid w:val="3B9E00AB"/>
    <w:rsid w:val="3BBA245E"/>
    <w:rsid w:val="3C0F402B"/>
    <w:rsid w:val="3E364A87"/>
    <w:rsid w:val="3E433514"/>
    <w:rsid w:val="3E726EF0"/>
    <w:rsid w:val="3EF93B58"/>
    <w:rsid w:val="400A45F9"/>
    <w:rsid w:val="405E2C3F"/>
    <w:rsid w:val="411B721D"/>
    <w:rsid w:val="412721E8"/>
    <w:rsid w:val="415A7E7E"/>
    <w:rsid w:val="45C36283"/>
    <w:rsid w:val="45C4456A"/>
    <w:rsid w:val="460A6BD0"/>
    <w:rsid w:val="460D4A38"/>
    <w:rsid w:val="469F51DC"/>
    <w:rsid w:val="4733065F"/>
    <w:rsid w:val="4736774E"/>
    <w:rsid w:val="48651841"/>
    <w:rsid w:val="48CF03A2"/>
    <w:rsid w:val="48E44E8E"/>
    <w:rsid w:val="49537472"/>
    <w:rsid w:val="4A8C13C1"/>
    <w:rsid w:val="4BED3CA4"/>
    <w:rsid w:val="4C0D3F3A"/>
    <w:rsid w:val="4C1F5D58"/>
    <w:rsid w:val="4C2063BD"/>
    <w:rsid w:val="4C371778"/>
    <w:rsid w:val="4C662D85"/>
    <w:rsid w:val="4CA7715A"/>
    <w:rsid w:val="4D4260FC"/>
    <w:rsid w:val="4D710BC6"/>
    <w:rsid w:val="4D97768D"/>
    <w:rsid w:val="4E7F2EFD"/>
    <w:rsid w:val="4EB40E09"/>
    <w:rsid w:val="4F501413"/>
    <w:rsid w:val="4FE64355"/>
    <w:rsid w:val="4FEB149C"/>
    <w:rsid w:val="501E197C"/>
    <w:rsid w:val="50D70E34"/>
    <w:rsid w:val="51505F79"/>
    <w:rsid w:val="516D25B4"/>
    <w:rsid w:val="51786173"/>
    <w:rsid w:val="51B360F6"/>
    <w:rsid w:val="51BD61D1"/>
    <w:rsid w:val="52276B28"/>
    <w:rsid w:val="522B3DE7"/>
    <w:rsid w:val="539C2D37"/>
    <w:rsid w:val="541D3002"/>
    <w:rsid w:val="54420E47"/>
    <w:rsid w:val="544B3BC9"/>
    <w:rsid w:val="5504364B"/>
    <w:rsid w:val="55E97640"/>
    <w:rsid w:val="56233F5F"/>
    <w:rsid w:val="56404F20"/>
    <w:rsid w:val="56973683"/>
    <w:rsid w:val="56A74B28"/>
    <w:rsid w:val="56C6764C"/>
    <w:rsid w:val="56D13F81"/>
    <w:rsid w:val="57A43780"/>
    <w:rsid w:val="580746F5"/>
    <w:rsid w:val="59BD2B7E"/>
    <w:rsid w:val="5A15323E"/>
    <w:rsid w:val="5B687259"/>
    <w:rsid w:val="5BD62264"/>
    <w:rsid w:val="5BE03648"/>
    <w:rsid w:val="5C934482"/>
    <w:rsid w:val="5D9E1657"/>
    <w:rsid w:val="5DE00D83"/>
    <w:rsid w:val="5DF63906"/>
    <w:rsid w:val="5E3C6B86"/>
    <w:rsid w:val="5E49171A"/>
    <w:rsid w:val="5E522ABE"/>
    <w:rsid w:val="5EB36643"/>
    <w:rsid w:val="5FD912CE"/>
    <w:rsid w:val="604F450B"/>
    <w:rsid w:val="610D2429"/>
    <w:rsid w:val="62511C2E"/>
    <w:rsid w:val="63224191"/>
    <w:rsid w:val="633B16F7"/>
    <w:rsid w:val="636D6C13"/>
    <w:rsid w:val="64014F88"/>
    <w:rsid w:val="651A70AD"/>
    <w:rsid w:val="65E33470"/>
    <w:rsid w:val="66402D0B"/>
    <w:rsid w:val="66C55CDB"/>
    <w:rsid w:val="67430B7A"/>
    <w:rsid w:val="674F5770"/>
    <w:rsid w:val="67616BD8"/>
    <w:rsid w:val="67FF36CF"/>
    <w:rsid w:val="68E72403"/>
    <w:rsid w:val="691E132B"/>
    <w:rsid w:val="696625EB"/>
    <w:rsid w:val="6ACB4032"/>
    <w:rsid w:val="6B5C6FEE"/>
    <w:rsid w:val="6BA3123E"/>
    <w:rsid w:val="6C447CAF"/>
    <w:rsid w:val="6E781A51"/>
    <w:rsid w:val="700417EE"/>
    <w:rsid w:val="704A0DB1"/>
    <w:rsid w:val="70757FF6"/>
    <w:rsid w:val="71E3524A"/>
    <w:rsid w:val="73200793"/>
    <w:rsid w:val="733401DC"/>
    <w:rsid w:val="73376795"/>
    <w:rsid w:val="73D0517B"/>
    <w:rsid w:val="73D239B1"/>
    <w:rsid w:val="74525137"/>
    <w:rsid w:val="758231A9"/>
    <w:rsid w:val="75AD2D24"/>
    <w:rsid w:val="76753598"/>
    <w:rsid w:val="770D0823"/>
    <w:rsid w:val="773048C9"/>
    <w:rsid w:val="7791376B"/>
    <w:rsid w:val="78016A91"/>
    <w:rsid w:val="78A94391"/>
    <w:rsid w:val="78F128DD"/>
    <w:rsid w:val="79BA3169"/>
    <w:rsid w:val="7A1A08CD"/>
    <w:rsid w:val="7A7001A1"/>
    <w:rsid w:val="7AD523F0"/>
    <w:rsid w:val="7C501917"/>
    <w:rsid w:val="7D4168D5"/>
    <w:rsid w:val="7D61347E"/>
    <w:rsid w:val="7DB94772"/>
    <w:rsid w:val="7E2626E3"/>
    <w:rsid w:val="7E584AB3"/>
    <w:rsid w:val="7EC550D4"/>
    <w:rsid w:val="7ED93E46"/>
    <w:rsid w:val="7F231268"/>
    <w:rsid w:val="7FCC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8"/>
    <w:autoRedefine/>
    <w:qFormat/>
    <w:uiPriority w:val="0"/>
    <w:pPr>
      <w:keepNext/>
      <w:widowControl w:val="0"/>
      <w:jc w:val="center"/>
      <w:outlineLvl w:val="0"/>
    </w:pPr>
    <w:rPr>
      <w:rFonts w:ascii="黑体" w:eastAsia="黑体"/>
      <w:sz w:val="28"/>
    </w:rPr>
  </w:style>
  <w:style w:type="paragraph" w:styleId="5">
    <w:name w:val="heading 2"/>
    <w:basedOn w:val="1"/>
    <w:next w:val="1"/>
    <w:autoRedefine/>
    <w:qFormat/>
    <w:uiPriority w:val="0"/>
    <w:pPr>
      <w:keepNext/>
      <w:keepLines/>
      <w:widowControl/>
      <w:spacing w:before="260" w:after="260"/>
      <w:ind w:left="284"/>
      <w:jc w:val="left"/>
      <w:outlineLvl w:val="1"/>
    </w:pPr>
    <w:rPr>
      <w:rFonts w:ascii="Arial" w:hAnsi="Arial" w:eastAsia="宋体" w:cs="Times New Roman"/>
      <w:b/>
      <w:bCs/>
      <w:sz w:val="28"/>
      <w:szCs w:val="32"/>
    </w:rPr>
  </w:style>
  <w:style w:type="paragraph" w:styleId="6">
    <w:name w:val="heading 3"/>
    <w:basedOn w:val="1"/>
    <w:next w:val="1"/>
    <w:autoRedefine/>
    <w:qFormat/>
    <w:uiPriority w:val="0"/>
    <w:pPr>
      <w:keepNext/>
      <w:keepLines/>
      <w:spacing w:before="260" w:after="260" w:line="412" w:lineRule="auto"/>
      <w:outlineLvl w:val="2"/>
    </w:pPr>
    <w:rPr>
      <w:b/>
      <w:sz w:val="32"/>
      <w:szCs w:val="20"/>
    </w:rPr>
  </w:style>
  <w:style w:type="paragraph" w:styleId="7">
    <w:name w:val="heading 4"/>
    <w:basedOn w:val="1"/>
    <w:next w:val="1"/>
    <w:autoRedefine/>
    <w:qFormat/>
    <w:uiPriority w:val="0"/>
    <w:pPr>
      <w:keepNext/>
      <w:spacing w:line="600" w:lineRule="exact"/>
      <w:jc w:val="center"/>
      <w:outlineLvl w:val="3"/>
    </w:pPr>
    <w:rPr>
      <w:rFonts w:ascii="楷体_GB2312" w:hAnsi="Times New Roman" w:eastAsia="楷体_GB2312" w:cs="Times New Roman"/>
      <w:sz w:val="32"/>
    </w:rPr>
  </w:style>
  <w:style w:type="paragraph" w:styleId="8">
    <w:name w:val="heading 5"/>
    <w:basedOn w:val="1"/>
    <w:next w:val="1"/>
    <w:autoRedefine/>
    <w:qFormat/>
    <w:uiPriority w:val="1"/>
    <w:pPr>
      <w:ind w:left="580"/>
      <w:outlineLvl w:val="4"/>
    </w:pPr>
    <w:rPr>
      <w:rFonts w:ascii="楷体" w:hAnsi="楷体" w:eastAsia="楷体" w:cs="楷体"/>
      <w:sz w:val="28"/>
      <w:szCs w:val="28"/>
      <w:lang w:val="zh-CN" w:eastAsia="zh-CN" w:bidi="zh-CN"/>
    </w:rPr>
  </w:style>
  <w:style w:type="paragraph" w:styleId="9">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autoRedefine/>
    <w:semiHidden/>
    <w:qFormat/>
    <w:uiPriority w:val="0"/>
  </w:style>
  <w:style w:type="table" w:default="1" w:styleId="2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qFormat/>
    <w:uiPriority w:val="0"/>
    <w:pPr>
      <w:jc w:val="center"/>
    </w:pPr>
  </w:style>
  <w:style w:type="paragraph" w:styleId="3">
    <w:name w:val="Body Text 2"/>
    <w:basedOn w:val="1"/>
    <w:autoRedefine/>
    <w:qFormat/>
    <w:uiPriority w:val="0"/>
    <w:rPr>
      <w:rFonts w:ascii="楷体_GB2312" w:hAnsi="Copperplate Gothic Bold" w:eastAsia="楷体_GB2312"/>
      <w:sz w:val="28"/>
    </w:rPr>
  </w:style>
  <w:style w:type="paragraph" w:styleId="10">
    <w:name w:val="Normal Indent"/>
    <w:basedOn w:val="1"/>
    <w:autoRedefine/>
    <w:qFormat/>
    <w:uiPriority w:val="0"/>
    <w:pPr>
      <w:ind w:firstLine="420"/>
    </w:pPr>
    <w:rPr>
      <w:szCs w:val="20"/>
    </w:rPr>
  </w:style>
  <w:style w:type="paragraph" w:styleId="11">
    <w:name w:val="annotation text"/>
    <w:basedOn w:val="1"/>
    <w:autoRedefine/>
    <w:qFormat/>
    <w:uiPriority w:val="0"/>
    <w:pPr>
      <w:jc w:val="left"/>
    </w:pPr>
  </w:style>
  <w:style w:type="paragraph" w:styleId="12">
    <w:name w:val="Body Text 3"/>
    <w:basedOn w:val="1"/>
    <w:autoRedefine/>
    <w:unhideWhenUsed/>
    <w:qFormat/>
    <w:uiPriority w:val="99"/>
    <w:pPr>
      <w:spacing w:after="120"/>
    </w:pPr>
    <w:rPr>
      <w:sz w:val="16"/>
      <w:szCs w:val="16"/>
    </w:rPr>
  </w:style>
  <w:style w:type="paragraph" w:styleId="13">
    <w:name w:val="Body Text Indent"/>
    <w:basedOn w:val="1"/>
    <w:autoRedefine/>
    <w:qFormat/>
    <w:uiPriority w:val="0"/>
    <w:pPr>
      <w:spacing w:line="360" w:lineRule="auto"/>
      <w:ind w:firstLine="420" w:firstLineChars="200"/>
    </w:pPr>
  </w:style>
  <w:style w:type="paragraph" w:styleId="14">
    <w:name w:val="Block Text"/>
    <w:basedOn w:val="1"/>
    <w:next w:val="15"/>
    <w:autoRedefine/>
    <w:qFormat/>
    <w:uiPriority w:val="99"/>
    <w:pPr>
      <w:spacing w:after="120" w:line="240" w:lineRule="auto"/>
      <w:ind w:left="1440" w:leftChars="700" w:right="1440" w:rightChars="700"/>
    </w:pPr>
    <w:rPr>
      <w:rFonts w:ascii="Calibri" w:hAnsi="Calibri"/>
      <w:szCs w:val="22"/>
    </w:rPr>
  </w:style>
  <w:style w:type="paragraph" w:styleId="15">
    <w:name w:val="Plain Text"/>
    <w:basedOn w:val="1"/>
    <w:autoRedefine/>
    <w:qFormat/>
    <w:uiPriority w:val="0"/>
    <w:rPr>
      <w:rFonts w:ascii="Times New Roman" w:hAnsi="Courier New" w:eastAsia="宋体" w:cs="Times New Roman"/>
      <w:kern w:val="2"/>
      <w:sz w:val="21"/>
    </w:rPr>
  </w:style>
  <w:style w:type="paragraph" w:styleId="16">
    <w:name w:val="toc 8"/>
    <w:basedOn w:val="1"/>
    <w:next w:val="1"/>
    <w:autoRedefine/>
    <w:qFormat/>
    <w:uiPriority w:val="39"/>
    <w:pPr>
      <w:ind w:left="2940" w:leftChars="1400"/>
    </w:pPr>
  </w:style>
  <w:style w:type="paragraph" w:styleId="17">
    <w:name w:val="footer"/>
    <w:basedOn w:val="1"/>
    <w:next w:val="16"/>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wordWrap w:val="0"/>
      <w:ind w:left="2975"/>
    </w:pPr>
    <w:rPr>
      <w:rFonts w:ascii="Times New Roman" w:hAnsi="Times New Roman"/>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2"/>
    <w:next w:val="1"/>
    <w:autoRedefine/>
    <w:unhideWhenUsed/>
    <w:qFormat/>
    <w:uiPriority w:val="99"/>
    <w:pPr>
      <w:ind w:firstLine="420" w:firstLineChars="100"/>
    </w:pPr>
    <w:rPr>
      <w:szCs w:val="24"/>
    </w:rPr>
  </w:style>
  <w:style w:type="paragraph" w:styleId="24">
    <w:name w:val="Body Text First Indent 2"/>
    <w:basedOn w:val="13"/>
    <w:autoRedefine/>
    <w:qFormat/>
    <w:uiPriority w:val="0"/>
    <w:pPr>
      <w:widowControl w:val="0"/>
      <w:adjustRightInd/>
      <w:snapToGrid/>
      <w:spacing w:after="0"/>
      <w:ind w:firstLine="420"/>
      <w:jc w:val="both"/>
    </w:pPr>
    <w:rPr>
      <w:rFonts w:ascii="Times New Roman" w:hAnsi="Times New Roman" w:eastAsia="宋体" w:cs="Times New Roman"/>
      <w:kern w:val="2"/>
      <w:sz w:val="21"/>
      <w:szCs w:val="24"/>
    </w:rPr>
  </w:style>
  <w:style w:type="table" w:styleId="26">
    <w:name w:val="Table Grid"/>
    <w:basedOn w:val="25"/>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28">
    <w:name w:val="Strong"/>
    <w:basedOn w:val="27"/>
    <w:autoRedefine/>
    <w:qFormat/>
    <w:uiPriority w:val="0"/>
    <w:rPr>
      <w:b/>
    </w:rPr>
  </w:style>
  <w:style w:type="character" w:styleId="29">
    <w:name w:val="Hyperlink"/>
    <w:autoRedefine/>
    <w:qFormat/>
    <w:uiPriority w:val="99"/>
    <w:rPr>
      <w:rFonts w:hint="eastAsia" w:ascii="宋体" w:hAnsi="宋体" w:eastAsia="宋体" w:cs="宋体"/>
      <w:color w:val="000000"/>
      <w:sz w:val="18"/>
      <w:szCs w:val="18"/>
      <w:u w:val="none"/>
    </w:rPr>
  </w:style>
  <w:style w:type="paragraph" w:customStyle="1" w:styleId="30">
    <w:name w:val="BodyText1I"/>
    <w:basedOn w:val="31"/>
    <w:autoRedefine/>
    <w:qFormat/>
    <w:uiPriority w:val="0"/>
    <w:pPr>
      <w:spacing w:after="120" w:line="240" w:lineRule="auto"/>
      <w:ind w:firstLine="420" w:firstLineChars="100"/>
      <w:jc w:val="both"/>
      <w:textAlignment w:val="baseline"/>
    </w:pPr>
    <w:rPr>
      <w:rFonts w:ascii="Times New Roman" w:hAnsi="Times New Roman" w:eastAsia="宋体"/>
      <w:color w:val="000000"/>
      <w:kern w:val="2"/>
      <w:sz w:val="18"/>
      <w:szCs w:val="18"/>
      <w:lang w:val="en-US" w:eastAsia="zh-CN" w:bidi="ar-SA"/>
    </w:rPr>
  </w:style>
  <w:style w:type="paragraph" w:customStyle="1" w:styleId="31">
    <w:name w:val="BodyText"/>
    <w:basedOn w:val="1"/>
    <w:autoRedefine/>
    <w:qFormat/>
    <w:uiPriority w:val="0"/>
    <w:pPr>
      <w:spacing w:after="120"/>
      <w:jc w:val="both"/>
      <w:textAlignment w:val="baseline"/>
    </w:pPr>
    <w:rPr>
      <w:rFonts w:ascii="Times New Roman" w:hAnsi="Times New Roman" w:eastAsia="宋体"/>
      <w:kern w:val="2"/>
      <w:sz w:val="21"/>
      <w:szCs w:val="20"/>
      <w:lang w:val="en-US" w:eastAsia="zh-CN" w:bidi="ar-SA"/>
    </w:rPr>
  </w:style>
  <w:style w:type="paragraph" w:customStyle="1" w:styleId="32">
    <w:name w:val="TOC 标题1"/>
    <w:basedOn w:val="4"/>
    <w:next w:val="1"/>
    <w:autoRedefine/>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33">
    <w:name w:val="列出段落1"/>
    <w:basedOn w:val="1"/>
    <w:autoRedefine/>
    <w:qFormat/>
    <w:uiPriority w:val="0"/>
    <w:pPr>
      <w:ind w:firstLine="420" w:firstLineChars="200"/>
    </w:pPr>
  </w:style>
  <w:style w:type="paragraph" w:customStyle="1" w:styleId="34">
    <w:name w:val="Table Paragraph"/>
    <w:basedOn w:val="1"/>
    <w:autoRedefine/>
    <w:qFormat/>
    <w:uiPriority w:val="0"/>
    <w:rPr>
      <w:rFonts w:ascii="宋体" w:hAnsi="宋体" w:eastAsia="宋体" w:cs="宋体"/>
      <w:lang w:val="zh-CN" w:bidi="zh-CN"/>
    </w:rPr>
  </w:style>
  <w:style w:type="paragraph" w:customStyle="1" w:styleId="35">
    <w:name w:val="p15"/>
    <w:basedOn w:val="1"/>
    <w:autoRedefine/>
    <w:qFormat/>
    <w:uiPriority w:val="99"/>
    <w:rPr>
      <w:rFonts w:ascii="Times New Roman" w:hAnsi="Times New Roman"/>
      <w:sz w:val="20"/>
      <w:szCs w:val="21"/>
    </w:rPr>
  </w:style>
  <w:style w:type="paragraph" w:customStyle="1" w:styleId="36">
    <w:name w:val="4"/>
    <w:basedOn w:val="1"/>
    <w:next w:val="37"/>
    <w:autoRedefine/>
    <w:qFormat/>
    <w:uiPriority w:val="34"/>
    <w:pPr>
      <w:ind w:firstLine="420" w:firstLineChars="200"/>
    </w:pPr>
  </w:style>
  <w:style w:type="paragraph" w:customStyle="1" w:styleId="37">
    <w:name w:val="List Paragraph"/>
    <w:basedOn w:val="1"/>
    <w:autoRedefine/>
    <w:qFormat/>
    <w:uiPriority w:val="0"/>
    <w:pPr>
      <w:ind w:firstLine="200" w:firstLineChars="200"/>
    </w:pPr>
    <w:rPr>
      <w:szCs w:val="24"/>
    </w:rPr>
  </w:style>
  <w:style w:type="character" w:customStyle="1" w:styleId="38">
    <w:name w:val="标题 1 Char"/>
    <w:link w:val="4"/>
    <w:autoRedefine/>
    <w:qFormat/>
    <w:uiPriority w:val="0"/>
    <w:rPr>
      <w:rFonts w:ascii="黑体" w:eastAsia="黑体"/>
      <w:sz w:val="28"/>
    </w:rPr>
  </w:style>
  <w:style w:type="paragraph" w:customStyle="1" w:styleId="39">
    <w:name w:val="Message Header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40">
    <w:name w:val="Char1"/>
    <w:basedOn w:val="1"/>
    <w:autoRedefine/>
    <w:qFormat/>
    <w:uiPriority w:val="0"/>
    <w:rPr>
      <w:szCs w:val="21"/>
    </w:rPr>
  </w:style>
  <w:style w:type="paragraph" w:customStyle="1" w:styleId="41">
    <w:name w:val="正文自定"/>
    <w:basedOn w:val="1"/>
    <w:autoRedefine/>
    <w:qFormat/>
    <w:uiPriority w:val="0"/>
    <w:pPr>
      <w:tabs>
        <w:tab w:val="left" w:pos="7665"/>
      </w:tabs>
      <w:spacing w:line="360" w:lineRule="auto"/>
      <w:ind w:firstLine="480" w:firstLineChars="200"/>
    </w:pPr>
    <w:rPr>
      <w:rFonts w:ascii="宋体" w:hAnsi="宋体"/>
      <w:sz w:val="24"/>
      <w:szCs w:val="24"/>
    </w:rPr>
  </w:style>
  <w:style w:type="character" w:customStyle="1" w:styleId="42">
    <w:name w:val="NormalCharacter"/>
    <w:link w:val="1"/>
    <w:autoRedefine/>
    <w:qFormat/>
    <w:uiPriority w:val="0"/>
    <w:rPr>
      <w:rFonts w:asciiTheme="minorHAnsi" w:hAnsiTheme="minorHAnsi" w:eastAsiaTheme="minorEastAsia" w:cstheme="minorBidi"/>
      <w:kern w:val="2"/>
      <w:sz w:val="21"/>
      <w:szCs w:val="24"/>
      <w:lang w:val="en-US" w:eastAsia="zh-CN" w:bidi="ar-SA"/>
    </w:rPr>
  </w:style>
  <w:style w:type="paragraph" w:customStyle="1" w:styleId="43">
    <w:name w:val="NormalIndent"/>
    <w:basedOn w:val="1"/>
    <w:autoRedefine/>
    <w:qFormat/>
    <w:uiPriority w:val="0"/>
    <w:pPr>
      <w:ind w:firstLine="420"/>
      <w:jc w:val="both"/>
      <w:textAlignment w:val="baseline"/>
    </w:pPr>
    <w:rPr>
      <w:kern w:val="2"/>
      <w:sz w:val="21"/>
      <w:szCs w:val="21"/>
      <w:lang w:val="en-US" w:eastAsia="zh-CN" w:bidi="ar-SA"/>
    </w:rPr>
  </w:style>
  <w:style w:type="paragraph" w:customStyle="1" w:styleId="44">
    <w:name w:val="Char"/>
    <w:basedOn w:val="1"/>
    <w:next w:val="1"/>
    <w:autoRedefine/>
    <w:qFormat/>
    <w:uiPriority w:val="0"/>
    <w:rPr>
      <w:rFonts w:eastAsia="仿宋_GB2312"/>
      <w:sz w:val="28"/>
    </w:rPr>
  </w:style>
  <w:style w:type="paragraph" w:customStyle="1" w:styleId="45">
    <w:name w:val="title12"/>
    <w:basedOn w:val="1"/>
    <w:autoRedefine/>
    <w:qFormat/>
    <w:uiPriority w:val="0"/>
    <w:pPr>
      <w:spacing w:before="150"/>
      <w:jc w:val="left"/>
    </w:pPr>
    <w:rPr>
      <w:rFonts w:ascii="Calibri" w:hAnsi="Calibri"/>
      <w:b/>
      <w:kern w:val="0"/>
      <w:sz w:val="22"/>
      <w:szCs w:val="22"/>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15214</Words>
  <Characters>16111</Characters>
  <Lines>1</Lines>
  <Paragraphs>1</Paragraphs>
  <TotalTime>0</TotalTime>
  <ScaleCrop>false</ScaleCrop>
  <LinksUpToDate>false</LinksUpToDate>
  <CharactersWithSpaces>16357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2023-04-11T02:03:00Z</dcterms:created>
  <dc:creator>无留念</dc:creator>
  <cp:lastModifiedBy>啾啾</cp:lastModifiedBy>
  <dcterms:modified xsi:type="dcterms:W3CDTF">2025-06-12T09:09:30Z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E4CB4F28BD9549838BDD506A81112C69_13</vt:lpwstr>
  </property>
  <property fmtid="{D5CDD505-2E9C-101B-9397-08002B2CF9AE}" pid="4" name="KSOTemplateDocerSaveRecord">
    <vt:lpwstr>eyJoZGlkIjoiMmE4OWVmYjBmM2NkNjA3Mzk2YjI0NGQzY2JjNGEwNDgiLCJ1c2VySWQiOiIyNzA4NDYzNjIifQ==</vt:lpwstr>
  </property>
</Properties>
</file>