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E025D">
      <w:r>
        <w:rPr>
          <w:rFonts w:hint="eastAsia" w:ascii="宋体" w:hAnsi="宋体" w:eastAsia="宋体" w:cs="宋体"/>
          <w:sz w:val="24"/>
          <w:szCs w:val="24"/>
        </w:rPr>
        <w:t xml:space="preserve"> 根据总局和省市场监管局开展的各类专项行动内容，对注册地在陕西省的网络交易平台及经营性商品交易网站、直播电商、第三方网络交易平台开设的网店、移动app和社交电商平台上开设的网店、公众服务号、小程序等开展专项任务监测，监测次数不限，视任务情况而定，提供监测报告，推送违法线索并对线索进行固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D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2025-06-30T08:57:45Z</dcterms:created>
  <dc:creator>Administrator.PC-20221020ZCWL</dc:creator>
  <cp:lastModifiedBy>Administrator</cp:lastModifiedBy>
  <dcterms:modified xsi:type="dcterms:W3CDTF">2025-06-30T08:58:13Z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eyJoZGlkIjoiNzQ1NWFkYTA1NDZkMzI3NGM4ODJkN2U4NzJkNzNkMWYifQ==</vt:lpwstr>
  </property>
  <property fmtid="{D5CDD505-2E9C-101B-9397-08002B2CF9AE}" pid="4" name="ICV">
    <vt:lpwstr>B86D493B9E844CD7BA87A0ACCB417299_12</vt:lpwstr>
  </property>
</Properties>
</file>