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A9B90">
      <w:pPr>
        <w:overflowPunct w:val="0"/>
        <w:topLinePunct/>
        <w:autoSpaceDE/>
        <w:autoSpaceDN/>
        <w:spacing w:line="360" w:lineRule="auto"/>
        <w:rPr>
          <w:rFonts w:hint="default" w:ascii="仿宋" w:hAnsi="仿宋" w:eastAsia="仿宋"/>
          <w:bCs/>
          <w:color w:val="auto"/>
          <w:sz w:val="36"/>
          <w:szCs w:val="36"/>
          <w:highlight w:val="none"/>
          <w:u w:val="single"/>
          <w:lang w:val="en-US" w:eastAsia="zh-CN"/>
        </w:rPr>
      </w:pPr>
      <w:r>
        <w:rPr>
          <w:rFonts w:hint="eastAsia" w:ascii="仿宋" w:hAnsi="仿宋" w:eastAsia="仿宋"/>
          <w:bCs/>
          <w:color w:val="auto"/>
          <w:sz w:val="36"/>
          <w:szCs w:val="36"/>
          <w:highlight w:val="none"/>
        </w:rPr>
        <w:t>项目编号：</w:t>
      </w:r>
      <w:r>
        <w:rPr>
          <w:rFonts w:hint="eastAsia" w:ascii="仿宋" w:hAnsi="仿宋" w:eastAsia="仿宋"/>
          <w:bCs/>
          <w:color w:val="auto"/>
          <w:sz w:val="36"/>
          <w:szCs w:val="36"/>
          <w:highlight w:val="none"/>
          <w:lang w:eastAsia="zh-CN"/>
        </w:rPr>
        <w:t>ZXZB-CG2025-187</w:t>
      </w:r>
    </w:p>
    <w:p w14:paraId="4FC51491">
      <w:pPr>
        <w:tabs>
          <w:tab w:val="left" w:pos="360"/>
        </w:tabs>
        <w:overflowPunct w:val="0"/>
        <w:topLinePunct/>
        <w:autoSpaceDE/>
        <w:autoSpaceDN/>
        <w:spacing w:line="360" w:lineRule="auto"/>
        <w:jc w:val="both"/>
        <w:rPr>
          <w:rFonts w:hint="eastAsia" w:ascii="仿宋" w:hAnsi="仿宋" w:eastAsia="仿宋"/>
          <w:color w:val="auto"/>
          <w:sz w:val="36"/>
          <w:szCs w:val="36"/>
          <w:highlight w:val="none"/>
        </w:rPr>
      </w:pPr>
    </w:p>
    <w:p w14:paraId="28ED7205">
      <w:pPr>
        <w:pStyle w:val="127"/>
        <w:spacing w:line="360" w:lineRule="auto"/>
        <w:rPr>
          <w:rFonts w:ascii="仿宋" w:hAnsi="仿宋" w:eastAsia="仿宋"/>
          <w:color w:val="auto"/>
          <w:sz w:val="36"/>
          <w:szCs w:val="36"/>
          <w:highlight w:val="none"/>
        </w:rPr>
      </w:pPr>
    </w:p>
    <w:p w14:paraId="5F2DE9BB">
      <w:pPr>
        <w:widowControl/>
        <w:wordWrap w:val="0"/>
        <w:autoSpaceDE/>
        <w:autoSpaceDN/>
        <w:adjustRightInd/>
        <w:spacing w:line="360" w:lineRule="auto"/>
        <w:jc w:val="center"/>
        <w:rPr>
          <w:rFonts w:hint="eastAsia" w:ascii="仿宋" w:hAnsi="仿宋" w:eastAsia="仿宋"/>
          <w:b w:val="0"/>
          <w:bCs w:val="0"/>
          <w:color w:val="000000"/>
          <w:sz w:val="52"/>
          <w:szCs w:val="52"/>
          <w:highlight w:val="none"/>
          <w:lang w:eastAsia="zh-CN"/>
        </w:rPr>
      </w:pPr>
      <w:r>
        <w:rPr>
          <w:rFonts w:hint="eastAsia" w:ascii="仿宋" w:hAnsi="仿宋" w:eastAsia="仿宋"/>
          <w:b w:val="0"/>
          <w:bCs w:val="0"/>
          <w:color w:val="000000"/>
          <w:sz w:val="52"/>
          <w:szCs w:val="52"/>
          <w:highlight w:val="none"/>
          <w:lang w:eastAsia="zh-CN"/>
        </w:rPr>
        <w:t>长乐公园西门基础设施建设工程设计</w:t>
      </w:r>
    </w:p>
    <w:p w14:paraId="3926089B">
      <w:pPr>
        <w:overflowPunct w:val="0"/>
        <w:topLinePunct/>
        <w:autoSpaceDE/>
        <w:autoSpaceDN/>
        <w:spacing w:line="360" w:lineRule="auto"/>
        <w:jc w:val="center"/>
        <w:rPr>
          <w:rFonts w:hint="eastAsia" w:ascii="仿宋" w:hAnsi="仿宋" w:eastAsia="仿宋"/>
          <w:bCs/>
          <w:color w:val="auto"/>
          <w:sz w:val="52"/>
          <w:szCs w:val="52"/>
          <w:highlight w:val="none"/>
        </w:rPr>
      </w:pPr>
    </w:p>
    <w:p w14:paraId="0D657421">
      <w:pPr>
        <w:overflowPunct w:val="0"/>
        <w:topLinePunct/>
        <w:autoSpaceDE/>
        <w:autoSpaceDN/>
        <w:spacing w:line="360" w:lineRule="auto"/>
        <w:jc w:val="both"/>
        <w:rPr>
          <w:rFonts w:hint="eastAsia" w:ascii="仿宋" w:hAnsi="仿宋" w:eastAsia="仿宋"/>
          <w:bCs/>
          <w:color w:val="auto"/>
          <w:sz w:val="36"/>
          <w:szCs w:val="36"/>
          <w:highlight w:val="none"/>
        </w:rPr>
      </w:pPr>
    </w:p>
    <w:p w14:paraId="611D49C7">
      <w:pPr>
        <w:overflowPunct w:val="0"/>
        <w:topLinePunct/>
        <w:autoSpaceDE/>
        <w:autoSpaceDN/>
        <w:spacing w:line="360" w:lineRule="auto"/>
        <w:jc w:val="center"/>
        <w:rPr>
          <w:rFonts w:ascii="仿宋" w:hAnsi="仿宋" w:eastAsia="仿宋"/>
          <w:color w:val="auto"/>
          <w:sz w:val="84"/>
          <w:szCs w:val="84"/>
          <w:highlight w:val="none"/>
        </w:rPr>
      </w:pPr>
      <w:r>
        <w:rPr>
          <w:rFonts w:hint="eastAsia" w:ascii="仿宋" w:hAnsi="仿宋" w:eastAsia="仿宋"/>
          <w:color w:val="auto"/>
          <w:sz w:val="84"/>
          <w:szCs w:val="84"/>
          <w:highlight w:val="none"/>
        </w:rPr>
        <w:t>竞争性磋商文件</w:t>
      </w:r>
    </w:p>
    <w:p w14:paraId="67D16A1D">
      <w:pPr>
        <w:overflowPunct w:val="0"/>
        <w:topLinePunct/>
        <w:autoSpaceDE/>
        <w:autoSpaceDN/>
        <w:spacing w:line="360" w:lineRule="auto"/>
        <w:jc w:val="both"/>
        <w:rPr>
          <w:rFonts w:ascii="仿宋" w:hAnsi="仿宋" w:eastAsia="仿宋"/>
          <w:color w:val="auto"/>
          <w:sz w:val="36"/>
          <w:szCs w:val="36"/>
          <w:highlight w:val="none"/>
          <w:u w:val="single"/>
        </w:rPr>
      </w:pPr>
    </w:p>
    <w:p w14:paraId="44F48D5F">
      <w:pPr>
        <w:overflowPunct w:val="0"/>
        <w:topLinePunct/>
        <w:autoSpaceDE/>
        <w:autoSpaceDN/>
        <w:spacing w:line="360" w:lineRule="auto"/>
        <w:jc w:val="both"/>
        <w:rPr>
          <w:rFonts w:hint="eastAsia" w:ascii="仿宋" w:hAnsi="仿宋" w:eastAsia="仿宋"/>
          <w:b/>
          <w:bCs/>
          <w:color w:val="auto"/>
          <w:sz w:val="36"/>
          <w:szCs w:val="36"/>
          <w:highlight w:val="none"/>
        </w:rPr>
      </w:pPr>
    </w:p>
    <w:p w14:paraId="6A4D94A0">
      <w:pPr>
        <w:overflowPunct w:val="0"/>
        <w:topLinePunct/>
        <w:autoSpaceDE/>
        <w:autoSpaceDN/>
        <w:spacing w:line="360" w:lineRule="auto"/>
        <w:jc w:val="both"/>
        <w:rPr>
          <w:rFonts w:hint="eastAsia" w:ascii="仿宋" w:hAnsi="仿宋" w:eastAsia="仿宋"/>
          <w:b/>
          <w:bCs/>
          <w:color w:val="auto"/>
          <w:sz w:val="36"/>
          <w:szCs w:val="36"/>
          <w:highlight w:val="none"/>
        </w:rPr>
      </w:pPr>
    </w:p>
    <w:p w14:paraId="4EA68530">
      <w:pPr>
        <w:overflowPunct w:val="0"/>
        <w:topLinePunct/>
        <w:autoSpaceDE/>
        <w:autoSpaceDN/>
        <w:spacing w:line="360" w:lineRule="auto"/>
        <w:jc w:val="both"/>
        <w:rPr>
          <w:rFonts w:hint="eastAsia" w:ascii="仿宋" w:hAnsi="仿宋" w:eastAsia="仿宋"/>
          <w:b/>
          <w:bCs/>
          <w:color w:val="auto"/>
          <w:sz w:val="36"/>
          <w:szCs w:val="36"/>
          <w:highlight w:val="none"/>
        </w:rPr>
      </w:pPr>
    </w:p>
    <w:p w14:paraId="00CD3237">
      <w:pPr>
        <w:pStyle w:val="19"/>
        <w:spacing w:after="0" w:line="360" w:lineRule="auto"/>
        <w:rPr>
          <w:rFonts w:hint="eastAsia"/>
          <w:color w:val="auto"/>
          <w:sz w:val="36"/>
          <w:szCs w:val="36"/>
          <w:highlight w:val="none"/>
        </w:rPr>
      </w:pPr>
    </w:p>
    <w:p w14:paraId="46E702B8">
      <w:pPr>
        <w:overflowPunct w:val="0"/>
        <w:topLinePunct/>
        <w:autoSpaceDE/>
        <w:autoSpaceDN/>
        <w:spacing w:line="360" w:lineRule="auto"/>
        <w:ind w:firstLine="720" w:firstLineChars="200"/>
        <w:jc w:val="both"/>
        <w:rPr>
          <w:rFonts w:hint="eastAsia" w:ascii="仿宋" w:hAnsi="仿宋" w:eastAsia="仿宋"/>
          <w:bCs/>
          <w:color w:val="auto"/>
          <w:sz w:val="36"/>
          <w:szCs w:val="36"/>
          <w:highlight w:val="none"/>
          <w:lang w:eastAsia="zh-CN"/>
        </w:rPr>
      </w:pPr>
      <w:r>
        <w:rPr>
          <w:rFonts w:hint="eastAsia" w:ascii="仿宋" w:hAnsi="仿宋" w:eastAsia="仿宋"/>
          <w:bCs/>
          <w:color w:val="auto"/>
          <w:sz w:val="36"/>
          <w:szCs w:val="36"/>
          <w:highlight w:val="none"/>
        </w:rPr>
        <w:t>采   购   人：</w:t>
      </w:r>
      <w:r>
        <w:rPr>
          <w:rFonts w:hint="eastAsia" w:ascii="仿宋" w:hAnsi="仿宋" w:eastAsia="仿宋"/>
          <w:bCs/>
          <w:color w:val="auto"/>
          <w:sz w:val="36"/>
          <w:szCs w:val="36"/>
          <w:highlight w:val="none"/>
          <w:lang w:eastAsia="zh-CN"/>
        </w:rPr>
        <w:t>西安市长乐公园</w:t>
      </w:r>
    </w:p>
    <w:p w14:paraId="6762328D">
      <w:pPr>
        <w:overflowPunct w:val="0"/>
        <w:topLinePunct/>
        <w:autoSpaceDE/>
        <w:autoSpaceDN/>
        <w:spacing w:line="360" w:lineRule="auto"/>
        <w:ind w:firstLine="720" w:firstLineChars="200"/>
        <w:jc w:val="both"/>
        <w:rPr>
          <w:rFonts w:ascii="仿宋" w:hAnsi="仿宋" w:eastAsia="仿宋"/>
          <w:bCs/>
          <w:color w:val="auto"/>
          <w:sz w:val="36"/>
          <w:szCs w:val="36"/>
          <w:highlight w:val="none"/>
        </w:rPr>
      </w:pPr>
      <w:r>
        <w:rPr>
          <w:rFonts w:hint="eastAsia" w:ascii="仿宋" w:hAnsi="仿宋" w:eastAsia="仿宋"/>
          <w:bCs/>
          <w:color w:val="auto"/>
          <w:sz w:val="36"/>
          <w:szCs w:val="36"/>
          <w:highlight w:val="none"/>
        </w:rPr>
        <w:t>采购代理机构：陕西中信项目咨询有限公司</w:t>
      </w:r>
    </w:p>
    <w:p w14:paraId="56D4F284">
      <w:pPr>
        <w:pStyle w:val="27"/>
        <w:overflowPunct w:val="0"/>
        <w:topLinePunct/>
        <w:autoSpaceDE/>
        <w:autoSpaceDN/>
        <w:spacing w:line="360" w:lineRule="auto"/>
        <w:jc w:val="center"/>
        <w:rPr>
          <w:rFonts w:hint="eastAsia" w:ascii="仿宋" w:hAnsi="仿宋" w:eastAsia="仿宋"/>
          <w:bCs/>
          <w:color w:val="auto"/>
          <w:sz w:val="36"/>
          <w:szCs w:val="36"/>
          <w:highlight w:val="none"/>
        </w:rPr>
      </w:pPr>
      <w:r>
        <w:rPr>
          <w:rFonts w:hint="eastAsia" w:ascii="仿宋" w:hAnsi="仿宋" w:eastAsia="仿宋"/>
          <w:bCs/>
          <w:color w:val="auto"/>
          <w:sz w:val="36"/>
          <w:szCs w:val="36"/>
          <w:highlight w:val="none"/>
        </w:rPr>
        <w:t>二〇二</w:t>
      </w:r>
      <w:r>
        <w:rPr>
          <w:rFonts w:hint="eastAsia" w:ascii="仿宋" w:hAnsi="仿宋" w:eastAsia="仿宋"/>
          <w:bCs/>
          <w:color w:val="auto"/>
          <w:sz w:val="36"/>
          <w:szCs w:val="36"/>
          <w:highlight w:val="none"/>
          <w:lang w:val="en-US" w:eastAsia="zh-CN"/>
        </w:rPr>
        <w:t>五</w:t>
      </w:r>
      <w:r>
        <w:rPr>
          <w:rFonts w:hint="eastAsia" w:ascii="仿宋" w:hAnsi="仿宋" w:eastAsia="仿宋"/>
          <w:bCs/>
          <w:color w:val="auto"/>
          <w:sz w:val="36"/>
          <w:szCs w:val="36"/>
          <w:highlight w:val="none"/>
        </w:rPr>
        <w:t>年</w:t>
      </w:r>
      <w:r>
        <w:rPr>
          <w:rFonts w:hint="eastAsia" w:ascii="仿宋" w:hAnsi="仿宋" w:eastAsia="仿宋"/>
          <w:bCs/>
          <w:color w:val="auto"/>
          <w:sz w:val="36"/>
          <w:szCs w:val="36"/>
          <w:highlight w:val="none"/>
          <w:lang w:val="en-US" w:eastAsia="zh-CN"/>
        </w:rPr>
        <w:t>六</w:t>
      </w:r>
      <w:r>
        <w:rPr>
          <w:rFonts w:hint="eastAsia" w:ascii="仿宋" w:hAnsi="仿宋" w:eastAsia="仿宋"/>
          <w:bCs/>
          <w:color w:val="auto"/>
          <w:sz w:val="36"/>
          <w:szCs w:val="36"/>
          <w:highlight w:val="none"/>
        </w:rPr>
        <w:t>月</w:t>
      </w:r>
    </w:p>
    <w:p w14:paraId="789BA4F3">
      <w:pPr>
        <w:spacing w:line="360" w:lineRule="auto"/>
        <w:rPr>
          <w:rFonts w:hint="eastAsia"/>
          <w:color w:val="auto"/>
          <w:highlight w:val="none"/>
        </w:rPr>
        <w:sectPr>
          <w:headerReference r:id="rId5" w:type="first"/>
          <w:headerReference r:id="rId3" w:type="default"/>
          <w:headerReference r:id="rId4" w:type="even"/>
          <w:footerReference r:id="rId6" w:type="even"/>
          <w:pgSz w:w="11906" w:h="16838"/>
          <w:pgMar w:top="2098" w:right="1474" w:bottom="1984" w:left="1587" w:header="1474" w:footer="1474" w:gutter="0"/>
          <w:pgBorders>
            <w:top w:val="none" w:sz="0" w:space="0"/>
            <w:left w:val="none" w:sz="0" w:space="0"/>
            <w:bottom w:val="none" w:sz="0" w:space="0"/>
            <w:right w:val="none" w:sz="0" w:space="0"/>
          </w:pgBorders>
          <w:cols w:space="720" w:num="1"/>
          <w:titlePg/>
          <w:docGrid w:type="lines" w:linePitch="386" w:charSpace="0"/>
        </w:sectPr>
      </w:pPr>
    </w:p>
    <w:p w14:paraId="6C8E531E">
      <w:pPr>
        <w:overflowPunct w:val="0"/>
        <w:topLinePunct/>
        <w:autoSpaceDE/>
        <w:autoSpaceDN/>
        <w:spacing w:before="386" w:beforeLines="100" w:after="386" w:afterLines="100" w:line="560" w:lineRule="exact"/>
        <w:jc w:val="center"/>
        <w:rPr>
          <w:rFonts w:hint="eastAsia" w:ascii="仿宋" w:hAnsi="仿宋" w:eastAsia="仿宋"/>
          <w:b/>
          <w:bCs/>
          <w:color w:val="auto"/>
          <w:sz w:val="48"/>
          <w:szCs w:val="48"/>
          <w:highlight w:val="none"/>
        </w:rPr>
      </w:pPr>
      <w:r>
        <w:rPr>
          <w:rFonts w:hint="eastAsia" w:ascii="方正小标宋简体" w:hAnsi="方正小标宋简体" w:eastAsia="方正小标宋简体" w:cs="方正小标宋简体"/>
          <w:color w:val="auto"/>
          <w:sz w:val="44"/>
          <w:szCs w:val="44"/>
          <w:highlight w:val="none"/>
        </w:rPr>
        <w:t>目  录</w:t>
      </w:r>
    </w:p>
    <w:p w14:paraId="1940621E">
      <w:pPr>
        <w:pStyle w:val="32"/>
        <w:tabs>
          <w:tab w:val="right" w:leader="dot" w:pos="8845"/>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_Toc13602 </w:instrText>
      </w:r>
      <w:r>
        <w:rPr>
          <w:rFonts w:hint="eastAsia" w:ascii="仿宋" w:hAnsi="仿宋" w:eastAsia="仿宋" w:cs="仿宋"/>
          <w:sz w:val="32"/>
          <w:szCs w:val="32"/>
          <w:highlight w:val="none"/>
        </w:rPr>
        <w:fldChar w:fldCharType="separate"/>
      </w:r>
      <w:r>
        <w:rPr>
          <w:rFonts w:hint="eastAsia" w:ascii="仿宋" w:hAnsi="仿宋" w:eastAsia="仿宋" w:cs="仿宋"/>
          <w:bCs w:val="0"/>
          <w:sz w:val="32"/>
          <w:szCs w:val="32"/>
          <w:highlight w:val="none"/>
          <w:shd w:val="clear" w:color="auto" w:fill="FFFFFF"/>
        </w:rPr>
        <w:t>第一章  竞争性磋商公告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_Toc13602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590D7390">
      <w:pPr>
        <w:pStyle w:val="32"/>
        <w:tabs>
          <w:tab w:val="right" w:leader="dot" w:pos="8845"/>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_Toc13491 </w:instrText>
      </w:r>
      <w:r>
        <w:rPr>
          <w:rFonts w:hint="eastAsia" w:ascii="仿宋" w:hAnsi="仿宋" w:eastAsia="仿宋" w:cs="仿宋"/>
          <w:sz w:val="32"/>
          <w:szCs w:val="32"/>
          <w:highlight w:val="none"/>
        </w:rPr>
        <w:fldChar w:fldCharType="separate"/>
      </w:r>
      <w:r>
        <w:rPr>
          <w:rFonts w:hint="eastAsia" w:ascii="仿宋" w:hAnsi="仿宋" w:eastAsia="仿宋" w:cs="仿宋"/>
          <w:bCs w:val="0"/>
          <w:sz w:val="32"/>
          <w:szCs w:val="32"/>
          <w:highlight w:val="none"/>
          <w:shd w:val="clear" w:color="auto" w:fill="FFFFFF"/>
        </w:rPr>
        <w:t>第二章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_Toc13491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61BA4B43">
      <w:pPr>
        <w:pStyle w:val="32"/>
        <w:tabs>
          <w:tab w:val="right" w:leader="dot" w:pos="8845"/>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_Toc27698 </w:instrText>
      </w:r>
      <w:r>
        <w:rPr>
          <w:rFonts w:hint="eastAsia" w:ascii="仿宋" w:hAnsi="仿宋" w:eastAsia="仿宋" w:cs="仿宋"/>
          <w:sz w:val="32"/>
          <w:szCs w:val="32"/>
          <w:highlight w:val="none"/>
        </w:rPr>
        <w:fldChar w:fldCharType="separate"/>
      </w:r>
      <w:r>
        <w:rPr>
          <w:rFonts w:hint="eastAsia" w:ascii="仿宋" w:hAnsi="仿宋" w:eastAsia="仿宋" w:cs="仿宋"/>
          <w:bCs w:val="0"/>
          <w:sz w:val="32"/>
          <w:szCs w:val="32"/>
          <w:highlight w:val="none"/>
          <w:shd w:val="clear" w:color="auto" w:fill="FFFFFF"/>
        </w:rPr>
        <w:t>第三章  响应文件格式</w:t>
      </w:r>
      <w:bookmarkStart w:id="41" w:name="_GoBack"/>
      <w:bookmarkEnd w:id="41"/>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_Toc27698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38</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3A029FB2">
      <w:pPr>
        <w:pStyle w:val="32"/>
        <w:tabs>
          <w:tab w:val="right" w:leader="dot" w:pos="8845"/>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_Toc12046 </w:instrText>
      </w:r>
      <w:r>
        <w:rPr>
          <w:rFonts w:hint="eastAsia" w:ascii="仿宋" w:hAnsi="仿宋" w:eastAsia="仿宋" w:cs="仿宋"/>
          <w:sz w:val="32"/>
          <w:szCs w:val="32"/>
          <w:highlight w:val="none"/>
        </w:rPr>
        <w:fldChar w:fldCharType="separate"/>
      </w:r>
      <w:r>
        <w:rPr>
          <w:rFonts w:hint="eastAsia" w:ascii="仿宋" w:hAnsi="仿宋" w:eastAsia="仿宋" w:cs="仿宋"/>
          <w:bCs w:val="0"/>
          <w:sz w:val="32"/>
          <w:szCs w:val="32"/>
          <w:highlight w:val="none"/>
          <w:shd w:val="clear" w:color="auto" w:fill="FFFFFF"/>
        </w:rPr>
        <w:t>第四章  拟签订的合同文本</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_Toc12046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62</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1F5720C8">
      <w:pPr>
        <w:pStyle w:val="32"/>
        <w:tabs>
          <w:tab w:val="right" w:leader="dot" w:pos="8845"/>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_Toc18078 </w:instrText>
      </w:r>
      <w:r>
        <w:rPr>
          <w:rFonts w:hint="eastAsia" w:ascii="仿宋" w:hAnsi="仿宋" w:eastAsia="仿宋" w:cs="仿宋"/>
          <w:sz w:val="32"/>
          <w:szCs w:val="32"/>
          <w:highlight w:val="none"/>
        </w:rPr>
        <w:fldChar w:fldCharType="separate"/>
      </w:r>
      <w:r>
        <w:rPr>
          <w:rFonts w:hint="eastAsia" w:ascii="仿宋" w:hAnsi="仿宋" w:eastAsia="仿宋" w:cs="仿宋"/>
          <w:bCs w:val="0"/>
          <w:sz w:val="32"/>
          <w:szCs w:val="32"/>
          <w:highlight w:val="none"/>
          <w:shd w:val="clear" w:color="auto" w:fill="FFFFFF"/>
        </w:rPr>
        <w:t>第五章  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_Toc18078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73</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4CC72B3C">
      <w:pPr>
        <w:pStyle w:val="32"/>
        <w:tabs>
          <w:tab w:val="right" w:leader="dot" w:pos="8845"/>
        </w:tabs>
        <w:spacing w:line="480" w:lineRule="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sz w:val="32"/>
          <w:szCs w:val="32"/>
          <w:highlight w:val="none"/>
        </w:rPr>
        <w:instrText xml:space="preserve"> HYPERLINK \l _Toc19187 </w:instrText>
      </w:r>
      <w:r>
        <w:rPr>
          <w:rFonts w:hint="eastAsia" w:ascii="仿宋" w:hAnsi="仿宋" w:eastAsia="仿宋" w:cs="仿宋"/>
          <w:sz w:val="32"/>
          <w:szCs w:val="32"/>
          <w:highlight w:val="none"/>
        </w:rPr>
        <w:fldChar w:fldCharType="separate"/>
      </w:r>
      <w:r>
        <w:rPr>
          <w:rFonts w:hint="eastAsia" w:ascii="仿宋" w:hAnsi="仿宋" w:eastAsia="仿宋" w:cs="仿宋"/>
          <w:bCs w:val="0"/>
          <w:sz w:val="32"/>
          <w:szCs w:val="32"/>
          <w:highlight w:val="none"/>
          <w:shd w:val="clear" w:color="auto" w:fill="FFFFFF"/>
        </w:rPr>
        <w:t>第六章  采购需求及要求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_Toc19187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85</w:t>
      </w:r>
      <w:r>
        <w:rPr>
          <w:rFonts w:hint="eastAsia" w:ascii="仿宋" w:hAnsi="仿宋" w:eastAsia="仿宋" w:cs="仿宋"/>
          <w:sz w:val="32"/>
          <w:szCs w:val="32"/>
          <w:highlight w:val="none"/>
        </w:rPr>
        <w:fldChar w:fldCharType="end"/>
      </w:r>
      <w:r>
        <w:rPr>
          <w:rFonts w:hint="eastAsia" w:ascii="仿宋" w:hAnsi="仿宋" w:eastAsia="仿宋" w:cs="仿宋"/>
          <w:color w:val="auto"/>
          <w:sz w:val="32"/>
          <w:szCs w:val="32"/>
          <w:highlight w:val="none"/>
        </w:rPr>
        <w:fldChar w:fldCharType="end"/>
      </w:r>
    </w:p>
    <w:p w14:paraId="1E929517">
      <w:pPr>
        <w:overflowPunct w:val="0"/>
        <w:topLinePunct/>
        <w:autoSpaceDE/>
        <w:autoSpaceDN/>
        <w:spacing w:line="480" w:lineRule="auto"/>
        <w:jc w:val="both"/>
        <w:rPr>
          <w:rFonts w:hint="eastAsia" w:ascii="仿宋" w:hAnsi="仿宋" w:eastAsia="仿宋"/>
          <w:color w:val="auto"/>
          <w:highlight w:val="none"/>
        </w:rPr>
      </w:pPr>
      <w:r>
        <w:rPr>
          <w:rFonts w:hint="eastAsia" w:ascii="仿宋" w:hAnsi="仿宋" w:eastAsia="仿宋" w:cs="仿宋"/>
          <w:color w:val="auto"/>
          <w:sz w:val="32"/>
          <w:szCs w:val="32"/>
          <w:highlight w:val="none"/>
        </w:rPr>
        <w:fldChar w:fldCharType="end"/>
      </w:r>
    </w:p>
    <w:p w14:paraId="070BA5BE">
      <w:pPr>
        <w:overflowPunct w:val="0"/>
        <w:topLinePunct/>
        <w:autoSpaceDE/>
        <w:autoSpaceDN/>
        <w:spacing w:line="560" w:lineRule="exact"/>
        <w:jc w:val="both"/>
        <w:rPr>
          <w:rFonts w:hint="eastAsia" w:ascii="仿宋" w:hAnsi="仿宋" w:eastAsia="仿宋"/>
          <w:color w:val="auto"/>
          <w:highlight w:val="none"/>
        </w:rPr>
      </w:pPr>
    </w:p>
    <w:p w14:paraId="07A75235">
      <w:pPr>
        <w:overflowPunct w:val="0"/>
        <w:topLinePunct/>
        <w:autoSpaceDE/>
        <w:autoSpaceDN/>
        <w:spacing w:line="560" w:lineRule="exact"/>
        <w:jc w:val="both"/>
        <w:rPr>
          <w:rFonts w:hint="eastAsia" w:ascii="仿宋" w:hAnsi="仿宋" w:eastAsia="仿宋"/>
          <w:color w:val="auto"/>
          <w:highlight w:val="none"/>
        </w:rPr>
      </w:pPr>
    </w:p>
    <w:p w14:paraId="543C2798">
      <w:pPr>
        <w:widowControl/>
        <w:wordWrap w:val="0"/>
        <w:autoSpaceDE/>
        <w:autoSpaceDN/>
        <w:adjustRightInd/>
        <w:spacing w:line="560" w:lineRule="exact"/>
        <w:jc w:val="center"/>
        <w:outlineLvl w:val="0"/>
        <w:rPr>
          <w:rStyle w:val="48"/>
          <w:rFonts w:hint="eastAsia" w:ascii="方正小标宋简体" w:hAnsi="方正小标宋简体" w:eastAsia="方正小标宋简体" w:cs="方正小标宋简体"/>
          <w:b w:val="0"/>
          <w:bCs w:val="0"/>
          <w:color w:val="auto"/>
          <w:sz w:val="36"/>
          <w:szCs w:val="36"/>
          <w:highlight w:val="none"/>
          <w:shd w:val="clear" w:color="auto" w:fill="FFFFFF"/>
        </w:rPr>
        <w:sectPr>
          <w:headerReference r:id="rId8" w:type="first"/>
          <w:footerReference r:id="rId10" w:type="first"/>
          <w:headerReference r:id="rId7" w:type="default"/>
          <w:footerReference r:id="rId9" w:type="default"/>
          <w:pgSz w:w="11906" w:h="16838"/>
          <w:pgMar w:top="2098" w:right="1474" w:bottom="1984" w:left="1587" w:header="1474" w:footer="1474" w:gutter="0"/>
          <w:pgBorders>
            <w:top w:val="none" w:sz="0" w:space="0"/>
            <w:left w:val="none" w:sz="0" w:space="0"/>
            <w:bottom w:val="none" w:sz="0" w:space="0"/>
            <w:right w:val="none" w:sz="0" w:space="0"/>
          </w:pgBorders>
          <w:pgNumType w:fmt="upperRoman"/>
          <w:cols w:space="720" w:num="1"/>
          <w:titlePg/>
          <w:docGrid w:type="lines" w:linePitch="386" w:charSpace="0"/>
        </w:sectPr>
      </w:pPr>
    </w:p>
    <w:p w14:paraId="038ADAEA">
      <w:pPr>
        <w:widowControl/>
        <w:wordWrap w:val="0"/>
        <w:autoSpaceDE/>
        <w:autoSpaceDN/>
        <w:adjustRightInd/>
        <w:spacing w:line="560" w:lineRule="exact"/>
        <w:jc w:val="center"/>
        <w:outlineLvl w:val="0"/>
        <w:rPr>
          <w:rStyle w:val="48"/>
          <w:rFonts w:hint="eastAsia" w:ascii="方正小标宋简体" w:hAnsi="方正小标宋简体" w:eastAsia="方正小标宋简体" w:cs="方正小标宋简体"/>
          <w:b w:val="0"/>
          <w:bCs w:val="0"/>
          <w:color w:val="auto"/>
          <w:sz w:val="36"/>
          <w:szCs w:val="36"/>
          <w:highlight w:val="none"/>
          <w:shd w:val="clear" w:color="auto" w:fill="FFFFFF"/>
        </w:rPr>
      </w:pPr>
      <w:bookmarkStart w:id="0" w:name="_Toc13602"/>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第一章  竞争性磋商公告</w:t>
      </w:r>
      <w:bookmarkEnd w:id="0"/>
    </w:p>
    <w:p w14:paraId="5E73C457">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项目概况</w:t>
      </w:r>
    </w:p>
    <w:p w14:paraId="05D0429D">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长乐公园西门基础设施建设工程设计采购项目的潜在供应商应在西安市碑林区和平路71号（和平路与东十道巷交叉口向东20米）综合楼5楼505室获取采购文件，并于2025年06月30日14时30分（北京时间）前提交响应文件。</w:t>
      </w:r>
    </w:p>
    <w:p w14:paraId="4C72D544">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一、项目基本情况</w:t>
      </w:r>
    </w:p>
    <w:p w14:paraId="1FAAFC51">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项目编号：ZXZB-CG2025-187</w:t>
      </w:r>
    </w:p>
    <w:p w14:paraId="69C0FA15">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项目名称：长乐公园西门基础设施建设工程设计</w:t>
      </w:r>
    </w:p>
    <w:p w14:paraId="35233A8A">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采购方式：竞争性磋商</w:t>
      </w:r>
    </w:p>
    <w:p w14:paraId="49DB2598">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预算金额：225,200.00元</w:t>
      </w:r>
    </w:p>
    <w:p w14:paraId="6036CCFA">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采购需求：</w:t>
      </w:r>
    </w:p>
    <w:p w14:paraId="42F9B104">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合同包1(长乐公园西门基础设施建设工程设计):</w:t>
      </w:r>
    </w:p>
    <w:p w14:paraId="4CB57340">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合同包预算金额：225,200.00元</w:t>
      </w:r>
    </w:p>
    <w:p w14:paraId="3846AFA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合同包最高限价：225,200.00元</w:t>
      </w:r>
    </w:p>
    <w:tbl>
      <w:tblPr>
        <w:tblStyle w:val="44"/>
        <w:tblpPr w:leftFromText="180" w:rightFromText="180" w:vertAnchor="text" w:horzAnchor="page" w:tblpX="1307" w:tblpY="325"/>
        <w:tblOverlap w:val="never"/>
        <w:tblW w:w="92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0"/>
        <w:gridCol w:w="883"/>
        <w:gridCol w:w="1800"/>
        <w:gridCol w:w="1117"/>
        <w:gridCol w:w="1183"/>
        <w:gridCol w:w="1867"/>
        <w:gridCol w:w="1617"/>
      </w:tblGrid>
      <w:tr w14:paraId="3D3E6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16" w:hRule="atLeast"/>
          <w:tblHeader/>
        </w:trPr>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5623B8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品目号</w:t>
            </w:r>
          </w:p>
        </w:tc>
        <w:tc>
          <w:tcPr>
            <w:tcW w:w="88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9DDFC9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品目名称</w:t>
            </w:r>
          </w:p>
        </w:tc>
        <w:tc>
          <w:tcPr>
            <w:tcW w:w="18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3004E5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采购标的</w:t>
            </w:r>
          </w:p>
        </w:tc>
        <w:tc>
          <w:tcPr>
            <w:tcW w:w="11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E6295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数量（单位）</w:t>
            </w:r>
          </w:p>
        </w:tc>
        <w:tc>
          <w:tcPr>
            <w:tcW w:w="118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87ECE4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9A1E3A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品目预算(元)</w:t>
            </w:r>
          </w:p>
        </w:tc>
        <w:tc>
          <w:tcPr>
            <w:tcW w:w="16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A607DD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lang w:val="en-US" w:eastAsia="zh-CN" w:bidi="ar"/>
              </w:rPr>
              <w:t>最高限价(元)</w:t>
            </w:r>
          </w:p>
        </w:tc>
      </w:tr>
      <w:tr w14:paraId="09E29F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81" w:hRule="atLeast"/>
        </w:trPr>
        <w:tc>
          <w:tcPr>
            <w:tcW w:w="81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DDDFD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1-1</w:t>
            </w:r>
          </w:p>
        </w:tc>
        <w:tc>
          <w:tcPr>
            <w:tcW w:w="88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BDE6C5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工程设计服务</w:t>
            </w:r>
          </w:p>
        </w:tc>
        <w:tc>
          <w:tcPr>
            <w:tcW w:w="180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5B4851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长乐公园西门基础设施建设设计</w:t>
            </w:r>
          </w:p>
        </w:tc>
        <w:tc>
          <w:tcPr>
            <w:tcW w:w="11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E89AC9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1(项)</w:t>
            </w:r>
          </w:p>
        </w:tc>
        <w:tc>
          <w:tcPr>
            <w:tcW w:w="118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EE2FC8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详见采购文件</w:t>
            </w:r>
          </w:p>
        </w:tc>
        <w:tc>
          <w:tcPr>
            <w:tcW w:w="186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406BB09">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225,200.00</w:t>
            </w:r>
          </w:p>
        </w:tc>
        <w:tc>
          <w:tcPr>
            <w:tcW w:w="16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CEB7D34">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i w:val="0"/>
                <w:iCs w:val="0"/>
                <w:caps w:val="0"/>
                <w:color w:val="333333"/>
                <w:spacing w:val="0"/>
                <w:kern w:val="0"/>
                <w:sz w:val="28"/>
                <w:szCs w:val="28"/>
                <w:highlight w:val="none"/>
                <w:lang w:val="en-US" w:eastAsia="zh-CN" w:bidi="ar"/>
              </w:rPr>
              <w:t>225,200.00</w:t>
            </w:r>
          </w:p>
        </w:tc>
      </w:tr>
    </w:tbl>
    <w:p w14:paraId="3662AEEA">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本合同包不接受联合体投标</w:t>
      </w:r>
    </w:p>
    <w:p w14:paraId="771F5A4E">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合同履行期限：15日历天（初步设计5日历天，施工图设计10日历天）</w:t>
      </w:r>
    </w:p>
    <w:p w14:paraId="4CC79D7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二、申请人的资格要求：</w:t>
      </w:r>
    </w:p>
    <w:p w14:paraId="11CA6F99">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1.满足《中华人民共和国政府采购法》第二十二条规定;</w:t>
      </w:r>
    </w:p>
    <w:p w14:paraId="2AA5AD78">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2.落实政府采购政策需满足的资格要求：</w:t>
      </w:r>
    </w:p>
    <w:p w14:paraId="20CD282F">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合同包1(长乐公园西门基础设施建设工程设计)落实政府采购政策需满足的资格要求如下:</w:t>
      </w:r>
    </w:p>
    <w:p w14:paraId="195A3B8D">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本项目专门面向中小企业采购,仅限符合《政府采购促进中小企业发展暂行办法》（财库〔2020〕46号）条件的中小企业参与，供应商应填写中小企业声明函并对真实性负责。残疾人福利性单位及监狱企业视同为小型、微型企业，残疾人福利性单位应符合《关于促进残疾人就业政府采购政策的通知》（财库〔2017〕141号）要求，监狱企业应符合《关于政府采购支持监狱企业发展有关问题的通知》（财库〔2014〕68号）要求。</w:t>
      </w:r>
    </w:p>
    <w:p w14:paraId="0C070EC8">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3.本项目的特定资格要求：</w:t>
      </w:r>
    </w:p>
    <w:p w14:paraId="3A941D0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合同包1(长乐公园西门基础设施建设工程设计)特定资格要求如下:</w:t>
      </w:r>
    </w:p>
    <w:p w14:paraId="6236993C">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（1）具有独立承担民事责任的能力：具有独立承担民事责任能力的法人、其他组织或自然人，并出具合法有效的营业执照或事业单位法人证书等国家规定的相关证明，自然人参与的提供其身份证明。</w:t>
      </w:r>
    </w:p>
    <w:p w14:paraId="1A720CB0">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2）具有良好的商业信誉和健全的财务会计制度：提供2023年或2024年完整的财务审计报告（审计报告需上传至注册会计师行业统一监管平台并申请赋码），或磋商截止时间前六个月内公司基本账户开户银行出具的资信证明（附基本存款账户信息），其他组织和自然人提供银行出具的资信证明。</w:t>
      </w:r>
    </w:p>
    <w:p w14:paraId="65BC580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（3）具有履行合同所必需的设备和专业技术能力：提供具有履行合同所必需的设备和专业技术能力的书面声明。</w:t>
      </w:r>
    </w:p>
    <w:p w14:paraId="4AB4E079">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（4）有依法缴纳税收的良好记录：提供2024年06月至今已缴纳的至少一个月的纳税证明或完税证明，依法免税的单位应提供相关证明材料。</w:t>
      </w:r>
    </w:p>
    <w:p w14:paraId="5BD45353">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5）有依法缴纳社会保障资金的良好记录：提供2024年06月至今已缴存的至少一个月的社会保障资金缴存单据或社保机构开具的社会保险参保缴费情况证明，依法不需要缴纳社会保障资金的单位应提供相关证明材料。</w:t>
      </w:r>
    </w:p>
    <w:p w14:paraId="1C00CBEC">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6）参加政府采购活动前三年内，在经营活动中没有重大违法记录：提供参加本次政府采购活动前3年内在经营活动中没有重大违法记录，以及未被列入失信被执行人、重大税收违法失信主体、政府采购严重违法失信行为记录名单的书面声明；被列入【信用中国】网站（www.creditchina.gov.cn）“失信被执行人”、“重大税收违法失信主体”、“政府采购严重违法失信行为记录名单”以及【中国政府采购网】(www.ccgp.gov.cn)“政府采购严重违法失信行为记录名单”的供应商不得参加本次政府采购活动。</w:t>
      </w:r>
    </w:p>
    <w:p w14:paraId="7EBACEE9">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（7）法定代表人（主要负责人）委托授权书\身份证明：法定代表人（主要负责人）参与磋商时，提供法定代表人（主要负责人）身份证明；授权代表参与磋商时，提供法定代表人（主要负责人）委托授权书。</w:t>
      </w:r>
    </w:p>
    <w:p w14:paraId="5B6105E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（8）企业资质：供应商须具备工程设计综合甲级资质或风景园林工程设计专项乙级及以上资质，并在人员、设备、资金等方面具备相应的能力。</w:t>
      </w:r>
    </w:p>
    <w:p w14:paraId="3BCDED4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（9）拟派项目负责人应具有相关专业二级注册建筑师及以上资格，并在本单位注册或中级工程师职称。</w:t>
      </w:r>
    </w:p>
    <w:p w14:paraId="76BBD066">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三、获取采购文件</w:t>
      </w:r>
    </w:p>
    <w:p w14:paraId="797EB29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时间：2025年06月19日至2025年06月25日，每天上午09:00:00至12:00:00，下午14:00:00至17:00:00（北京时间）</w:t>
      </w:r>
    </w:p>
    <w:p w14:paraId="72E0BE9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途径：西安市碑林区和平路71号（和平路与东十道巷交叉口向东20米）综合楼5楼505室</w:t>
      </w:r>
    </w:p>
    <w:p w14:paraId="2CFE8907">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方式：现场获取</w:t>
      </w:r>
    </w:p>
    <w:p w14:paraId="3D94F5B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售价：0元</w:t>
      </w:r>
    </w:p>
    <w:p w14:paraId="7F6F0395">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四、响应文件提交</w:t>
      </w:r>
    </w:p>
    <w:p w14:paraId="008641F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截止时间：2025年06月30日14时30分00秒（北京时间）</w:t>
      </w:r>
    </w:p>
    <w:p w14:paraId="1ECFB7F3">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地点：西安市碑林区和平路71号（和平路与东十道巷交叉口向东20米）综合楼5楼会议室</w:t>
      </w:r>
    </w:p>
    <w:p w14:paraId="35F50645">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五、开启</w:t>
      </w:r>
    </w:p>
    <w:p w14:paraId="525BBDE3">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时间：2025年06月30日14时30分00秒（北京时间）</w:t>
      </w:r>
    </w:p>
    <w:p w14:paraId="1FB55B1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地点：西安市碑林区和平路71号（和平路与东十道巷交叉口向东20米）综合楼5楼会议室</w:t>
      </w:r>
    </w:p>
    <w:p w14:paraId="48FA73BF">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六、公告期限</w:t>
      </w:r>
    </w:p>
    <w:p w14:paraId="61C304C4">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自本公告发布之日起3个工作日。</w:t>
      </w:r>
    </w:p>
    <w:p w14:paraId="7FD88A0C">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七、其他补充事宜</w:t>
      </w:r>
    </w:p>
    <w:p w14:paraId="4415AF0F">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1.获取文件所需资料：获取采购文件需携带单位介绍信、经办人身份证原件及身份证复印件加盖公章。</w:t>
      </w:r>
    </w:p>
    <w:p w14:paraId="6F79892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2.政府采购项目需落实的政府采购政策：</w:t>
      </w:r>
    </w:p>
    <w:p w14:paraId="28618233">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（1）《政府采购促进中小企业发展管理办法》（财库〔2020〕46号）；</w:t>
      </w:r>
    </w:p>
    <w:p w14:paraId="322FBFF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（2）《财政部司法部关于政府采购支持监狱企业发展有关问题的通知》（财库〔2014〕68号）；</w:t>
      </w:r>
    </w:p>
    <w:p w14:paraId="2AF4304D">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（3）《财政部 民政部 中国残疾人联合会关于促进残疾人就业政府采购政策的通知》（财库〔2017〕141号）；</w:t>
      </w:r>
    </w:p>
    <w:p w14:paraId="7B02A5D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（4）《财政部国家发展改革委关于印发(节能产品政府采购实施意见)的通知》(财库〔2004〕185号)；</w:t>
      </w:r>
    </w:p>
    <w:p w14:paraId="3087D02C">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（5）《国务院办公厅关于建立政府强制采购节能产品制度的通知》(国办发〔2007〕51号)；</w:t>
      </w:r>
    </w:p>
    <w:p w14:paraId="1E1790B4">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（6）《财政部环保总局关于环境标志产品政府采购实施的意见》(财库〔2006〕90号)；</w:t>
      </w:r>
    </w:p>
    <w:p w14:paraId="2568C2E7">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（7）《财政部发展改革委 生态环境部 市场监管总局关于调整优化节能产品、环境标志产品政府采购执行机制的通知》（财库〔2019〕9号）；</w:t>
      </w:r>
    </w:p>
    <w:p w14:paraId="220D9819">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（8）《关于印发环境标志产品政府采购品目清单的通知》（财库〔2019〕18号）；</w:t>
      </w:r>
    </w:p>
    <w:p w14:paraId="01760D4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（9）《关于印发节能产品政府采购品目清单的通知》（财库〔2019〕19号）；</w:t>
      </w:r>
    </w:p>
    <w:p w14:paraId="2B843C6D">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（10）《财政部 农业农村部 国家乡村振兴局关于运用政府采购政策支持乡村产业振兴的通知》（财库〔2021〕19号）；</w:t>
      </w:r>
    </w:p>
    <w:p w14:paraId="249C29D6">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（11）《陕西省财政厅关于印发陕西省中小企业政府采购信用融资办法》（陕财办采〔2018〕23号）；</w:t>
      </w:r>
    </w:p>
    <w:p w14:paraId="61688940">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（12）《陕西省财政厅关于加快推进我省中小企业政府采购信用融资工作的通知》（陕财办采〔2020〕15号）；</w:t>
      </w:r>
    </w:p>
    <w:p w14:paraId="4067381F">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（13）其他需要落实的政府采购政策。</w:t>
      </w:r>
    </w:p>
    <w:p w14:paraId="65B68364">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八、对本次招标提出询问，请按以下方式联系。</w:t>
      </w:r>
    </w:p>
    <w:p w14:paraId="7B43ECB0">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1.采购人信息</w:t>
      </w:r>
    </w:p>
    <w:p w14:paraId="1B0A11E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名称：西安市长乐公园</w:t>
      </w:r>
    </w:p>
    <w:p w14:paraId="07BF9018">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地址：西安市碑林区金花北路35号</w:t>
      </w:r>
    </w:p>
    <w:p w14:paraId="5AAB4D1C">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联系方式：029-83283442</w:t>
      </w:r>
    </w:p>
    <w:p w14:paraId="15D33DCB">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2.采购代理机构信息</w:t>
      </w:r>
    </w:p>
    <w:p w14:paraId="11B4E4B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名称：陕西中信项目咨询有限公司</w:t>
      </w:r>
    </w:p>
    <w:p w14:paraId="21F692B5">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地址：陕西省西安市碑林区和平路71号综合楼</w:t>
      </w:r>
    </w:p>
    <w:p w14:paraId="1FAD0822">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联系方式：029-87216602</w:t>
      </w:r>
    </w:p>
    <w:p w14:paraId="2CD8C6FF">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3.项目联系方式</w:t>
      </w:r>
    </w:p>
    <w:p w14:paraId="189C7BF4">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项目联系人：贾雅楠</w:t>
      </w:r>
    </w:p>
    <w:p w14:paraId="1705C858">
      <w:pPr>
        <w:keepNext w:val="0"/>
        <w:keepLines w:val="0"/>
        <w:pageBreakBefore w:val="0"/>
        <w:widowControl/>
        <w:kinsoku/>
        <w:wordWrap w:val="0"/>
        <w:overflowPunct/>
        <w:topLinePunct w:val="0"/>
        <w:autoSpaceDE/>
        <w:autoSpaceDN/>
        <w:bidi w:val="0"/>
        <w:adjustRightInd/>
        <w:snapToGrid/>
        <w:spacing w:line="560" w:lineRule="exact"/>
        <w:ind w:firstLine="560" w:firstLineChars="200"/>
        <w:textAlignment w:val="auto"/>
        <w:rPr>
          <w:rStyle w:val="48"/>
          <w:rFonts w:hint="eastAsia" w:ascii="仿宋" w:hAnsi="仿宋" w:eastAsia="仿宋" w:cs="仿宋"/>
          <w:b w:val="0"/>
          <w:bCs w:val="0"/>
          <w:color w:val="auto"/>
          <w:highlight w:val="none"/>
          <w:shd w:val="clear" w:color="auto" w:fill="FFFFFF"/>
        </w:rPr>
      </w:pPr>
      <w:r>
        <w:rPr>
          <w:rStyle w:val="48"/>
          <w:rFonts w:hint="eastAsia" w:ascii="仿宋" w:hAnsi="仿宋" w:eastAsia="仿宋" w:cs="仿宋"/>
          <w:b w:val="0"/>
          <w:bCs w:val="0"/>
          <w:color w:val="auto"/>
          <w:highlight w:val="none"/>
          <w:shd w:val="clear" w:color="auto" w:fill="FFFFFF"/>
        </w:rPr>
        <w:t>电话：029-87216602</w:t>
      </w:r>
    </w:p>
    <w:p w14:paraId="40AF7BAB">
      <w:pPr>
        <w:pStyle w:val="19"/>
        <w:spacing w:after="0" w:line="560" w:lineRule="exact"/>
        <w:jc w:val="center"/>
        <w:outlineLvl w:val="0"/>
        <w:rPr>
          <w:rStyle w:val="48"/>
          <w:rFonts w:hint="eastAsia" w:ascii="方正小标宋简体" w:hAnsi="方正小标宋简体" w:eastAsia="方正小标宋简体" w:cs="方正小标宋简体"/>
          <w:b w:val="0"/>
          <w:bCs w:val="0"/>
          <w:color w:val="auto"/>
          <w:sz w:val="44"/>
          <w:szCs w:val="44"/>
          <w:highlight w:val="none"/>
          <w:shd w:val="clear" w:color="auto" w:fill="FFFFFF"/>
        </w:rPr>
      </w:pPr>
      <w:r>
        <w:rPr>
          <w:rFonts w:hint="eastAsia"/>
          <w:color w:val="auto"/>
          <w:highlight w:val="none"/>
        </w:rPr>
        <w:br w:type="page"/>
      </w:r>
      <w:bookmarkStart w:id="1" w:name="_Toc13491"/>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第二章  供应商须知</w:t>
      </w:r>
      <w:bookmarkEnd w:id="1"/>
    </w:p>
    <w:p w14:paraId="60805BCE">
      <w:pPr>
        <w:tabs>
          <w:tab w:val="left" w:pos="980"/>
        </w:tabs>
        <w:overflowPunct w:val="0"/>
        <w:topLinePunct/>
        <w:autoSpaceDE/>
        <w:autoSpaceDN/>
        <w:spacing w:line="560" w:lineRule="exact"/>
        <w:jc w:val="center"/>
        <w:outlineLvl w:val="1"/>
        <w:rPr>
          <w:rFonts w:hint="eastAsia" w:ascii="黑体" w:hAnsi="黑体" w:eastAsia="黑体" w:cs="黑体"/>
          <w:bCs/>
          <w:color w:val="auto"/>
          <w:szCs w:val="36"/>
          <w:highlight w:val="none"/>
        </w:rPr>
      </w:pPr>
      <w:r>
        <w:rPr>
          <w:rFonts w:hint="eastAsia" w:ascii="黑体" w:hAnsi="黑体" w:eastAsia="黑体" w:cs="黑体"/>
          <w:bCs/>
          <w:color w:val="auto"/>
          <w:szCs w:val="36"/>
          <w:highlight w:val="none"/>
        </w:rPr>
        <w:t>前附事项表</w:t>
      </w:r>
    </w:p>
    <w:tbl>
      <w:tblPr>
        <w:tblStyle w:val="44"/>
        <w:tblW w:w="9648" w:type="dxa"/>
        <w:jc w:val="center"/>
        <w:tblLayout w:type="fixed"/>
        <w:tblCellMar>
          <w:top w:w="0" w:type="dxa"/>
          <w:left w:w="108" w:type="dxa"/>
          <w:bottom w:w="0" w:type="dxa"/>
          <w:right w:w="108" w:type="dxa"/>
        </w:tblCellMar>
      </w:tblPr>
      <w:tblGrid>
        <w:gridCol w:w="798"/>
        <w:gridCol w:w="2344"/>
        <w:gridCol w:w="6506"/>
      </w:tblGrid>
      <w:tr w14:paraId="70EDAC30">
        <w:tblPrEx>
          <w:tblCellMar>
            <w:top w:w="0" w:type="dxa"/>
            <w:left w:w="108" w:type="dxa"/>
            <w:bottom w:w="0" w:type="dxa"/>
            <w:right w:w="108" w:type="dxa"/>
          </w:tblCellMar>
        </w:tblPrEx>
        <w:trPr>
          <w:trHeight w:val="285" w:hRule="atLeast"/>
          <w:jc w:val="center"/>
        </w:trPr>
        <w:tc>
          <w:tcPr>
            <w:tcW w:w="9648" w:type="dxa"/>
            <w:gridSpan w:val="3"/>
            <w:tcBorders>
              <w:top w:val="single" w:color="auto" w:sz="4" w:space="0"/>
              <w:left w:val="single" w:color="auto" w:sz="4" w:space="0"/>
              <w:bottom w:val="single" w:color="auto" w:sz="4" w:space="0"/>
              <w:right w:val="single" w:color="auto" w:sz="4" w:space="0"/>
            </w:tcBorders>
            <w:noWrap w:val="0"/>
            <w:vAlign w:val="center"/>
          </w:tcPr>
          <w:p w14:paraId="659CACD5">
            <w:pPr>
              <w:keepNext w:val="0"/>
              <w:keepLines w:val="0"/>
              <w:pageBreakBefore w:val="0"/>
              <w:widowControl/>
              <w:kinsoku/>
              <w:autoSpaceDE/>
              <w:autoSpaceDN/>
              <w:bidi w:val="0"/>
              <w:adjustRightInd/>
              <w:snapToGrid/>
              <w:spacing w:line="520" w:lineRule="exact"/>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前附事项表是对采购文件各章节条款项和特别约定事项的详细说明与具体要求，供应商在磋商响应时应当作出符合性、有效性、实质性响应。否则，所引发的不利后果或者导致响应无效的责任由供应商自负。正文与前附事项表表述不一致时，以前附事项表为准。</w:t>
            </w:r>
          </w:p>
        </w:tc>
      </w:tr>
      <w:tr w14:paraId="145452D0">
        <w:tblPrEx>
          <w:tblCellMar>
            <w:top w:w="0" w:type="dxa"/>
            <w:left w:w="108" w:type="dxa"/>
            <w:bottom w:w="0" w:type="dxa"/>
            <w:right w:w="108" w:type="dxa"/>
          </w:tblCellMar>
        </w:tblPrEx>
        <w:trPr>
          <w:trHeight w:val="649" w:hRule="atLeast"/>
          <w:jc w:val="center"/>
        </w:trPr>
        <w:tc>
          <w:tcPr>
            <w:tcW w:w="9648" w:type="dxa"/>
            <w:gridSpan w:val="3"/>
            <w:tcBorders>
              <w:top w:val="single" w:color="auto" w:sz="4" w:space="0"/>
              <w:left w:val="single" w:color="auto" w:sz="4" w:space="0"/>
              <w:bottom w:val="single" w:color="auto" w:sz="4" w:space="0"/>
              <w:right w:val="single" w:color="auto" w:sz="4" w:space="0"/>
            </w:tcBorders>
            <w:noWrap w:val="0"/>
            <w:vAlign w:val="center"/>
          </w:tcPr>
          <w:p w14:paraId="119EF760">
            <w:pPr>
              <w:keepNext w:val="0"/>
              <w:keepLines w:val="0"/>
              <w:pageBreakBefore w:val="0"/>
              <w:widowControl/>
              <w:kinsoku/>
              <w:autoSpaceDE/>
              <w:autoSpaceDN/>
              <w:bidi w:val="0"/>
              <w:adjustRightInd/>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rPr>
              <w:t>1、第一、二章前附事项</w:t>
            </w:r>
          </w:p>
        </w:tc>
      </w:tr>
      <w:tr w14:paraId="2632C1B3">
        <w:tblPrEx>
          <w:tblCellMar>
            <w:top w:w="0" w:type="dxa"/>
            <w:left w:w="108" w:type="dxa"/>
            <w:bottom w:w="0" w:type="dxa"/>
            <w:right w:w="108" w:type="dxa"/>
          </w:tblCellMar>
        </w:tblPrEx>
        <w:trPr>
          <w:trHeight w:val="678"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CDB279A">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5D88308">
            <w:pPr>
              <w:keepNext w:val="0"/>
              <w:keepLines w:val="0"/>
              <w:pageBreakBefore w:val="0"/>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采购项目名称</w:t>
            </w:r>
          </w:p>
        </w:tc>
        <w:tc>
          <w:tcPr>
            <w:tcW w:w="6506" w:type="dxa"/>
            <w:tcBorders>
              <w:top w:val="single" w:color="auto" w:sz="4" w:space="0"/>
              <w:left w:val="single" w:color="auto" w:sz="4" w:space="0"/>
              <w:bottom w:val="single" w:color="auto" w:sz="4" w:space="0"/>
              <w:right w:val="single" w:color="auto" w:sz="4" w:space="0"/>
            </w:tcBorders>
            <w:noWrap w:val="0"/>
            <w:vAlign w:val="center"/>
          </w:tcPr>
          <w:p w14:paraId="3DF274A0">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长乐公园西门基础设施建设工程设计</w:t>
            </w:r>
          </w:p>
        </w:tc>
      </w:tr>
      <w:tr w14:paraId="3FA8D9D5">
        <w:tblPrEx>
          <w:tblCellMar>
            <w:top w:w="0" w:type="dxa"/>
            <w:left w:w="108" w:type="dxa"/>
            <w:bottom w:w="0" w:type="dxa"/>
            <w:right w:w="108" w:type="dxa"/>
          </w:tblCellMar>
        </w:tblPrEx>
        <w:trPr>
          <w:trHeight w:val="71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4DC5C95">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CB05E15">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采购项目编号</w:t>
            </w:r>
          </w:p>
        </w:tc>
        <w:tc>
          <w:tcPr>
            <w:tcW w:w="6506" w:type="dxa"/>
            <w:tcBorders>
              <w:top w:val="single" w:color="auto" w:sz="4" w:space="0"/>
              <w:left w:val="single" w:color="auto" w:sz="4" w:space="0"/>
              <w:bottom w:val="single" w:color="auto" w:sz="4" w:space="0"/>
              <w:right w:val="single" w:color="auto" w:sz="4" w:space="0"/>
            </w:tcBorders>
            <w:noWrap w:val="0"/>
            <w:vAlign w:val="center"/>
          </w:tcPr>
          <w:p w14:paraId="4616E768">
            <w:pPr>
              <w:keepNext w:val="0"/>
              <w:keepLines w:val="0"/>
              <w:pageBreakBefore w:val="0"/>
              <w:widowControl/>
              <w:kinsoku/>
              <w:bidi w:val="0"/>
              <w:snapToGrid/>
              <w:spacing w:line="520" w:lineRule="exact"/>
              <w:jc w:val="both"/>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ZXZB-CG2025-187</w:t>
            </w:r>
          </w:p>
        </w:tc>
      </w:tr>
      <w:tr w14:paraId="71702E5F">
        <w:tblPrEx>
          <w:tblCellMar>
            <w:top w:w="0" w:type="dxa"/>
            <w:left w:w="108" w:type="dxa"/>
            <w:bottom w:w="0" w:type="dxa"/>
            <w:right w:w="108" w:type="dxa"/>
          </w:tblCellMar>
        </w:tblPrEx>
        <w:trPr>
          <w:trHeight w:val="92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52C2A5B">
            <w:pPr>
              <w:keepNext w:val="0"/>
              <w:keepLines w:val="0"/>
              <w:pageBreakBefore w:val="0"/>
              <w:widowControl/>
              <w:kinsoku/>
              <w:bidi w:val="0"/>
              <w:snapToGrid/>
              <w:spacing w:line="52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1.3</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F4283F8">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采购人信息</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785F1459">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西安市长乐公园</w:t>
            </w:r>
          </w:p>
          <w:p w14:paraId="1249379A">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西安市碑林区金花北路35号</w:t>
            </w:r>
          </w:p>
          <w:p w14:paraId="7FE3EE1A">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联系方式：</w:t>
            </w:r>
            <w:r>
              <w:rPr>
                <w:rStyle w:val="48"/>
                <w:rFonts w:hint="eastAsia" w:ascii="仿宋" w:hAnsi="仿宋" w:eastAsia="仿宋" w:cs="仿宋"/>
                <w:b w:val="0"/>
                <w:bCs w:val="0"/>
                <w:color w:val="auto"/>
                <w:highlight w:val="none"/>
                <w:shd w:val="clear" w:color="auto" w:fill="FFFFFF"/>
                <w:lang w:val="en-US" w:eastAsia="zh-CN"/>
              </w:rPr>
              <w:t>张小宁</w:t>
            </w:r>
            <w:r>
              <w:rPr>
                <w:rFonts w:hint="eastAsia" w:ascii="仿宋" w:hAnsi="仿宋" w:eastAsia="仿宋" w:cs="仿宋"/>
                <w:color w:val="auto"/>
                <w:highlight w:val="none"/>
                <w:lang w:val="en-US" w:eastAsia="zh-CN"/>
              </w:rPr>
              <w:t>/029-83283442</w:t>
            </w:r>
          </w:p>
        </w:tc>
      </w:tr>
      <w:tr w14:paraId="5B32AB85">
        <w:tblPrEx>
          <w:tblCellMar>
            <w:top w:w="0" w:type="dxa"/>
            <w:left w:w="108" w:type="dxa"/>
            <w:bottom w:w="0" w:type="dxa"/>
            <w:right w:w="108" w:type="dxa"/>
          </w:tblCellMar>
        </w:tblPrEx>
        <w:trPr>
          <w:trHeight w:val="94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4957330">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5867742">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spacing w:val="-11"/>
                <w:highlight w:val="none"/>
              </w:rPr>
              <w:t>采购代理机构信息</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5F7AD748">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名称：陕西中信项目咨询有限公司</w:t>
            </w:r>
          </w:p>
          <w:p w14:paraId="44B5E5CC">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shd w:val="clear" w:color="auto" w:fill="FFFFFF"/>
              </w:rPr>
              <w:t>陕西省西安市碑林区和平路71号综合楼5楼</w:t>
            </w:r>
          </w:p>
          <w:p w14:paraId="0168EFA2">
            <w:pPr>
              <w:keepNext w:val="0"/>
              <w:keepLines w:val="0"/>
              <w:pageBreakBefore w:val="0"/>
              <w:widowControl/>
              <w:kinsoku/>
              <w:bidi w:val="0"/>
              <w:snapToGrid/>
              <w:spacing w:line="520" w:lineRule="exact"/>
              <w:jc w:val="both"/>
              <w:textAlignment w:val="auto"/>
              <w:rPr>
                <w:rFonts w:ascii="仿宋" w:hAnsi="仿宋" w:eastAsia="仿宋" w:cs="仿宋"/>
                <w:color w:val="auto"/>
                <w:highlight w:val="none"/>
              </w:rPr>
            </w:pPr>
            <w:r>
              <w:rPr>
                <w:rFonts w:hint="eastAsia" w:ascii="仿宋" w:hAnsi="仿宋" w:eastAsia="仿宋" w:cs="仿宋"/>
                <w:color w:val="auto"/>
                <w:highlight w:val="none"/>
              </w:rPr>
              <w:t>联系方式：</w:t>
            </w:r>
            <w:r>
              <w:rPr>
                <w:rStyle w:val="48"/>
                <w:rFonts w:hint="eastAsia" w:ascii="仿宋" w:hAnsi="仿宋" w:eastAsia="仿宋" w:cs="仿宋"/>
                <w:b w:val="0"/>
                <w:bCs w:val="0"/>
                <w:color w:val="auto"/>
                <w:highlight w:val="none"/>
                <w:shd w:val="clear" w:color="auto" w:fill="FFFFFF"/>
                <w:lang w:val="en-US" w:eastAsia="zh-CN"/>
              </w:rPr>
              <w:t>贾雅楠</w:t>
            </w:r>
            <w:r>
              <w:rPr>
                <w:rFonts w:hint="eastAsia" w:ascii="仿宋" w:hAnsi="仿宋" w:eastAsia="仿宋" w:cs="仿宋"/>
                <w:color w:val="auto"/>
                <w:highlight w:val="none"/>
                <w:lang w:val="en-US" w:eastAsia="zh-CN"/>
              </w:rPr>
              <w:t>/</w:t>
            </w:r>
            <w:r>
              <w:rPr>
                <w:rStyle w:val="48"/>
                <w:rFonts w:hint="eastAsia" w:ascii="仿宋" w:hAnsi="仿宋" w:eastAsia="仿宋" w:cs="仿宋"/>
                <w:b w:val="0"/>
                <w:bCs w:val="0"/>
                <w:color w:val="auto"/>
                <w:highlight w:val="none"/>
                <w:shd w:val="clear" w:color="auto" w:fill="FFFFFF"/>
                <w:lang w:val="en-US" w:eastAsia="zh-CN"/>
              </w:rPr>
              <w:t>029-87216602</w:t>
            </w:r>
          </w:p>
        </w:tc>
      </w:tr>
      <w:tr w14:paraId="52A93A08">
        <w:tblPrEx>
          <w:tblCellMar>
            <w:top w:w="0" w:type="dxa"/>
            <w:left w:w="108" w:type="dxa"/>
            <w:bottom w:w="0" w:type="dxa"/>
            <w:right w:w="108" w:type="dxa"/>
          </w:tblCellMar>
        </w:tblPrEx>
        <w:trPr>
          <w:trHeight w:val="59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F80945C">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74BB221">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项目概况及预算</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090635C8">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项目概况：</w:t>
            </w:r>
            <w:r>
              <w:rPr>
                <w:rFonts w:hint="eastAsia" w:ascii="仿宋" w:hAnsi="仿宋" w:eastAsia="仿宋" w:cs="仿宋"/>
                <w:color w:val="auto"/>
                <w:highlight w:val="none"/>
                <w:lang w:eastAsia="zh-CN"/>
              </w:rPr>
              <w:t>长乐公园西门基础设施建设工程设计，主要为长乐公园西门西北角原文化展馆台基及花坛拆除、现存植被移栽、西门旧路面面层铲除及翻新等工程提供初步设计及施工图设计</w:t>
            </w:r>
            <w:r>
              <w:rPr>
                <w:rFonts w:hint="eastAsia" w:ascii="仿宋" w:hAnsi="仿宋" w:eastAsia="仿宋"/>
                <w:spacing w:val="3"/>
                <w:sz w:val="28"/>
                <w:szCs w:val="28"/>
                <w:highlight w:val="none"/>
                <w:lang w:eastAsia="zh-CN"/>
              </w:rPr>
              <w:t>。</w:t>
            </w:r>
            <w:r>
              <w:rPr>
                <w:rFonts w:hint="eastAsia" w:ascii="仿宋" w:hAnsi="仿宋" w:eastAsia="仿宋" w:cs="仿宋"/>
                <w:color w:val="auto"/>
                <w:highlight w:val="none"/>
              </w:rPr>
              <w:t>（详见采购文件“第六章 采购需求及要求”）</w:t>
            </w:r>
          </w:p>
          <w:p w14:paraId="16935B7E">
            <w:pPr>
              <w:keepNext w:val="0"/>
              <w:keepLines w:val="0"/>
              <w:pageBreakBefore w:val="0"/>
              <w:widowControl/>
              <w:kinsoku/>
              <w:bidi w:val="0"/>
              <w:snapToGrid/>
              <w:spacing w:line="520" w:lineRule="exact"/>
              <w:jc w:val="both"/>
              <w:textAlignment w:val="auto"/>
              <w:rPr>
                <w:rFonts w:hint="eastAsia"/>
                <w:color w:val="auto"/>
                <w:highlight w:val="none"/>
              </w:rPr>
            </w:pPr>
            <w:r>
              <w:rPr>
                <w:rFonts w:hint="eastAsia" w:ascii="仿宋" w:hAnsi="仿宋" w:eastAsia="仿宋" w:cs="仿宋"/>
                <w:color w:val="auto"/>
                <w:highlight w:val="none"/>
              </w:rPr>
              <w:t>项目预算：</w:t>
            </w:r>
            <w:r>
              <w:rPr>
                <w:rFonts w:hint="eastAsia" w:ascii="仿宋" w:hAnsi="仿宋" w:eastAsia="仿宋" w:cs="仿宋"/>
                <w:color w:val="auto"/>
                <w:highlight w:val="none"/>
                <w:lang w:val="en-US" w:eastAsia="zh-CN"/>
              </w:rPr>
              <w:t>22.52万元</w:t>
            </w:r>
          </w:p>
        </w:tc>
      </w:tr>
      <w:tr w14:paraId="79794660">
        <w:tblPrEx>
          <w:tblCellMar>
            <w:top w:w="0" w:type="dxa"/>
            <w:left w:w="108" w:type="dxa"/>
            <w:bottom w:w="0" w:type="dxa"/>
            <w:right w:w="108" w:type="dxa"/>
          </w:tblCellMar>
        </w:tblPrEx>
        <w:trPr>
          <w:trHeight w:val="113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933076B">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9FCA0CD">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供应商资格要求</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22226C05">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1.满足《中华人民共和国政府采购法》第二十二条规定;</w:t>
            </w:r>
          </w:p>
          <w:p w14:paraId="3725B648">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2.落实政府采购政策需满足的资格要求：</w:t>
            </w:r>
          </w:p>
          <w:p w14:paraId="0B208265">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本项目专门面向中小企业采购,仅限符合《政府采购促进中小企业发展暂行办法》(财库〔2020〕46号)条件的中小企业参与，供应商应填写中小企业声明函并对真实性负责。残疾人福利性单位及监狱企业视同为小型、微型企业，残疾人福利性单位应符合《关于促进残疾人就业政府采购政策的通知》(财库〔2017〕141号)要求，监狱企业应符合《关于政府采购支持监狱企业发展有关问题的通知》(财库〔2014〕68号)要求。</w:t>
            </w:r>
          </w:p>
          <w:p w14:paraId="3224DB3E">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3.本项目的特定资格要求:</w:t>
            </w:r>
          </w:p>
          <w:p w14:paraId="13E468D1">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（1）</w:t>
            </w:r>
            <w:r>
              <w:rPr>
                <w:rFonts w:hint="eastAsia" w:ascii="仿宋" w:hAnsi="仿宋" w:eastAsia="仿宋" w:cs="仿宋"/>
                <w:color w:val="auto"/>
                <w:sz w:val="28"/>
                <w:szCs w:val="28"/>
                <w:highlight w:val="none"/>
              </w:rPr>
              <w:t>具有独立承担民事责任的能力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shd w:val="clear" w:color="auto" w:fill="FFFFFF"/>
                <w:lang w:eastAsia="zh-CN"/>
              </w:rPr>
              <w:t>具有独立承担民事责任能力的法人、其他组织或自然人，并出具合法有效的营业执照或事业单位法人证书等国家规定的相关证明，自然人参与的提供其身份证明。</w:t>
            </w:r>
          </w:p>
          <w:p w14:paraId="151CFBA5">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（2）具有良好的商业信誉和健全的财务会计制度：提供2023年或2024年完整的财务审计报告（审计报告需上传至注册会计师行业统一监管平台并申请赋码），或</w:t>
            </w:r>
            <w:r>
              <w:rPr>
                <w:rFonts w:hint="eastAsia" w:ascii="仿宋" w:hAnsi="仿宋" w:eastAsia="仿宋" w:cs="仿宋"/>
                <w:color w:val="auto"/>
                <w:sz w:val="28"/>
                <w:szCs w:val="28"/>
                <w:highlight w:val="none"/>
                <w:shd w:val="clear" w:color="auto" w:fill="FFFFFF"/>
                <w:lang w:val="en-US" w:eastAsia="zh-CN"/>
              </w:rPr>
              <w:t>磋商</w:t>
            </w:r>
            <w:r>
              <w:rPr>
                <w:rFonts w:hint="eastAsia" w:ascii="仿宋" w:hAnsi="仿宋" w:eastAsia="仿宋" w:cs="仿宋"/>
                <w:color w:val="auto"/>
                <w:sz w:val="28"/>
                <w:szCs w:val="28"/>
                <w:highlight w:val="none"/>
                <w:shd w:val="clear" w:color="auto" w:fill="FFFFFF"/>
                <w:lang w:eastAsia="zh-CN"/>
              </w:rPr>
              <w:t>截止时间前六个月内公司基本账户开户银行出具的资信证明（附基本存款账户信息），其他组织和自然人提供银行出具的资信证明。</w:t>
            </w:r>
          </w:p>
          <w:p w14:paraId="437211AD">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（3）具有履行合同所必需的设备和专业技术能力：提供具有履行合同所必需的设备和专业技术能力的书面声明。</w:t>
            </w:r>
          </w:p>
          <w:p w14:paraId="319909A0">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（4）有依法缴纳税收的良好记录：提供2024年06月至今已缴纳的至少一个月的纳税证明或完税证明，依法免税的单位应提供相关证明材料。</w:t>
            </w:r>
          </w:p>
          <w:p w14:paraId="5E873B21">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5）有依法缴纳社会保障资金的良好记录：提供2024年06月至今已缴存的至少一个月的社会保障资金缴存单据或社保机构开具的社会保险参保缴费情况证明，依法不需要缴纳社会保障资金的单位应提供相关证明材料。</w:t>
            </w:r>
          </w:p>
          <w:p w14:paraId="4CAA0583">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lang w:eastAsia="zh-CN"/>
              </w:rPr>
              <w:t>（6）参加政府采购活动前三年内，在经营活动中没有重大违法记录：提供参加本次政府采购活动前3年内在经营活动中没有重大违法记录，以及未被列入失信被执行人、重大税收违法失信主体、政府采购严重违法失信行为记录名单的书面声明；被列入【信用中国】网站（www.creditchina.gov.cn）“失信被执行人”、“重大税收违法失信主体”、“政府采购严重违法失信行为记录名单”以及【中国政府采购网】(www.ccgp.gov.cn)“政府采购严重违法失信行为记录名单”的供应商不得参加本次政府采购活动。</w:t>
            </w:r>
          </w:p>
          <w:p w14:paraId="5A4D71F4">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（7）法定代表人（主要负责人）委托授权书\身份证明：法定代表人（主要负责人）参与磋商时，提供法定代表人（主要负责人）身份证明；授权代表参与磋商时，提供法定代表人（主要负责人）委托授权书。</w:t>
            </w:r>
          </w:p>
          <w:p w14:paraId="4833D900">
            <w:pPr>
              <w:keepNext w:val="0"/>
              <w:keepLines w:val="0"/>
              <w:pageBreakBefore w:val="0"/>
              <w:widowControl/>
              <w:kinsoku/>
              <w:wordWrap w:val="0"/>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（8）企业资质：供应商须具备工程设计综合甲级资质或风景园林工程设计专项乙级及以上资质，并在人员、设备、资金等方面具备相应的能力。</w:t>
            </w:r>
          </w:p>
          <w:p w14:paraId="46AB35D6">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lang w:val="en-US" w:eastAsia="zh-CN" w:bidi="ar-SA"/>
              </w:rPr>
              <w:t>（9）拟派项目负责人应具有相关专业二级注册建筑师及以上资格，并在本单位注册或中级工程师职称。</w:t>
            </w:r>
          </w:p>
        </w:tc>
      </w:tr>
      <w:tr w14:paraId="57C05491">
        <w:tblPrEx>
          <w:tblCellMar>
            <w:top w:w="0" w:type="dxa"/>
            <w:left w:w="108" w:type="dxa"/>
            <w:bottom w:w="0" w:type="dxa"/>
            <w:right w:w="108" w:type="dxa"/>
          </w:tblCellMar>
        </w:tblPrEx>
        <w:trPr>
          <w:trHeight w:val="113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17188C7">
            <w:pPr>
              <w:keepNext w:val="0"/>
              <w:keepLines w:val="0"/>
              <w:pageBreakBefore w:val="0"/>
              <w:widowControl/>
              <w:kinsoku/>
              <w:bidi w:val="0"/>
              <w:snapToGrid/>
              <w:spacing w:line="520" w:lineRule="exact"/>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1.7</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3DE209B">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是否专门面向</w:t>
            </w:r>
          </w:p>
          <w:p w14:paraId="47701C70">
            <w:pPr>
              <w:keepNext w:val="0"/>
              <w:keepLines w:val="0"/>
              <w:pageBreakBefore w:val="0"/>
              <w:widowControl/>
              <w:kinsoku/>
              <w:bidi w:val="0"/>
              <w:snapToGrid/>
              <w:spacing w:line="520" w:lineRule="exact"/>
              <w:jc w:val="center"/>
              <w:textAlignment w:val="auto"/>
              <w:rPr>
                <w:rFonts w:hint="eastAsia" w:ascii="仿宋" w:hAnsi="仿宋" w:eastAsia="仿宋" w:cs="仿宋"/>
                <w:bCs/>
                <w:color w:val="auto"/>
                <w:sz w:val="28"/>
                <w:szCs w:val="28"/>
                <w:highlight w:val="none"/>
                <w:lang w:val="en-US" w:eastAsia="zh-CN" w:bidi="ar-SA"/>
              </w:rPr>
            </w:pPr>
            <w:r>
              <w:rPr>
                <w:rFonts w:hint="eastAsia" w:ascii="仿宋" w:hAnsi="仿宋" w:eastAsia="仿宋" w:cs="仿宋"/>
                <w:color w:val="auto"/>
                <w:highlight w:val="none"/>
              </w:rPr>
              <w:t>中小企业采购</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2616CCBF">
            <w:pPr>
              <w:keepNext w:val="0"/>
              <w:keepLines w:val="0"/>
              <w:pageBreakBefore w:val="0"/>
              <w:tabs>
                <w:tab w:val="left" w:pos="1620"/>
              </w:tabs>
              <w:kinsoku/>
              <w:bidi w:val="0"/>
              <w:snapToGrid/>
              <w:spacing w:line="520" w:lineRule="exact"/>
              <w:textAlignment w:val="auto"/>
              <w:rPr>
                <w:rFonts w:hint="eastAsia" w:ascii="仿宋" w:hAnsi="仿宋" w:eastAsia="仿宋" w:cs="仿宋"/>
                <w:bCs/>
                <w:color w:val="auto"/>
                <w:sz w:val="28"/>
                <w:szCs w:val="28"/>
                <w:highlight w:val="none"/>
                <w:lang w:val="en-US" w:eastAsia="zh-CN" w:bidi="ar-SA"/>
              </w:rPr>
            </w:pPr>
            <w:r>
              <w:rPr>
                <w:rFonts w:hint="eastAsia" w:ascii="仿宋" w:hAnsi="仿宋" w:eastAsia="仿宋"/>
                <w:color w:val="auto"/>
                <w:sz w:val="28"/>
                <w:szCs w:val="28"/>
                <w:highlight w:val="none"/>
                <w:lang w:val="en-US" w:eastAsia="zh-CN"/>
              </w:rPr>
              <w:t>是</w:t>
            </w:r>
          </w:p>
        </w:tc>
      </w:tr>
      <w:tr w14:paraId="3E17287A">
        <w:tblPrEx>
          <w:tblCellMar>
            <w:top w:w="0" w:type="dxa"/>
            <w:left w:w="108" w:type="dxa"/>
            <w:bottom w:w="0" w:type="dxa"/>
            <w:right w:w="108" w:type="dxa"/>
          </w:tblCellMar>
        </w:tblPrEx>
        <w:trPr>
          <w:trHeight w:val="65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9C8991C">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1.8</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7D66E13">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联合体磋商</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46B0D579">
            <w:pPr>
              <w:keepNext w:val="0"/>
              <w:keepLines w:val="0"/>
              <w:pageBreakBefore w:val="0"/>
              <w:widowControl/>
              <w:kinsoku/>
              <w:overflowPunct w:val="0"/>
              <w:topLinePunct/>
              <w:autoSpaceDE/>
              <w:autoSpaceDN/>
              <w:bidi w:val="0"/>
              <w:adjustRightInd/>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不接受</w:t>
            </w:r>
          </w:p>
        </w:tc>
      </w:tr>
      <w:tr w14:paraId="1B0057DE">
        <w:tblPrEx>
          <w:tblCellMar>
            <w:top w:w="0" w:type="dxa"/>
            <w:left w:w="108" w:type="dxa"/>
            <w:bottom w:w="0" w:type="dxa"/>
            <w:right w:w="108" w:type="dxa"/>
          </w:tblCellMar>
        </w:tblPrEx>
        <w:trPr>
          <w:trHeight w:val="121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FB9AAF0">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1.9</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D1A6772">
            <w:pPr>
              <w:keepNext w:val="0"/>
              <w:keepLines w:val="0"/>
              <w:pageBreakBefore w:val="0"/>
              <w:widowControl/>
              <w:kinsoku/>
              <w:bidi w:val="0"/>
              <w:snapToGrid/>
              <w:spacing w:line="520" w:lineRule="exact"/>
              <w:jc w:val="center"/>
              <w:textAlignment w:val="auto"/>
              <w:rPr>
                <w:rFonts w:hint="eastAsia" w:ascii="仿宋" w:hAnsi="仿宋" w:eastAsia="仿宋" w:cs="仿宋"/>
                <w:color w:val="auto"/>
                <w:spacing w:val="-10"/>
                <w:highlight w:val="none"/>
              </w:rPr>
            </w:pPr>
            <w:r>
              <w:rPr>
                <w:rFonts w:hint="eastAsia" w:ascii="仿宋" w:hAnsi="仿宋" w:eastAsia="仿宋" w:cs="仿宋"/>
                <w:b/>
                <w:color w:val="auto"/>
                <w:highlight w:val="none"/>
              </w:rPr>
              <w:t>有关资格审查、响应文件有效性的特别提示</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22B7FD6B">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A.竞争性磋商文件“第二章 前附事项表1.6款 供应商资格要求”所需提供资格审查的证明材料应按“第三章 响应文件格式”编入“第7部分 资格证明材料”，需提供的证明材料1、2、4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5、8、9</w:t>
            </w:r>
            <w:r>
              <w:rPr>
                <w:rFonts w:hint="eastAsia" w:ascii="仿宋" w:hAnsi="仿宋" w:eastAsia="仿宋" w:cs="仿宋"/>
                <w:color w:val="auto"/>
                <w:highlight w:val="none"/>
              </w:rPr>
              <w:t>项，除竞争性磋商文件注明原件外，均为复印件加盖供应商公章，</w:t>
            </w:r>
            <w:r>
              <w:rPr>
                <w:rFonts w:hint="eastAsia" w:ascii="仿宋" w:hAnsi="仿宋" w:eastAsia="仿宋" w:cs="仿宋"/>
                <w:color w:val="auto"/>
                <w:highlight w:val="none"/>
                <w:lang w:val="en-US" w:eastAsia="zh-CN"/>
              </w:rPr>
              <w:t>3、6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项按“格式”填写并在指定落款处按要求签署盖章；资格证明材料为供应商资格必备要件，缺项或者符合性、有效性、合法性审核未通过者，</w:t>
            </w:r>
            <w:r>
              <w:rPr>
                <w:rFonts w:hint="eastAsia" w:ascii="仿宋" w:hAnsi="仿宋" w:eastAsia="仿宋" w:cs="仿宋"/>
                <w:b/>
                <w:bCs/>
                <w:color w:val="auto"/>
                <w:highlight w:val="none"/>
              </w:rPr>
              <w:t>响应无效</w:t>
            </w:r>
            <w:r>
              <w:rPr>
                <w:rFonts w:hint="eastAsia" w:ascii="仿宋" w:hAnsi="仿宋" w:eastAsia="仿宋" w:cs="仿宋"/>
                <w:color w:val="auto"/>
                <w:highlight w:val="none"/>
              </w:rPr>
              <w:t>。如有“原件备查”项，应携带原件于审查环节递交。</w:t>
            </w:r>
          </w:p>
          <w:p w14:paraId="6C216EFF">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B.响应文件的份数、章节、页码、装订、编制、签署、封装等应严格按照竞争性磋商文件要求执行，竞争性磋商文件“第三章 响应文件格式”中除注明“格式自拟”外，均应按照给定格式填报内容及签署。未按照竞争性磋商文件要求执行的</w:t>
            </w:r>
            <w:r>
              <w:rPr>
                <w:rFonts w:hint="eastAsia" w:ascii="仿宋" w:hAnsi="仿宋" w:eastAsia="仿宋" w:cs="仿宋"/>
                <w:b/>
                <w:bCs/>
                <w:color w:val="auto"/>
                <w:highlight w:val="none"/>
              </w:rPr>
              <w:t>响应无效</w:t>
            </w:r>
            <w:r>
              <w:rPr>
                <w:rFonts w:hint="eastAsia" w:ascii="仿宋" w:hAnsi="仿宋" w:eastAsia="仿宋" w:cs="仿宋"/>
                <w:color w:val="auto"/>
                <w:highlight w:val="none"/>
              </w:rPr>
              <w:t>。</w:t>
            </w:r>
          </w:p>
          <w:p w14:paraId="4D4E1FD4">
            <w:pPr>
              <w:keepNext w:val="0"/>
              <w:keepLines w:val="0"/>
              <w:pageBreakBefore w:val="0"/>
              <w:widowControl/>
              <w:kinsoku/>
              <w:bidi w:val="0"/>
              <w:snapToGrid/>
              <w:spacing w:line="520" w:lineRule="exact"/>
              <w:jc w:val="both"/>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C.响应文件的印鉴签署应使用公章，不允许使用“业务专用章”等非公章印鉴签署。未按要求用印签署的，</w:t>
            </w:r>
            <w:r>
              <w:rPr>
                <w:rFonts w:hint="eastAsia" w:ascii="仿宋" w:hAnsi="仿宋" w:eastAsia="仿宋" w:cs="仿宋"/>
                <w:b/>
                <w:bCs/>
                <w:color w:val="auto"/>
                <w:highlight w:val="none"/>
              </w:rPr>
              <w:t>响应无效</w:t>
            </w:r>
            <w:r>
              <w:rPr>
                <w:rFonts w:hint="eastAsia" w:ascii="仿宋" w:hAnsi="仿宋" w:eastAsia="仿宋" w:cs="仿宋"/>
                <w:color w:val="auto"/>
                <w:highlight w:val="none"/>
              </w:rPr>
              <w:t>。</w:t>
            </w:r>
          </w:p>
        </w:tc>
      </w:tr>
      <w:tr w14:paraId="740F776C">
        <w:tblPrEx>
          <w:tblCellMar>
            <w:top w:w="0" w:type="dxa"/>
            <w:left w:w="108" w:type="dxa"/>
            <w:bottom w:w="0" w:type="dxa"/>
            <w:right w:w="108" w:type="dxa"/>
          </w:tblCellMar>
        </w:tblPrEx>
        <w:trPr>
          <w:trHeight w:val="66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EB3D3A0">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1.10</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8C4FCD8">
            <w:pPr>
              <w:keepNext w:val="0"/>
              <w:keepLines w:val="0"/>
              <w:pageBreakBefore w:val="0"/>
              <w:widowControl/>
              <w:kinsoku/>
              <w:bidi w:val="0"/>
              <w:snapToGrid/>
              <w:spacing w:line="520" w:lineRule="exact"/>
              <w:jc w:val="center"/>
              <w:textAlignment w:val="auto"/>
              <w:rPr>
                <w:rFonts w:hint="eastAsia" w:ascii="仿宋" w:hAnsi="仿宋" w:eastAsia="仿宋" w:cs="仿宋"/>
                <w:b/>
                <w:color w:val="auto"/>
                <w:highlight w:val="none"/>
              </w:rPr>
            </w:pPr>
            <w:r>
              <w:rPr>
                <w:rFonts w:hint="eastAsia" w:ascii="仿宋" w:hAnsi="仿宋" w:eastAsia="仿宋" w:cs="仿宋"/>
                <w:color w:val="auto"/>
                <w:highlight w:val="none"/>
              </w:rPr>
              <w:t>磋商备选方案</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541C8578">
            <w:pPr>
              <w:keepNext w:val="0"/>
              <w:keepLines w:val="0"/>
              <w:pageBreakBefore w:val="0"/>
              <w:widowControl/>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不接受</w:t>
            </w:r>
          </w:p>
        </w:tc>
      </w:tr>
      <w:tr w14:paraId="5D799628">
        <w:tblPrEx>
          <w:tblCellMar>
            <w:top w:w="0" w:type="dxa"/>
            <w:left w:w="108" w:type="dxa"/>
            <w:bottom w:w="0" w:type="dxa"/>
            <w:right w:w="108" w:type="dxa"/>
          </w:tblCellMar>
        </w:tblPrEx>
        <w:trPr>
          <w:trHeight w:val="696"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5CCAF39">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1.11</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E22C1A0">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06A627FC">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不组织踏勘</w:t>
            </w:r>
          </w:p>
        </w:tc>
      </w:tr>
      <w:tr w14:paraId="24CC04A4">
        <w:tblPrEx>
          <w:tblCellMar>
            <w:top w:w="0" w:type="dxa"/>
            <w:left w:w="108" w:type="dxa"/>
            <w:bottom w:w="0" w:type="dxa"/>
            <w:right w:w="108" w:type="dxa"/>
          </w:tblCellMar>
        </w:tblPrEx>
        <w:trPr>
          <w:trHeight w:val="67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FBA7FB4">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1.12</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73D73F3">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b/>
                <w:bCs/>
                <w:color w:val="auto"/>
                <w:highlight w:val="none"/>
              </w:rPr>
              <w:t>响应文件的递交、份数、密封、标记</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6388B9A7">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A.</w:t>
            </w:r>
            <w:r>
              <w:rPr>
                <w:rFonts w:hint="eastAsia" w:ascii="仿宋" w:hAnsi="仿宋" w:eastAsia="仿宋" w:cs="仿宋"/>
                <w:b/>
                <w:bCs/>
                <w:color w:val="auto"/>
                <w:highlight w:val="none"/>
              </w:rPr>
              <w:t>供应商递交响应文件时，须出示法人授权委托书及被授权人身份证原件（法定代表人递交的，须出示法定代表人身份证明及法定代表人身份证原件）以证明递交人身份。</w:t>
            </w:r>
          </w:p>
          <w:p w14:paraId="61005CA2">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B.供应商应递交纸质响应文件</w:t>
            </w:r>
            <w:r>
              <w:rPr>
                <w:rFonts w:hint="eastAsia" w:ascii="仿宋" w:hAnsi="仿宋" w:eastAsia="仿宋" w:cs="仿宋"/>
                <w:b/>
                <w:bCs/>
                <w:color w:val="auto"/>
                <w:highlight w:val="none"/>
              </w:rPr>
              <w:t>正本</w:t>
            </w:r>
            <w:r>
              <w:rPr>
                <w:rFonts w:hint="eastAsia" w:ascii="仿宋" w:hAnsi="仿宋" w:eastAsia="仿宋" w:cs="仿宋"/>
                <w:b/>
                <w:bCs/>
                <w:color w:val="auto"/>
                <w:highlight w:val="none"/>
                <w:u w:val="single"/>
              </w:rPr>
              <w:t xml:space="preserve"> 壹 </w:t>
            </w:r>
            <w:r>
              <w:rPr>
                <w:rFonts w:hint="eastAsia" w:ascii="仿宋" w:hAnsi="仿宋" w:eastAsia="仿宋" w:cs="仿宋"/>
                <w:b/>
                <w:bCs/>
                <w:color w:val="auto"/>
                <w:highlight w:val="none"/>
              </w:rPr>
              <w:t>份和副本</w:t>
            </w:r>
            <w:r>
              <w:rPr>
                <w:rFonts w:hint="eastAsia" w:ascii="仿宋" w:hAnsi="仿宋" w:eastAsia="仿宋" w:cs="仿宋"/>
                <w:b/>
                <w:bCs/>
                <w:color w:val="auto"/>
                <w:highlight w:val="none"/>
                <w:u w:val="single"/>
              </w:rPr>
              <w:t xml:space="preserve"> 贰 </w:t>
            </w:r>
            <w:r>
              <w:rPr>
                <w:rFonts w:hint="eastAsia" w:ascii="仿宋" w:hAnsi="仿宋" w:eastAsia="仿宋" w:cs="仿宋"/>
                <w:b/>
                <w:bCs/>
                <w:color w:val="auto"/>
                <w:highlight w:val="none"/>
              </w:rPr>
              <w:t>份，电子版</w:t>
            </w:r>
            <w:r>
              <w:rPr>
                <w:rFonts w:hint="eastAsia" w:ascii="仿宋" w:hAnsi="仿宋" w:eastAsia="仿宋" w:cs="仿宋"/>
                <w:b/>
                <w:bCs/>
                <w:color w:val="auto"/>
                <w:highlight w:val="none"/>
                <w:u w:val="single"/>
              </w:rPr>
              <w:t xml:space="preserve"> 壹 </w:t>
            </w:r>
            <w:r>
              <w:rPr>
                <w:rFonts w:hint="eastAsia" w:ascii="仿宋" w:hAnsi="仿宋" w:eastAsia="仿宋" w:cs="仿宋"/>
                <w:b/>
                <w:bCs/>
                <w:color w:val="auto"/>
                <w:highlight w:val="none"/>
              </w:rPr>
              <w:t>份（U盘）；电子版响应文件提供响应文件正本的word版本及PDF版本（PDF文件为完整签字、盖章的正本扫描件）</w:t>
            </w:r>
            <w:r>
              <w:rPr>
                <w:rFonts w:hint="eastAsia" w:ascii="仿宋" w:hAnsi="仿宋" w:eastAsia="仿宋" w:cs="仿宋"/>
                <w:color w:val="auto"/>
                <w:highlight w:val="none"/>
              </w:rPr>
              <w:t>。响应文件应在指定页面落款处按要求加盖供应商公章，由法定代表人、授权代表签名或盖章。</w:t>
            </w:r>
          </w:p>
          <w:p w14:paraId="70135D83">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C.响应文件应当用不能被他人知悉或更换响应文件内容的方式密封。响应文件的</w:t>
            </w:r>
            <w:r>
              <w:rPr>
                <w:rFonts w:hint="eastAsia" w:ascii="仿宋" w:hAnsi="仿宋" w:eastAsia="仿宋" w:cs="仿宋"/>
                <w:b/>
                <w:bCs/>
                <w:color w:val="auto"/>
                <w:highlight w:val="none"/>
              </w:rPr>
              <w:t>正本需单独密封（电子版封装在响应文件正本内）</w:t>
            </w:r>
            <w:r>
              <w:rPr>
                <w:rFonts w:hint="eastAsia" w:ascii="仿宋" w:hAnsi="仿宋" w:eastAsia="仿宋" w:cs="仿宋"/>
                <w:color w:val="auto"/>
                <w:highlight w:val="none"/>
              </w:rPr>
              <w:t>，所有副本可以分开单独密封，也可以整装密封，</w:t>
            </w:r>
            <w:r>
              <w:rPr>
                <w:rFonts w:hint="eastAsia" w:ascii="仿宋" w:hAnsi="仿宋" w:eastAsia="仿宋" w:cs="仿宋"/>
                <w:b/>
                <w:bCs/>
                <w:color w:val="auto"/>
                <w:highlight w:val="none"/>
              </w:rPr>
              <w:t>磋商一览表除在响应文件内装订外，再制作一份单独放在封袋中（</w:t>
            </w:r>
            <w:r>
              <w:rPr>
                <w:rFonts w:hint="eastAsia" w:ascii="仿宋" w:hAnsi="仿宋" w:eastAsia="仿宋" w:cs="仿宋"/>
                <w:b/>
                <w:bCs/>
                <w:color w:val="auto"/>
                <w:szCs w:val="24"/>
                <w:highlight w:val="none"/>
              </w:rPr>
              <w:t>该单独密封磋商一览表的报价必须与响应文件正本中的磋商一览表报价一致，若不一致，则按单独密封的磋商一览表为准</w:t>
            </w:r>
            <w:r>
              <w:rPr>
                <w:rFonts w:hint="eastAsia" w:ascii="仿宋" w:hAnsi="仿宋" w:eastAsia="仿宋" w:cs="仿宋"/>
                <w:b/>
                <w:bCs/>
                <w:color w:val="auto"/>
                <w:highlight w:val="none"/>
              </w:rPr>
              <w:t>）</w:t>
            </w:r>
            <w:r>
              <w:rPr>
                <w:rFonts w:hint="eastAsia" w:ascii="仿宋" w:hAnsi="仿宋" w:eastAsia="仿宋" w:cs="仿宋"/>
                <w:color w:val="auto"/>
                <w:highlight w:val="none"/>
              </w:rPr>
              <w:t>，在每个封袋上标明“正本及电子版”或“副本”或“磋商一览表”字样并标记。</w:t>
            </w:r>
          </w:p>
          <w:p w14:paraId="0FDBC1CE">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D.所有包装封袋上均应注明项目名称、采购项目编号、包号（如有）、供应商名称和“磋商时间前不得启封”的字样</w:t>
            </w:r>
            <w:r>
              <w:rPr>
                <w:rFonts w:hint="eastAsia" w:ascii="仿宋" w:hAnsi="仿宋" w:eastAsia="仿宋" w:cs="仿宋"/>
                <w:b/>
                <w:bCs/>
                <w:color w:val="auto"/>
                <w:highlight w:val="none"/>
              </w:rPr>
              <w:t>（参考附件A）</w:t>
            </w:r>
            <w:r>
              <w:rPr>
                <w:rFonts w:hint="eastAsia" w:ascii="仿宋" w:hAnsi="仿宋" w:eastAsia="仿宋" w:cs="仿宋"/>
                <w:color w:val="auto"/>
                <w:highlight w:val="none"/>
              </w:rPr>
              <w:t>，在封口处加盖供应商公章并由法定代表人或委托代理人签字或盖章。</w:t>
            </w:r>
          </w:p>
          <w:p w14:paraId="6BCEAB6C">
            <w:pPr>
              <w:keepNext w:val="0"/>
              <w:keepLines w:val="0"/>
              <w:pageBreakBefore w:val="0"/>
              <w:widowControl/>
              <w:kinsoku/>
              <w:bidi w:val="0"/>
              <w:snapToGrid/>
              <w:spacing w:line="52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E.允许响应文件副本为正本的复印件。一旦正本和副本不符，以正本为准。</w:t>
            </w:r>
          </w:p>
        </w:tc>
      </w:tr>
      <w:tr w14:paraId="2117A5C1">
        <w:tblPrEx>
          <w:tblCellMar>
            <w:top w:w="0" w:type="dxa"/>
            <w:left w:w="108" w:type="dxa"/>
            <w:bottom w:w="0" w:type="dxa"/>
            <w:right w:w="108" w:type="dxa"/>
          </w:tblCellMar>
        </w:tblPrEx>
        <w:trPr>
          <w:trHeight w:val="69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47A55CC">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1.13</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96EC8D4">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pacing w:val="-11"/>
                <w:highlight w:val="none"/>
              </w:rPr>
              <w:t>响应文件递交截止时间及磋商时间</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11D03A45">
            <w:pPr>
              <w:keepNext w:val="0"/>
              <w:keepLines w:val="0"/>
              <w:pageBreakBefore w:val="0"/>
              <w:widowControl/>
              <w:kinsoku/>
              <w:bidi w:val="0"/>
              <w:snapToGrid/>
              <w:spacing w:line="520" w:lineRule="exact"/>
              <w:textAlignment w:val="auto"/>
              <w:rPr>
                <w:rFonts w:hint="eastAsia" w:ascii="仿宋" w:hAnsi="仿宋" w:eastAsia="仿宋" w:cs="仿宋"/>
                <w:color w:val="auto"/>
                <w:sz w:val="28"/>
                <w:szCs w:val="28"/>
                <w:highlight w:val="none"/>
                <w:lang w:val="en-US" w:eastAsia="zh-CN" w:bidi="ar-SA"/>
              </w:rPr>
            </w:pPr>
            <w:r>
              <w:rPr>
                <w:rStyle w:val="48"/>
                <w:rFonts w:hint="eastAsia" w:ascii="仿宋" w:hAnsi="仿宋" w:eastAsia="仿宋" w:cs="仿宋"/>
                <w:b w:val="0"/>
                <w:bCs w:val="0"/>
                <w:color w:val="auto"/>
                <w:highlight w:val="none"/>
                <w:shd w:val="clear" w:color="auto" w:fill="FFFFFF"/>
              </w:rPr>
              <w:t>2025年06月30日14时30分</w:t>
            </w:r>
            <w:r>
              <w:rPr>
                <w:rFonts w:hint="eastAsia" w:ascii="仿宋" w:hAnsi="仿宋" w:eastAsia="仿宋" w:cs="仿宋"/>
                <w:color w:val="auto"/>
                <w:highlight w:val="none"/>
              </w:rPr>
              <w:t>（北京时间）</w:t>
            </w:r>
          </w:p>
        </w:tc>
      </w:tr>
      <w:tr w14:paraId="0E75EEFA">
        <w:tblPrEx>
          <w:tblCellMar>
            <w:top w:w="0" w:type="dxa"/>
            <w:left w:w="108" w:type="dxa"/>
            <w:bottom w:w="0" w:type="dxa"/>
            <w:right w:w="108" w:type="dxa"/>
          </w:tblCellMar>
        </w:tblPrEx>
        <w:trPr>
          <w:trHeight w:val="69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9D4F7C0">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1.14</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A4B2800">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pacing w:val="-11"/>
                <w:highlight w:val="none"/>
              </w:rPr>
              <w:t>响应文件递交地点及磋商地点</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4E04FAF0">
            <w:pPr>
              <w:keepNext w:val="0"/>
              <w:keepLines w:val="0"/>
              <w:pageBreakBefore w:val="0"/>
              <w:widowControl/>
              <w:kinsoku/>
              <w:bidi w:val="0"/>
              <w:snapToGrid/>
              <w:spacing w:line="52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shd w:val="clear" w:color="auto" w:fill="FFFFFF"/>
              </w:rPr>
              <w:t>西安市碑林区和平路71号（和平路与东十道巷交叉口向东20米）综合楼5楼会议室</w:t>
            </w:r>
          </w:p>
        </w:tc>
      </w:tr>
      <w:tr w14:paraId="51568844">
        <w:tblPrEx>
          <w:tblCellMar>
            <w:top w:w="0" w:type="dxa"/>
            <w:left w:w="108" w:type="dxa"/>
            <w:bottom w:w="0" w:type="dxa"/>
            <w:right w:w="108" w:type="dxa"/>
          </w:tblCellMar>
        </w:tblPrEx>
        <w:trPr>
          <w:trHeight w:val="69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D5E5E39">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1.15</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38B0126">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响应文件有效期</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4E960509">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响应文件自磋商之日起计算有效期不少于90日历日</w:t>
            </w:r>
          </w:p>
        </w:tc>
      </w:tr>
      <w:tr w14:paraId="23209EEE">
        <w:tblPrEx>
          <w:tblCellMar>
            <w:top w:w="0" w:type="dxa"/>
            <w:left w:w="108" w:type="dxa"/>
            <w:bottom w:w="0" w:type="dxa"/>
            <w:right w:w="108" w:type="dxa"/>
          </w:tblCellMar>
        </w:tblPrEx>
        <w:trPr>
          <w:trHeight w:val="69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16E15DF">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1.16</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7403E17">
            <w:pPr>
              <w:keepNext w:val="0"/>
              <w:keepLines w:val="0"/>
              <w:pageBreakBefore w:val="0"/>
              <w:widowControl/>
              <w:kinsoku/>
              <w:bidi w:val="0"/>
              <w:snapToGrid/>
              <w:spacing w:line="500" w:lineRule="exact"/>
              <w:jc w:val="center"/>
              <w:textAlignment w:val="auto"/>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highlight w:val="none"/>
              </w:rPr>
              <w:t>磋商小组组成</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2C6F9E18">
            <w:pPr>
              <w:keepNext w:val="0"/>
              <w:keepLines w:val="0"/>
              <w:pageBreakBefore w:val="0"/>
              <w:widowControl/>
              <w:kinsoku/>
              <w:bidi w:val="0"/>
              <w:snapToGrid/>
              <w:spacing w:line="500" w:lineRule="exact"/>
              <w:jc w:val="both"/>
              <w:textAlignment w:val="auto"/>
              <w:rPr>
                <w:rFonts w:hint="eastAsia" w:ascii="仿宋" w:hAnsi="仿宋" w:eastAsia="仿宋" w:cs="仿宋"/>
                <w:color w:val="000000"/>
                <w:highlight w:val="none"/>
              </w:rPr>
            </w:pPr>
            <w:r>
              <w:rPr>
                <w:rFonts w:hint="eastAsia" w:ascii="仿宋" w:hAnsi="仿宋" w:eastAsia="仿宋" w:cs="仿宋"/>
                <w:color w:val="000000"/>
                <w:highlight w:val="none"/>
              </w:rPr>
              <w:t>A.人员构成：共</w:t>
            </w:r>
            <w:r>
              <w:rPr>
                <w:rFonts w:hint="eastAsia" w:ascii="仿宋" w:hAnsi="仿宋" w:eastAsia="仿宋" w:cs="仿宋"/>
                <w:b/>
                <w:bCs/>
                <w:color w:val="000000"/>
                <w:highlight w:val="none"/>
                <w:u w:val="single"/>
              </w:rPr>
              <w:t xml:space="preserve"> 3 </w:t>
            </w:r>
            <w:r>
              <w:rPr>
                <w:rFonts w:hint="eastAsia" w:ascii="仿宋" w:hAnsi="仿宋" w:eastAsia="仿宋" w:cs="仿宋"/>
                <w:color w:val="000000"/>
                <w:highlight w:val="none"/>
              </w:rPr>
              <w:t>人组成。其中专家</w:t>
            </w:r>
            <w:r>
              <w:rPr>
                <w:rFonts w:hint="eastAsia" w:ascii="仿宋" w:hAnsi="仿宋" w:eastAsia="仿宋" w:cs="仿宋"/>
                <w:b/>
                <w:bCs/>
                <w:color w:val="000000"/>
                <w:highlight w:val="none"/>
                <w:u w:val="single"/>
              </w:rPr>
              <w:t xml:space="preserve"> 2 </w:t>
            </w:r>
            <w:r>
              <w:rPr>
                <w:rFonts w:hint="eastAsia" w:ascii="仿宋" w:hAnsi="仿宋" w:eastAsia="仿宋" w:cs="仿宋"/>
                <w:color w:val="000000"/>
                <w:highlight w:val="none"/>
              </w:rPr>
              <w:t>名；采购人代表</w:t>
            </w:r>
            <w:r>
              <w:rPr>
                <w:rFonts w:hint="eastAsia" w:ascii="仿宋" w:hAnsi="仿宋" w:eastAsia="仿宋" w:cs="仿宋"/>
                <w:b/>
                <w:bCs/>
                <w:color w:val="000000"/>
                <w:highlight w:val="none"/>
                <w:u w:val="single"/>
              </w:rPr>
              <w:t xml:space="preserve"> 1 </w:t>
            </w:r>
            <w:r>
              <w:rPr>
                <w:rFonts w:hint="eastAsia" w:ascii="仿宋" w:hAnsi="仿宋" w:eastAsia="仿宋" w:cs="仿宋"/>
                <w:color w:val="000000"/>
                <w:highlight w:val="none"/>
              </w:rPr>
              <w:t>名。</w:t>
            </w:r>
          </w:p>
          <w:p w14:paraId="14B62CA1">
            <w:pPr>
              <w:keepNext w:val="0"/>
              <w:keepLines w:val="0"/>
              <w:pageBreakBefore w:val="0"/>
              <w:widowControl/>
              <w:kinsoku/>
              <w:bidi w:val="0"/>
              <w:snapToGrid/>
              <w:spacing w:line="500" w:lineRule="exact"/>
              <w:jc w:val="both"/>
              <w:textAlignment w:val="auto"/>
              <w:rPr>
                <w:rFonts w:hint="eastAsia" w:ascii="仿宋" w:hAnsi="仿宋" w:eastAsia="仿宋" w:cs="仿宋"/>
                <w:color w:val="000000"/>
                <w:sz w:val="28"/>
                <w:szCs w:val="28"/>
                <w:highlight w:val="none"/>
                <w:lang w:val="en-US" w:eastAsia="zh-CN" w:bidi="ar-SA"/>
              </w:rPr>
            </w:pPr>
            <w:r>
              <w:rPr>
                <w:rFonts w:hint="eastAsia" w:ascii="仿宋" w:hAnsi="仿宋" w:eastAsia="仿宋" w:cs="仿宋"/>
                <w:color w:val="000000"/>
                <w:highlight w:val="none"/>
              </w:rPr>
              <w:t>B.专家产生方式：</w:t>
            </w:r>
            <w:r>
              <w:rPr>
                <w:rFonts w:hint="eastAsia" w:ascii="仿宋" w:hAnsi="仿宋" w:eastAsia="仿宋" w:cs="仿宋"/>
                <w:color w:val="000000"/>
                <w:highlight w:val="none"/>
                <w:lang w:val="en-US" w:eastAsia="zh-CN"/>
              </w:rPr>
              <w:t>陕西省政府采购网</w:t>
            </w:r>
            <w:r>
              <w:rPr>
                <w:rFonts w:hint="eastAsia" w:ascii="仿宋" w:hAnsi="仿宋" w:eastAsia="仿宋" w:cs="仿宋"/>
                <w:color w:val="000000"/>
                <w:highlight w:val="none"/>
              </w:rPr>
              <w:t>专家库系统中随机抽取产生。</w:t>
            </w:r>
          </w:p>
        </w:tc>
      </w:tr>
      <w:tr w14:paraId="054E121A">
        <w:tblPrEx>
          <w:tblCellMar>
            <w:top w:w="0" w:type="dxa"/>
            <w:left w:w="108" w:type="dxa"/>
            <w:bottom w:w="0" w:type="dxa"/>
            <w:right w:w="108" w:type="dxa"/>
          </w:tblCellMar>
        </w:tblPrEx>
        <w:trPr>
          <w:trHeight w:val="56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02882C9">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1.1</w:t>
            </w:r>
            <w:r>
              <w:rPr>
                <w:rFonts w:hint="eastAsia" w:ascii="仿宋" w:hAnsi="仿宋" w:eastAsia="仿宋" w:cs="仿宋"/>
                <w:color w:val="auto"/>
                <w:highlight w:val="none"/>
                <w:lang w:val="en-US" w:eastAsia="zh-CN"/>
              </w:rPr>
              <w:t>7</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CC26DA6">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供应商信用</w:t>
            </w:r>
          </w:p>
          <w:p w14:paraId="25040DA5">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记录查询</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38CC81CF">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1．根据财政部《关于在政府采购活动中查询及使用信用记录有关问题的通知》（财库〔2016〕125号）第二条有关要求，采购人将在资格审查阶段通过【信用中国】（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"https://www.creditchina.gov.cn"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https://www.creditchina.gov.cn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/）和【中国政府采购网】（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http://www.ccgp.gov.cn/）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对供应商的信用情况进行甄别。</w:t>
            </w:r>
          </w:p>
          <w:p w14:paraId="42869B6D">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2．对列入失信被执行人、重大税收违法案件当事人名单、政府采购严重违法失信行为记录名单的供应商，将拒绝其参与政府采购活动。</w:t>
            </w:r>
          </w:p>
          <w:p w14:paraId="2F2093CA">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3．供应商在参加政府采购活动前3年内因违法经营被禁止在一定期限内参加政府采购活动，期限届满的，可以参加政府采购活动的，但供应商应提供相关证明材料。</w:t>
            </w:r>
          </w:p>
          <w:p w14:paraId="0D987E1F">
            <w:pPr>
              <w:keepNext w:val="0"/>
              <w:keepLines w:val="0"/>
              <w:pageBreakBefore w:val="0"/>
              <w:widowControl/>
              <w:kinsoku/>
              <w:bidi w:val="0"/>
              <w:snapToGrid/>
              <w:spacing w:line="52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4．信用记录查询结果打印后，将与其他采购文件一并保存。</w:t>
            </w:r>
          </w:p>
        </w:tc>
      </w:tr>
      <w:tr w14:paraId="42CD1EE5">
        <w:tblPrEx>
          <w:tblCellMar>
            <w:top w:w="0" w:type="dxa"/>
            <w:left w:w="108" w:type="dxa"/>
            <w:bottom w:w="0" w:type="dxa"/>
            <w:right w:w="108" w:type="dxa"/>
          </w:tblCellMar>
        </w:tblPrEx>
        <w:trPr>
          <w:trHeight w:val="64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B89B042">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lang w:val="en-US" w:eastAsia="zh-CN"/>
              </w:rPr>
              <w:t>1.18</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B93E847">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信用查询时间</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4CA93B07">
            <w:pPr>
              <w:keepNext w:val="0"/>
              <w:keepLines w:val="0"/>
              <w:pageBreakBefore w:val="0"/>
              <w:widowControl/>
              <w:kinsoku/>
              <w:bidi w:val="0"/>
              <w:snapToGrid/>
              <w:spacing w:line="52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为采购文件发售时间至资格审查工作结束</w:t>
            </w:r>
          </w:p>
        </w:tc>
      </w:tr>
      <w:tr w14:paraId="4BB512C4">
        <w:tblPrEx>
          <w:tblCellMar>
            <w:top w:w="0" w:type="dxa"/>
            <w:left w:w="108" w:type="dxa"/>
            <w:bottom w:w="0" w:type="dxa"/>
            <w:right w:w="108" w:type="dxa"/>
          </w:tblCellMar>
        </w:tblPrEx>
        <w:trPr>
          <w:trHeight w:val="67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59711B1">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lang w:val="en-US" w:eastAsia="zh-CN"/>
              </w:rPr>
              <w:t>1.19</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01955C6">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bCs/>
                <w:color w:val="auto"/>
                <w:spacing w:val="-6"/>
                <w:highlight w:val="none"/>
              </w:rPr>
              <w:t>澄清、修改、质疑</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74A8873A">
            <w:pPr>
              <w:keepNext w:val="0"/>
              <w:keepLines w:val="0"/>
              <w:pageBreakBefore w:val="0"/>
              <w:tabs>
                <w:tab w:val="left" w:pos="1620"/>
              </w:tabs>
              <w:kinsoku/>
              <w:bidi w:val="0"/>
              <w:snapToGrid/>
              <w:spacing w:line="52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bCs/>
                <w:color w:val="auto"/>
                <w:highlight w:val="none"/>
              </w:rPr>
              <w:t>见本章第2.8条、第2.9条</w:t>
            </w:r>
          </w:p>
        </w:tc>
      </w:tr>
      <w:tr w14:paraId="781AA45B">
        <w:tblPrEx>
          <w:tblCellMar>
            <w:top w:w="0" w:type="dxa"/>
            <w:left w:w="108" w:type="dxa"/>
            <w:bottom w:w="0" w:type="dxa"/>
            <w:right w:w="108" w:type="dxa"/>
          </w:tblCellMar>
        </w:tblPrEx>
        <w:trPr>
          <w:trHeight w:val="4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B341748">
            <w:pPr>
              <w:keepNext w:val="0"/>
              <w:keepLines w:val="0"/>
              <w:pageBreakBefore w:val="0"/>
              <w:widowControl/>
              <w:kinsoku/>
              <w:bidi w:val="0"/>
              <w:snapToGrid/>
              <w:spacing w:line="520" w:lineRule="exact"/>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lang w:val="en-US" w:eastAsia="zh-CN"/>
              </w:rPr>
              <w:t>1.20</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238046E">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构成</w:t>
            </w:r>
            <w:r>
              <w:rPr>
                <w:rFonts w:hint="eastAsia" w:ascii="仿宋" w:hAnsi="仿宋" w:eastAsia="仿宋" w:cs="仿宋"/>
                <w:color w:val="auto"/>
                <w:highlight w:val="none"/>
                <w:lang w:val="en-US" w:eastAsia="zh-CN"/>
              </w:rPr>
              <w:t>竞争性</w:t>
            </w:r>
            <w:r>
              <w:rPr>
                <w:rFonts w:hint="eastAsia" w:ascii="仿宋" w:hAnsi="仿宋" w:eastAsia="仿宋" w:cs="仿宋"/>
                <w:color w:val="auto"/>
                <w:highlight w:val="none"/>
              </w:rPr>
              <w:t>磋商文件的其他材料</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1D53580A">
            <w:pPr>
              <w:keepNext w:val="0"/>
              <w:keepLines w:val="0"/>
              <w:pageBreakBefore w:val="0"/>
              <w:widowControl/>
              <w:kinsoku/>
              <w:bidi w:val="0"/>
              <w:snapToGrid/>
              <w:spacing w:line="52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根据竞争性磋商文件相应条款对竞争性磋商文件所作的答疑、修改，构成竞争性磋商文件的其他组成部分，各供应商必须及时从</w:t>
            </w:r>
            <w:r>
              <w:rPr>
                <w:rFonts w:hint="eastAsia" w:ascii="仿宋" w:hAnsi="仿宋" w:eastAsia="仿宋" w:cs="仿宋"/>
                <w:color w:val="auto"/>
                <w:highlight w:val="none"/>
                <w:lang w:val="en-US" w:eastAsia="zh-CN"/>
              </w:rPr>
              <w:t>采购代理机构</w:t>
            </w:r>
            <w:r>
              <w:rPr>
                <w:rFonts w:hint="eastAsia" w:ascii="仿宋" w:hAnsi="仿宋" w:eastAsia="仿宋" w:cs="仿宋"/>
                <w:color w:val="auto"/>
                <w:highlight w:val="none"/>
              </w:rPr>
              <w:t>处获取。</w:t>
            </w:r>
          </w:p>
        </w:tc>
      </w:tr>
      <w:tr w14:paraId="11CD31F5">
        <w:tblPrEx>
          <w:tblCellMar>
            <w:top w:w="0" w:type="dxa"/>
            <w:left w:w="108" w:type="dxa"/>
            <w:bottom w:w="0" w:type="dxa"/>
            <w:right w:w="108" w:type="dxa"/>
          </w:tblCellMar>
        </w:tblPrEx>
        <w:trPr>
          <w:trHeight w:val="768"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C58C781">
            <w:pPr>
              <w:keepNext w:val="0"/>
              <w:keepLines w:val="0"/>
              <w:pageBreakBefore w:val="0"/>
              <w:widowControl/>
              <w:kinsoku/>
              <w:bidi w:val="0"/>
              <w:snapToGrid/>
              <w:spacing w:line="52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1.21</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BAE9A93">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代理服务费</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63B4D93F">
            <w:pPr>
              <w:keepNext w:val="0"/>
              <w:keepLines w:val="0"/>
              <w:pageBreakBefore w:val="0"/>
              <w:widowControl/>
              <w:kinsoku/>
              <w:bidi w:val="0"/>
              <w:snapToGrid/>
              <w:spacing w:line="520" w:lineRule="exact"/>
              <w:jc w:val="both"/>
              <w:textAlignment w:val="auto"/>
              <w:rPr>
                <w:rFonts w:ascii="仿宋" w:hAnsi="仿宋" w:eastAsia="仿宋" w:cs="仿宋"/>
                <w:color w:val="auto"/>
                <w:highlight w:val="none"/>
              </w:rPr>
            </w:pPr>
            <w:r>
              <w:rPr>
                <w:rFonts w:hint="eastAsia" w:ascii="仿宋" w:hAnsi="仿宋" w:eastAsia="仿宋" w:cs="仿宋"/>
                <w:color w:val="auto"/>
                <w:highlight w:val="none"/>
              </w:rPr>
              <w:t>成交供应商在领取成交通知书前，须向采购代理机构支付代理服务费，代理服务费参照《国家计委关于印发&lt;招标代理服务收费管理暂行办法&gt;的通知》（计价格[2002]1980号）和《国家发展改革委办公厅关于招标代理服务收费有关问题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发改办价格[2003]857号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规定标准</w:t>
            </w:r>
            <w:r>
              <w:rPr>
                <w:rFonts w:hint="eastAsia" w:ascii="仿宋" w:hAnsi="仿宋" w:eastAsia="仿宋"/>
                <w:color w:val="auto"/>
                <w:highlight w:val="none"/>
                <w:lang w:val="en-US" w:eastAsia="zh-CN"/>
              </w:rPr>
              <w:t>下浮20%</w:t>
            </w:r>
            <w:r>
              <w:rPr>
                <w:rFonts w:hint="eastAsia" w:ascii="仿宋" w:hAnsi="仿宋" w:eastAsia="仿宋" w:cs="仿宋"/>
                <w:color w:val="auto"/>
                <w:highlight w:val="none"/>
              </w:rPr>
              <w:t>收取，</w:t>
            </w:r>
            <w:r>
              <w:rPr>
                <w:rFonts w:hint="eastAsia" w:ascii="仿宋" w:hAnsi="仿宋" w:eastAsia="仿宋" w:cs="仿宋"/>
                <w:color w:val="auto"/>
                <w:highlight w:val="none"/>
                <w:lang w:eastAsia="zh-CN"/>
              </w:rPr>
              <w:t>不足6400元按6400元收取</w:t>
            </w:r>
            <w:r>
              <w:rPr>
                <w:rFonts w:hint="eastAsia" w:ascii="仿宋" w:hAnsi="仿宋" w:eastAsia="仿宋" w:cs="仿宋"/>
                <w:color w:val="auto"/>
                <w:highlight w:val="none"/>
              </w:rPr>
              <w:t>。</w:t>
            </w:r>
          </w:p>
        </w:tc>
      </w:tr>
      <w:tr w14:paraId="33D3650A">
        <w:tblPrEx>
          <w:tblCellMar>
            <w:top w:w="0" w:type="dxa"/>
            <w:left w:w="108" w:type="dxa"/>
            <w:bottom w:w="0" w:type="dxa"/>
            <w:right w:w="108" w:type="dxa"/>
          </w:tblCellMar>
        </w:tblPrEx>
        <w:trPr>
          <w:trHeight w:val="650" w:hRule="atLeast"/>
          <w:jc w:val="center"/>
        </w:trPr>
        <w:tc>
          <w:tcPr>
            <w:tcW w:w="9648" w:type="dxa"/>
            <w:gridSpan w:val="3"/>
            <w:tcBorders>
              <w:top w:val="single" w:color="auto" w:sz="4" w:space="0"/>
              <w:left w:val="single" w:color="auto" w:sz="4" w:space="0"/>
              <w:bottom w:val="single" w:color="auto" w:sz="4" w:space="0"/>
              <w:right w:val="single" w:color="auto" w:sz="8" w:space="0"/>
            </w:tcBorders>
            <w:noWrap w:val="0"/>
            <w:vAlign w:val="center"/>
          </w:tcPr>
          <w:p w14:paraId="070F9070">
            <w:pPr>
              <w:keepNext w:val="0"/>
              <w:keepLines w:val="0"/>
              <w:pageBreakBefore w:val="0"/>
              <w:widowControl/>
              <w:kinsoku/>
              <w:bidi w:val="0"/>
              <w:snapToGrid/>
              <w:spacing w:line="520" w:lineRule="exact"/>
              <w:textAlignment w:val="auto"/>
              <w:rPr>
                <w:rFonts w:ascii="仿宋" w:hAnsi="仿宋" w:eastAsia="仿宋" w:cs="仿宋"/>
                <w:b/>
                <w:color w:val="auto"/>
                <w:highlight w:val="none"/>
              </w:rPr>
            </w:pPr>
            <w:r>
              <w:rPr>
                <w:rFonts w:hint="eastAsia" w:ascii="仿宋" w:hAnsi="仿宋" w:eastAsia="仿宋" w:cs="仿宋"/>
                <w:b/>
                <w:color w:val="auto"/>
                <w:highlight w:val="none"/>
              </w:rPr>
              <w:t>2、磋商保证金</w:t>
            </w:r>
          </w:p>
        </w:tc>
      </w:tr>
      <w:tr w14:paraId="51865841">
        <w:tblPrEx>
          <w:tblCellMar>
            <w:top w:w="0" w:type="dxa"/>
            <w:left w:w="108" w:type="dxa"/>
            <w:bottom w:w="0" w:type="dxa"/>
            <w:right w:w="108" w:type="dxa"/>
          </w:tblCellMar>
        </w:tblPrEx>
        <w:trPr>
          <w:trHeight w:val="65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B35E50C">
            <w:pPr>
              <w:keepNext w:val="0"/>
              <w:keepLines w:val="0"/>
              <w:pageBreakBefore w:val="0"/>
              <w:widowControl/>
              <w:kinsoku/>
              <w:wordWrap/>
              <w:bidi w:val="0"/>
              <w:snapToGrid/>
              <w:spacing w:line="520" w:lineRule="exact"/>
              <w:ind w:left="0" w:leftChars="0" w:right="0" w:rightChars="0"/>
              <w:jc w:val="center"/>
              <w:textAlignment w:val="auto"/>
              <w:rPr>
                <w:rFonts w:hint="eastAsia" w:ascii="仿宋" w:hAnsi="仿宋" w:eastAsia="仿宋" w:cs="仿宋"/>
                <w:b/>
                <w:color w:val="auto"/>
                <w:highlight w:val="none"/>
              </w:rPr>
            </w:pPr>
            <w:r>
              <w:rPr>
                <w:rFonts w:hint="eastAsia" w:ascii="仿宋" w:hAnsi="仿宋" w:eastAsia="仿宋" w:cs="仿宋"/>
                <w:color w:val="auto"/>
                <w:sz w:val="28"/>
                <w:szCs w:val="28"/>
                <w:highlight w:val="none"/>
                <w:lang w:val="en-US" w:eastAsia="zh-CN"/>
              </w:rPr>
              <w:t>2.1</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C54D94C">
            <w:pPr>
              <w:keepNext w:val="0"/>
              <w:keepLines w:val="0"/>
              <w:pageBreakBefore w:val="0"/>
              <w:widowControl/>
              <w:kinsoku/>
              <w:wordWrap/>
              <w:bidi w:val="0"/>
              <w:snapToGrid/>
              <w:spacing w:line="520" w:lineRule="exact"/>
              <w:ind w:left="0" w:leftChars="0" w:right="0" w:rightChars="0"/>
              <w:jc w:val="center"/>
              <w:textAlignment w:val="auto"/>
              <w:rPr>
                <w:rFonts w:hint="eastAsia" w:ascii="仿宋" w:hAnsi="仿宋" w:eastAsia="仿宋" w:cs="仿宋"/>
                <w:b/>
                <w:color w:val="auto"/>
                <w:highlight w:val="none"/>
              </w:rPr>
            </w:pPr>
            <w:r>
              <w:rPr>
                <w:rFonts w:hint="eastAsia" w:ascii="仿宋" w:hAnsi="仿宋" w:eastAsia="仿宋" w:cs="仿宋"/>
                <w:iCs/>
                <w:color w:val="auto"/>
                <w:sz w:val="28"/>
                <w:szCs w:val="28"/>
                <w:highlight w:val="none"/>
              </w:rPr>
              <w:t>交纳金额</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05F5D500">
            <w:pPr>
              <w:keepNext w:val="0"/>
              <w:keepLines w:val="0"/>
              <w:pageBreakBefore w:val="0"/>
              <w:widowControl/>
              <w:kinsoku/>
              <w:wordWrap/>
              <w:bidi w:val="0"/>
              <w:snapToGrid/>
              <w:spacing w:line="520" w:lineRule="exact"/>
              <w:ind w:left="0" w:leftChars="0" w:right="0" w:rightChars="0"/>
              <w:jc w:val="both"/>
              <w:textAlignment w:val="auto"/>
              <w:rPr>
                <w:rFonts w:hint="eastAsia" w:ascii="仿宋" w:hAnsi="仿宋" w:eastAsia="仿宋" w:cs="仿宋"/>
                <w:b/>
                <w:color w:val="auto"/>
                <w:highlight w:val="none"/>
                <w:lang w:eastAsia="zh-CN"/>
              </w:rPr>
            </w:pPr>
            <w:r>
              <w:rPr>
                <w:rFonts w:hint="eastAsia" w:ascii="仿宋" w:hAnsi="仿宋" w:eastAsia="仿宋" w:cs="仿宋"/>
                <w:b/>
                <w:bCs/>
                <w:iCs/>
                <w:color w:val="auto"/>
                <w:sz w:val="28"/>
                <w:szCs w:val="28"/>
                <w:highlight w:val="none"/>
                <w:lang w:val="en-US" w:eastAsia="zh-CN"/>
              </w:rPr>
              <w:t>不缴纳</w:t>
            </w:r>
          </w:p>
        </w:tc>
      </w:tr>
      <w:tr w14:paraId="4636FC4E">
        <w:tblPrEx>
          <w:tblCellMar>
            <w:top w:w="0" w:type="dxa"/>
            <w:left w:w="108" w:type="dxa"/>
            <w:bottom w:w="0" w:type="dxa"/>
            <w:right w:w="108" w:type="dxa"/>
          </w:tblCellMar>
        </w:tblPrEx>
        <w:trPr>
          <w:trHeight w:val="663" w:hRule="atLeast"/>
          <w:jc w:val="center"/>
        </w:trPr>
        <w:tc>
          <w:tcPr>
            <w:tcW w:w="9648" w:type="dxa"/>
            <w:gridSpan w:val="3"/>
            <w:tcBorders>
              <w:top w:val="single" w:color="auto" w:sz="4" w:space="0"/>
              <w:left w:val="single" w:color="auto" w:sz="4" w:space="0"/>
              <w:bottom w:val="single" w:color="auto" w:sz="4" w:space="0"/>
              <w:right w:val="single" w:color="auto" w:sz="8" w:space="0"/>
            </w:tcBorders>
            <w:noWrap w:val="0"/>
            <w:vAlign w:val="center"/>
          </w:tcPr>
          <w:p w14:paraId="558225E5">
            <w:pPr>
              <w:keepNext w:val="0"/>
              <w:keepLines w:val="0"/>
              <w:pageBreakBefore w:val="0"/>
              <w:widowControl/>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b/>
                <w:color w:val="auto"/>
                <w:highlight w:val="none"/>
              </w:rPr>
              <w:t>3、第四、五章前附事项</w:t>
            </w:r>
          </w:p>
        </w:tc>
      </w:tr>
      <w:tr w14:paraId="30B997FB">
        <w:tblPrEx>
          <w:tblCellMar>
            <w:top w:w="0" w:type="dxa"/>
            <w:left w:w="108" w:type="dxa"/>
            <w:bottom w:w="0" w:type="dxa"/>
            <w:right w:w="108" w:type="dxa"/>
          </w:tblCellMar>
        </w:tblPrEx>
        <w:trPr>
          <w:trHeight w:val="6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1786198">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4692ABC">
            <w:pPr>
              <w:keepNext w:val="0"/>
              <w:keepLines w:val="0"/>
              <w:pageBreakBefore w:val="0"/>
              <w:widowControl/>
              <w:kinsoku/>
              <w:bidi w:val="0"/>
              <w:snapToGrid/>
              <w:spacing w:line="520" w:lineRule="exact"/>
              <w:jc w:val="center"/>
              <w:textAlignment w:val="auto"/>
              <w:rPr>
                <w:rFonts w:ascii="仿宋" w:hAnsi="仿宋" w:eastAsia="仿宋" w:cs="仿宋"/>
                <w:iCs/>
                <w:color w:val="auto"/>
                <w:highlight w:val="none"/>
              </w:rPr>
            </w:pPr>
            <w:r>
              <w:rPr>
                <w:rFonts w:hint="eastAsia" w:ascii="仿宋" w:hAnsi="仿宋" w:eastAsia="仿宋" w:cs="仿宋"/>
                <w:color w:val="auto"/>
                <w:highlight w:val="none"/>
              </w:rPr>
              <w:t>服务期限</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1AD856C7">
            <w:pPr>
              <w:keepNext w:val="0"/>
              <w:keepLines w:val="0"/>
              <w:pageBreakBefore w:val="0"/>
              <w:widowControl/>
              <w:kinsoku/>
              <w:bidi w:val="0"/>
              <w:snapToGrid/>
              <w:spacing w:line="520" w:lineRule="exact"/>
              <w:jc w:val="both"/>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15日历天（初步设计5日历天，施工图设计10日历天）</w:t>
            </w:r>
          </w:p>
        </w:tc>
      </w:tr>
      <w:tr w14:paraId="39369D81">
        <w:tblPrEx>
          <w:tblCellMar>
            <w:top w:w="0" w:type="dxa"/>
            <w:left w:w="108" w:type="dxa"/>
            <w:bottom w:w="0" w:type="dxa"/>
            <w:right w:w="108" w:type="dxa"/>
          </w:tblCellMar>
        </w:tblPrEx>
        <w:trPr>
          <w:trHeight w:val="678"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BB0BE90">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0BCB0EC">
            <w:pPr>
              <w:keepNext w:val="0"/>
              <w:keepLines w:val="0"/>
              <w:pageBreakBefore w:val="0"/>
              <w:widowControl/>
              <w:kinsoku/>
              <w:bidi w:val="0"/>
              <w:snapToGrid/>
              <w:spacing w:line="520" w:lineRule="exact"/>
              <w:jc w:val="center"/>
              <w:textAlignment w:val="auto"/>
              <w:rPr>
                <w:rFonts w:ascii="仿宋" w:hAnsi="仿宋" w:eastAsia="仿宋" w:cs="仿宋"/>
                <w:iCs/>
                <w:color w:val="auto"/>
                <w:highlight w:val="none"/>
              </w:rPr>
            </w:pPr>
            <w:r>
              <w:rPr>
                <w:rFonts w:hint="eastAsia" w:ascii="仿宋" w:hAnsi="仿宋" w:eastAsia="仿宋" w:cs="仿宋"/>
                <w:color w:val="auto"/>
                <w:highlight w:val="none"/>
              </w:rPr>
              <w:t>服务地点</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510895F2">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西安市碑林区金花北路35号</w:t>
            </w:r>
          </w:p>
        </w:tc>
      </w:tr>
      <w:tr w14:paraId="604D0324">
        <w:tblPrEx>
          <w:tblCellMar>
            <w:top w:w="0" w:type="dxa"/>
            <w:left w:w="108" w:type="dxa"/>
            <w:bottom w:w="0" w:type="dxa"/>
            <w:right w:w="108" w:type="dxa"/>
          </w:tblCellMar>
        </w:tblPrEx>
        <w:trPr>
          <w:trHeight w:val="67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F1836ED">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3.3</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065500D">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履约保证金</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0BB701BB">
            <w:pPr>
              <w:keepNext w:val="0"/>
              <w:keepLines w:val="0"/>
              <w:pageBreakBefore w:val="0"/>
              <w:widowControl/>
              <w:kinsoku/>
              <w:bidi w:val="0"/>
              <w:snapToGrid/>
              <w:spacing w:line="520" w:lineRule="exact"/>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不要求提供</w:t>
            </w:r>
            <w:r>
              <w:rPr>
                <w:rFonts w:hint="eastAsia" w:ascii="仿宋" w:hAnsi="仿宋" w:eastAsia="仿宋" w:cs="仿宋"/>
                <w:color w:val="auto"/>
                <w:highlight w:val="none"/>
                <w:lang w:eastAsia="zh-CN"/>
              </w:rPr>
              <w:t>。</w:t>
            </w:r>
          </w:p>
          <w:p w14:paraId="00887AA0">
            <w:pPr>
              <w:widowControl/>
              <w:spacing w:line="560" w:lineRule="exact"/>
              <w:rPr>
                <w:rFonts w:ascii="仿宋" w:hAnsi="仿宋" w:eastAsia="仿宋" w:cs="仿宋"/>
                <w:b/>
                <w:bCs/>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要求提供</w:t>
            </w:r>
            <w:r>
              <w:rPr>
                <w:rFonts w:hint="eastAsia" w:ascii="仿宋" w:hAnsi="仿宋" w:eastAsia="仿宋" w:cs="仿宋"/>
                <w:color w:val="auto"/>
                <w:highlight w:val="none"/>
                <w:lang w:val="en-US" w:eastAsia="zh-CN"/>
              </w:rPr>
              <w:t>，金额为本采购项目履约保证金为合同金额的5%，提交方式为：</w:t>
            </w:r>
            <w:r>
              <w:rPr>
                <w:rFonts w:hint="eastAsia" w:ascii="仿宋" w:hAnsi="仿宋" w:eastAsia="仿宋" w:cs="仿宋"/>
                <w:color w:val="auto"/>
                <w:highlight w:val="none"/>
              </w:rPr>
              <w:t>转账、电汇、担保机构保函</w:t>
            </w:r>
            <w:r>
              <w:rPr>
                <w:rFonts w:hint="eastAsia" w:ascii="仿宋" w:hAnsi="仿宋" w:eastAsia="仿宋" w:cs="仿宋"/>
                <w:color w:val="auto"/>
                <w:highlight w:val="none"/>
                <w:lang w:eastAsia="zh-CN"/>
              </w:rPr>
              <w:t>。</w:t>
            </w:r>
          </w:p>
        </w:tc>
      </w:tr>
      <w:tr w14:paraId="36DD27AB">
        <w:tblPrEx>
          <w:tblCellMar>
            <w:top w:w="0" w:type="dxa"/>
            <w:left w:w="108" w:type="dxa"/>
            <w:bottom w:w="0" w:type="dxa"/>
            <w:right w:w="108" w:type="dxa"/>
          </w:tblCellMar>
        </w:tblPrEx>
        <w:trPr>
          <w:trHeight w:val="56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F021DF7">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3.4</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4A98FF4">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结算方式</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61048BF1">
            <w:pPr>
              <w:widowControl/>
              <w:spacing w:line="560"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1.合同签订后五个工作日内，采购人支付总费用的30%作为预付款；</w:t>
            </w:r>
          </w:p>
          <w:p w14:paraId="047B49A0">
            <w:pPr>
              <w:widowControl/>
              <w:spacing w:line="560"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2.供应商完成施工图设计且成果文件经采购人接收后，采购人在十个工作日内支付总费用的65％；</w:t>
            </w:r>
          </w:p>
          <w:p w14:paraId="354B39EE">
            <w:pPr>
              <w:widowControl/>
              <w:spacing w:line="560" w:lineRule="exac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3.工程竣验收后，采购人在十个工作日内支付总费用的5％；</w:t>
            </w:r>
          </w:p>
          <w:p w14:paraId="4B5272D1">
            <w:pPr>
              <w:widowControl/>
              <w:spacing w:line="560" w:lineRule="exact"/>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5.支付费用前，供应商应向采购人提供相应的增值税专用发票，若供应商延迟提供的，采购人支付费用时间相应顺延。</w:t>
            </w:r>
          </w:p>
        </w:tc>
      </w:tr>
      <w:tr w14:paraId="2AC28456">
        <w:tblPrEx>
          <w:tblCellMar>
            <w:top w:w="0" w:type="dxa"/>
            <w:left w:w="108" w:type="dxa"/>
            <w:bottom w:w="0" w:type="dxa"/>
            <w:right w:w="108" w:type="dxa"/>
          </w:tblCellMar>
        </w:tblPrEx>
        <w:trPr>
          <w:trHeight w:val="63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26FFB17">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1156423">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评审方法</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16A72FB3">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综合评分法/见采购文件第五章“评审办法”</w:t>
            </w:r>
          </w:p>
        </w:tc>
      </w:tr>
      <w:tr w14:paraId="3DA0A29F">
        <w:tblPrEx>
          <w:tblCellMar>
            <w:top w:w="0" w:type="dxa"/>
            <w:left w:w="108" w:type="dxa"/>
            <w:bottom w:w="0" w:type="dxa"/>
            <w:right w:w="108" w:type="dxa"/>
          </w:tblCellMar>
        </w:tblPrEx>
        <w:trPr>
          <w:trHeight w:val="63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40F1271">
            <w:pPr>
              <w:keepNext w:val="0"/>
              <w:keepLines w:val="0"/>
              <w:pageBreakBefore w:val="0"/>
              <w:widowControl/>
              <w:kinsoku/>
              <w:bidi w:val="0"/>
              <w:snapToGrid/>
              <w:spacing w:line="52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A91FEE4">
            <w:pPr>
              <w:keepNext w:val="0"/>
              <w:keepLines w:val="0"/>
              <w:pageBreakBefore w:val="0"/>
              <w:widowControl/>
              <w:kinsoku/>
              <w:bidi w:val="0"/>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推荐成交候选人的数量</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7A2DB8D2">
            <w:pPr>
              <w:keepNext w:val="0"/>
              <w:keepLines w:val="0"/>
              <w:pageBreakBefore w:val="0"/>
              <w:widowControl/>
              <w:kinsoku/>
              <w:bidi w:val="0"/>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val="en-US" w:eastAsia="zh-CN"/>
              </w:rPr>
              <w:t>名</w:t>
            </w:r>
          </w:p>
        </w:tc>
      </w:tr>
      <w:tr w14:paraId="3F18BDC8">
        <w:tblPrEx>
          <w:tblCellMar>
            <w:top w:w="0" w:type="dxa"/>
            <w:left w:w="108" w:type="dxa"/>
            <w:bottom w:w="0" w:type="dxa"/>
            <w:right w:w="108" w:type="dxa"/>
          </w:tblCellMar>
        </w:tblPrEx>
        <w:trPr>
          <w:trHeight w:val="63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65AEB4E">
            <w:pPr>
              <w:keepNext w:val="0"/>
              <w:keepLines w:val="0"/>
              <w:pageBreakBefore w:val="0"/>
              <w:widowControl/>
              <w:kinsoku/>
              <w:bidi w:val="0"/>
              <w:snapToGrid/>
              <w:spacing w:line="520" w:lineRule="exact"/>
              <w:jc w:val="center"/>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3.7</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822D5F1">
            <w:pPr>
              <w:keepNext w:val="0"/>
              <w:keepLines w:val="0"/>
              <w:pageBreakBefore w:val="0"/>
              <w:widowControl/>
              <w:kinsoku/>
              <w:wordWrap/>
              <w:bidi w:val="0"/>
              <w:snapToGrid/>
              <w:spacing w:line="560" w:lineRule="exact"/>
              <w:ind w:right="0" w:rightChars="0"/>
              <w:jc w:val="center"/>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是否授权评标委员会确定成交供应商</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76623850">
            <w:pPr>
              <w:keepNext w:val="0"/>
              <w:keepLines w:val="0"/>
              <w:pageBreakBefore w:val="0"/>
              <w:widowControl/>
              <w:kinsoku/>
              <w:wordWrap/>
              <w:bidi w:val="0"/>
              <w:snapToGrid/>
              <w:spacing w:line="560" w:lineRule="exact"/>
              <w:ind w:right="0" w:rightChars="0"/>
              <w:jc w:val="both"/>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否</w:t>
            </w:r>
          </w:p>
        </w:tc>
      </w:tr>
      <w:tr w14:paraId="06C4250F">
        <w:tblPrEx>
          <w:tblCellMar>
            <w:top w:w="0" w:type="dxa"/>
            <w:left w:w="108" w:type="dxa"/>
            <w:bottom w:w="0" w:type="dxa"/>
            <w:right w:w="108" w:type="dxa"/>
          </w:tblCellMar>
        </w:tblPrEx>
        <w:trPr>
          <w:trHeight w:val="662" w:hRule="atLeast"/>
          <w:jc w:val="center"/>
        </w:trPr>
        <w:tc>
          <w:tcPr>
            <w:tcW w:w="9648" w:type="dxa"/>
            <w:gridSpan w:val="3"/>
            <w:tcBorders>
              <w:top w:val="single" w:color="auto" w:sz="4" w:space="0"/>
              <w:left w:val="single" w:color="auto" w:sz="4" w:space="0"/>
              <w:bottom w:val="single" w:color="auto" w:sz="4" w:space="0"/>
              <w:right w:val="single" w:color="auto" w:sz="8" w:space="0"/>
            </w:tcBorders>
            <w:noWrap w:val="0"/>
            <w:vAlign w:val="center"/>
          </w:tcPr>
          <w:p w14:paraId="320B9DD9">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rPr>
              <w:t>4、其他</w:t>
            </w:r>
          </w:p>
        </w:tc>
      </w:tr>
      <w:tr w14:paraId="7A23AB53">
        <w:tblPrEx>
          <w:tblCellMar>
            <w:top w:w="0" w:type="dxa"/>
            <w:left w:w="108" w:type="dxa"/>
            <w:bottom w:w="0" w:type="dxa"/>
            <w:right w:w="108" w:type="dxa"/>
          </w:tblCellMar>
        </w:tblPrEx>
        <w:trPr>
          <w:trHeight w:val="472"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67BB023">
            <w:pPr>
              <w:keepNext w:val="0"/>
              <w:keepLines w:val="0"/>
              <w:pageBreakBefore w:val="0"/>
              <w:widowControl/>
              <w:kinsoku/>
              <w:bidi w:val="0"/>
              <w:snapToGrid/>
              <w:spacing w:line="520" w:lineRule="exact"/>
              <w:jc w:val="center"/>
              <w:textAlignment w:val="auto"/>
              <w:rPr>
                <w:rFonts w:hint="default" w:ascii="仿宋" w:hAnsi="仿宋" w:eastAsia="仿宋" w:cs="仿宋"/>
                <w:bCs/>
                <w:color w:val="auto"/>
                <w:sz w:val="28"/>
                <w:szCs w:val="28"/>
                <w:highlight w:val="none"/>
                <w:lang w:val="en-US" w:eastAsia="zh-CN" w:bidi="ar-SA"/>
              </w:rPr>
            </w:pPr>
            <w:r>
              <w:rPr>
                <w:rFonts w:hint="eastAsia" w:ascii="仿宋" w:hAnsi="仿宋" w:eastAsia="仿宋" w:cs="仿宋"/>
                <w:bCs/>
                <w:color w:val="auto"/>
                <w:highlight w:val="none"/>
                <w:lang w:val="en-US" w:eastAsia="zh-CN"/>
              </w:rPr>
              <w:t>4.1</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36D7A5A">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政府采购信息发布媒体（采购公告、采购结果公告、变更公告）</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68E398B6">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"http://sntba.com/website/index.aspx/www.maaxfixtures.com/www.maaxfixtures.com/beyumi-trade.com/www.zhzlgd.com/chouqu_show.aspx?id=9206"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en-US" w:eastAsia="zh-CN"/>
              </w:rPr>
              <w:t>陕西省政府采购网</w:t>
            </w:r>
            <w:r>
              <w:rPr>
                <w:rFonts w:hint="eastAsia" w:ascii="仿宋" w:hAnsi="仿宋" w:eastAsia="仿宋" w:cs="仿宋"/>
                <w:color w:val="auto"/>
                <w:highlight w:val="none"/>
              </w:rPr>
              <w:fldChar w:fldCharType="end"/>
            </w:r>
          </w:p>
        </w:tc>
      </w:tr>
      <w:tr w14:paraId="4489089F">
        <w:tblPrEx>
          <w:tblCellMar>
            <w:top w:w="0" w:type="dxa"/>
            <w:left w:w="108" w:type="dxa"/>
            <w:bottom w:w="0" w:type="dxa"/>
            <w:right w:w="108" w:type="dxa"/>
          </w:tblCellMar>
        </w:tblPrEx>
        <w:trPr>
          <w:trHeight w:val="36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252CC28">
            <w:pPr>
              <w:keepNext w:val="0"/>
              <w:keepLines w:val="0"/>
              <w:pageBreakBefore w:val="0"/>
              <w:widowControl/>
              <w:kinsoku/>
              <w:bidi w:val="0"/>
              <w:snapToGrid/>
              <w:spacing w:line="520" w:lineRule="exact"/>
              <w:jc w:val="center"/>
              <w:textAlignment w:val="auto"/>
              <w:rPr>
                <w:rFonts w:hint="eastAsia" w:ascii="仿宋" w:hAnsi="仿宋" w:eastAsia="仿宋" w:cs="仿宋"/>
                <w:bCs/>
                <w:color w:val="auto"/>
                <w:sz w:val="28"/>
                <w:szCs w:val="28"/>
                <w:highlight w:val="none"/>
                <w:lang w:val="en-US" w:eastAsia="zh-CN" w:bidi="ar-SA"/>
              </w:rPr>
            </w:pPr>
            <w:r>
              <w:rPr>
                <w:rFonts w:hint="eastAsia" w:ascii="仿宋" w:hAnsi="仿宋" w:eastAsia="仿宋" w:cs="仿宋"/>
                <w:bCs/>
                <w:color w:val="auto"/>
                <w:highlight w:val="none"/>
                <w:lang w:val="en-US" w:eastAsia="zh-CN"/>
              </w:rPr>
              <w:t>4.2</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A5CB5BA">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采购标的对应的中小企业划分标准所属行业</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3CCDFE62">
            <w:pPr>
              <w:keepNext w:val="0"/>
              <w:keepLines w:val="0"/>
              <w:pageBreakBefore w:val="0"/>
              <w:widowControl/>
              <w:kinsoku/>
              <w:bidi w:val="0"/>
              <w:snapToGrid/>
              <w:spacing w:line="52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其他未列明行业</w:t>
            </w:r>
          </w:p>
        </w:tc>
      </w:tr>
      <w:tr w14:paraId="4AFD1F2A">
        <w:tblPrEx>
          <w:tblCellMar>
            <w:top w:w="0" w:type="dxa"/>
            <w:left w:w="108" w:type="dxa"/>
            <w:bottom w:w="0" w:type="dxa"/>
            <w:right w:w="108" w:type="dxa"/>
          </w:tblCellMar>
        </w:tblPrEx>
        <w:trPr>
          <w:trHeight w:val="71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936292B">
            <w:pPr>
              <w:keepNext w:val="0"/>
              <w:keepLines w:val="0"/>
              <w:pageBreakBefore w:val="0"/>
              <w:widowControl/>
              <w:kinsoku/>
              <w:bidi w:val="0"/>
              <w:snapToGrid/>
              <w:spacing w:line="520" w:lineRule="exact"/>
              <w:jc w:val="center"/>
              <w:textAlignment w:val="auto"/>
              <w:rPr>
                <w:rFonts w:hint="default" w:ascii="仿宋" w:hAnsi="仿宋" w:eastAsia="仿宋" w:cs="仿宋"/>
                <w:bCs/>
                <w:color w:val="auto"/>
                <w:sz w:val="28"/>
                <w:szCs w:val="28"/>
                <w:highlight w:val="none"/>
                <w:lang w:val="en-US" w:eastAsia="zh-CN" w:bidi="ar-SA"/>
              </w:rPr>
            </w:pPr>
            <w:r>
              <w:rPr>
                <w:rFonts w:hint="eastAsia" w:ascii="仿宋" w:hAnsi="仿宋" w:eastAsia="仿宋" w:cs="仿宋"/>
                <w:bCs/>
                <w:color w:val="auto"/>
                <w:highlight w:val="none"/>
                <w:lang w:val="en-US" w:eastAsia="zh-CN"/>
              </w:rPr>
              <w:t>4.3</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7B63F36">
            <w:pPr>
              <w:keepNext w:val="0"/>
              <w:keepLines w:val="0"/>
              <w:pageBreakBefore w:val="0"/>
              <w:widowControl/>
              <w:kinsoku/>
              <w:bidi w:val="0"/>
              <w:snapToGrid/>
              <w:spacing w:line="520" w:lineRule="exact"/>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highlight w:val="none"/>
              </w:rPr>
              <w:t>中小企业划型标准</w:t>
            </w:r>
          </w:p>
        </w:tc>
        <w:tc>
          <w:tcPr>
            <w:tcW w:w="6506" w:type="dxa"/>
            <w:tcBorders>
              <w:top w:val="single" w:color="auto" w:sz="4" w:space="0"/>
              <w:left w:val="single" w:color="auto" w:sz="4" w:space="0"/>
              <w:bottom w:val="single" w:color="auto" w:sz="4" w:space="0"/>
              <w:right w:val="single" w:color="auto" w:sz="8" w:space="0"/>
            </w:tcBorders>
            <w:noWrap w:val="0"/>
            <w:vAlign w:val="center"/>
          </w:tcPr>
          <w:p w14:paraId="18382DD9">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根据《工业和信息化部　统计局　发展改革委　财政部 关于印发中小企业划型标准规定的通知》</w:t>
            </w:r>
            <w:r>
              <w:rPr>
                <w:rFonts w:hint="eastAsia" w:ascii="仿宋" w:hAnsi="仿宋" w:eastAsia="仿宋" w:cs="仿宋"/>
                <w:color w:val="auto"/>
                <w:highlight w:val="none"/>
                <w:lang w:eastAsia="zh-CN"/>
              </w:rPr>
              <w:t>（工信部联企业〔2011〕300号）</w:t>
            </w:r>
            <w:r>
              <w:rPr>
                <w:rFonts w:hint="eastAsia" w:ascii="仿宋" w:hAnsi="仿宋" w:eastAsia="仿宋" w:cs="仿宋"/>
                <w:color w:val="auto"/>
                <w:highlight w:val="none"/>
                <w:lang w:val="en-US" w:eastAsia="zh-CN"/>
              </w:rPr>
              <w:t>规定，</w:t>
            </w:r>
            <w:r>
              <w:rPr>
                <w:rFonts w:hint="eastAsia" w:ascii="仿宋" w:hAnsi="仿宋" w:eastAsia="仿宋" w:cs="仿宋"/>
                <w:color w:val="auto"/>
                <w:highlight w:val="none"/>
              </w:rPr>
              <w:t>各行业划型标准为：</w:t>
            </w:r>
          </w:p>
          <w:p w14:paraId="65BE38D5">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6FBD5F27">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38386">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75E991">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FB6DB7">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C63BA3F">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A45C6A">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 以下或营业收入100万元以下的为微型企业。</w:t>
            </w:r>
          </w:p>
          <w:p w14:paraId="247444A3">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 20人以下或营业收入100万元以下的为微型企业。</w:t>
            </w:r>
          </w:p>
          <w:p w14:paraId="1079CB34">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1D4D7E">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ED580E">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003762">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086F30">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B9A4A5">
            <w:pPr>
              <w:keepNext w:val="0"/>
              <w:keepLines w:val="0"/>
              <w:pageBreakBefore w:val="0"/>
              <w:widowControl/>
              <w:kinsoku/>
              <w:bidi w:val="0"/>
              <w:snapToGrid/>
              <w:spacing w:line="52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（十四）物业管理。从业人员1000人以下或营业收入5000万元以下的为中小微型企业。其中，从业人员300人及以上，且营业收入1000万元及以上的为中 型企业；从业人员100人及以上，且营业收入500万元及以上的为小型企业；从业人员100人以下或营业收入500万元以下的为微型企业。</w:t>
            </w:r>
          </w:p>
          <w:p w14:paraId="075BDFCD">
            <w:pPr>
              <w:keepNext w:val="0"/>
              <w:keepLines w:val="0"/>
              <w:pageBreakBefore w:val="0"/>
              <w:widowControl/>
              <w:kinsoku/>
              <w:bidi w:val="0"/>
              <w:snapToGrid/>
              <w:spacing w:line="520" w:lineRule="exact"/>
              <w:jc w:val="both"/>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89800E">
            <w:pPr>
              <w:keepNext w:val="0"/>
              <w:keepLines w:val="0"/>
              <w:pageBreakBefore w:val="0"/>
              <w:widowControl/>
              <w:kinsoku/>
              <w:bidi w:val="0"/>
              <w:snapToGrid/>
              <w:spacing w:line="520" w:lineRule="exact"/>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b/>
                <w:bCs/>
                <w:color w:val="auto"/>
                <w:highlight w:val="none"/>
              </w:rPr>
              <w:t>（十六）其他未列明行业。从业人员300人以下的为中小微型企业。其中，从业人员100人及以上的为中型企业；从业人员10人及以上的为小型企业；从业人员10人以下的为微型企业。</w:t>
            </w:r>
          </w:p>
        </w:tc>
      </w:tr>
    </w:tbl>
    <w:p w14:paraId="0EC810D9">
      <w:pPr>
        <w:tabs>
          <w:tab w:val="left" w:pos="980"/>
        </w:tabs>
        <w:overflowPunct w:val="0"/>
        <w:topLinePunct/>
        <w:autoSpaceDE/>
        <w:autoSpaceDN/>
        <w:spacing w:line="560" w:lineRule="exact"/>
        <w:outlineLvl w:val="1"/>
        <w:rPr>
          <w:rFonts w:hint="eastAsia" w:ascii="仿宋" w:hAnsi="仿宋" w:eastAsia="仿宋"/>
          <w:b/>
          <w:color w:val="auto"/>
          <w:sz w:val="32"/>
          <w:szCs w:val="40"/>
          <w:highlight w:val="none"/>
        </w:rPr>
      </w:pPr>
      <w:r>
        <w:rPr>
          <w:rFonts w:hint="eastAsia"/>
          <w:color w:val="auto"/>
          <w:highlight w:val="none"/>
        </w:rPr>
        <w:br w:type="page"/>
      </w:r>
      <w:r>
        <w:rPr>
          <w:rFonts w:hint="eastAsia" w:ascii="黑体" w:hAnsi="黑体" w:eastAsia="黑体" w:cs="黑体"/>
          <w:bCs/>
          <w:color w:val="auto"/>
          <w:szCs w:val="36"/>
          <w:highlight w:val="none"/>
        </w:rPr>
        <w:t>1.释义</w:t>
      </w:r>
    </w:p>
    <w:p w14:paraId="1081B27B">
      <w:pPr>
        <w:overflowPunct w:val="0"/>
        <w:topLinePunct/>
        <w:autoSpaceDE/>
        <w:autoSpaceDN/>
        <w:spacing w:line="560" w:lineRule="exact"/>
        <w:ind w:firstLine="560" w:firstLineChars="200"/>
        <w:rPr>
          <w:rFonts w:hint="eastAsia" w:ascii="仿宋" w:hAnsi="仿宋" w:eastAsia="仿宋" w:cs="宋体-18030"/>
          <w:color w:val="auto"/>
          <w:highlight w:val="none"/>
        </w:rPr>
      </w:pPr>
      <w:r>
        <w:rPr>
          <w:rFonts w:hint="eastAsia" w:ascii="仿宋" w:hAnsi="仿宋" w:eastAsia="仿宋" w:cs="宋体-18030"/>
          <w:color w:val="auto"/>
          <w:highlight w:val="none"/>
        </w:rPr>
        <w:t>1.1采购人：是指依法进行政府采购的国家机关、事业单位、团体组织。本项目的采购人见</w:t>
      </w:r>
      <w:r>
        <w:rPr>
          <w:rFonts w:hint="eastAsia" w:ascii="仿宋" w:hAnsi="仿宋" w:eastAsia="仿宋" w:cs="宋体-18030"/>
          <w:color w:val="auto"/>
          <w:highlight w:val="none"/>
          <w:u w:val="single"/>
        </w:rPr>
        <w:t>前附事项表</w:t>
      </w:r>
      <w:r>
        <w:rPr>
          <w:rFonts w:hint="eastAsia" w:ascii="仿宋" w:hAnsi="仿宋" w:eastAsia="仿宋" w:cs="宋体-18030"/>
          <w:color w:val="auto"/>
          <w:highlight w:val="none"/>
        </w:rPr>
        <w:t>。</w:t>
      </w:r>
    </w:p>
    <w:p w14:paraId="33D54952">
      <w:pPr>
        <w:overflowPunct w:val="0"/>
        <w:topLinePunct/>
        <w:autoSpaceDE/>
        <w:autoSpaceDN/>
        <w:spacing w:line="560" w:lineRule="exact"/>
        <w:ind w:firstLine="560" w:firstLineChars="200"/>
        <w:rPr>
          <w:rFonts w:ascii="仿宋" w:hAnsi="仿宋" w:eastAsia="仿宋" w:cs="宋体-18030"/>
          <w:color w:val="auto"/>
          <w:highlight w:val="none"/>
        </w:rPr>
      </w:pPr>
      <w:r>
        <w:rPr>
          <w:rFonts w:hint="eastAsia" w:ascii="仿宋" w:hAnsi="仿宋" w:eastAsia="仿宋" w:cs="宋体-18030"/>
          <w:color w:val="auto"/>
          <w:highlight w:val="none"/>
        </w:rPr>
        <w:t>1.2采购代理机构：本项目的采购代理机构为陕西中信项目咨询有限公司，见</w:t>
      </w:r>
      <w:r>
        <w:rPr>
          <w:rFonts w:hint="eastAsia" w:ascii="仿宋" w:hAnsi="仿宋" w:eastAsia="仿宋" w:cs="宋体-18030"/>
          <w:color w:val="auto"/>
          <w:highlight w:val="none"/>
          <w:u w:val="single"/>
        </w:rPr>
        <w:t>前附事项表</w:t>
      </w:r>
      <w:r>
        <w:rPr>
          <w:rFonts w:hint="eastAsia" w:ascii="仿宋" w:hAnsi="仿宋" w:eastAsia="仿宋" w:cs="宋体-18030"/>
          <w:color w:val="auto"/>
          <w:highlight w:val="none"/>
        </w:rPr>
        <w:t>。</w:t>
      </w:r>
    </w:p>
    <w:p w14:paraId="19578B0B">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1.3</w:t>
      </w:r>
      <w:r>
        <w:rPr>
          <w:rFonts w:hint="eastAsia" w:ascii="仿宋" w:hAnsi="仿宋" w:eastAsia="仿宋" w:cs="宋体-18030"/>
          <w:color w:val="auto"/>
          <w:highlight w:val="none"/>
        </w:rPr>
        <w:t>供应商：是指响应磋商、参加磋商竞争的法人、其他组织或者自然人。潜在供应商：以</w:t>
      </w:r>
      <w:r>
        <w:rPr>
          <w:rFonts w:hint="eastAsia" w:ascii="仿宋" w:hAnsi="仿宋" w:eastAsia="仿宋"/>
          <w:color w:val="auto"/>
          <w:highlight w:val="none"/>
        </w:rPr>
        <w:t>采购文件</w:t>
      </w:r>
      <w:r>
        <w:rPr>
          <w:rFonts w:hint="eastAsia" w:ascii="仿宋" w:hAnsi="仿宋" w:eastAsia="仿宋" w:cs="宋体-18030"/>
          <w:color w:val="auto"/>
          <w:highlight w:val="none"/>
        </w:rPr>
        <w:t>规定的方式获取本项目</w:t>
      </w:r>
      <w:r>
        <w:rPr>
          <w:rFonts w:hint="eastAsia" w:ascii="仿宋" w:hAnsi="仿宋" w:eastAsia="仿宋"/>
          <w:color w:val="auto"/>
          <w:highlight w:val="none"/>
        </w:rPr>
        <w:t>采购文件</w:t>
      </w:r>
      <w:r>
        <w:rPr>
          <w:rFonts w:hint="eastAsia" w:ascii="仿宋" w:hAnsi="仿宋" w:eastAsia="仿宋" w:cs="宋体-18030"/>
          <w:color w:val="auto"/>
          <w:highlight w:val="none"/>
        </w:rPr>
        <w:t>的法人、其他组织或者自然人。</w:t>
      </w:r>
    </w:p>
    <w:p w14:paraId="7E7C7ED8">
      <w:pPr>
        <w:overflowPunct w:val="0"/>
        <w:topLinePunct/>
        <w:autoSpaceDE/>
        <w:autoSpaceDN/>
        <w:spacing w:line="560" w:lineRule="exact"/>
        <w:ind w:firstLine="560" w:firstLineChars="200"/>
        <w:jc w:val="both"/>
        <w:rPr>
          <w:rFonts w:hint="eastAsia" w:ascii="仿宋" w:hAnsi="仿宋" w:eastAsia="仿宋" w:cs="宋体-18030"/>
          <w:color w:val="auto"/>
          <w:highlight w:val="none"/>
        </w:rPr>
      </w:pPr>
      <w:r>
        <w:rPr>
          <w:rFonts w:hint="eastAsia" w:ascii="仿宋" w:hAnsi="仿宋" w:eastAsia="仿宋" w:cs="宋体-18030"/>
          <w:color w:val="auto"/>
          <w:highlight w:val="none"/>
        </w:rPr>
        <w:t>1.4监督管理机构：指依法对政府采购活动履行监督管理职能的人民政府财政部门。</w:t>
      </w:r>
    </w:p>
    <w:p w14:paraId="44B7329D">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s="宋体-18030"/>
          <w:color w:val="auto"/>
          <w:highlight w:val="none"/>
        </w:rPr>
        <w:t>1.5</w:t>
      </w:r>
      <w:r>
        <w:rPr>
          <w:rFonts w:hint="eastAsia" w:ascii="仿宋" w:hAnsi="仿宋" w:eastAsia="仿宋"/>
          <w:color w:val="auto"/>
          <w:highlight w:val="none"/>
        </w:rPr>
        <w:t>标书：采购文件与响应文件的统称。</w:t>
      </w:r>
    </w:p>
    <w:p w14:paraId="542B6C0D">
      <w:pPr>
        <w:tabs>
          <w:tab w:val="left" w:pos="98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1.6政府采购优惠政策：依据《中华人民共和国政府采购法》和《中华人民共和国政府采购实施条例》的有关规定，落实政府采购执行政府强制、优先采购节能产品，优先采购环境标志产品，扶持福利企业，支持中小微企业，支持监狱和戒毒企业</w:t>
      </w:r>
      <w:r>
        <w:rPr>
          <w:rFonts w:hint="eastAsia" w:ascii="仿宋" w:hAnsi="仿宋" w:eastAsia="仿宋"/>
          <w:color w:val="auto"/>
          <w:highlight w:val="none"/>
          <w:lang w:eastAsia="zh-CN"/>
        </w:rPr>
        <w:t>、</w:t>
      </w:r>
      <w:r>
        <w:rPr>
          <w:rFonts w:hint="eastAsia" w:ascii="仿宋" w:hAnsi="仿宋" w:eastAsia="仿宋"/>
          <w:color w:val="auto"/>
          <w:highlight w:val="none"/>
        </w:rPr>
        <w:t>残疾人企业</w:t>
      </w:r>
      <w:r>
        <w:rPr>
          <w:rFonts w:hint="eastAsia" w:ascii="仿宋" w:hAnsi="仿宋" w:eastAsia="仿宋"/>
          <w:color w:val="auto"/>
          <w:highlight w:val="none"/>
          <w:lang w:eastAsia="zh-CN"/>
        </w:rPr>
        <w:t>，</w:t>
      </w:r>
      <w:r>
        <w:rPr>
          <w:rFonts w:hint="eastAsia" w:ascii="仿宋" w:hAnsi="仿宋" w:eastAsia="仿宋"/>
          <w:color w:val="auto"/>
          <w:highlight w:val="none"/>
        </w:rPr>
        <w:t>扶持不发达地区和少数民族地区等相关政策。</w:t>
      </w:r>
    </w:p>
    <w:p w14:paraId="198C446B">
      <w:pPr>
        <w:tabs>
          <w:tab w:val="left" w:pos="980"/>
        </w:tabs>
        <w:overflowPunct w:val="0"/>
        <w:topLinePunct/>
        <w:autoSpaceDE/>
        <w:autoSpaceDN/>
        <w:spacing w:line="560" w:lineRule="exact"/>
        <w:outlineLvl w:val="1"/>
        <w:rPr>
          <w:rFonts w:hint="eastAsia" w:ascii="黑体" w:hAnsi="黑体" w:eastAsia="黑体" w:cs="黑体"/>
          <w:bCs/>
          <w:color w:val="auto"/>
          <w:szCs w:val="36"/>
          <w:highlight w:val="none"/>
        </w:rPr>
      </w:pPr>
      <w:r>
        <w:rPr>
          <w:rFonts w:hint="eastAsia" w:ascii="黑体" w:hAnsi="黑体" w:eastAsia="黑体" w:cs="黑体"/>
          <w:bCs/>
          <w:color w:val="auto"/>
          <w:szCs w:val="36"/>
          <w:highlight w:val="none"/>
        </w:rPr>
        <w:t>2.竞争性磋商及采购文件</w:t>
      </w:r>
    </w:p>
    <w:p w14:paraId="46E2043D">
      <w:pPr>
        <w:tabs>
          <w:tab w:val="left" w:pos="98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2.1采购文件的编制、审定、备案与获取，依照政府采购程序办理。供应商必须从采购代理机构获取采购文件，获取的采购文件仅作为本次项目使用，其所获权利不得转让。自行转让或复制的采购文件视为无效文件。</w:t>
      </w:r>
    </w:p>
    <w:p w14:paraId="7C51CDE3">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2.2采购文件对磋商事宜提出明确要求和具体说明，供应商应仔细阅读和正确理解采购文件所有的事项、格式、条款和技术规范等全部内容，因在阅读、理解采购文件内容上产生疏漏、误解，没有按照采购文件要求提交全部资料，或者响应文件没有对采购文件的实质性要求做出响应，其磋商响应将被认定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7786B3EE">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2.3采购文件共六章，构成如下：</w:t>
      </w:r>
    </w:p>
    <w:p w14:paraId="4BD968D5">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第一章：竞争性磋商公告</w:t>
      </w:r>
    </w:p>
    <w:p w14:paraId="63C10F55">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第二章：供应商须知</w:t>
      </w:r>
    </w:p>
    <w:p w14:paraId="24ECFF54">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第三章：响应文件格式</w:t>
      </w:r>
    </w:p>
    <w:p w14:paraId="7470F48D">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第四章：拟签订的合同文本</w:t>
      </w:r>
    </w:p>
    <w:p w14:paraId="1DE1904D">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第五章：评审办法</w:t>
      </w:r>
    </w:p>
    <w:p w14:paraId="1985B108">
      <w:pPr>
        <w:tabs>
          <w:tab w:val="left" w:pos="98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第六章：采购需求及要求</w:t>
      </w:r>
    </w:p>
    <w:p w14:paraId="5C6184FD">
      <w:pPr>
        <w:tabs>
          <w:tab w:val="left" w:pos="980"/>
        </w:tabs>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2.4采购文件中有不一致的，有澄清的部分以最终的澄清更正内容为准；未澄清的，以</w:t>
      </w:r>
      <w:r>
        <w:rPr>
          <w:rFonts w:hint="eastAsia" w:ascii="仿宋" w:hAnsi="仿宋" w:eastAsia="仿宋"/>
          <w:color w:val="auto"/>
          <w:highlight w:val="none"/>
          <w:u w:val="single"/>
        </w:rPr>
        <w:t>前附事项表</w:t>
      </w:r>
      <w:r>
        <w:rPr>
          <w:rFonts w:hint="eastAsia" w:ascii="仿宋" w:hAnsi="仿宋" w:eastAsia="仿宋"/>
          <w:color w:val="auto"/>
          <w:highlight w:val="none"/>
        </w:rPr>
        <w:t>为准；</w:t>
      </w:r>
      <w:r>
        <w:rPr>
          <w:rFonts w:hint="eastAsia" w:ascii="仿宋" w:hAnsi="仿宋" w:eastAsia="仿宋"/>
          <w:color w:val="auto"/>
          <w:highlight w:val="none"/>
          <w:u w:val="single"/>
        </w:rPr>
        <w:t>前附事项表</w:t>
      </w:r>
      <w:r>
        <w:rPr>
          <w:rFonts w:hint="eastAsia" w:ascii="仿宋" w:hAnsi="仿宋" w:eastAsia="仿宋"/>
          <w:color w:val="auto"/>
          <w:highlight w:val="none"/>
        </w:rPr>
        <w:t>不涉及的内容，以编排在后的最后描述为准。</w:t>
      </w:r>
    </w:p>
    <w:p w14:paraId="3C1007D4">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2.5政府采购项目严格执行有关法律、法规和政策规定，坚持公开、公平、公正和诚实信用的原则，接受社会监督，坚决制止和杜绝违背社会公德和职业道德现象的发生。</w:t>
      </w:r>
    </w:p>
    <w:p w14:paraId="7E908A84">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2.6采购人、供应商应优先采购、选供中华人民共和国财政部等公布的《节能产品政府采购清单》、《环境标志产品政府采购清单》内的产品。</w:t>
      </w:r>
    </w:p>
    <w:p w14:paraId="066895C5">
      <w:pPr>
        <w:overflowPunct w:val="0"/>
        <w:topLinePunct/>
        <w:autoSpaceDE/>
        <w:autoSpaceDN/>
        <w:spacing w:line="560" w:lineRule="exact"/>
        <w:ind w:firstLine="560" w:firstLineChars="200"/>
        <w:jc w:val="both"/>
        <w:rPr>
          <w:rFonts w:hint="eastAsia" w:ascii="仿宋" w:hAnsi="仿宋" w:eastAsia="仿宋" w:cs="仿宋"/>
          <w:color w:val="auto"/>
          <w:highlight w:val="none"/>
        </w:rPr>
      </w:pPr>
      <w:r>
        <w:rPr>
          <w:rFonts w:hint="eastAsia" w:ascii="仿宋" w:hAnsi="仿宋" w:eastAsia="仿宋"/>
          <w:color w:val="auto"/>
          <w:highlight w:val="none"/>
        </w:rPr>
        <w:t>2.7对于非专门面向</w:t>
      </w:r>
      <w:r>
        <w:rPr>
          <w:rFonts w:hint="eastAsia" w:ascii="仿宋" w:hAnsi="仿宋" w:eastAsia="仿宋"/>
          <w:color w:val="auto"/>
          <w:highlight w:val="none"/>
          <w:lang w:val="en-US" w:eastAsia="zh-CN"/>
        </w:rPr>
        <w:t>中小</w:t>
      </w:r>
      <w:r>
        <w:rPr>
          <w:rFonts w:hint="eastAsia" w:ascii="仿宋" w:hAnsi="仿宋" w:eastAsia="仿宋"/>
          <w:color w:val="auto"/>
          <w:highlight w:val="none"/>
        </w:rPr>
        <w:t>企业的采购项目，小微企业的价格给予10%的扣除，用扣除后的价格参与评审，供应商须提交《中小企业声明函》，以此为依据享受政府采购政策；残疾人福利企业和监狱、戒毒企业须提交</w:t>
      </w:r>
      <w:r>
        <w:rPr>
          <w:rFonts w:hint="eastAsia" w:ascii="仿宋" w:hAnsi="仿宋" w:eastAsia="仿宋" w:cs="仿宋"/>
          <w:color w:val="auto"/>
          <w:highlight w:val="none"/>
        </w:rPr>
        <w:t>《残疾人福利性单位声明函》、《</w:t>
      </w:r>
      <w:r>
        <w:rPr>
          <w:rFonts w:hint="eastAsia" w:ascii="仿宋" w:hAnsi="仿宋" w:eastAsia="仿宋" w:cs="仿宋"/>
          <w:color w:val="auto"/>
          <w:highlight w:val="none"/>
          <w:lang w:val="zh-CN"/>
        </w:rPr>
        <w:t>监狱、戒毒企业声明函》</w:t>
      </w:r>
      <w:r>
        <w:rPr>
          <w:rFonts w:hint="eastAsia" w:ascii="仿宋" w:hAnsi="仿宋" w:eastAsia="仿宋" w:cs="仿宋"/>
          <w:color w:val="auto"/>
          <w:highlight w:val="none"/>
        </w:rPr>
        <w:t>并提供相关证明材料后</w:t>
      </w:r>
      <w:r>
        <w:rPr>
          <w:rFonts w:hint="eastAsia" w:ascii="仿宋" w:hAnsi="仿宋" w:eastAsia="仿宋"/>
          <w:color w:val="auto"/>
          <w:highlight w:val="none"/>
        </w:rPr>
        <w:t>享受小微型企业相同的政府采购政策，</w:t>
      </w:r>
      <w:r>
        <w:rPr>
          <w:rFonts w:hint="eastAsia" w:ascii="仿宋" w:hAnsi="仿宋" w:eastAsia="仿宋" w:cs="仿宋"/>
          <w:color w:val="auto"/>
          <w:highlight w:val="none"/>
        </w:rPr>
        <w:t>对于同时属于小微企业、监狱企业或残疾人福利性单位的，不重复进行磋商报价扣除。</w:t>
      </w:r>
    </w:p>
    <w:p w14:paraId="23C8718F">
      <w:pPr>
        <w:overflowPunct w:val="0"/>
        <w:topLinePunct/>
        <w:autoSpaceDE/>
        <w:autoSpaceDN/>
        <w:spacing w:line="560" w:lineRule="exact"/>
        <w:ind w:firstLine="560" w:firstLineChars="200"/>
        <w:jc w:val="both"/>
        <w:rPr>
          <w:rFonts w:hint="eastAsia" w:ascii="仿宋" w:hAnsi="仿宋" w:eastAsia="仿宋"/>
          <w:b/>
          <w:bCs/>
          <w:color w:val="auto"/>
          <w:highlight w:val="none"/>
        </w:rPr>
      </w:pPr>
      <w:r>
        <w:rPr>
          <w:rFonts w:hint="eastAsia" w:ascii="仿宋" w:hAnsi="仿宋" w:eastAsia="仿宋"/>
          <w:color w:val="auto"/>
          <w:highlight w:val="none"/>
        </w:rPr>
        <w:t>2.8采购文件的修改、澄清</w:t>
      </w:r>
    </w:p>
    <w:p w14:paraId="63113C6F">
      <w:pPr>
        <w:tabs>
          <w:tab w:val="left" w:pos="0"/>
        </w:tabs>
        <w:overflowPunct w:val="0"/>
        <w:topLinePunct/>
        <w:autoSpaceDE/>
        <w:autoSpaceDN/>
        <w:spacing w:line="560" w:lineRule="exact"/>
        <w:ind w:firstLine="560" w:firstLineChars="200"/>
        <w:jc w:val="both"/>
        <w:rPr>
          <w:rFonts w:hint="eastAsia" w:ascii="仿宋" w:hAnsi="仿宋" w:eastAsia="仿宋" w:cs="仿宋"/>
          <w:color w:val="auto"/>
          <w:szCs w:val="24"/>
          <w:highlight w:val="none"/>
          <w:lang w:val="zh-CN"/>
        </w:rPr>
      </w:pPr>
      <w:r>
        <w:rPr>
          <w:rFonts w:hint="eastAsia" w:ascii="仿宋" w:hAnsi="仿宋" w:eastAsia="仿宋" w:cs="仿宋"/>
          <w:color w:val="auto"/>
          <w:highlight w:val="none"/>
        </w:rPr>
        <w:t>2.8.1</w:t>
      </w:r>
      <w:r>
        <w:rPr>
          <w:rFonts w:hint="eastAsia" w:ascii="仿宋" w:hAnsi="仿宋" w:eastAsia="仿宋" w:cs="仿宋"/>
          <w:color w:val="auto"/>
          <w:szCs w:val="24"/>
          <w:highlight w:val="none"/>
        </w:rPr>
        <w:t>采购人可主动地或在解答供应商提出的澄清问题时对</w:t>
      </w:r>
      <w:r>
        <w:rPr>
          <w:rFonts w:hint="eastAsia" w:ascii="仿宋" w:hAnsi="仿宋" w:eastAsia="仿宋" w:cs="仿宋"/>
          <w:color w:val="auto"/>
          <w:highlight w:val="none"/>
        </w:rPr>
        <w:t>采购文件</w:t>
      </w:r>
      <w:r>
        <w:rPr>
          <w:rFonts w:hint="eastAsia" w:ascii="仿宋" w:hAnsi="仿宋" w:eastAsia="仿宋" w:cs="仿宋"/>
          <w:color w:val="auto"/>
          <w:szCs w:val="24"/>
          <w:highlight w:val="none"/>
        </w:rPr>
        <w:t>进行澄清或修改，</w:t>
      </w:r>
      <w:r>
        <w:rPr>
          <w:rFonts w:hint="eastAsia" w:ascii="仿宋" w:hAnsi="仿宋" w:eastAsia="仿宋" w:cs="仿宋"/>
          <w:color w:val="auto"/>
          <w:highlight w:val="none"/>
        </w:rPr>
        <w:t>采购代理机构</w:t>
      </w:r>
      <w:r>
        <w:rPr>
          <w:rFonts w:hint="eastAsia" w:ascii="仿宋" w:hAnsi="仿宋" w:eastAsia="仿宋" w:cs="仿宋"/>
          <w:color w:val="auto"/>
          <w:szCs w:val="24"/>
          <w:highlight w:val="none"/>
        </w:rPr>
        <w:t>将以发布澄清（更正）公告的方式</w:t>
      </w:r>
      <w:r>
        <w:rPr>
          <w:rFonts w:hint="eastAsia" w:ascii="仿宋" w:hAnsi="仿宋" w:eastAsia="仿宋" w:cs="仿宋"/>
          <w:color w:val="auto"/>
          <w:highlight w:val="none"/>
        </w:rPr>
        <w:t>对已发</w:t>
      </w:r>
      <w:r>
        <w:rPr>
          <w:rFonts w:hint="eastAsia" w:ascii="仿宋" w:hAnsi="仿宋" w:eastAsia="仿宋" w:cs="仿宋"/>
          <w:color w:val="auto"/>
          <w:szCs w:val="24"/>
          <w:highlight w:val="none"/>
        </w:rPr>
        <w:t>出的</w:t>
      </w:r>
      <w:r>
        <w:rPr>
          <w:rFonts w:hint="eastAsia" w:ascii="仿宋" w:hAnsi="仿宋" w:eastAsia="仿宋" w:cs="仿宋"/>
          <w:color w:val="auto"/>
          <w:highlight w:val="none"/>
        </w:rPr>
        <w:t>采购文件</w:t>
      </w:r>
      <w:r>
        <w:rPr>
          <w:rFonts w:hint="eastAsia" w:ascii="仿宋" w:hAnsi="仿宋" w:eastAsia="仿宋" w:cs="仿宋"/>
          <w:color w:val="auto"/>
          <w:szCs w:val="24"/>
          <w:highlight w:val="none"/>
        </w:rPr>
        <w:t>进行必要的澄清或修改，其内容作为</w:t>
      </w:r>
      <w:r>
        <w:rPr>
          <w:rFonts w:hint="eastAsia" w:ascii="仿宋" w:hAnsi="仿宋" w:eastAsia="仿宋" w:cs="仿宋"/>
          <w:color w:val="auto"/>
          <w:highlight w:val="none"/>
        </w:rPr>
        <w:t>采购文件</w:t>
      </w:r>
      <w:r>
        <w:rPr>
          <w:rFonts w:hint="eastAsia" w:ascii="仿宋" w:hAnsi="仿宋" w:eastAsia="仿宋" w:cs="仿宋"/>
          <w:color w:val="auto"/>
          <w:szCs w:val="24"/>
          <w:highlight w:val="none"/>
        </w:rPr>
        <w:t>的组成部分。采购代理机构将以书面形式通知所有获取</w:t>
      </w:r>
      <w:r>
        <w:rPr>
          <w:rFonts w:hint="eastAsia" w:ascii="仿宋" w:hAnsi="仿宋" w:eastAsia="仿宋" w:cs="仿宋"/>
          <w:color w:val="auto"/>
          <w:highlight w:val="none"/>
        </w:rPr>
        <w:t>采购文件</w:t>
      </w:r>
      <w:r>
        <w:rPr>
          <w:rFonts w:hint="eastAsia" w:ascii="仿宋" w:hAnsi="仿宋" w:eastAsia="仿宋" w:cs="仿宋"/>
          <w:color w:val="auto"/>
          <w:szCs w:val="24"/>
          <w:highlight w:val="none"/>
        </w:rPr>
        <w:t>的潜在供应商，并对其具有约束力。供应商在收到上述通知后，应及时向采购代理机构确认。供应商未回复的，视同已知晓澄清或者修改的内容（因潜在供应商原因或通讯线路故障导致通知逾期送达或无法送达，采购代理机构不因此承担任何责任，有关的采购活动可以继续有效进行）。</w:t>
      </w:r>
    </w:p>
    <w:p w14:paraId="7C01FD9C">
      <w:pPr>
        <w:tabs>
          <w:tab w:val="left" w:pos="0"/>
        </w:tabs>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color w:val="auto"/>
          <w:highlight w:val="none"/>
        </w:rPr>
        <w:t>2.8.2澄清、修改或补正的内容可能影响响应文件编制的，为使供应商有足够的时间对采购文件的澄清或者修改部分进行研究而准备或因其他原因，采购人或采购代理机构将依法决定是否顺延磋商截止时间。</w:t>
      </w:r>
    </w:p>
    <w:p w14:paraId="40A16828">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2.9质疑的提出与答复</w:t>
      </w:r>
    </w:p>
    <w:p w14:paraId="1D37D366">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2.9.1对采购文件、采购过程、成交结果等采购活动事项有质疑的供应商，应当在知道或者应知其权益受到损害之日起七个工作日内，以书面形式向采购代理机构提出。</w:t>
      </w:r>
      <w:r>
        <w:rPr>
          <w:rFonts w:hint="eastAsia" w:ascii="仿宋" w:hAnsi="仿宋" w:eastAsia="仿宋"/>
          <w:color w:val="auto"/>
          <w:highlight w:val="none"/>
          <w:lang w:val="zh-CN"/>
        </w:rPr>
        <w:t>供应商</w:t>
      </w:r>
      <w:r>
        <w:rPr>
          <w:rFonts w:hint="eastAsia" w:ascii="仿宋" w:hAnsi="仿宋" w:eastAsia="仿宋"/>
          <w:color w:val="auto"/>
          <w:highlight w:val="none"/>
        </w:rPr>
        <w:t>须在法定质疑期内一次性提出针对同一采购程序环节的质疑。</w:t>
      </w:r>
    </w:p>
    <w:p w14:paraId="5363150D">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2.9.2书面质疑由法定代表人提交的，同时出具法定代表人证明书；委托代理人提交质疑的，必须向其出具授权委托书，授权委托书应当载明代理人的姓名或者名称、代理事项、具体权限、期限等相关事项，由法定代表人签字或者盖章，并加盖单位公章。书面质疑主要包括下列内容：</w:t>
      </w:r>
    </w:p>
    <w:p w14:paraId="0546B666">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（1）质疑的采购项目名称和项目编号；</w:t>
      </w:r>
    </w:p>
    <w:p w14:paraId="689DF411">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（2）质疑人和被质疑人的名称，质疑人的地址、联系方式等；</w:t>
      </w:r>
    </w:p>
    <w:p w14:paraId="1AC34533">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（3）具体、明确的质疑事项和与质疑事项相关的请求；</w:t>
      </w:r>
    </w:p>
    <w:p w14:paraId="61EB0422">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（4）事实依据及必要的法律依据；</w:t>
      </w:r>
    </w:p>
    <w:p w14:paraId="34FDD38D">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（5）提起质疑的日期。</w:t>
      </w:r>
    </w:p>
    <w:p w14:paraId="7545B9E2">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2.9.3质疑有以下情形之一的，采购代理机构不予受理：</w:t>
      </w:r>
    </w:p>
    <w:p w14:paraId="6174BBD0">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（1）未按规定程序和渠道提出质疑的；</w:t>
      </w:r>
    </w:p>
    <w:p w14:paraId="194E60BF">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（2）超过质疑期限的；</w:t>
      </w:r>
    </w:p>
    <w:p w14:paraId="6FE1FE19">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（3）书面质疑的形式和内容不符合上述要求的；</w:t>
      </w:r>
    </w:p>
    <w:p w14:paraId="6E330C88">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（4）提出的质疑事项已经明确答复的；</w:t>
      </w:r>
    </w:p>
    <w:p w14:paraId="0771B1A7">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（5）法律法规规定的其他不予受理的条件。</w:t>
      </w:r>
    </w:p>
    <w:p w14:paraId="019D346B">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2.9.4采购代理机构应当自质疑签收之日起七个工作日内做出书面答复。答复内容同时通知与处理结果有关的供应商，但答复内容不得涉及供应商的商业秘密。</w:t>
      </w:r>
    </w:p>
    <w:p w14:paraId="302AFEB1">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2.9.5采购代理机构在作出书面答复之前，可以采取现场解答的方式向质疑人通报初步处理结果。供应商认可处理结果的，可在出具书面申请后撤回质疑或者放弃质疑，采购代理机构不再进行书面答复。</w:t>
      </w:r>
    </w:p>
    <w:p w14:paraId="76EAF4D8">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2.9.6供应商质疑有下列情形之一的，视为无效质疑，采购代理机构应当驳回质疑，并对供应商无效质疑情况记录存档：</w:t>
      </w:r>
    </w:p>
    <w:p w14:paraId="7EC1677E">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（1）无具体的质疑事项，或者质疑事项缺乏事实和法律依据的；</w:t>
      </w:r>
    </w:p>
    <w:p w14:paraId="499F5781">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（2）质疑内容涉及评审工作细节、其他供应商磋商资料等保密事项且无法提供信息的合法来源的；</w:t>
      </w:r>
    </w:p>
    <w:p w14:paraId="5CDA2FF7">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（3）质疑已经处理并明确答复后，质疑人就同一事项再次提起质疑且未提供新的有效证据的。</w:t>
      </w:r>
    </w:p>
    <w:p w14:paraId="05D50097">
      <w:pPr>
        <w:tabs>
          <w:tab w:val="left" w:pos="0"/>
        </w:tabs>
        <w:overflowPunct w:val="0"/>
        <w:topLinePunct/>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2.9.7供应商进行虚假和恶意质疑，干扰政府采购活动的，采购代理机构可以报请采购人申请上级采购管理部门作出处罚。</w:t>
      </w:r>
    </w:p>
    <w:p w14:paraId="7D9CE1C2">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2.10采购文件的解释权归采购代理机构。</w:t>
      </w:r>
    </w:p>
    <w:p w14:paraId="3E883E44">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2.11代理机构质疑处理联系人、联系方式、联系地址详见供应商须知前附表。</w:t>
      </w:r>
    </w:p>
    <w:p w14:paraId="20D62ACB">
      <w:pPr>
        <w:tabs>
          <w:tab w:val="left" w:pos="980"/>
        </w:tabs>
        <w:overflowPunct w:val="0"/>
        <w:topLinePunct/>
        <w:autoSpaceDE/>
        <w:autoSpaceDN/>
        <w:spacing w:line="560" w:lineRule="exact"/>
        <w:outlineLvl w:val="1"/>
        <w:rPr>
          <w:rFonts w:hint="eastAsia" w:ascii="黑体" w:hAnsi="黑体" w:eastAsia="黑体" w:cs="黑体"/>
          <w:bCs/>
          <w:color w:val="auto"/>
          <w:szCs w:val="36"/>
          <w:highlight w:val="none"/>
        </w:rPr>
      </w:pPr>
      <w:r>
        <w:rPr>
          <w:rFonts w:hint="eastAsia" w:ascii="黑体" w:hAnsi="黑体" w:eastAsia="黑体" w:cs="黑体"/>
          <w:bCs/>
          <w:color w:val="auto"/>
          <w:szCs w:val="36"/>
          <w:highlight w:val="none"/>
        </w:rPr>
        <w:t>3.磋商响应及响应文件</w:t>
      </w:r>
    </w:p>
    <w:p w14:paraId="6EBFEA30">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3.1供应商应当具备法律、行政法规规定的与采购项目相适应的专业资质、许可、批准、认证、认定等证件文书，以及</w:t>
      </w:r>
      <w:r>
        <w:rPr>
          <w:rFonts w:hint="eastAsia" w:ascii="仿宋" w:hAnsi="仿宋" w:eastAsia="仿宋"/>
          <w:color w:val="auto"/>
          <w:highlight w:val="none"/>
        </w:rPr>
        <w:t>国家强制认证产品证书，并按照采购文件</w:t>
      </w:r>
      <w:r>
        <w:rPr>
          <w:rFonts w:hint="eastAsia" w:ascii="仿宋" w:hAnsi="仿宋" w:eastAsia="仿宋"/>
          <w:bCs/>
          <w:color w:val="auto"/>
          <w:highlight w:val="none"/>
        </w:rPr>
        <w:t>对供应商的资格要求（</w:t>
      </w:r>
      <w:r>
        <w:rPr>
          <w:rFonts w:hint="eastAsia" w:ascii="仿宋" w:hAnsi="仿宋" w:eastAsia="仿宋"/>
          <w:color w:val="auto"/>
          <w:highlight w:val="none"/>
        </w:rPr>
        <w:t>见</w:t>
      </w:r>
      <w:r>
        <w:rPr>
          <w:rFonts w:hint="eastAsia" w:ascii="仿宋" w:hAnsi="仿宋" w:eastAsia="仿宋"/>
          <w:bCs/>
          <w:color w:val="auto"/>
          <w:highlight w:val="none"/>
          <w:u w:val="single"/>
        </w:rPr>
        <w:t>前附事项表</w:t>
      </w:r>
      <w:r>
        <w:rPr>
          <w:rFonts w:hint="eastAsia" w:ascii="仿宋" w:hAnsi="仿宋" w:eastAsia="仿宋"/>
          <w:bCs/>
          <w:color w:val="auto"/>
          <w:highlight w:val="none"/>
        </w:rPr>
        <w:t>）以及采购代理机构的补充要求，</w:t>
      </w:r>
      <w:r>
        <w:rPr>
          <w:rFonts w:hint="eastAsia" w:ascii="仿宋" w:hAnsi="仿宋" w:eastAsia="仿宋"/>
          <w:color w:val="auto"/>
          <w:highlight w:val="none"/>
        </w:rPr>
        <w:t>提交相应的证件、文书、资料，接受资格审查。</w:t>
      </w:r>
    </w:p>
    <w:p w14:paraId="11D3EE7E">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3.2本项目的供应商须满足以下条件：</w:t>
      </w:r>
    </w:p>
    <w:p w14:paraId="098543A1">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3.2.1具备《中华人民共和国政府采购法》第二十二条关于供应商条件的规定，遵守本项目采购人和财政部门政府采购的有关规定。</w:t>
      </w:r>
    </w:p>
    <w:p w14:paraId="4CF4BCBC">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3.2.2以采购公告规定的方式获得了本项目的采购文件。</w:t>
      </w:r>
    </w:p>
    <w:p w14:paraId="2A10EF42">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3.2.3符合</w:t>
      </w:r>
      <w:r>
        <w:rPr>
          <w:rFonts w:hint="eastAsia" w:ascii="仿宋" w:hAnsi="仿宋" w:eastAsia="仿宋"/>
          <w:bCs/>
          <w:color w:val="auto"/>
          <w:highlight w:val="none"/>
          <w:u w:val="single"/>
        </w:rPr>
        <w:t>前附事项表</w:t>
      </w:r>
      <w:r>
        <w:rPr>
          <w:rFonts w:hint="eastAsia" w:ascii="仿宋" w:hAnsi="仿宋" w:eastAsia="仿宋"/>
          <w:bCs/>
          <w:color w:val="auto"/>
          <w:highlight w:val="none"/>
        </w:rPr>
        <w:t>中规定的供应商特定资格要求。</w:t>
      </w:r>
    </w:p>
    <w:p w14:paraId="6F744EC0">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注：若</w:t>
      </w:r>
      <w:r>
        <w:rPr>
          <w:rFonts w:hint="eastAsia" w:ascii="仿宋" w:hAnsi="仿宋" w:eastAsia="仿宋"/>
          <w:bCs/>
          <w:color w:val="auto"/>
          <w:highlight w:val="none"/>
          <w:u w:val="single"/>
        </w:rPr>
        <w:t>前附事项表</w:t>
      </w:r>
      <w:r>
        <w:rPr>
          <w:rFonts w:hint="eastAsia" w:ascii="仿宋" w:hAnsi="仿宋" w:eastAsia="仿宋"/>
          <w:bCs/>
          <w:color w:val="auto"/>
          <w:highlight w:val="none"/>
        </w:rPr>
        <w:t>中写明专门面向中小企业采购的，如供应商为非中小企业，其磋商响应将被认定为</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49565ED6">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3.3如</w:t>
      </w:r>
      <w:r>
        <w:rPr>
          <w:rFonts w:hint="eastAsia" w:ascii="仿宋" w:hAnsi="仿宋" w:eastAsia="仿宋"/>
          <w:bCs/>
          <w:color w:val="auto"/>
          <w:highlight w:val="none"/>
          <w:u w:val="single"/>
        </w:rPr>
        <w:t>前附事项表</w:t>
      </w:r>
      <w:r>
        <w:rPr>
          <w:rFonts w:hint="eastAsia" w:ascii="仿宋" w:hAnsi="仿宋" w:eastAsia="仿宋"/>
          <w:bCs/>
          <w:color w:val="auto"/>
          <w:highlight w:val="none"/>
        </w:rPr>
        <w:t>中允许联合体磋商，对联合体规定如下：</w:t>
      </w:r>
    </w:p>
    <w:p w14:paraId="66A65D46">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3.3.1两个及以上供应商可以组成一个联合体，以一个供应商的身份磋商。</w:t>
      </w:r>
    </w:p>
    <w:p w14:paraId="64E818B3">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3.3.2联合体各方均应符合本须知规定。</w:t>
      </w:r>
    </w:p>
    <w:p w14:paraId="56B7C765">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3.3.3采购人根据采购项目对供应商的特殊要求，联合体中至少应当有一方符合相关规定。</w:t>
      </w:r>
    </w:p>
    <w:p w14:paraId="69F2BCAF">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3.3.4联合体各方应签订共同磋商协议，明确约定联合体各方承担的工作和相应的责任，并将共同磋商协议作为响应文件第一部分的内容提交。</w:t>
      </w:r>
    </w:p>
    <w:p w14:paraId="2E8CCEF8">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3.3.5大中型企业、其他自然人、法人或者其他组织与小型、微型企业组成联合体共同参加磋商，共同磋商协议中应写明小型、微型企业的协议合同金额占到共同磋商协议磋商总金额的比例。</w:t>
      </w:r>
    </w:p>
    <w:p w14:paraId="20749184">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3.3.6以联合体形式参加政府采购活动的，联合体各方不得再单独参加或者与其他供应商另外组成联合体参加本项目同一合同项下的磋商，否则相关磋商响应将被认定为</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2323EE7E">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3.3.7对联合体磋商的其他资格要求见前附事项表。</w:t>
      </w:r>
    </w:p>
    <w:p w14:paraId="15AE7E9A">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3.4单位负责人为同一人或者存在直接控股、管理关系的不同供应商参与本项目同一合同项下的磋商的，其相关磋商响应将被认定为</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1E3541AC">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3.5为本项目提供过整体设计、规范编制或者项目管理、监理、检测等服务的供应商，不得再参加本项目上述服务以外的其他采购活动。否则其磋商响应将被认定为</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72150B19">
      <w:pPr>
        <w:overflowPunct w:val="0"/>
        <w:topLinePunct/>
        <w:autoSpaceDE/>
        <w:autoSpaceDN/>
        <w:spacing w:line="560" w:lineRule="exact"/>
        <w:ind w:firstLine="560" w:firstLineChars="200"/>
        <w:jc w:val="both"/>
        <w:rPr>
          <w:rFonts w:hint="eastAsia" w:ascii="仿宋" w:hAnsi="仿宋" w:eastAsia="仿宋"/>
          <w:bCs/>
          <w:color w:val="auto"/>
          <w:highlight w:val="none"/>
        </w:rPr>
      </w:pPr>
      <w:bookmarkStart w:id="2" w:name="_Toc20660370"/>
      <w:bookmarkStart w:id="3" w:name="_Toc520356151"/>
      <w:bookmarkStart w:id="4" w:name="_Toc516367021"/>
      <w:bookmarkStart w:id="5" w:name="_Toc515647767"/>
      <w:bookmarkStart w:id="6" w:name="_Toc3553"/>
      <w:bookmarkStart w:id="7" w:name="_Toc7786"/>
      <w:bookmarkStart w:id="8" w:name="_Toc532473459"/>
      <w:r>
        <w:rPr>
          <w:rFonts w:hint="eastAsia" w:ascii="仿宋" w:hAnsi="仿宋" w:eastAsia="仿宋"/>
          <w:bCs/>
          <w:color w:val="auto"/>
          <w:highlight w:val="none"/>
        </w:rPr>
        <w:t>3.6磋商范围</w:t>
      </w:r>
      <w:bookmarkEnd w:id="2"/>
      <w:bookmarkEnd w:id="3"/>
      <w:bookmarkEnd w:id="4"/>
      <w:bookmarkEnd w:id="5"/>
      <w:bookmarkEnd w:id="6"/>
      <w:bookmarkEnd w:id="7"/>
      <w:bookmarkEnd w:id="8"/>
    </w:p>
    <w:p w14:paraId="4ECFEE81">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3.6.1供应商可对采购文件中一个或多个包进行磋商或者成交，除非在</w:t>
      </w:r>
      <w:r>
        <w:rPr>
          <w:rFonts w:hint="eastAsia" w:ascii="仿宋" w:hAnsi="仿宋" w:eastAsia="仿宋"/>
          <w:bCs/>
          <w:color w:val="auto"/>
          <w:highlight w:val="none"/>
          <w:u w:val="single"/>
        </w:rPr>
        <w:t>前附事项表</w:t>
      </w:r>
      <w:r>
        <w:rPr>
          <w:rFonts w:hint="eastAsia" w:ascii="仿宋" w:hAnsi="仿宋" w:eastAsia="仿宋"/>
          <w:bCs/>
          <w:color w:val="auto"/>
          <w:highlight w:val="none"/>
        </w:rPr>
        <w:t>中另有规定。</w:t>
      </w:r>
    </w:p>
    <w:p w14:paraId="45128059">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3.6.2供应商应当对所参加包的采购文件中“采购需求及要求”所列的所有内容进行响应，如仅响应部分内容，其该包磋商响应将被认定为</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7E9C984F">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3.6.3无论采购文件中是否要求，供应商所提供的货物、服务和工程均应符合国家强制性标准。</w:t>
      </w:r>
    </w:p>
    <w:p w14:paraId="1DFFA062">
      <w:pPr>
        <w:overflowPunct w:val="0"/>
        <w:topLinePunct/>
        <w:autoSpaceDE/>
        <w:autoSpaceDN/>
        <w:spacing w:line="560" w:lineRule="exact"/>
        <w:ind w:firstLine="560" w:firstLineChars="200"/>
        <w:jc w:val="both"/>
        <w:rPr>
          <w:rFonts w:ascii="仿宋" w:hAnsi="仿宋" w:eastAsia="仿宋"/>
          <w:bCs/>
          <w:color w:val="auto"/>
          <w:highlight w:val="none"/>
        </w:rPr>
      </w:pPr>
      <w:bookmarkStart w:id="9" w:name="_Ref467306676"/>
      <w:bookmarkStart w:id="10" w:name="_Ref467306195"/>
      <w:bookmarkStart w:id="11" w:name="_Toc516367022"/>
      <w:bookmarkStart w:id="12" w:name="_Toc532473460"/>
      <w:bookmarkStart w:id="13" w:name="_Toc20660371"/>
      <w:bookmarkStart w:id="14" w:name="_Toc520356152"/>
      <w:bookmarkStart w:id="15" w:name="_Toc28307"/>
      <w:bookmarkStart w:id="16" w:name="_Toc10364"/>
      <w:bookmarkStart w:id="17" w:name="_Toc515647768"/>
      <w:r>
        <w:rPr>
          <w:rFonts w:hint="eastAsia" w:ascii="仿宋" w:hAnsi="仿宋" w:eastAsia="仿宋"/>
          <w:bCs/>
          <w:color w:val="auto"/>
          <w:highlight w:val="none"/>
        </w:rPr>
        <w:t>3.7</w:t>
      </w:r>
      <w:bookmarkEnd w:id="9"/>
      <w:bookmarkEnd w:id="10"/>
      <w:bookmarkEnd w:id="11"/>
      <w:r>
        <w:rPr>
          <w:rFonts w:hint="eastAsia" w:ascii="仿宋" w:hAnsi="仿宋" w:eastAsia="仿宋"/>
          <w:bCs/>
          <w:color w:val="auto"/>
          <w:highlight w:val="none"/>
        </w:rPr>
        <w:t>响应文件组成</w:t>
      </w:r>
      <w:bookmarkEnd w:id="12"/>
      <w:bookmarkEnd w:id="13"/>
      <w:bookmarkEnd w:id="14"/>
      <w:bookmarkEnd w:id="15"/>
      <w:bookmarkEnd w:id="16"/>
      <w:bookmarkEnd w:id="17"/>
      <w:r>
        <w:rPr>
          <w:rFonts w:hint="eastAsia" w:ascii="仿宋" w:hAnsi="仿宋" w:eastAsia="仿宋"/>
          <w:bCs/>
          <w:color w:val="auto"/>
          <w:highlight w:val="none"/>
        </w:rPr>
        <w:t>及编制</w:t>
      </w:r>
    </w:p>
    <w:p w14:paraId="5EFD0A7D">
      <w:pPr>
        <w:overflowPunct w:val="0"/>
        <w:topLinePunct/>
        <w:autoSpaceDE/>
        <w:autoSpaceDN/>
        <w:spacing w:line="560" w:lineRule="exact"/>
        <w:ind w:firstLine="560" w:firstLineChars="200"/>
        <w:jc w:val="both"/>
        <w:rPr>
          <w:rFonts w:hint="eastAsia" w:ascii="仿宋" w:hAnsi="仿宋" w:eastAsia="仿宋"/>
          <w:bCs/>
          <w:color w:val="auto"/>
          <w:highlight w:val="none"/>
        </w:rPr>
      </w:pPr>
      <w:bookmarkStart w:id="18" w:name="_Ref467052588"/>
      <w:r>
        <w:rPr>
          <w:rFonts w:hint="eastAsia" w:ascii="仿宋" w:hAnsi="仿宋" w:eastAsia="仿宋"/>
          <w:bCs/>
          <w:color w:val="auto"/>
          <w:highlight w:val="none"/>
        </w:rPr>
        <w:t>3.7.1响应文件由正本、副本及电子版组成。供应商应完整地按照采购文件提供的响应文件格式及要求编写响应文件。</w:t>
      </w:r>
    </w:p>
    <w:p w14:paraId="22DE4FD2">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3.7.2上述</w:t>
      </w:r>
      <w:r>
        <w:rPr>
          <w:rFonts w:hint="eastAsia" w:ascii="仿宋" w:hAnsi="仿宋" w:eastAsia="仿宋"/>
          <w:color w:val="auto"/>
          <w:highlight w:val="none"/>
        </w:rPr>
        <w:t>所有文件、资料、函电均应使用简体中文（通用缩写、代号及专用名不受此限），使用的计量单位为公制单位（有特殊规定的除外）</w:t>
      </w:r>
      <w:r>
        <w:rPr>
          <w:rFonts w:hint="eastAsia" w:ascii="仿宋" w:hAnsi="仿宋" w:eastAsia="仿宋"/>
          <w:bCs/>
          <w:color w:val="auto"/>
          <w:highlight w:val="none"/>
        </w:rPr>
        <w:t>。</w:t>
      </w:r>
      <w:bookmarkEnd w:id="18"/>
    </w:p>
    <w:p w14:paraId="1F36DAF1">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3.7.3供应商应按</w:t>
      </w:r>
      <w:r>
        <w:rPr>
          <w:rFonts w:hint="eastAsia" w:ascii="仿宋" w:hAnsi="仿宋" w:eastAsia="仿宋"/>
          <w:color w:val="auto"/>
          <w:highlight w:val="none"/>
          <w:u w:val="single"/>
        </w:rPr>
        <w:t>前附事项表</w:t>
      </w:r>
      <w:r>
        <w:rPr>
          <w:rFonts w:hint="eastAsia" w:ascii="仿宋" w:hAnsi="仿宋" w:eastAsia="仿宋"/>
          <w:color w:val="auto"/>
          <w:highlight w:val="none"/>
        </w:rPr>
        <w:t>中的规定，准备和递交响应文件正本、副本和电子文档，每份响应文件封皮须清楚地标明“正本”或“副本”。正本和所有的副本均需打印（为响应国家环保号召，响应文件建议采用双面打印）或用不褪色的蓝（黑）墨水填写，统一胶装成册（不允许活页装订、精装、线装），且需编制目录并在每一页的正下方清楚标明页码，响应文件的副本可采用正本的复印件，若正本和副本不一致，以正本为准。响应文件因字迹潦草、表达不清或装订不当所引起的后果由供应商负责。</w:t>
      </w:r>
    </w:p>
    <w:p w14:paraId="4EAE05ED">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3.7.4供应商须在响应文件的指定页面落款处按要求加盖单位公章，由法定代表人或授权代表签名或盖章。响应文件的任何行间插字、涂改和增删，则应由供应商的法定代表人或委托代理人在每一修改处签字。</w:t>
      </w:r>
    </w:p>
    <w:p w14:paraId="6AD064AD">
      <w:pPr>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3.7.5响应文件应对采购文件有关磋商报价、服务期限、磋商有效期、质量标准、技术标准、采购范围、商务要求等实质性内容作出响应。供应商必须保证其编制、递交的响应文件真实、合法、有效，并承担相应的法律责任。响应文件中资格审查和符合性审查涉及的事项不满足采购文件要求的，其磋商响应将被认定为</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4B0292C3">
      <w:pPr>
        <w:overflowPunct w:val="0"/>
        <w:topLinePunct/>
        <w:autoSpaceDE/>
        <w:autoSpaceDN/>
        <w:spacing w:line="560" w:lineRule="exact"/>
        <w:ind w:firstLine="560" w:firstLineChars="200"/>
        <w:jc w:val="both"/>
        <w:rPr>
          <w:rFonts w:ascii="仿宋" w:hAnsi="仿宋" w:eastAsia="仿宋"/>
          <w:bCs/>
          <w:color w:val="auto"/>
          <w:highlight w:val="none"/>
        </w:rPr>
      </w:pPr>
      <w:r>
        <w:rPr>
          <w:rFonts w:hint="eastAsia" w:ascii="仿宋" w:hAnsi="仿宋" w:eastAsia="仿宋"/>
          <w:bCs/>
          <w:color w:val="auto"/>
          <w:highlight w:val="none"/>
        </w:rPr>
        <w:t>3.7.6若</w:t>
      </w:r>
      <w:r>
        <w:rPr>
          <w:rFonts w:hint="eastAsia" w:ascii="仿宋" w:hAnsi="仿宋" w:eastAsia="仿宋"/>
          <w:bCs/>
          <w:color w:val="auto"/>
          <w:highlight w:val="none"/>
          <w:u w:val="single"/>
        </w:rPr>
        <w:t>前附事项表</w:t>
      </w:r>
      <w:r>
        <w:rPr>
          <w:rFonts w:hint="eastAsia" w:ascii="仿宋" w:hAnsi="仿宋" w:eastAsia="仿宋"/>
          <w:bCs/>
          <w:color w:val="auto"/>
          <w:highlight w:val="none"/>
        </w:rPr>
        <w:t>未要求提供技术备选方案的，供应商只能提交唯一的磋商响应方案，否则</w:t>
      </w:r>
      <w:r>
        <w:rPr>
          <w:rFonts w:hint="eastAsia" w:ascii="仿宋" w:hAnsi="仿宋" w:eastAsia="仿宋"/>
          <w:b/>
          <w:color w:val="auto"/>
          <w:highlight w:val="none"/>
        </w:rPr>
        <w:t>响应无效</w:t>
      </w:r>
      <w:r>
        <w:rPr>
          <w:rFonts w:hint="eastAsia" w:ascii="仿宋" w:hAnsi="仿宋" w:eastAsia="仿宋"/>
          <w:bCs/>
          <w:color w:val="auto"/>
          <w:highlight w:val="none"/>
        </w:rPr>
        <w:t>。</w:t>
      </w:r>
    </w:p>
    <w:p w14:paraId="33D0C730">
      <w:pPr>
        <w:tabs>
          <w:tab w:val="left" w:pos="0"/>
          <w:tab w:val="left" w:pos="420"/>
        </w:tabs>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bCs/>
          <w:color w:val="auto"/>
          <w:highlight w:val="none"/>
        </w:rPr>
        <w:t>3.8响应文件的密封和递交</w:t>
      </w:r>
    </w:p>
    <w:p w14:paraId="52A337E5">
      <w:pPr>
        <w:tabs>
          <w:tab w:val="left" w:pos="0"/>
          <w:tab w:val="left" w:pos="420"/>
        </w:tabs>
        <w:overflowPunct w:val="0"/>
        <w:topLinePunct/>
        <w:autoSpaceDE/>
        <w:autoSpaceDN/>
        <w:spacing w:line="560" w:lineRule="exact"/>
        <w:ind w:firstLine="560" w:firstLineChars="200"/>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3.8.1响应文件应当用不能被他人知悉或更换响应文件内容的方式密封。响应文件的正本需单独密封</w:t>
      </w:r>
      <w:r>
        <w:rPr>
          <w:rFonts w:hint="eastAsia" w:ascii="仿宋" w:hAnsi="仿宋" w:eastAsia="仿宋"/>
          <w:b/>
          <w:color w:val="auto"/>
          <w:szCs w:val="32"/>
          <w:highlight w:val="none"/>
        </w:rPr>
        <w:t>（电子版封装在响应文件正本内）</w:t>
      </w:r>
      <w:r>
        <w:rPr>
          <w:rFonts w:hint="eastAsia" w:ascii="仿宋" w:hAnsi="仿宋" w:eastAsia="仿宋"/>
          <w:bCs/>
          <w:color w:val="auto"/>
          <w:szCs w:val="32"/>
          <w:highlight w:val="none"/>
          <w:lang w:eastAsia="zh-CN"/>
        </w:rPr>
        <w:t>，</w:t>
      </w:r>
      <w:r>
        <w:rPr>
          <w:rFonts w:hint="eastAsia" w:ascii="仿宋" w:hAnsi="仿宋" w:eastAsia="仿宋"/>
          <w:bCs/>
          <w:color w:val="auto"/>
          <w:szCs w:val="32"/>
          <w:highlight w:val="none"/>
        </w:rPr>
        <w:t>所有副本可以分开单独密封，也可以整装密封，</w:t>
      </w:r>
      <w:r>
        <w:rPr>
          <w:rFonts w:hint="eastAsia" w:ascii="仿宋" w:hAnsi="仿宋" w:eastAsia="仿宋" w:cs="仿宋"/>
          <w:b/>
          <w:bCs/>
          <w:color w:val="auto"/>
          <w:highlight w:val="none"/>
        </w:rPr>
        <w:t>磋商一览表除在响应文件内装订外，再制作一份单独放在封袋中（该单独密封磋商一览表的报价必须与响应文件正本中的磋商一览表报价一致，若不一致，则按单独密封的磋商一览表为准）</w:t>
      </w:r>
      <w:r>
        <w:rPr>
          <w:rFonts w:hint="eastAsia" w:ascii="仿宋" w:hAnsi="仿宋" w:eastAsia="仿宋" w:cs="仿宋"/>
          <w:color w:val="auto"/>
          <w:highlight w:val="none"/>
        </w:rPr>
        <w:t>，</w:t>
      </w:r>
      <w:r>
        <w:rPr>
          <w:rFonts w:hint="eastAsia" w:ascii="仿宋" w:hAnsi="仿宋" w:eastAsia="仿宋"/>
          <w:bCs/>
          <w:color w:val="auto"/>
          <w:szCs w:val="32"/>
          <w:highlight w:val="none"/>
        </w:rPr>
        <w:t>在每个封袋上标明“正本及电子版”或“副本”或“磋商一览表”字样并标记。</w:t>
      </w:r>
    </w:p>
    <w:p w14:paraId="7198A1B7">
      <w:pPr>
        <w:tabs>
          <w:tab w:val="left" w:pos="0"/>
          <w:tab w:val="left" w:pos="420"/>
        </w:tabs>
        <w:overflowPunct w:val="0"/>
        <w:topLinePunct/>
        <w:autoSpaceDE/>
        <w:autoSpaceDN/>
        <w:spacing w:line="560" w:lineRule="exact"/>
        <w:ind w:firstLine="560" w:firstLineChars="200"/>
        <w:jc w:val="both"/>
        <w:rPr>
          <w:rFonts w:ascii="仿宋" w:hAnsi="仿宋" w:eastAsia="仿宋"/>
          <w:bCs/>
          <w:color w:val="auto"/>
          <w:szCs w:val="32"/>
          <w:highlight w:val="none"/>
        </w:rPr>
      </w:pPr>
      <w:r>
        <w:rPr>
          <w:rFonts w:hint="eastAsia" w:ascii="仿宋" w:hAnsi="仿宋" w:eastAsia="仿宋"/>
          <w:bCs/>
          <w:color w:val="auto"/>
          <w:szCs w:val="32"/>
          <w:highlight w:val="none"/>
        </w:rPr>
        <w:t>3.8.2标记要求：所有包装封袋上均应注明项目名称、采购项目编号、包号（如有）、供应商名称和“磋商时间前不得启封”的字样（参考</w:t>
      </w:r>
      <w:r>
        <w:rPr>
          <w:rFonts w:hint="eastAsia" w:ascii="仿宋" w:hAnsi="仿宋" w:eastAsia="仿宋"/>
          <w:b/>
          <w:color w:val="auto"/>
          <w:szCs w:val="32"/>
          <w:highlight w:val="none"/>
          <w:u w:val="single"/>
        </w:rPr>
        <w:t>附件A</w:t>
      </w:r>
      <w:r>
        <w:rPr>
          <w:rFonts w:hint="eastAsia" w:ascii="仿宋" w:hAnsi="仿宋" w:eastAsia="仿宋"/>
          <w:bCs/>
          <w:color w:val="auto"/>
          <w:szCs w:val="32"/>
          <w:highlight w:val="none"/>
        </w:rPr>
        <w:t>），在封口处加盖供应商公章并由法定代表人或委托代理人签字或盖章。</w:t>
      </w:r>
    </w:p>
    <w:p w14:paraId="1C4D1B83">
      <w:pPr>
        <w:tabs>
          <w:tab w:val="left" w:pos="0"/>
          <w:tab w:val="left" w:pos="420"/>
        </w:tabs>
        <w:overflowPunct w:val="0"/>
        <w:topLinePunct/>
        <w:autoSpaceDE/>
        <w:autoSpaceDN/>
        <w:spacing w:line="560" w:lineRule="exact"/>
        <w:ind w:firstLine="560" w:firstLineChars="200"/>
        <w:jc w:val="both"/>
        <w:rPr>
          <w:rFonts w:hint="eastAsia" w:ascii="仿宋" w:hAnsi="仿宋" w:eastAsia="仿宋"/>
          <w:bCs/>
          <w:color w:val="auto"/>
          <w:highlight w:val="none"/>
        </w:rPr>
      </w:pPr>
      <w:r>
        <w:rPr>
          <w:rFonts w:hint="eastAsia" w:ascii="仿宋" w:hAnsi="仿宋" w:eastAsia="仿宋"/>
          <w:color w:val="auto"/>
          <w:highlight w:val="none"/>
        </w:rPr>
        <w:t>3.8.3如果供应商未按上述要求密封及加写标记的响应文件，采购代理机构将拒绝接收。</w:t>
      </w:r>
    </w:p>
    <w:p w14:paraId="710D7558">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3.8.4供应商应当按</w:t>
      </w:r>
      <w:r>
        <w:rPr>
          <w:rFonts w:hint="eastAsia" w:ascii="仿宋" w:hAnsi="仿宋" w:eastAsia="仿宋"/>
          <w:color w:val="auto"/>
          <w:highlight w:val="none"/>
          <w:u w:val="single"/>
        </w:rPr>
        <w:t>前附事项表</w:t>
      </w:r>
      <w:r>
        <w:rPr>
          <w:rFonts w:hint="eastAsia" w:ascii="仿宋" w:hAnsi="仿宋" w:eastAsia="仿宋"/>
          <w:color w:val="auto"/>
          <w:highlight w:val="none"/>
        </w:rPr>
        <w:t>规定的磋商截止时间前在指定地点一次性递交全部响应文件。</w:t>
      </w:r>
    </w:p>
    <w:p w14:paraId="7E4C201F">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3.8.5</w:t>
      </w:r>
      <w:r>
        <w:rPr>
          <w:rFonts w:hint="eastAsia" w:ascii="仿宋" w:hAnsi="仿宋" w:eastAsia="仿宋"/>
          <w:bCs/>
          <w:color w:val="auto"/>
          <w:spacing w:val="-6"/>
          <w:szCs w:val="32"/>
          <w:highlight w:val="none"/>
        </w:rPr>
        <w:t>采购代理机构</w:t>
      </w:r>
      <w:r>
        <w:rPr>
          <w:rFonts w:hint="eastAsia" w:ascii="仿宋" w:hAnsi="仿宋" w:eastAsia="仿宋"/>
          <w:color w:val="auto"/>
          <w:spacing w:val="-6"/>
          <w:highlight w:val="none"/>
        </w:rPr>
        <w:t>项目承办人只负责响应文件的接收、登记送达时间及密封情况等事项，并请递交人签字确认，对其有效性不负任何责任。递交接收手续完毕的响应文件由承办人妥善保管，任何人不得擅自解密、拆封、调换和退回。</w:t>
      </w:r>
    </w:p>
    <w:p w14:paraId="6CC23459">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3.8.6在递交响应文件时间截止之后，任何人上传、送达、投递的响应文件和文书资料，采购代理机构一律拒绝接收。</w:t>
      </w:r>
    </w:p>
    <w:p w14:paraId="626BFC21">
      <w:pPr>
        <w:tabs>
          <w:tab w:val="left" w:pos="0"/>
        </w:tabs>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3.8.7除供应商不足3家未进行磋商外，采购人和采购代理机构对所接收响应文件概不退回。</w:t>
      </w:r>
    </w:p>
    <w:p w14:paraId="4053FBAD">
      <w:pPr>
        <w:tabs>
          <w:tab w:val="left" w:pos="1080"/>
        </w:tabs>
        <w:overflowPunct w:val="0"/>
        <w:topLinePunct/>
        <w:autoSpaceDE/>
        <w:autoSpaceDN/>
        <w:spacing w:line="560" w:lineRule="exact"/>
        <w:ind w:firstLine="560" w:firstLineChars="200"/>
        <w:jc w:val="both"/>
        <w:rPr>
          <w:rFonts w:hint="eastAsia" w:ascii="仿宋" w:hAnsi="仿宋" w:eastAsia="仿宋"/>
          <w:bCs/>
          <w:color w:val="auto"/>
          <w:szCs w:val="32"/>
          <w:highlight w:val="none"/>
        </w:rPr>
      </w:pPr>
      <w:r>
        <w:rPr>
          <w:rFonts w:hint="eastAsia" w:ascii="仿宋" w:hAnsi="仿宋" w:eastAsia="仿宋"/>
          <w:bCs/>
          <w:color w:val="auto"/>
          <w:highlight w:val="none"/>
        </w:rPr>
        <w:t>3.9</w:t>
      </w:r>
      <w:r>
        <w:rPr>
          <w:rFonts w:hint="eastAsia" w:ascii="仿宋" w:hAnsi="仿宋" w:eastAsia="仿宋"/>
          <w:bCs/>
          <w:color w:val="auto"/>
          <w:szCs w:val="32"/>
          <w:highlight w:val="none"/>
        </w:rPr>
        <w:t>响应文件的修改与撤回</w:t>
      </w:r>
    </w:p>
    <w:p w14:paraId="0A01839A">
      <w:pPr>
        <w:tabs>
          <w:tab w:val="left" w:pos="1080"/>
        </w:tabs>
        <w:overflowPunct w:val="0"/>
        <w:topLinePunct/>
        <w:autoSpaceDE/>
        <w:autoSpaceDN/>
        <w:spacing w:line="560" w:lineRule="exact"/>
        <w:ind w:firstLine="560" w:firstLineChars="200"/>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3.9.1供应商在递交响应文件后，如果供应商要进行修改，须提出书面申请并在响应文件递交截止时间前送达磋商地点，供应商对响应文件的修改申请应按本须知第3.8条规定密封、标记和递交，采购人和采购代理机构将予以接收，并视为响应文件的组成部分。</w:t>
      </w:r>
    </w:p>
    <w:p w14:paraId="235B829C">
      <w:pPr>
        <w:tabs>
          <w:tab w:val="left" w:pos="1080"/>
        </w:tabs>
        <w:overflowPunct w:val="0"/>
        <w:topLinePunct/>
        <w:autoSpaceDE/>
        <w:autoSpaceDN/>
        <w:spacing w:line="560" w:lineRule="exact"/>
        <w:ind w:firstLine="560" w:firstLineChars="200"/>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3.9.2递交响应文件以后，如果供应商要进行撤回的，须提出书面申请并在响应文件递交截止时间前送达磋商地点，采购人和采购代理机构将予以接受。</w:t>
      </w:r>
    </w:p>
    <w:p w14:paraId="51DEA6B6">
      <w:pPr>
        <w:tabs>
          <w:tab w:val="left" w:pos="1080"/>
        </w:tabs>
        <w:overflowPunct w:val="0"/>
        <w:topLinePunct/>
        <w:autoSpaceDE/>
        <w:autoSpaceDN/>
        <w:spacing w:line="560" w:lineRule="exact"/>
        <w:ind w:firstLine="560" w:firstLineChars="200"/>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3.9.3在响应文件递交截止时间之后，供应商不得对其响应文件做任何修改。</w:t>
      </w:r>
    </w:p>
    <w:p w14:paraId="683550A0">
      <w:pPr>
        <w:tabs>
          <w:tab w:val="left" w:pos="1080"/>
        </w:tabs>
        <w:overflowPunct w:val="0"/>
        <w:topLinePunct/>
        <w:autoSpaceDE/>
        <w:autoSpaceDN/>
        <w:spacing w:line="560" w:lineRule="exact"/>
        <w:ind w:firstLine="560" w:firstLineChars="200"/>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3.9.4符合要求的供应商不足3家的，依照《财库〔2015〕124号》之规定办理。</w:t>
      </w:r>
    </w:p>
    <w:p w14:paraId="15132F3D">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3.10磋商报价</w:t>
      </w:r>
    </w:p>
    <w:p w14:paraId="15DF1A81">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3.10.1供应商的报价应当包括满足本次采购项目全部采购需求。所有磋商报价均应以人民币报价。供应商的磋商报价应遵守《中华人民共和国价格法》。</w:t>
      </w:r>
    </w:p>
    <w:p w14:paraId="025FA1A6">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3.10.2供应商对所磋商项目只允许有一个报价，不接受超过采购文件中规定的预算金额或者最高限价的报价、可变动性报价、赠送及“零”报价，否则视为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3E6A2650">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3.10.3供应商应在</w:t>
      </w:r>
      <w:r>
        <w:rPr>
          <w:rFonts w:hint="eastAsia" w:ascii="仿宋" w:hAnsi="仿宋" w:eastAsia="仿宋"/>
          <w:color w:val="auto"/>
          <w:highlight w:val="none"/>
          <w:u w:val="single"/>
        </w:rPr>
        <w:t>分项报价表</w:t>
      </w:r>
      <w:r>
        <w:rPr>
          <w:rFonts w:hint="eastAsia" w:ascii="仿宋" w:hAnsi="仿宋" w:eastAsia="仿宋"/>
          <w:color w:val="auto"/>
          <w:highlight w:val="none"/>
        </w:rPr>
        <w:t>上标明所提供服务分项的单价（如适用）和总价，并由法定代表人或其授权代表签署。</w:t>
      </w:r>
    </w:p>
    <w:p w14:paraId="0905B56D">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3.10.4分项报价表上的价格应包括：本项目包含的所有费用。</w:t>
      </w:r>
    </w:p>
    <w:p w14:paraId="54801BB3">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3.10.5供应商所报的各分项单价在合同履行过程中是固定不变的，不得以任何理由予以变更。任何包含价格调整要求的磋商，其磋商响应将被认定为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490D9B4E">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3.10.6采购人不接受具有附加条件的报价或多个方案的报价。</w:t>
      </w:r>
    </w:p>
    <w:p w14:paraId="67E622AC">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3.10.7供应商不得以低于成本的报价参加磋商。磋商小组认为供应商的报价明显低于其他通过符合性审查供应商的报价，有可能影响服务质量或者不能诚信履约的，应当要求其在评审现场合理的时间内提供书面说明，必要时提交相关证明材料</w:t>
      </w:r>
      <w:r>
        <w:rPr>
          <w:rFonts w:hint="eastAsia" w:ascii="仿宋" w:hAnsi="仿宋" w:eastAsia="仿宋"/>
          <w:color w:val="auto"/>
          <w:highlight w:val="none"/>
          <w:lang w:eastAsia="zh-CN"/>
        </w:rPr>
        <w:t>，</w:t>
      </w:r>
      <w:r>
        <w:rPr>
          <w:rFonts w:hint="eastAsia" w:ascii="仿宋" w:hAnsi="仿宋" w:eastAsia="仿宋"/>
          <w:color w:val="auto"/>
          <w:highlight w:val="none"/>
        </w:rPr>
        <w:t>供应商不能证明其报价合理性的，磋商小组应当将其作为</w:t>
      </w:r>
      <w:r>
        <w:rPr>
          <w:rFonts w:hint="eastAsia" w:ascii="仿宋" w:hAnsi="仿宋" w:eastAsia="仿宋"/>
          <w:b/>
          <w:bCs/>
          <w:color w:val="auto"/>
          <w:highlight w:val="none"/>
        </w:rPr>
        <w:t>无效响应</w:t>
      </w:r>
      <w:r>
        <w:rPr>
          <w:rFonts w:hint="eastAsia" w:ascii="仿宋" w:hAnsi="仿宋" w:eastAsia="仿宋"/>
          <w:color w:val="auto"/>
          <w:highlight w:val="none"/>
        </w:rPr>
        <w:t>处理。</w:t>
      </w:r>
    </w:p>
    <w:p w14:paraId="0FBF20B3">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3.11磋商有效期</w:t>
      </w:r>
    </w:p>
    <w:p w14:paraId="51F57BD8">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3.11.1磋商有效期为提交响应文件截止之日起不少于90个日历日，磋商响应应在磋商有效期内保持有效。磋商有效期不满足要求的磋商，其磋商响应将被认定为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2F5AE1B7">
      <w:pPr>
        <w:overflowPunct w:val="0"/>
        <w:topLinePunct/>
        <w:autoSpaceDE/>
        <w:autoSpaceDN/>
        <w:spacing w:line="560" w:lineRule="exact"/>
        <w:ind w:firstLine="560" w:firstLineChars="200"/>
        <w:jc w:val="both"/>
        <w:rPr>
          <w:rFonts w:hint="eastAsia"/>
          <w:color w:val="auto"/>
          <w:highlight w:val="none"/>
        </w:rPr>
      </w:pPr>
      <w:r>
        <w:rPr>
          <w:rFonts w:hint="eastAsia" w:ascii="仿宋" w:hAnsi="仿宋" w:eastAsia="仿宋"/>
          <w:color w:val="auto"/>
          <w:highlight w:val="none"/>
        </w:rPr>
        <w:t>3.11.2因特殊原因，采购人或采购代理机构可在原磋商有效期截止之前，要求供应商延长响应文件的有效期。接受该要求的供应商将不会被要求和允许修正其磋商。供应商也可以拒绝延长磋商有效期的要求，且不承担任何责任。上述要求和答复都应以书面形式提交。</w:t>
      </w:r>
    </w:p>
    <w:p w14:paraId="62C12EDF">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3.12磋商保证金</w:t>
      </w:r>
    </w:p>
    <w:p w14:paraId="5C5EDC01">
      <w:pPr>
        <w:overflowPunct w:val="0"/>
        <w:topLinePunct/>
        <w:autoSpaceDE/>
        <w:autoSpaceDN/>
        <w:spacing w:line="560" w:lineRule="exact"/>
        <w:ind w:firstLine="560" w:firstLineChars="200"/>
        <w:jc w:val="both"/>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本项目不缴纳磋商保证金。</w:t>
      </w:r>
    </w:p>
    <w:p w14:paraId="115ED10E">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3.13政府采购信用担保及信用融资政策</w:t>
      </w:r>
    </w:p>
    <w:p w14:paraId="2D20B728">
      <w:pPr>
        <w:keepNext w:val="0"/>
        <w:keepLines w:val="0"/>
        <w:pageBreakBefore w:val="0"/>
        <w:widowControl w:val="0"/>
        <w:kinsoku/>
        <w:wordWrap w:val="0"/>
        <w:overflowPunct w:val="0"/>
        <w:topLinePunct/>
        <w:autoSpaceDE/>
        <w:autoSpaceDN/>
        <w:bidi w:val="0"/>
        <w:adjustRightInd w:val="0"/>
        <w:snapToGrid/>
        <w:spacing w:line="560" w:lineRule="exact"/>
        <w:ind w:firstLine="560" w:firstLineChars="200"/>
        <w:jc w:val="both"/>
        <w:textAlignment w:val="auto"/>
        <w:rPr>
          <w:rFonts w:hint="eastAsia"/>
          <w:color w:val="auto"/>
          <w:highlight w:val="none"/>
        </w:rPr>
      </w:pPr>
      <w:r>
        <w:rPr>
          <w:rFonts w:hint="eastAsia" w:ascii="仿宋" w:hAnsi="仿宋" w:eastAsia="仿宋"/>
          <w:color w:val="auto"/>
          <w:highlight w:val="none"/>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融资需求的供应商可根据自身情况，在陕西省政府采购信用融资平台（http://www.ccgp-shaanxi.gov.cn/zcdservice/zcd/shanxi/）自主选择金融机构及其融资产品，按信用融资办法的相关程序申请办理</w:t>
      </w:r>
      <w:r>
        <w:rPr>
          <w:rFonts w:hint="eastAsia" w:ascii="仿宋" w:hAnsi="仿宋" w:eastAsia="仿宋" w:cs="Times New Roman"/>
          <w:color w:val="auto"/>
          <w:highlight w:val="none"/>
        </w:rPr>
        <w:t>。</w:t>
      </w:r>
    </w:p>
    <w:p w14:paraId="5F944A6E">
      <w:pPr>
        <w:tabs>
          <w:tab w:val="left" w:pos="980"/>
        </w:tabs>
        <w:overflowPunct w:val="0"/>
        <w:topLinePunct/>
        <w:autoSpaceDE/>
        <w:autoSpaceDN/>
        <w:spacing w:line="560" w:lineRule="exact"/>
        <w:outlineLvl w:val="1"/>
        <w:rPr>
          <w:rFonts w:ascii="黑体" w:hAnsi="黑体" w:eastAsia="黑体" w:cs="黑体"/>
          <w:bCs/>
          <w:color w:val="auto"/>
          <w:szCs w:val="36"/>
          <w:highlight w:val="none"/>
        </w:rPr>
      </w:pPr>
      <w:r>
        <w:rPr>
          <w:rFonts w:hint="eastAsia" w:ascii="黑体" w:hAnsi="黑体" w:eastAsia="黑体" w:cs="黑体"/>
          <w:bCs/>
          <w:color w:val="auto"/>
          <w:szCs w:val="36"/>
          <w:highlight w:val="none"/>
        </w:rPr>
        <w:t>4.磋商及评审</w:t>
      </w:r>
    </w:p>
    <w:p w14:paraId="5C2BD368">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4.1采购人和采购代理机构将按</w:t>
      </w:r>
      <w:r>
        <w:rPr>
          <w:rFonts w:hint="eastAsia" w:ascii="仿宋" w:hAnsi="仿宋" w:eastAsia="仿宋"/>
          <w:color w:val="auto"/>
          <w:highlight w:val="none"/>
          <w:u w:val="single"/>
        </w:rPr>
        <w:t>前附事项表</w:t>
      </w:r>
      <w:r>
        <w:rPr>
          <w:rFonts w:hint="eastAsia" w:ascii="仿宋" w:hAnsi="仿宋" w:eastAsia="仿宋"/>
          <w:color w:val="auto"/>
          <w:highlight w:val="none"/>
        </w:rPr>
        <w:t>中规定的磋商时间和地点组织磋商，由采购代理机构主持，采购人参会人员、供应商代表及有关工作人员参加，参加磋商的代表应签名报到，以证明其出席。</w:t>
      </w:r>
    </w:p>
    <w:p w14:paraId="331EA411">
      <w:p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color w:val="auto"/>
          <w:highlight w:val="none"/>
        </w:rPr>
        <w:t>4.2</w:t>
      </w:r>
      <w:r>
        <w:rPr>
          <w:rFonts w:hint="eastAsia" w:ascii="仿宋" w:hAnsi="仿宋" w:eastAsia="仿宋"/>
          <w:bCs/>
          <w:color w:val="auto"/>
          <w:szCs w:val="32"/>
          <w:highlight w:val="none"/>
        </w:rPr>
        <w:t>供应商或者其推选的代表及监标人检查响应文件的密封情况。</w:t>
      </w:r>
    </w:p>
    <w:p w14:paraId="0FFF8308">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bCs/>
          <w:color w:val="auto"/>
          <w:szCs w:val="32"/>
          <w:highlight w:val="none"/>
        </w:rPr>
        <w:t>4.3供应商代表对磋商过程有疑义或认为磋商现场采购人、采购代理机构相关工作人员有需要回避的情形的，应当场提出询问或者回避申请。</w:t>
      </w:r>
    </w:p>
    <w:p w14:paraId="201DE292">
      <w:pPr>
        <w:overflowPunct w:val="0"/>
        <w:topLinePunct/>
        <w:autoSpaceDE/>
        <w:autoSpaceDN/>
        <w:spacing w:line="560" w:lineRule="exact"/>
        <w:ind w:firstLine="523" w:firstLineChars="187"/>
        <w:jc w:val="both"/>
        <w:rPr>
          <w:rFonts w:ascii="仿宋" w:hAnsi="仿宋" w:eastAsia="仿宋"/>
          <w:color w:val="auto"/>
          <w:highlight w:val="none"/>
        </w:rPr>
      </w:pPr>
      <w:r>
        <w:rPr>
          <w:rFonts w:hint="eastAsia" w:ascii="仿宋" w:hAnsi="仿宋" w:eastAsia="仿宋"/>
          <w:color w:val="auto"/>
          <w:highlight w:val="none"/>
        </w:rPr>
        <w:t>4.4组建磋商小组及资格审查、符合性审查</w:t>
      </w:r>
    </w:p>
    <w:p w14:paraId="21502719">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4.4.1按照《中华人民共和国政府采购法》、《中华人民共和国政府采购法实施条例》及本项目本级和上级财政部门的有关规定依法组建的磋商小组，负责评审工作</w:t>
      </w:r>
      <w:r>
        <w:rPr>
          <w:rFonts w:hint="eastAsia" w:ascii="仿宋" w:hAnsi="仿宋" w:eastAsia="仿宋"/>
          <w:color w:val="auto"/>
          <w:highlight w:val="none"/>
        </w:rPr>
        <w:t>。</w:t>
      </w:r>
      <w:r>
        <w:rPr>
          <w:rFonts w:hint="eastAsia" w:ascii="仿宋" w:hAnsi="仿宋" w:eastAsia="仿宋"/>
          <w:color w:val="000000"/>
          <w:highlight w:val="none"/>
        </w:rPr>
        <w:t>磋商小组由采购人代表和有关技术、经济等方面的专家组成（见</w:t>
      </w:r>
      <w:r>
        <w:rPr>
          <w:rFonts w:hint="eastAsia" w:ascii="仿宋" w:hAnsi="仿宋" w:eastAsia="仿宋"/>
          <w:color w:val="000000"/>
          <w:highlight w:val="none"/>
          <w:u w:val="single"/>
        </w:rPr>
        <w:t>前附事项表</w:t>
      </w:r>
      <w:r>
        <w:rPr>
          <w:rFonts w:hint="eastAsia" w:ascii="仿宋" w:hAnsi="仿宋" w:eastAsia="仿宋"/>
          <w:color w:val="000000"/>
          <w:highlight w:val="none"/>
        </w:rPr>
        <w:t>），其中技术、经济等方面的专家不得少于成员总数的三分之二，</w:t>
      </w:r>
      <w:r>
        <w:rPr>
          <w:rFonts w:hint="eastAsia" w:ascii="仿宋" w:hAnsi="仿宋" w:eastAsia="仿宋"/>
          <w:color w:val="auto"/>
          <w:highlight w:val="none"/>
        </w:rPr>
        <w:t>专家</w:t>
      </w:r>
      <w:r>
        <w:rPr>
          <w:rFonts w:hint="eastAsia" w:ascii="仿宋" w:hAnsi="仿宋" w:eastAsia="仿宋"/>
          <w:color w:val="auto"/>
          <w:highlight w:val="none"/>
        </w:rPr>
        <w:t>从财政部门设立的政府采购评审专家库中随机抽取组成，磋商开始前任何人无法获悉专家名单。磋商结束后，直到向成交的供应商授予合同为止，凡审查、澄清、评价和比较的有关资料及推荐成交候选人意见等内容，磋商小组成员均不得向供应商及与评审无关的其他人透露。</w:t>
      </w:r>
    </w:p>
    <w:p w14:paraId="19682456">
      <w:pPr>
        <w:overflowPunct w:val="0"/>
        <w:topLinePunct/>
        <w:autoSpaceDE/>
        <w:autoSpaceDN/>
        <w:spacing w:line="560" w:lineRule="exact"/>
        <w:ind w:firstLine="523" w:firstLineChars="187"/>
        <w:jc w:val="both"/>
        <w:rPr>
          <w:rFonts w:ascii="仿宋" w:hAnsi="仿宋" w:eastAsia="仿宋"/>
          <w:color w:val="auto"/>
          <w:highlight w:val="none"/>
        </w:rPr>
      </w:pPr>
      <w:r>
        <w:rPr>
          <w:rFonts w:hint="eastAsia" w:ascii="仿宋" w:hAnsi="仿宋" w:eastAsia="仿宋"/>
          <w:color w:val="auto"/>
          <w:highlight w:val="none"/>
        </w:rPr>
        <w:t>4.4.2采购人或采购代理机构依据法律法规和采购文件中规定的内容，对供应商的资格进行审查，未通过资格审查的供应商不进入评审；资格证明材料缺项或者符合性、有效性、合法性审核未通过者，将被认定为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4257F5E2">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4.4.3采购人或采购代理机构将按</w:t>
      </w:r>
      <w:r>
        <w:rPr>
          <w:rFonts w:hint="eastAsia" w:ascii="仿宋" w:hAnsi="仿宋" w:eastAsia="仿宋"/>
          <w:color w:val="auto"/>
          <w:highlight w:val="none"/>
          <w:u w:val="single"/>
        </w:rPr>
        <w:t>前附事项表</w:t>
      </w:r>
      <w:r>
        <w:rPr>
          <w:rFonts w:hint="eastAsia" w:ascii="仿宋" w:hAnsi="仿宋" w:eastAsia="仿宋"/>
          <w:color w:val="auto"/>
          <w:highlight w:val="none"/>
        </w:rPr>
        <w:t>中规定的时间查询供应</w:t>
      </w:r>
      <w:r>
        <w:rPr>
          <w:rFonts w:hint="eastAsia" w:ascii="仿宋" w:hAnsi="仿宋" w:eastAsia="仿宋" w:cs="仿宋"/>
          <w:color w:val="auto"/>
          <w:highlight w:val="none"/>
        </w:rPr>
        <w:t>商的信用记录。供应商在</w:t>
      </w:r>
      <w:r>
        <w:rPr>
          <w:rFonts w:hint="eastAsia" w:ascii="仿宋" w:hAnsi="仿宋" w:eastAsia="仿宋" w:cs="仿宋"/>
          <w:color w:val="auto"/>
          <w:sz w:val="28"/>
          <w:szCs w:val="28"/>
          <w:highlight w:val="none"/>
        </w:rPr>
        <w:t>“信用中国”网站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www.creditchina.gov.cn</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被列入</w:t>
      </w:r>
      <w:r>
        <w:rPr>
          <w:rFonts w:hint="eastAsia" w:ascii="仿宋" w:hAnsi="仿宋" w:eastAsia="仿宋" w:cs="仿宋"/>
          <w:color w:val="auto"/>
          <w:sz w:val="28"/>
          <w:szCs w:val="28"/>
          <w:highlight w:val="none"/>
        </w:rPr>
        <w:t>“失信被执行人”、“重大税收违法失信主体”、“政府采购严重违法失信行为记录名单”</w:t>
      </w:r>
      <w:r>
        <w:rPr>
          <w:rFonts w:hint="eastAsia" w:ascii="仿宋" w:hAnsi="仿宋" w:eastAsia="仿宋" w:cs="仿宋"/>
          <w:color w:val="auto"/>
          <w:sz w:val="28"/>
          <w:szCs w:val="28"/>
          <w:highlight w:val="none"/>
          <w:lang w:val="en-US" w:eastAsia="zh-CN"/>
        </w:rPr>
        <w:t>以及在</w:t>
      </w:r>
      <w:r>
        <w:rPr>
          <w:rFonts w:hint="eastAsia" w:ascii="仿宋" w:hAnsi="仿宋" w:eastAsia="仿宋" w:cs="仿宋"/>
          <w:color w:val="auto"/>
          <w:sz w:val="28"/>
          <w:szCs w:val="28"/>
          <w:highlight w:val="none"/>
        </w:rPr>
        <w:t>“中国政府采购网”(www.ccgp.gov.cn)</w:t>
      </w:r>
      <w:r>
        <w:rPr>
          <w:rFonts w:hint="eastAsia" w:ascii="仿宋" w:hAnsi="仿宋" w:eastAsia="仿宋" w:cs="仿宋"/>
          <w:color w:val="auto"/>
          <w:sz w:val="28"/>
          <w:szCs w:val="28"/>
          <w:highlight w:val="none"/>
          <w:lang w:val="en-US" w:eastAsia="zh-CN"/>
        </w:rPr>
        <w:t>被列入</w:t>
      </w:r>
      <w:r>
        <w:rPr>
          <w:rFonts w:hint="eastAsia" w:ascii="仿宋" w:hAnsi="仿宋" w:eastAsia="仿宋" w:cs="仿宋"/>
          <w:color w:val="auto"/>
          <w:sz w:val="28"/>
          <w:szCs w:val="28"/>
          <w:highlight w:val="none"/>
        </w:rPr>
        <w:t>“政府采购严重违法失信行为记录名单”</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highlight w:val="none"/>
        </w:rPr>
        <w:t>，磋商响应将被认定为</w:t>
      </w:r>
      <w:r>
        <w:rPr>
          <w:rFonts w:hint="eastAsia" w:ascii="仿宋" w:hAnsi="仿宋" w:eastAsia="仿宋" w:cs="仿宋"/>
          <w:b/>
          <w:bCs/>
          <w:color w:val="auto"/>
          <w:highlight w:val="none"/>
        </w:rPr>
        <w:t>响应无效</w:t>
      </w:r>
      <w:r>
        <w:rPr>
          <w:rFonts w:hint="eastAsia" w:ascii="仿宋" w:hAnsi="仿宋" w:eastAsia="仿宋" w:cs="仿宋"/>
          <w:color w:val="auto"/>
          <w:highlight w:val="none"/>
        </w:rPr>
        <w:t>。以联合体形式参加磋商的，联合体任何成员存在以上不良信用记录的，联合体磋商响应将被认定为</w:t>
      </w:r>
      <w:r>
        <w:rPr>
          <w:rFonts w:hint="eastAsia" w:ascii="仿宋" w:hAnsi="仿宋" w:eastAsia="仿宋" w:cs="仿宋"/>
          <w:b/>
          <w:bCs/>
          <w:color w:val="auto"/>
          <w:highlight w:val="none"/>
        </w:rPr>
        <w:t>响应无效</w:t>
      </w:r>
      <w:r>
        <w:rPr>
          <w:rFonts w:hint="eastAsia" w:ascii="仿宋" w:hAnsi="仿宋" w:eastAsia="仿宋" w:cs="仿宋"/>
          <w:color w:val="auto"/>
          <w:highlight w:val="none"/>
        </w:rPr>
        <w:t>。采购人或采购代理机构经办人将查询网页打印并存档备查。供应商不良信用记录以采购人或采购代理机构查询结果为准。供应商自行提供的与网站信息不一致的其他证明材料亦不作为资格审查依据。在本采购文件规定的查询时间之外，网站信息发生的任何变更均不作为资格审查依据。</w:t>
      </w:r>
    </w:p>
    <w:p w14:paraId="3BC92F81">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4.4.4符合性审查是指磋商小组依据采购文件的规定，从商务和技术角度对响应文件的有效性和完整性进行审查，以确定是否对采购文件的实质性要求做出响应。</w:t>
      </w:r>
    </w:p>
    <w:p w14:paraId="259BD737">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4.4.5在比较与评价之前，根据采购文件的规定，磋商小组要审查每份响应文件是否响应了采购文件的要求。供应商不得通过修正或撤销不符合要求的偏离，从而使其磋商响应成为实质上的响应。响应文件中存在对采购文件的实质性负偏离，其磋商响应将被认定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4F4BFEE0">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4.4.6如发现下列情况之一的，其磋商响应将被认定为</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15918BA6">
      <w:pPr>
        <w:numPr>
          <w:ilvl w:val="0"/>
          <w:numId w:val="3"/>
        </w:num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未按照采购文件规定要求签署、盖章的；</w:t>
      </w:r>
    </w:p>
    <w:p w14:paraId="55F259D6">
      <w:pPr>
        <w:numPr>
          <w:ilvl w:val="0"/>
          <w:numId w:val="3"/>
        </w:num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未满足采购文件中商务和技术条款的实质性要求；</w:t>
      </w:r>
    </w:p>
    <w:p w14:paraId="34605CA5">
      <w:pPr>
        <w:numPr>
          <w:ilvl w:val="0"/>
          <w:numId w:val="3"/>
        </w:num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属于串通磋商响应，或者依法被视为串通磋商响应；</w:t>
      </w:r>
    </w:p>
    <w:p w14:paraId="41C2C2A0">
      <w:pPr>
        <w:numPr>
          <w:ilvl w:val="0"/>
          <w:numId w:val="3"/>
        </w:num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磋商小组认为供应商的报价明显低于其他通过符合性审查供应商的报价，有可能影响履约的，且供应商未按照规定证明其报价合理性的；</w:t>
      </w:r>
    </w:p>
    <w:p w14:paraId="4A4AD913">
      <w:pPr>
        <w:numPr>
          <w:ilvl w:val="0"/>
          <w:numId w:val="3"/>
        </w:num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响应文件含有采购人不能接受的附加条件的；</w:t>
      </w:r>
    </w:p>
    <w:p w14:paraId="2526A4BD">
      <w:pPr>
        <w:numPr>
          <w:ilvl w:val="0"/>
          <w:numId w:val="3"/>
        </w:numPr>
        <w:overflowPunct w:val="0"/>
        <w:topLinePunct/>
        <w:autoSpaceDE/>
        <w:autoSpaceDN/>
        <w:spacing w:line="560" w:lineRule="exact"/>
        <w:ind w:firstLine="523" w:firstLineChars="187"/>
        <w:jc w:val="both"/>
        <w:rPr>
          <w:rFonts w:ascii="仿宋" w:hAnsi="仿宋" w:eastAsia="仿宋"/>
          <w:color w:val="auto"/>
          <w:highlight w:val="none"/>
        </w:rPr>
      </w:pPr>
      <w:r>
        <w:rPr>
          <w:rFonts w:hint="eastAsia" w:ascii="仿宋" w:hAnsi="仿宋" w:eastAsia="仿宋"/>
          <w:color w:val="auto"/>
          <w:highlight w:val="none"/>
        </w:rPr>
        <w:t>属于采购文件规定的其他响应无效情形；</w:t>
      </w:r>
    </w:p>
    <w:p w14:paraId="7396C694">
      <w:pPr>
        <w:numPr>
          <w:ilvl w:val="0"/>
          <w:numId w:val="3"/>
        </w:numPr>
        <w:overflowPunct w:val="0"/>
        <w:topLinePunct/>
        <w:autoSpaceDE/>
        <w:autoSpaceDN/>
        <w:spacing w:line="560" w:lineRule="exact"/>
        <w:ind w:firstLine="523" w:firstLineChars="187"/>
        <w:jc w:val="both"/>
        <w:rPr>
          <w:rFonts w:ascii="仿宋" w:hAnsi="仿宋" w:eastAsia="仿宋"/>
          <w:color w:val="auto"/>
          <w:highlight w:val="none"/>
        </w:rPr>
      </w:pPr>
      <w:r>
        <w:rPr>
          <w:rFonts w:hint="eastAsia" w:ascii="仿宋" w:hAnsi="仿宋" w:eastAsia="仿宋"/>
          <w:color w:val="auto"/>
          <w:highlight w:val="none"/>
        </w:rPr>
        <w:t>不符合法规和采购文件中规定的其他实质性要求的。</w:t>
      </w:r>
    </w:p>
    <w:p w14:paraId="4480416D">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4.5响应文件的澄清</w:t>
      </w:r>
    </w:p>
    <w:p w14:paraId="6CF1B11B">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4.5.1在评审期间，磋商小组将以书面方式要求供应商对其响应文件中含义不明确、对同类问题表述不一致或者有明显文字和计算错误的内容，作必要的澄清、说明或补正。供应商的澄清、说明或补正应在磋商小组规定的时间内以书面方式进行，并不得超出响应文件范围或者改变响应文件的实质性内容。供应商的澄清、说明或补正将作为响应文件的一部分。</w:t>
      </w:r>
    </w:p>
    <w:p w14:paraId="08DBE979">
      <w:p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color w:val="auto"/>
          <w:highlight w:val="none"/>
        </w:rPr>
        <w:t>4.5.2</w:t>
      </w:r>
      <w:r>
        <w:rPr>
          <w:rFonts w:hint="eastAsia" w:ascii="仿宋" w:hAnsi="仿宋" w:eastAsia="仿宋"/>
          <w:bCs/>
          <w:color w:val="auto"/>
          <w:szCs w:val="32"/>
          <w:highlight w:val="none"/>
        </w:rPr>
        <w:t>响应文件中出现下列情况，修正原则为：</w:t>
      </w:r>
    </w:p>
    <w:p w14:paraId="3B60B4C5">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响应文件中磋商一览表内容与响应文件中相应内容不一致的，以磋商一览表为准；</w:t>
      </w:r>
    </w:p>
    <w:p w14:paraId="6CDB66AD">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大写金额和小写金额不一致的，以大写金额为准；</w:t>
      </w:r>
    </w:p>
    <w:p w14:paraId="6CC49F0F">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单价金额小数点或者百分比有明显错位的，以磋商一览表的总价为准，并修改单价；</w:t>
      </w:r>
    </w:p>
    <w:p w14:paraId="312F3AD3">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总价金额与按单价汇总金额不一致的，以单价金额计算结果为准；</w:t>
      </w:r>
    </w:p>
    <w:p w14:paraId="47626DD2">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响应文件正本与副本不一致的，以正本为准；</w:t>
      </w:r>
    </w:p>
    <w:p w14:paraId="377C2934">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多处内容交叉不符的，以磋商小组评审结果为准；</w:t>
      </w:r>
    </w:p>
    <w:p w14:paraId="152030A6">
      <w:pPr>
        <w:numPr>
          <w:ilvl w:val="0"/>
          <w:numId w:val="4"/>
        </w:numPr>
        <w:overflowPunct w:val="0"/>
        <w:topLinePunct/>
        <w:autoSpaceDE/>
        <w:autoSpaceDN/>
        <w:spacing w:line="560" w:lineRule="exact"/>
        <w:ind w:firstLine="523" w:firstLineChars="187"/>
        <w:jc w:val="both"/>
        <w:rPr>
          <w:rFonts w:hint="eastAsia" w:ascii="仿宋" w:hAnsi="仿宋" w:eastAsia="仿宋"/>
          <w:bCs/>
          <w:color w:val="auto"/>
          <w:szCs w:val="32"/>
          <w:highlight w:val="none"/>
        </w:rPr>
      </w:pPr>
      <w:r>
        <w:rPr>
          <w:rFonts w:hint="eastAsia" w:ascii="仿宋" w:hAnsi="仿宋" w:eastAsia="仿宋"/>
          <w:bCs/>
          <w:color w:val="auto"/>
          <w:szCs w:val="32"/>
          <w:highlight w:val="none"/>
        </w:rPr>
        <w:t>文字与图表不符的，以文字为准。</w:t>
      </w:r>
    </w:p>
    <w:p w14:paraId="13891AA4">
      <w:pPr>
        <w:overflowPunct w:val="0"/>
        <w:topLinePunct/>
        <w:autoSpaceDE/>
        <w:autoSpaceDN/>
        <w:spacing w:line="560" w:lineRule="exact"/>
        <w:ind w:firstLine="523" w:firstLineChars="187"/>
        <w:jc w:val="both"/>
        <w:rPr>
          <w:rFonts w:ascii="仿宋" w:hAnsi="仿宋" w:eastAsia="仿宋"/>
          <w:color w:val="auto"/>
          <w:highlight w:val="none"/>
        </w:rPr>
      </w:pPr>
      <w:r>
        <w:rPr>
          <w:rFonts w:hint="eastAsia" w:ascii="仿宋" w:hAnsi="仿宋" w:eastAsia="仿宋"/>
          <w:color w:val="auto"/>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w:t>
      </w:r>
      <w:r>
        <w:rPr>
          <w:rFonts w:hint="eastAsia" w:ascii="仿宋" w:hAnsi="仿宋" w:eastAsia="仿宋"/>
          <w:b/>
          <w:bCs/>
          <w:color w:val="auto"/>
          <w:highlight w:val="none"/>
        </w:rPr>
        <w:t>响应无效</w:t>
      </w:r>
      <w:r>
        <w:rPr>
          <w:rFonts w:hint="eastAsia" w:ascii="仿宋" w:hAnsi="仿宋" w:eastAsia="仿宋"/>
          <w:color w:val="auto"/>
          <w:highlight w:val="none"/>
        </w:rPr>
        <w:t>。</w:t>
      </w:r>
    </w:p>
    <w:p w14:paraId="3E19CEE1">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4.6磋商</w:t>
      </w:r>
    </w:p>
    <w:p w14:paraId="10155CAC">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4.6.1经符合性审查合格的响应文件，磋商小组与供应商分别进行一轮或多轮的磋商。在磋商过程中，磋商小组应当严格遵循保密原则，未经供应商同意不得向任何人透露当事人技术、价格和其他重要信息。</w:t>
      </w:r>
    </w:p>
    <w:p w14:paraId="49CACB29">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4.6.2磋商文件的修正：磋商小组调整或修改采购需求内容时，应取得磋商小组的一致同意，并以书面形式通知所有参加磋商的供应商。但任何形式的决定须以符合公平、公正原则和有利于项目的顺利实施为前提。</w:t>
      </w:r>
    </w:p>
    <w:p w14:paraId="64E070AE">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4.6.3磋商小组邀请所有合格供应商统一进行二次报价(最终报价)；对未调整或修改采购需求内容</w:t>
      </w:r>
      <w:r>
        <w:rPr>
          <w:rFonts w:hint="eastAsia" w:ascii="仿宋" w:hAnsi="仿宋" w:eastAsia="仿宋"/>
          <w:color w:val="auto"/>
          <w:highlight w:val="none"/>
          <w:lang w:eastAsia="zh-CN"/>
        </w:rPr>
        <w:t>的</w:t>
      </w:r>
      <w:r>
        <w:rPr>
          <w:rFonts w:hint="eastAsia" w:ascii="仿宋" w:hAnsi="仿宋" w:eastAsia="仿宋"/>
          <w:color w:val="auto"/>
          <w:highlight w:val="none"/>
        </w:rPr>
        <w:t>，供应商二次报价（最终报价）不得高于首次报价。调整或修改采购需求内容</w:t>
      </w:r>
      <w:r>
        <w:rPr>
          <w:rFonts w:hint="eastAsia" w:ascii="仿宋" w:hAnsi="仿宋" w:eastAsia="仿宋"/>
          <w:color w:val="auto"/>
          <w:highlight w:val="none"/>
          <w:lang w:eastAsia="zh-CN"/>
        </w:rPr>
        <w:t>的</w:t>
      </w:r>
      <w:r>
        <w:rPr>
          <w:rFonts w:hint="eastAsia" w:ascii="仿宋" w:hAnsi="仿宋" w:eastAsia="仿宋"/>
          <w:color w:val="auto"/>
          <w:highlight w:val="none"/>
        </w:rPr>
        <w:t>，所有供应商均应按照磋商小组调整或修改的采购需求内容进行报价。</w:t>
      </w:r>
    </w:p>
    <w:p w14:paraId="7B00F1F0">
      <w:pPr>
        <w:overflowPunct w:val="0"/>
        <w:topLinePunct/>
        <w:autoSpaceDE/>
        <w:autoSpaceDN/>
        <w:spacing w:line="560" w:lineRule="exact"/>
        <w:ind w:firstLine="523" w:firstLineChars="187"/>
        <w:jc w:val="both"/>
        <w:rPr>
          <w:rFonts w:ascii="仿宋" w:hAnsi="仿宋" w:eastAsia="仿宋"/>
          <w:color w:val="auto"/>
          <w:highlight w:val="none"/>
        </w:rPr>
      </w:pPr>
      <w:r>
        <w:rPr>
          <w:rFonts w:hint="eastAsia" w:ascii="仿宋" w:hAnsi="仿宋" w:eastAsia="仿宋"/>
          <w:color w:val="auto"/>
          <w:highlight w:val="none"/>
        </w:rPr>
        <w:t>4.7比较与评价</w:t>
      </w:r>
    </w:p>
    <w:p w14:paraId="6E1CF8B6">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4.7.1经符合性审查合格的响应文件，磋商小组将根据采购文件确定的评审方法和标准，对其技术部分和商务部分作进一步的比较和评价。</w:t>
      </w:r>
    </w:p>
    <w:p w14:paraId="57C12AE8">
      <w:pPr>
        <w:overflowPunct w:val="0"/>
        <w:topLinePunct/>
        <w:autoSpaceDE/>
        <w:autoSpaceDN/>
        <w:spacing w:line="560" w:lineRule="exact"/>
        <w:ind w:firstLine="523" w:firstLineChars="187"/>
        <w:jc w:val="both"/>
        <w:rPr>
          <w:rFonts w:hint="eastAsia" w:ascii="仿宋" w:hAnsi="仿宋" w:eastAsia="仿宋"/>
          <w:color w:val="auto"/>
          <w:highlight w:val="none"/>
          <w:lang w:eastAsia="zh-CN"/>
        </w:rPr>
      </w:pPr>
      <w:r>
        <w:rPr>
          <w:rFonts w:hint="eastAsia" w:ascii="仿宋" w:hAnsi="仿宋" w:eastAsia="仿宋"/>
          <w:color w:val="auto"/>
          <w:highlight w:val="none"/>
        </w:rPr>
        <w:t>4.7.2评审严格按照采购文件的要求和条件进行。采用在前附事项表中规定的评审方法，详细评审标准见“采购文件 第五章 评审办法”</w:t>
      </w:r>
      <w:r>
        <w:rPr>
          <w:rFonts w:hint="eastAsia" w:ascii="仿宋" w:hAnsi="仿宋" w:eastAsia="仿宋"/>
          <w:color w:val="auto"/>
          <w:highlight w:val="none"/>
          <w:lang w:eastAsia="zh-CN"/>
        </w:rPr>
        <w:t>。</w:t>
      </w:r>
    </w:p>
    <w:p w14:paraId="47F3136B">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4.8出现下列情形之一，将导致项目废标：</w:t>
      </w:r>
    </w:p>
    <w:p w14:paraId="71346404">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（1）出现影响采购公正的违法、违规行为的；</w:t>
      </w:r>
    </w:p>
    <w:p w14:paraId="6A84CE5B">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（2）供应商的报价均超过了采购预算，采购人不能支付的；</w:t>
      </w:r>
    </w:p>
    <w:p w14:paraId="3B088DF4">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（3）因重大变故，采购任务取消的。</w:t>
      </w:r>
    </w:p>
    <w:p w14:paraId="2DC7CC59">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4.9磋商小组成员及全体与会工作人员应当执行评审工作的各项保密规定。评审将在严格保密的情况下进行，采购代理机构应严格控制评审现场的人员出入，磋商小组及与会人员应予以支持配合。任何单位和个人不得干预、影响评审办法的执行，以及评审过程和结果。有关人员应当遵守评审工作纪律，不得泄露评审文件、评审情况和评审中获悉的国家秘密、商业秘密。</w:t>
      </w:r>
    </w:p>
    <w:p w14:paraId="0E0B0EEA">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4.10纪律与监督</w:t>
      </w:r>
    </w:p>
    <w:p w14:paraId="62A70CCB">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4.10.1采购人不得泄漏磋商中应当保密的情况和资料，不得与供应商串通损害国家利益、社会公共利益或者他人合法权益。</w:t>
      </w:r>
    </w:p>
    <w:p w14:paraId="648CEA8F">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4.10.2供应商不得相互串通进行磋商响应或者与采购人串通进行磋商响应，不得向采购人或者磋商小组成员行贿谋取成交，不得以他人名义参与磋商或者以其他方式弄虚作假骗取成交，供应商不得以任何方式干扰、影响评审工作。</w:t>
      </w:r>
    </w:p>
    <w:p w14:paraId="2E0E2447">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4.10.3磋商小组成员不得收受他人的财物或者其他好处，不得向他人透漏对响应文件的评审和比较、成交候选人的推荐情况以及评审有关的其他情况。在评审活动中，磋商小组成员不得擅离职守，影响工作程序正常进行，不得使用“评审办法”没有规定的评审因素和标准进行评审。</w:t>
      </w:r>
    </w:p>
    <w:p w14:paraId="1ECBAD87">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4.10.4参与评审活动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534C2E4F">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4.11供应商和其他利害关系人认为本次采购活动违反法律、法规的，有权按照《政府采购质疑和投诉办法》（财政部令第94号）程序向采购人、采购代理机构提出质疑或向监督管理部门提起投诉。</w:t>
      </w:r>
    </w:p>
    <w:p w14:paraId="6EF36539">
      <w:pPr>
        <w:tabs>
          <w:tab w:val="left" w:pos="980"/>
        </w:tabs>
        <w:overflowPunct w:val="0"/>
        <w:topLinePunct/>
        <w:autoSpaceDE/>
        <w:autoSpaceDN/>
        <w:spacing w:line="560" w:lineRule="exact"/>
        <w:outlineLvl w:val="1"/>
        <w:rPr>
          <w:rFonts w:ascii="黑体" w:hAnsi="黑体" w:eastAsia="黑体" w:cs="黑体"/>
          <w:bCs/>
          <w:color w:val="auto"/>
          <w:szCs w:val="36"/>
          <w:highlight w:val="none"/>
        </w:rPr>
      </w:pPr>
      <w:r>
        <w:rPr>
          <w:rFonts w:hint="eastAsia" w:ascii="黑体" w:hAnsi="黑体" w:eastAsia="黑体" w:cs="黑体"/>
          <w:bCs/>
          <w:color w:val="auto"/>
          <w:szCs w:val="36"/>
          <w:highlight w:val="none"/>
        </w:rPr>
        <w:t>5.定标与合同授予</w:t>
      </w:r>
    </w:p>
    <w:p w14:paraId="07DA3309">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5.1成交供应商的确定原则及标准</w:t>
      </w:r>
    </w:p>
    <w:p w14:paraId="2DBAA72E">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磋商小组根据符合竞争性磋商的要求及相关内容，且报价合理的原则确定成交供应商。</w:t>
      </w:r>
    </w:p>
    <w:p w14:paraId="752F7EE1">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5.2在磋商有效期内成交供应商确定后，采购人或者采购代理机构发布成交公告。在公告成交结果的同时，向成交人发出成交通知书，成交通知书是合同的组成部分。</w:t>
      </w:r>
    </w:p>
    <w:p w14:paraId="0C4445DE">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5.3签订合同</w:t>
      </w:r>
    </w:p>
    <w:p w14:paraId="268000F7">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5.3.1政府采购合同适用《中华人民共和国民法典》。</w:t>
      </w:r>
    </w:p>
    <w:p w14:paraId="5FC12CE9">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5.3.2成交供应商应当自发出成交通知书之日起30日内，与采购人签订合同。采购文件、成交供应商的响应文件及其澄清文件等，均为签订合同的依据。</w:t>
      </w:r>
    </w:p>
    <w:p w14:paraId="34A21134">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5.3.3如成交供应商拒绝与采购人签订合同的，按照第3.12.6条执行。</w:t>
      </w:r>
    </w:p>
    <w:p w14:paraId="0E6433CD">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5.3.4当出现法律、法规规定的成交无效或成交结果无效情形时，依法重新开展采购活动。</w:t>
      </w:r>
    </w:p>
    <w:p w14:paraId="41D28106">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5.3.5政府采购合同履行中，采购人需追加与合同标的相同的货物、服务或者工程的，在不改变合同其他条款的前提下，可以与成交供应商协商签订补充合同，但所有补充合同的采购金额不得超过原合同采购金额的百分之十。</w:t>
      </w:r>
    </w:p>
    <w:p w14:paraId="3E52CBCD">
      <w:pPr>
        <w:tabs>
          <w:tab w:val="left" w:pos="980"/>
        </w:tabs>
        <w:overflowPunct w:val="0"/>
        <w:topLinePunct/>
        <w:autoSpaceDE/>
        <w:autoSpaceDN/>
        <w:spacing w:line="560" w:lineRule="exact"/>
        <w:outlineLvl w:val="1"/>
        <w:rPr>
          <w:rFonts w:hint="eastAsia" w:ascii="黑体" w:hAnsi="黑体" w:eastAsia="黑体" w:cs="黑体"/>
          <w:bCs/>
          <w:color w:val="auto"/>
          <w:szCs w:val="36"/>
          <w:highlight w:val="none"/>
        </w:rPr>
      </w:pPr>
      <w:r>
        <w:rPr>
          <w:rFonts w:hint="eastAsia" w:ascii="黑体" w:hAnsi="黑体" w:eastAsia="黑体" w:cs="黑体"/>
          <w:bCs/>
          <w:color w:val="auto"/>
          <w:szCs w:val="36"/>
          <w:highlight w:val="none"/>
        </w:rPr>
        <w:t>6.代理服务费</w:t>
      </w:r>
    </w:p>
    <w:p w14:paraId="7AA4E035">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6.1成交供应商在领取成交通知书前，须向采购代理机构支付代理服务费，代理服务费由采购人与采购代理机构约定。</w:t>
      </w:r>
    </w:p>
    <w:p w14:paraId="1ACBFD15">
      <w:pPr>
        <w:overflowPunct w:val="0"/>
        <w:topLinePunct/>
        <w:autoSpaceDE/>
        <w:autoSpaceDN/>
        <w:spacing w:line="560" w:lineRule="exact"/>
        <w:ind w:firstLine="560" w:firstLineChars="200"/>
        <w:jc w:val="both"/>
        <w:rPr>
          <w:rFonts w:ascii="仿宋" w:hAnsi="仿宋" w:eastAsia="仿宋"/>
          <w:color w:val="auto"/>
          <w:highlight w:val="none"/>
        </w:rPr>
      </w:pPr>
      <w:r>
        <w:rPr>
          <w:rFonts w:hint="eastAsia" w:ascii="仿宋" w:hAnsi="仿宋" w:eastAsia="仿宋"/>
          <w:color w:val="auto"/>
          <w:highlight w:val="none"/>
        </w:rPr>
        <w:t>6.2代理服务费的收取参照《国家计委关于印发&lt;</w:t>
      </w:r>
      <w:r>
        <w:rPr>
          <w:rFonts w:hint="eastAsia" w:ascii="仿宋" w:hAnsi="仿宋" w:eastAsia="仿宋" w:cs="仿宋"/>
          <w:color w:val="auto"/>
          <w:highlight w:val="none"/>
        </w:rPr>
        <w:t>招标</w:t>
      </w:r>
      <w:r>
        <w:rPr>
          <w:rFonts w:hint="eastAsia" w:ascii="仿宋" w:hAnsi="仿宋" w:eastAsia="仿宋"/>
          <w:color w:val="auto"/>
          <w:highlight w:val="none"/>
        </w:rPr>
        <w:t>代理服务收费管理暂行办法&gt;的通知》（计价格[2002]1980号）和</w:t>
      </w:r>
      <w:r>
        <w:rPr>
          <w:rFonts w:hint="eastAsia" w:ascii="仿宋" w:hAnsi="仿宋" w:eastAsia="仿宋" w:cs="仿宋"/>
          <w:color w:val="auto"/>
          <w:highlight w:val="none"/>
        </w:rPr>
        <w:t>《国家发展改革委办公厅关于招标代理服</w:t>
      </w:r>
      <w:r>
        <w:rPr>
          <w:rFonts w:hint="eastAsia" w:ascii="仿宋" w:hAnsi="仿宋" w:eastAsia="仿宋" w:cs="仿宋"/>
          <w:color w:val="auto"/>
          <w:highlight w:val="none"/>
        </w:rPr>
        <w:t>务收费有关问题的通知》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发改办价格[2003]857号</w:t>
      </w:r>
      <w:r>
        <w:rPr>
          <w:rFonts w:hint="eastAsia" w:ascii="仿宋" w:hAnsi="仿宋" w:eastAsia="仿宋" w:cs="仿宋"/>
          <w:color w:val="auto"/>
          <w:highlight w:val="none"/>
          <w:lang w:eastAsia="zh-CN"/>
        </w:rPr>
        <w:t>）</w:t>
      </w:r>
      <w:r>
        <w:rPr>
          <w:rFonts w:hint="eastAsia" w:ascii="仿宋" w:hAnsi="仿宋" w:eastAsia="仿宋"/>
          <w:color w:val="auto"/>
          <w:highlight w:val="none"/>
        </w:rPr>
        <w:t>规定标准</w:t>
      </w:r>
      <w:r>
        <w:rPr>
          <w:rFonts w:hint="eastAsia" w:ascii="仿宋" w:hAnsi="仿宋" w:eastAsia="仿宋"/>
          <w:color w:val="auto"/>
          <w:highlight w:val="none"/>
          <w:lang w:val="en-US" w:eastAsia="zh-CN"/>
        </w:rPr>
        <w:t>下浮20%收取</w:t>
      </w:r>
      <w:r>
        <w:rPr>
          <w:rFonts w:hint="eastAsia" w:ascii="仿宋" w:hAnsi="仿宋" w:eastAsia="仿宋"/>
          <w:color w:val="auto"/>
          <w:highlight w:val="none"/>
        </w:rPr>
        <w:t>，</w:t>
      </w:r>
      <w:r>
        <w:rPr>
          <w:rFonts w:hint="eastAsia" w:ascii="仿宋" w:hAnsi="仿宋" w:eastAsia="仿宋"/>
          <w:color w:val="auto"/>
          <w:highlight w:val="none"/>
          <w:lang w:eastAsia="zh-CN"/>
        </w:rPr>
        <w:t>不足6400元按6400元收取</w:t>
      </w:r>
      <w:r>
        <w:rPr>
          <w:rFonts w:hint="eastAsia" w:ascii="仿宋" w:hAnsi="仿宋" w:eastAsia="仿宋"/>
          <w:color w:val="auto"/>
          <w:highlight w:val="none"/>
        </w:rPr>
        <w:t>。</w:t>
      </w:r>
    </w:p>
    <w:p w14:paraId="5E665786">
      <w:pPr>
        <w:overflowPunct w:val="0"/>
        <w:topLinePunct/>
        <w:autoSpaceDE/>
        <w:autoSpaceDN/>
        <w:spacing w:line="560" w:lineRule="exact"/>
        <w:ind w:firstLine="551" w:firstLineChars="196"/>
        <w:jc w:val="both"/>
        <w:rPr>
          <w:rFonts w:ascii="仿宋" w:hAnsi="仿宋" w:eastAsia="仿宋"/>
          <w:b/>
          <w:color w:val="auto"/>
          <w:highlight w:val="none"/>
        </w:rPr>
      </w:pPr>
      <w:r>
        <w:rPr>
          <w:rFonts w:hint="eastAsia" w:ascii="仿宋" w:hAnsi="仿宋" w:eastAsia="仿宋"/>
          <w:b/>
          <w:color w:val="auto"/>
          <w:highlight w:val="none"/>
        </w:rPr>
        <w:br w:type="page"/>
      </w:r>
      <w:r>
        <w:rPr>
          <w:rFonts w:hint="eastAsia" w:ascii="仿宋" w:hAnsi="仿宋" w:eastAsia="仿宋"/>
          <w:b/>
          <w:color w:val="auto"/>
          <w:highlight w:val="none"/>
        </w:rPr>
        <w:t>附件A:</w:t>
      </w:r>
    </w:p>
    <w:p w14:paraId="13A0773C">
      <w:pPr>
        <w:overflowPunct w:val="0"/>
        <w:topLinePunct/>
        <w:autoSpaceDE/>
        <w:autoSpaceDN/>
        <w:spacing w:line="560" w:lineRule="exact"/>
        <w:jc w:val="center"/>
        <w:rPr>
          <w:rFonts w:hint="eastAsia" w:ascii="仿宋" w:hAnsi="仿宋" w:eastAsia="仿宋"/>
          <w:b/>
          <w:color w:val="auto"/>
          <w:highlight w:val="none"/>
        </w:rPr>
      </w:pPr>
      <w:r>
        <w:rPr>
          <w:rFonts w:hint="eastAsia" w:ascii="仿宋" w:hAnsi="仿宋" w:eastAsia="仿宋"/>
          <w:b/>
          <w:color w:val="auto"/>
          <w:highlight w:val="none"/>
        </w:rPr>
        <w:t>响应文件封袋正面标识式样</w:t>
      </w:r>
    </w:p>
    <w:p w14:paraId="595CDE3D">
      <w:pPr>
        <w:overflowPunct w:val="0"/>
        <w:topLinePunct/>
        <w:autoSpaceDE/>
        <w:autoSpaceDN/>
        <w:spacing w:line="360" w:lineRule="auto"/>
        <w:jc w:val="center"/>
        <w:rPr>
          <w:rFonts w:hint="eastAsia" w:ascii="仿宋" w:hAnsi="仿宋" w:eastAsia="仿宋"/>
          <w:color w:val="auto"/>
          <w:sz w:val="32"/>
          <w:szCs w:val="32"/>
          <w:highlight w:val="none"/>
        </w:rPr>
      </w:pPr>
      <w:r>
        <w:rPr>
          <w:rFonts w:hint="eastAsia" w:ascii="仿宋" w:hAnsi="仿宋" w:eastAsia="仿宋"/>
          <w:b/>
          <w:color w:val="auto"/>
          <w:sz w:val="36"/>
          <w:szCs w:val="36"/>
          <w:highlight w:val="none"/>
        </w:rPr>
        <mc:AlternateContent>
          <mc:Choice Requires="wps">
            <w:drawing>
              <wp:inline distT="0" distB="0" distL="114300" distR="114300">
                <wp:extent cx="5535930" cy="7182485"/>
                <wp:effectExtent l="19050" t="19050" r="26670" b="37465"/>
                <wp:docPr id="1" name="Text Box 3"/>
                <wp:cNvGraphicFramePr/>
                <a:graphic xmlns:a="http://schemas.openxmlformats.org/drawingml/2006/main">
                  <a:graphicData uri="http://schemas.microsoft.com/office/word/2010/wordprocessingShape">
                    <wps:wsp>
                      <wps:cNvSpPr txBox="1">
                        <a:spLocks noRot="1"/>
                      </wps:cNvSpPr>
                      <wps:spPr>
                        <a:xfrm>
                          <a:off x="0" y="0"/>
                          <a:ext cx="5535930" cy="7182485"/>
                        </a:xfrm>
                        <a:prstGeom prst="rect">
                          <a:avLst/>
                        </a:prstGeom>
                        <a:noFill/>
                        <a:ln w="38100" cap="flat" cmpd="dbl">
                          <a:solidFill>
                            <a:srgbClr val="000000"/>
                          </a:solidFill>
                          <a:prstDash val="solid"/>
                          <a:miter/>
                          <a:headEnd type="none" w="med" len="med"/>
                          <a:tailEnd type="none" w="med" len="med"/>
                        </a:ln>
                      </wps:spPr>
                      <wps:txbx>
                        <w:txbxContent>
                          <w:p w14:paraId="287A54FF">
                            <w:pPr>
                              <w:keepNext w:val="0"/>
                              <w:keepLines w:val="0"/>
                              <w:pageBreakBefore w:val="0"/>
                              <w:widowControl w:val="0"/>
                              <w:kinsoku/>
                              <w:wordWrap/>
                              <w:overflowPunct/>
                              <w:topLinePunct w:val="0"/>
                              <w:bidi w:val="0"/>
                              <w:adjustRightInd w:val="0"/>
                              <w:snapToGrid/>
                              <w:spacing w:line="520" w:lineRule="exact"/>
                              <w:jc w:val="right"/>
                              <w:textAlignment w:val="auto"/>
                              <w:rPr>
                                <w:rFonts w:ascii="仿宋" w:hAnsi="仿宋" w:eastAsia="仿宋" w:cs="仿宋"/>
                              </w:rPr>
                            </w:pPr>
                            <w:r>
                              <w:rPr>
                                <w:rFonts w:hint="eastAsia" w:ascii="仿宋" w:hAnsi="仿宋" w:eastAsia="仿宋" w:cs="仿宋"/>
                              </w:rPr>
                              <w:t>正本及电子版/副本</w:t>
                            </w:r>
                          </w:p>
                          <w:p w14:paraId="75A5AF4E">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p>
                          <w:p w14:paraId="059B38B3">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rPr>
                              <w:t>采购代理机构：陕西中信项目咨询有限公司</w:t>
                            </w:r>
                          </w:p>
                          <w:p w14:paraId="2B1AFB47">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p>
                          <w:p w14:paraId="4B55A7A4">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spacing w:val="93"/>
                              </w:rPr>
                              <w:t>项目名</w:t>
                            </w:r>
                            <w:r>
                              <w:rPr>
                                <w:rFonts w:hint="eastAsia" w:ascii="仿宋" w:hAnsi="仿宋" w:eastAsia="仿宋" w:cs="仿宋"/>
                                <w:spacing w:val="1"/>
                              </w:rPr>
                              <w:t>称</w:t>
                            </w:r>
                            <w:r>
                              <w:rPr>
                                <w:rFonts w:hint="eastAsia" w:ascii="仿宋" w:hAnsi="仿宋" w:eastAsia="仿宋" w:cs="仿宋"/>
                              </w:rPr>
                              <w:t>：</w:t>
                            </w:r>
                          </w:p>
                          <w:p w14:paraId="6978E503">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r>
                              <w:rPr>
                                <w:rFonts w:hint="eastAsia" w:ascii="仿宋" w:hAnsi="仿宋" w:eastAsia="仿宋" w:cs="仿宋"/>
                                <w:spacing w:val="93"/>
                              </w:rPr>
                              <w:t>项目编</w:t>
                            </w:r>
                            <w:r>
                              <w:rPr>
                                <w:rFonts w:hint="eastAsia" w:ascii="仿宋" w:hAnsi="仿宋" w:eastAsia="仿宋" w:cs="仿宋"/>
                                <w:spacing w:val="1"/>
                              </w:rPr>
                              <w:t>号</w:t>
                            </w:r>
                            <w:r>
                              <w:rPr>
                                <w:rFonts w:hint="eastAsia" w:ascii="仿宋" w:hAnsi="仿宋" w:eastAsia="仿宋" w:cs="仿宋"/>
                                <w:spacing w:val="93"/>
                              </w:rPr>
                              <w:t>：</w:t>
                            </w:r>
                          </w:p>
                          <w:p w14:paraId="5D7E2ED6">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rPr>
                            </w:pPr>
                            <w:r>
                              <w:rPr>
                                <w:rFonts w:hint="eastAsia" w:ascii="仿宋" w:hAnsi="仿宋" w:eastAsia="仿宋" w:cs="仿宋"/>
                              </w:rPr>
                              <w:t>包号（如有）：</w:t>
                            </w:r>
                          </w:p>
                          <w:p w14:paraId="147A6888">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6DCA6CB0">
                            <w:pPr>
                              <w:rPr>
                                <w:rFonts w:hint="eastAsia"/>
                              </w:rPr>
                            </w:pPr>
                          </w:p>
                          <w:p w14:paraId="470E9A80">
                            <w:pPr>
                              <w:keepNext w:val="0"/>
                              <w:keepLines w:val="0"/>
                              <w:pageBreakBefore w:val="0"/>
                              <w:widowControl w:val="0"/>
                              <w:kinsoku/>
                              <w:wordWrap/>
                              <w:overflowPunct/>
                              <w:topLinePunct w:val="0"/>
                              <w:bidi w:val="0"/>
                              <w:adjustRightInd w:val="0"/>
                              <w:snapToGrid/>
                              <w:spacing w:line="52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响 应 文 件</w:t>
                            </w:r>
                          </w:p>
                          <w:p w14:paraId="09DA2FE0">
                            <w:pPr>
                              <w:keepNext w:val="0"/>
                              <w:keepLines w:val="0"/>
                              <w:pageBreakBefore w:val="0"/>
                              <w:widowControl w:val="0"/>
                              <w:kinsoku/>
                              <w:wordWrap/>
                              <w:overflowPunct/>
                              <w:topLinePunct w:val="0"/>
                              <w:bidi w:val="0"/>
                              <w:adjustRightInd w:val="0"/>
                              <w:snapToGrid/>
                              <w:spacing w:line="520" w:lineRule="exact"/>
                              <w:jc w:val="center"/>
                              <w:textAlignment w:val="auto"/>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磋商时间前</w:t>
                            </w:r>
                            <w:r>
                              <w:rPr>
                                <w:rFonts w:hint="eastAsia" w:ascii="仿宋" w:hAnsi="仿宋" w:eastAsia="仿宋" w:cs="仿宋"/>
                                <w:szCs w:val="21"/>
                              </w:rPr>
                              <w:t>不得启封）</w:t>
                            </w:r>
                          </w:p>
                          <w:p w14:paraId="47A3195B">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ascii="仿宋" w:hAnsi="仿宋" w:eastAsia="仿宋" w:cs="仿宋"/>
                                <w:sz w:val="20"/>
                                <w:szCs w:val="20"/>
                              </w:rPr>
                            </w:pPr>
                          </w:p>
                          <w:p w14:paraId="0DD85CA7">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372E45F8">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080B63D1">
                            <w:pPr>
                              <w:rPr>
                                <w:rFonts w:hint="eastAsia"/>
                              </w:rPr>
                            </w:pPr>
                          </w:p>
                          <w:p w14:paraId="1FC5DD55">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zCs w:val="21"/>
                              </w:rPr>
                            </w:pPr>
                            <w:r>
                              <w:rPr>
                                <w:rFonts w:hint="eastAsia" w:ascii="仿宋" w:hAnsi="仿宋" w:eastAsia="仿宋" w:cs="仿宋"/>
                                <w:szCs w:val="21"/>
                              </w:rPr>
                              <w:t>供应商名称：（单位公章）</w:t>
                            </w:r>
                          </w:p>
                          <w:p w14:paraId="7F993653">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00B4A058">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 xml:space="preserve">供应商地址：   </w:t>
                            </w:r>
                          </w:p>
                          <w:p w14:paraId="383E22A3">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p>
                          <w:p w14:paraId="7BD206C8">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供应商电话：</w:t>
                            </w:r>
                          </w:p>
                        </w:txbxContent>
                      </wps:txbx>
                      <wps:bodyPr wrap="square" upright="1"/>
                    </wps:wsp>
                  </a:graphicData>
                </a:graphic>
              </wp:inline>
            </w:drawing>
          </mc:Choice>
          <mc:Fallback>
            <w:pict>
              <v:shape id="Text Box 3" o:spid="_x0000_s1026" o:spt="202" type="#_x0000_t202" style="height:565.55pt;width:435.9pt;" filled="f" stroked="t" coordsize="21600,21600" o:gfxdata="UEsDBAoAAAAAAIdO4kAAAAAAAAAAAAAAAAAEAAAAZHJzL1BLAwQUAAAACACHTuJA3SrZNtQAAAAG&#10;AQAADwAAAGRycy9kb3ducmV2LnhtbE2PQUvDQBCF74L/YRnBi9jNKrQxzaaI0KOItQeP0+w0Cc3O&#10;huw2rf56Ry/2MvB4jzffK1dn36uJxtgFtmBmGSjiOriOGwvbj/V9DiomZId9YLLwRRFW1fVViYUL&#10;J36naZMaJSUcC7TQpjQUWse6JY9xFgZi8fZh9JhEjo12I56k3Pf6Icvm2mPH8qHFgV5aqg+bo7fw&#10;fZj0J23bxdNb/Zo/z/X6zqGx9vbGZEtQic7pPwy/+IIOlTDtwpFdVL0FGZL+rnj5wsiMnYTMozGg&#10;q1Jf4lc/UEsDBBQAAAAIAIdO4kCUJSFQDgIAAD8EAAAOAAAAZHJzL2Uyb0RvYy54bWytU8uS0zAQ&#10;vFPFP6h0Z50HgeCKs1UQlssWbLHLB0wkOVahFxoldv6ekRyyYbnkgA/2WNPqmW6NVreDNeygImrv&#10;Gj69mXCmnPBSu13DfzzdvVlyhgmcBOOdavhRIb9dv3616kOtZr7zRqrIiMRh3YeGdymFuqpQdMoC&#10;3vigHCVbHy0k+o27Skboid2aajaZvKt6H2WIXihEWt2MSX5ijNcQ+rbVQm282Fvl0sgalYFEkrDT&#10;Afm6dNu2SqRvbYsqMdNwUprKm4pQvM3var2CehchdFqcWoBrWnihyYJ2VPRMtYEEbB/1P1RWi+jR&#10;t+lGeFuNQoojpGI6eeHNYwdBFS1kNYaz6fj/aMXXw0NkWtIkcObA0oE/qSGxj35g8+xOH7Am0GMg&#10;WBpoOSOzUgz3XvxE5vx3T7ZOM7i6QI9bkfZl9NBGm7+kmBEF2X8825/rCVpcLOaLD3NKCcq9ny5n&#10;b5eLwvq8PURMX5S3LAcNj3S+pRk43GPKDUD9B5KrOX+njSlnbBzrGz5fTie5ANDgtjQwFNpA4uXW&#10;jKK80TLvKQrjbvvJRHaAPDzlObWDl7BccAPYjbiSyjCorU4qlqhTID87ydIxkMGO7hXP3VglOTOK&#10;rmGOCjKBNtcgSahxJ8NHj7P1adgORJPDrZdHOrKeRrvh+GsPkWruQ9S77q/Torkqtp3uQB7cy/9S&#10;4vne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rZNtQAAAAGAQAADwAAAAAAAAABACAAAAAi&#10;AAAAZHJzL2Rvd25yZXYueG1sUEsBAhQAFAAAAAgAh07iQJQlIVAOAgAAPwQAAA4AAAAAAAAAAQAg&#10;AAAAIwEAAGRycy9lMm9Eb2MueG1sUEsFBgAAAAAGAAYAWQEAAKMFAAAAAA==&#10;">
                <v:fill on="f" focussize="0,0"/>
                <v:stroke weight="3pt" color="#000000" linestyle="thinThin" joinstyle="miter"/>
                <v:imagedata o:title=""/>
                <o:lock v:ext="edit" rotation="t" aspectratio="f"/>
                <v:textbox>
                  <w:txbxContent>
                    <w:p w14:paraId="287A54FF">
                      <w:pPr>
                        <w:keepNext w:val="0"/>
                        <w:keepLines w:val="0"/>
                        <w:pageBreakBefore w:val="0"/>
                        <w:widowControl w:val="0"/>
                        <w:kinsoku/>
                        <w:wordWrap/>
                        <w:overflowPunct/>
                        <w:topLinePunct w:val="0"/>
                        <w:bidi w:val="0"/>
                        <w:adjustRightInd w:val="0"/>
                        <w:snapToGrid/>
                        <w:spacing w:line="520" w:lineRule="exact"/>
                        <w:jc w:val="right"/>
                        <w:textAlignment w:val="auto"/>
                        <w:rPr>
                          <w:rFonts w:ascii="仿宋" w:hAnsi="仿宋" w:eastAsia="仿宋" w:cs="仿宋"/>
                        </w:rPr>
                      </w:pPr>
                      <w:r>
                        <w:rPr>
                          <w:rFonts w:hint="eastAsia" w:ascii="仿宋" w:hAnsi="仿宋" w:eastAsia="仿宋" w:cs="仿宋"/>
                        </w:rPr>
                        <w:t>正本及电子版/副本</w:t>
                      </w:r>
                    </w:p>
                    <w:p w14:paraId="75A5AF4E">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p>
                    <w:p w14:paraId="059B38B3">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rPr>
                        <w:t>采购代理机构：陕西中信项目咨询有限公司</w:t>
                      </w:r>
                    </w:p>
                    <w:p w14:paraId="2B1AFB47">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p>
                    <w:p w14:paraId="4B55A7A4">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spacing w:val="93"/>
                        </w:rPr>
                        <w:t>项目名</w:t>
                      </w:r>
                      <w:r>
                        <w:rPr>
                          <w:rFonts w:hint="eastAsia" w:ascii="仿宋" w:hAnsi="仿宋" w:eastAsia="仿宋" w:cs="仿宋"/>
                          <w:spacing w:val="1"/>
                        </w:rPr>
                        <w:t>称</w:t>
                      </w:r>
                      <w:r>
                        <w:rPr>
                          <w:rFonts w:hint="eastAsia" w:ascii="仿宋" w:hAnsi="仿宋" w:eastAsia="仿宋" w:cs="仿宋"/>
                        </w:rPr>
                        <w:t>：</w:t>
                      </w:r>
                    </w:p>
                    <w:p w14:paraId="6978E503">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r>
                        <w:rPr>
                          <w:rFonts w:hint="eastAsia" w:ascii="仿宋" w:hAnsi="仿宋" w:eastAsia="仿宋" w:cs="仿宋"/>
                          <w:spacing w:val="93"/>
                        </w:rPr>
                        <w:t>项目编</w:t>
                      </w:r>
                      <w:r>
                        <w:rPr>
                          <w:rFonts w:hint="eastAsia" w:ascii="仿宋" w:hAnsi="仿宋" w:eastAsia="仿宋" w:cs="仿宋"/>
                          <w:spacing w:val="1"/>
                        </w:rPr>
                        <w:t>号</w:t>
                      </w:r>
                      <w:r>
                        <w:rPr>
                          <w:rFonts w:hint="eastAsia" w:ascii="仿宋" w:hAnsi="仿宋" w:eastAsia="仿宋" w:cs="仿宋"/>
                          <w:spacing w:val="93"/>
                        </w:rPr>
                        <w:t>：</w:t>
                      </w:r>
                    </w:p>
                    <w:p w14:paraId="5D7E2ED6">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rPr>
                      </w:pPr>
                      <w:r>
                        <w:rPr>
                          <w:rFonts w:hint="eastAsia" w:ascii="仿宋" w:hAnsi="仿宋" w:eastAsia="仿宋" w:cs="仿宋"/>
                        </w:rPr>
                        <w:t>包号（如有）：</w:t>
                      </w:r>
                    </w:p>
                    <w:p w14:paraId="147A6888">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6DCA6CB0">
                      <w:pPr>
                        <w:rPr>
                          <w:rFonts w:hint="eastAsia"/>
                        </w:rPr>
                      </w:pPr>
                    </w:p>
                    <w:p w14:paraId="470E9A80">
                      <w:pPr>
                        <w:keepNext w:val="0"/>
                        <w:keepLines w:val="0"/>
                        <w:pageBreakBefore w:val="0"/>
                        <w:widowControl w:val="0"/>
                        <w:kinsoku/>
                        <w:wordWrap/>
                        <w:overflowPunct/>
                        <w:topLinePunct w:val="0"/>
                        <w:bidi w:val="0"/>
                        <w:adjustRightInd w:val="0"/>
                        <w:snapToGrid/>
                        <w:spacing w:line="52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响 应 文 件</w:t>
                      </w:r>
                    </w:p>
                    <w:p w14:paraId="09DA2FE0">
                      <w:pPr>
                        <w:keepNext w:val="0"/>
                        <w:keepLines w:val="0"/>
                        <w:pageBreakBefore w:val="0"/>
                        <w:widowControl w:val="0"/>
                        <w:kinsoku/>
                        <w:wordWrap/>
                        <w:overflowPunct/>
                        <w:topLinePunct w:val="0"/>
                        <w:bidi w:val="0"/>
                        <w:adjustRightInd w:val="0"/>
                        <w:snapToGrid/>
                        <w:spacing w:line="520" w:lineRule="exact"/>
                        <w:jc w:val="center"/>
                        <w:textAlignment w:val="auto"/>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磋商时间前</w:t>
                      </w:r>
                      <w:r>
                        <w:rPr>
                          <w:rFonts w:hint="eastAsia" w:ascii="仿宋" w:hAnsi="仿宋" w:eastAsia="仿宋" w:cs="仿宋"/>
                          <w:szCs w:val="21"/>
                        </w:rPr>
                        <w:t>不得启封）</w:t>
                      </w:r>
                    </w:p>
                    <w:p w14:paraId="47A3195B">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ascii="仿宋" w:hAnsi="仿宋" w:eastAsia="仿宋" w:cs="仿宋"/>
                          <w:sz w:val="20"/>
                          <w:szCs w:val="20"/>
                        </w:rPr>
                      </w:pPr>
                    </w:p>
                    <w:p w14:paraId="0DD85CA7">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372E45F8">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080B63D1">
                      <w:pPr>
                        <w:rPr>
                          <w:rFonts w:hint="eastAsia"/>
                        </w:rPr>
                      </w:pPr>
                    </w:p>
                    <w:p w14:paraId="1FC5DD55">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zCs w:val="21"/>
                        </w:rPr>
                      </w:pPr>
                      <w:r>
                        <w:rPr>
                          <w:rFonts w:hint="eastAsia" w:ascii="仿宋" w:hAnsi="仿宋" w:eastAsia="仿宋" w:cs="仿宋"/>
                          <w:szCs w:val="21"/>
                        </w:rPr>
                        <w:t>供应商名称：（单位公章）</w:t>
                      </w:r>
                    </w:p>
                    <w:p w14:paraId="7F993653">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00B4A058">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 xml:space="preserve">供应商地址：   </w:t>
                      </w:r>
                    </w:p>
                    <w:p w14:paraId="383E22A3">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p>
                    <w:p w14:paraId="7BD206C8">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供应商电话：</w:t>
                      </w:r>
                    </w:p>
                  </w:txbxContent>
                </v:textbox>
                <w10:wrap type="none"/>
                <w10:anchorlock/>
              </v:shape>
            </w:pict>
          </mc:Fallback>
        </mc:AlternateContent>
      </w:r>
    </w:p>
    <w:p w14:paraId="3FF77481">
      <w:pPr>
        <w:rPr>
          <w:rFonts w:hint="eastAsia" w:ascii="仿宋" w:hAnsi="仿宋" w:eastAsia="仿宋"/>
          <w:b/>
          <w:color w:val="auto"/>
          <w:highlight w:val="none"/>
        </w:rPr>
      </w:pPr>
      <w:bookmarkStart w:id="19" w:name="_Toc20660403"/>
      <w:r>
        <w:rPr>
          <w:rFonts w:hint="eastAsia" w:ascii="仿宋" w:hAnsi="仿宋" w:eastAsia="仿宋"/>
          <w:b/>
          <w:color w:val="auto"/>
          <w:highlight w:val="none"/>
        </w:rPr>
        <w:br w:type="page"/>
      </w:r>
    </w:p>
    <w:p w14:paraId="2DAC4ED9">
      <w:pPr>
        <w:overflowPunct w:val="0"/>
        <w:topLinePunct/>
        <w:autoSpaceDE/>
        <w:autoSpaceDN/>
        <w:spacing w:line="560" w:lineRule="exact"/>
        <w:jc w:val="center"/>
        <w:rPr>
          <w:rFonts w:hint="eastAsia" w:ascii="仿宋" w:hAnsi="仿宋" w:eastAsia="仿宋"/>
          <w:b/>
          <w:color w:val="auto"/>
          <w:highlight w:val="none"/>
        </w:rPr>
      </w:pPr>
      <w:r>
        <w:rPr>
          <w:rFonts w:hint="eastAsia" w:ascii="仿宋" w:hAnsi="仿宋" w:eastAsia="仿宋"/>
          <w:b/>
          <w:color w:val="auto"/>
          <w:highlight w:val="none"/>
        </w:rPr>
        <w:t>磋商一览表封袋正面标识式样</w:t>
      </w:r>
    </w:p>
    <w:p w14:paraId="7E432E60">
      <w:pPr>
        <w:overflowPunct w:val="0"/>
        <w:topLinePunct/>
        <w:autoSpaceDE/>
        <w:autoSpaceDN/>
        <w:spacing w:line="360" w:lineRule="auto"/>
        <w:jc w:val="both"/>
        <w:rPr>
          <w:rFonts w:hint="eastAsia"/>
          <w:color w:val="auto"/>
          <w:highlight w:val="none"/>
        </w:rPr>
      </w:pPr>
      <w:r>
        <w:rPr>
          <w:rFonts w:hint="eastAsia" w:ascii="仿宋" w:hAnsi="仿宋" w:eastAsia="仿宋"/>
          <w:b/>
          <w:color w:val="auto"/>
          <w:sz w:val="36"/>
          <w:szCs w:val="36"/>
          <w:highlight w:val="none"/>
        </w:rPr>
        <mc:AlternateContent>
          <mc:Choice Requires="wps">
            <w:drawing>
              <wp:inline distT="0" distB="0" distL="114300" distR="114300">
                <wp:extent cx="5605145" cy="7329805"/>
                <wp:effectExtent l="19050" t="19050" r="33655" b="23495"/>
                <wp:docPr id="2" name="Text Box 3"/>
                <wp:cNvGraphicFramePr/>
                <a:graphic xmlns:a="http://schemas.openxmlformats.org/drawingml/2006/main">
                  <a:graphicData uri="http://schemas.microsoft.com/office/word/2010/wordprocessingShape">
                    <wps:wsp>
                      <wps:cNvSpPr txBox="1">
                        <a:spLocks noRot="1"/>
                      </wps:cNvSpPr>
                      <wps:spPr>
                        <a:xfrm>
                          <a:off x="0" y="0"/>
                          <a:ext cx="5605145" cy="7329805"/>
                        </a:xfrm>
                        <a:prstGeom prst="rect">
                          <a:avLst/>
                        </a:prstGeom>
                        <a:noFill/>
                        <a:ln w="38100" cap="flat" cmpd="dbl">
                          <a:solidFill>
                            <a:srgbClr val="000000"/>
                          </a:solidFill>
                          <a:prstDash val="solid"/>
                          <a:miter/>
                          <a:headEnd type="none" w="med" len="med"/>
                          <a:tailEnd type="none" w="med" len="med"/>
                        </a:ln>
                      </wps:spPr>
                      <wps:txbx>
                        <w:txbxContent>
                          <w:p w14:paraId="176CB223">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p>
                          <w:p w14:paraId="5AFA7B95">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p>
                          <w:p w14:paraId="66B78198">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rPr>
                              <w:t>采购代理机构：陕西中信项目咨询有限公司</w:t>
                            </w:r>
                          </w:p>
                          <w:p w14:paraId="3922B049">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p>
                          <w:p w14:paraId="1AE2F92D">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spacing w:val="93"/>
                              </w:rPr>
                              <w:t>项目名</w:t>
                            </w:r>
                            <w:r>
                              <w:rPr>
                                <w:rFonts w:hint="eastAsia" w:ascii="仿宋" w:hAnsi="仿宋" w:eastAsia="仿宋" w:cs="仿宋"/>
                                <w:spacing w:val="1"/>
                              </w:rPr>
                              <w:t>称</w:t>
                            </w:r>
                            <w:r>
                              <w:rPr>
                                <w:rFonts w:hint="eastAsia" w:ascii="仿宋" w:hAnsi="仿宋" w:eastAsia="仿宋" w:cs="仿宋"/>
                              </w:rPr>
                              <w:t>：</w:t>
                            </w:r>
                          </w:p>
                          <w:p w14:paraId="3943D7C2">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r>
                              <w:rPr>
                                <w:rFonts w:hint="eastAsia" w:ascii="仿宋" w:hAnsi="仿宋" w:eastAsia="仿宋" w:cs="仿宋"/>
                                <w:spacing w:val="93"/>
                              </w:rPr>
                              <w:t>项目编</w:t>
                            </w:r>
                            <w:r>
                              <w:rPr>
                                <w:rFonts w:hint="eastAsia" w:ascii="仿宋" w:hAnsi="仿宋" w:eastAsia="仿宋" w:cs="仿宋"/>
                                <w:spacing w:val="1"/>
                              </w:rPr>
                              <w:t>号</w:t>
                            </w:r>
                            <w:r>
                              <w:rPr>
                                <w:rFonts w:hint="eastAsia" w:ascii="仿宋" w:hAnsi="仿宋" w:eastAsia="仿宋" w:cs="仿宋"/>
                                <w:spacing w:val="93"/>
                              </w:rPr>
                              <w:t>：</w:t>
                            </w:r>
                          </w:p>
                          <w:p w14:paraId="53F428C5">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rPr>
                            </w:pPr>
                            <w:r>
                              <w:rPr>
                                <w:rFonts w:hint="eastAsia" w:ascii="仿宋" w:hAnsi="仿宋" w:eastAsia="仿宋" w:cs="仿宋"/>
                              </w:rPr>
                              <w:t>包号（如有）：</w:t>
                            </w:r>
                          </w:p>
                          <w:p w14:paraId="3043A4BC">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ascii="仿宋" w:hAnsi="仿宋" w:eastAsia="仿宋" w:cs="仿宋"/>
                              </w:rPr>
                            </w:pPr>
                          </w:p>
                          <w:p w14:paraId="6B693B2A">
                            <w:pPr>
                              <w:keepNext w:val="0"/>
                              <w:keepLines w:val="0"/>
                              <w:pageBreakBefore w:val="0"/>
                              <w:widowControl w:val="0"/>
                              <w:kinsoku/>
                              <w:wordWrap/>
                              <w:overflowPunct/>
                              <w:topLinePunct w:val="0"/>
                              <w:bidi w:val="0"/>
                              <w:adjustRightInd w:val="0"/>
                              <w:snapToGrid/>
                              <w:spacing w:line="520" w:lineRule="exact"/>
                              <w:textAlignment w:val="auto"/>
                              <w:rPr>
                                <w:rFonts w:hint="eastAsia"/>
                              </w:rPr>
                            </w:pPr>
                          </w:p>
                          <w:p w14:paraId="13F88016">
                            <w:pPr>
                              <w:keepNext w:val="0"/>
                              <w:keepLines w:val="0"/>
                              <w:pageBreakBefore w:val="0"/>
                              <w:widowControl w:val="0"/>
                              <w:kinsoku/>
                              <w:wordWrap/>
                              <w:overflowPunct/>
                              <w:topLinePunct w:val="0"/>
                              <w:bidi w:val="0"/>
                              <w:adjustRightInd w:val="0"/>
                              <w:snapToGrid/>
                              <w:spacing w:line="520" w:lineRule="exact"/>
                              <w:jc w:val="center"/>
                              <w:textAlignment w:val="auto"/>
                              <w:rPr>
                                <w:rFonts w:ascii="仿宋" w:hAnsi="仿宋" w:eastAsia="仿宋" w:cs="仿宋"/>
                                <w:sz w:val="36"/>
                                <w:szCs w:val="36"/>
                              </w:rPr>
                            </w:pPr>
                            <w:r>
                              <w:rPr>
                                <w:rFonts w:hint="eastAsia" w:ascii="仿宋" w:hAnsi="仿宋" w:eastAsia="仿宋" w:cs="仿宋"/>
                                <w:sz w:val="36"/>
                                <w:szCs w:val="36"/>
                              </w:rPr>
                              <w:t>磋 商 一 览 表</w:t>
                            </w:r>
                          </w:p>
                          <w:p w14:paraId="2D6DE300">
                            <w:pPr>
                              <w:keepNext w:val="0"/>
                              <w:keepLines w:val="0"/>
                              <w:pageBreakBefore w:val="0"/>
                              <w:widowControl w:val="0"/>
                              <w:kinsoku/>
                              <w:wordWrap/>
                              <w:overflowPunct/>
                              <w:topLinePunct w:val="0"/>
                              <w:bidi w:val="0"/>
                              <w:adjustRightInd w:val="0"/>
                              <w:snapToGrid/>
                              <w:spacing w:line="520" w:lineRule="exact"/>
                              <w:jc w:val="center"/>
                              <w:textAlignment w:val="auto"/>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磋商时间前</w:t>
                            </w:r>
                            <w:r>
                              <w:rPr>
                                <w:rFonts w:hint="eastAsia" w:ascii="仿宋" w:hAnsi="仿宋" w:eastAsia="仿宋" w:cs="仿宋"/>
                                <w:szCs w:val="21"/>
                              </w:rPr>
                              <w:t>不得启封）</w:t>
                            </w:r>
                          </w:p>
                          <w:p w14:paraId="7CE4CF23">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ascii="仿宋" w:hAnsi="仿宋" w:eastAsia="仿宋" w:cs="仿宋"/>
                                <w:sz w:val="20"/>
                                <w:szCs w:val="20"/>
                              </w:rPr>
                            </w:pPr>
                          </w:p>
                          <w:p w14:paraId="416BFD4A">
                            <w:pPr>
                              <w:keepNext w:val="0"/>
                              <w:keepLines w:val="0"/>
                              <w:pageBreakBefore w:val="0"/>
                              <w:widowControl w:val="0"/>
                              <w:kinsoku/>
                              <w:wordWrap/>
                              <w:overflowPunct/>
                              <w:topLinePunct w:val="0"/>
                              <w:bidi w:val="0"/>
                              <w:adjustRightInd w:val="0"/>
                              <w:snapToGrid/>
                              <w:spacing w:line="520" w:lineRule="exact"/>
                              <w:textAlignment w:val="auto"/>
                              <w:rPr>
                                <w:rFonts w:hint="eastAsia"/>
                              </w:rPr>
                            </w:pPr>
                          </w:p>
                          <w:p w14:paraId="1AB57D14">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0FB92E28">
                            <w:pPr>
                              <w:keepNext w:val="0"/>
                              <w:keepLines w:val="0"/>
                              <w:pageBreakBefore w:val="0"/>
                              <w:widowControl w:val="0"/>
                              <w:kinsoku/>
                              <w:wordWrap/>
                              <w:overflowPunct/>
                              <w:topLinePunct w:val="0"/>
                              <w:bidi w:val="0"/>
                              <w:adjustRightInd w:val="0"/>
                              <w:snapToGrid/>
                              <w:spacing w:line="520" w:lineRule="exact"/>
                              <w:textAlignment w:val="auto"/>
                              <w:rPr>
                                <w:rFonts w:hint="eastAsia"/>
                              </w:rPr>
                            </w:pPr>
                          </w:p>
                          <w:p w14:paraId="46D1BCD9">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rPr>
                            </w:pPr>
                            <w:r>
                              <w:rPr>
                                <w:rFonts w:hint="eastAsia" w:ascii="仿宋" w:hAnsi="仿宋" w:eastAsia="仿宋" w:cs="仿宋"/>
                                <w:szCs w:val="21"/>
                              </w:rPr>
                              <w:t>供应商名称：（单位公章）</w:t>
                            </w:r>
                          </w:p>
                          <w:p w14:paraId="0484B398">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p>
                          <w:p w14:paraId="398D8FE2">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供应商地址：</w:t>
                            </w:r>
                          </w:p>
                          <w:p w14:paraId="74D30A07">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p>
                          <w:p w14:paraId="1A6254E3">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供应商电话：</w:t>
                            </w:r>
                          </w:p>
                        </w:txbxContent>
                      </wps:txbx>
                      <wps:bodyPr wrap="square" upright="1"/>
                    </wps:wsp>
                  </a:graphicData>
                </a:graphic>
              </wp:inline>
            </w:drawing>
          </mc:Choice>
          <mc:Fallback>
            <w:pict>
              <v:shape id="Text Box 3" o:spid="_x0000_s1026" o:spt="202" type="#_x0000_t202" style="height:577.15pt;width:441.35pt;" filled="f" stroked="t" coordsize="21600,21600" o:gfxdata="UEsDBAoAAAAAAIdO4kAAAAAAAAAAAAAAAAAEAAAAZHJzL1BLAwQUAAAACACHTuJATcxJ2NYAAAAG&#10;AQAADwAAAGRycy9kb3ducmV2LnhtbE2PQUvDQBCF74L/YRnBi9hNqrYxZlNE6FHE2oPHaXbMhmZn&#10;Q3abVn+9oxe9PBje471vqtXJ92qiMXaBDeSzDBRxE2zHrYHt2/q6ABUTssU+MBn4pAir+vyswtKG&#10;I7/StEmtkhKOJRpwKQ2l1rFx5DHOwkAs3kcYPSY5x1bbEY9S7ns9z7KF9tixLDgc6MlRs98cvIGv&#10;/aTfaeuW9y/Nc/G40Osri7kxlxd59gAq0Sn9heEHX9ChFqZdOLCNqjcgj6RfFa8o5ktQOwnld7c3&#10;oOtK/8evvwFQSwMEFAAAAAgAh07iQFsLRO8RAgAAPwQAAA4AAABkcnMvZTJvRG9jLnhtbK1TTXPT&#10;MBC9M8N/0OhO7SSkFE+czkAolw4wtPyAjSTHGvSFVomdf89KDm0olxzwwV5Lb9/ue1qtbkdr2EFF&#10;1N61fHZVc6ac8FK7Xct/PN69ueEMEzgJxjvV8qNCfrt+/Wo1hEbNfe+NVJERicNmCC3vUwpNVaHo&#10;lQW88kE52ux8tJDoN+4qGWEgdmuqeV1fV4OPMkQvFCKtbqZNfmKMlxD6rtNCbbzYW+XSxBqVgUSS&#10;sNcB+bp023VKpK9dhyox03JSmsqbilC8ze9qvYJmFyH0WpxagEtaeKHJgnZU9IlqAwnYPup/qKwW&#10;0aPv0pXwtpqEFEdIxax+4c1DD0EVLWQ1hifT8f/Rii+Hb5Fp2fI5Zw4sHfijGhP74Ee2yO4MARsC&#10;PQSCpZGWaWaKUgz3XvxE5vx3T7bOMrg6Q0+pSHnZl7GLNn9JMSMKsv/4ZH+uJ2hxeV0vZ2+XnAna&#10;e7eYv7+pl4X1OT1ETJ+VtywHLY90vqUZONxjyg1A8weSqzl/p40pZ2wcG1q+uJnVVFsADW5HA0Oh&#10;DSRebs0kyhstc07OxrjbfjSRHSAPT3lO7eA5LBfcAPYTrmxlGDRWJxVL1CuQn5xk6RjIYEf3iudu&#10;rJKcGUXXMEcFmUCbS5Ak1LiT4ZPH2fo0bkeiyeHWyyMd2UCj3XL8tYdINfch6l3/12nRXBXbTncg&#10;D+75fynxfO/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zEnY1gAAAAYBAAAPAAAAAAAAAAEA&#10;IAAAACIAAABkcnMvZG93bnJldi54bWxQSwECFAAUAAAACACHTuJAWwtE7xECAAA/BAAADgAAAAAA&#10;AAABACAAAAAlAQAAZHJzL2Uyb0RvYy54bWxQSwUGAAAAAAYABgBZAQAAqAUAAAAA&#10;">
                <v:fill on="f" focussize="0,0"/>
                <v:stroke weight="3pt" color="#000000" linestyle="thinThin" joinstyle="miter"/>
                <v:imagedata o:title=""/>
                <o:lock v:ext="edit" rotation="t" aspectratio="f"/>
                <v:textbox>
                  <w:txbxContent>
                    <w:p w14:paraId="176CB223">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p>
                    <w:p w14:paraId="5AFA7B95">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p>
                    <w:p w14:paraId="66B78198">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rPr>
                        <w:t>采购代理机构：陕西中信项目咨询有限公司</w:t>
                      </w:r>
                    </w:p>
                    <w:p w14:paraId="3922B049">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p>
                    <w:p w14:paraId="1AE2F92D">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rPr>
                      </w:pPr>
                      <w:r>
                        <w:rPr>
                          <w:rFonts w:hint="eastAsia" w:ascii="仿宋" w:hAnsi="仿宋" w:eastAsia="仿宋" w:cs="仿宋"/>
                          <w:spacing w:val="93"/>
                        </w:rPr>
                        <w:t>项目名</w:t>
                      </w:r>
                      <w:r>
                        <w:rPr>
                          <w:rFonts w:hint="eastAsia" w:ascii="仿宋" w:hAnsi="仿宋" w:eastAsia="仿宋" w:cs="仿宋"/>
                          <w:spacing w:val="1"/>
                        </w:rPr>
                        <w:t>称</w:t>
                      </w:r>
                      <w:r>
                        <w:rPr>
                          <w:rFonts w:hint="eastAsia" w:ascii="仿宋" w:hAnsi="仿宋" w:eastAsia="仿宋" w:cs="仿宋"/>
                        </w:rPr>
                        <w:t>：</w:t>
                      </w:r>
                    </w:p>
                    <w:p w14:paraId="3943D7C2">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ascii="仿宋" w:hAnsi="仿宋" w:eastAsia="仿宋" w:cs="仿宋"/>
                          <w:spacing w:val="93"/>
                        </w:rPr>
                      </w:pPr>
                      <w:r>
                        <w:rPr>
                          <w:rFonts w:hint="eastAsia" w:ascii="仿宋" w:hAnsi="仿宋" w:eastAsia="仿宋" w:cs="仿宋"/>
                          <w:spacing w:val="93"/>
                        </w:rPr>
                        <w:t>项目编</w:t>
                      </w:r>
                      <w:r>
                        <w:rPr>
                          <w:rFonts w:hint="eastAsia" w:ascii="仿宋" w:hAnsi="仿宋" w:eastAsia="仿宋" w:cs="仿宋"/>
                          <w:spacing w:val="1"/>
                        </w:rPr>
                        <w:t>号</w:t>
                      </w:r>
                      <w:r>
                        <w:rPr>
                          <w:rFonts w:hint="eastAsia" w:ascii="仿宋" w:hAnsi="仿宋" w:eastAsia="仿宋" w:cs="仿宋"/>
                          <w:spacing w:val="93"/>
                        </w:rPr>
                        <w:t>：</w:t>
                      </w:r>
                    </w:p>
                    <w:p w14:paraId="53F428C5">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rPr>
                      </w:pPr>
                      <w:r>
                        <w:rPr>
                          <w:rFonts w:hint="eastAsia" w:ascii="仿宋" w:hAnsi="仿宋" w:eastAsia="仿宋" w:cs="仿宋"/>
                        </w:rPr>
                        <w:t>包号（如有）：</w:t>
                      </w:r>
                    </w:p>
                    <w:p w14:paraId="3043A4BC">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ascii="仿宋" w:hAnsi="仿宋" w:eastAsia="仿宋" w:cs="仿宋"/>
                        </w:rPr>
                      </w:pPr>
                    </w:p>
                    <w:p w14:paraId="6B693B2A">
                      <w:pPr>
                        <w:keepNext w:val="0"/>
                        <w:keepLines w:val="0"/>
                        <w:pageBreakBefore w:val="0"/>
                        <w:widowControl w:val="0"/>
                        <w:kinsoku/>
                        <w:wordWrap/>
                        <w:overflowPunct/>
                        <w:topLinePunct w:val="0"/>
                        <w:bidi w:val="0"/>
                        <w:adjustRightInd w:val="0"/>
                        <w:snapToGrid/>
                        <w:spacing w:line="520" w:lineRule="exact"/>
                        <w:textAlignment w:val="auto"/>
                        <w:rPr>
                          <w:rFonts w:hint="eastAsia"/>
                        </w:rPr>
                      </w:pPr>
                    </w:p>
                    <w:p w14:paraId="13F88016">
                      <w:pPr>
                        <w:keepNext w:val="0"/>
                        <w:keepLines w:val="0"/>
                        <w:pageBreakBefore w:val="0"/>
                        <w:widowControl w:val="0"/>
                        <w:kinsoku/>
                        <w:wordWrap/>
                        <w:overflowPunct/>
                        <w:topLinePunct w:val="0"/>
                        <w:bidi w:val="0"/>
                        <w:adjustRightInd w:val="0"/>
                        <w:snapToGrid/>
                        <w:spacing w:line="520" w:lineRule="exact"/>
                        <w:jc w:val="center"/>
                        <w:textAlignment w:val="auto"/>
                        <w:rPr>
                          <w:rFonts w:ascii="仿宋" w:hAnsi="仿宋" w:eastAsia="仿宋" w:cs="仿宋"/>
                          <w:sz w:val="36"/>
                          <w:szCs w:val="36"/>
                        </w:rPr>
                      </w:pPr>
                      <w:r>
                        <w:rPr>
                          <w:rFonts w:hint="eastAsia" w:ascii="仿宋" w:hAnsi="仿宋" w:eastAsia="仿宋" w:cs="仿宋"/>
                          <w:sz w:val="36"/>
                          <w:szCs w:val="36"/>
                        </w:rPr>
                        <w:t>磋 商 一 览 表</w:t>
                      </w:r>
                    </w:p>
                    <w:p w14:paraId="2D6DE300">
                      <w:pPr>
                        <w:keepNext w:val="0"/>
                        <w:keepLines w:val="0"/>
                        <w:pageBreakBefore w:val="0"/>
                        <w:widowControl w:val="0"/>
                        <w:kinsoku/>
                        <w:wordWrap/>
                        <w:overflowPunct/>
                        <w:topLinePunct w:val="0"/>
                        <w:bidi w:val="0"/>
                        <w:adjustRightInd w:val="0"/>
                        <w:snapToGrid/>
                        <w:spacing w:line="520" w:lineRule="exact"/>
                        <w:jc w:val="center"/>
                        <w:textAlignment w:val="auto"/>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磋商时间前</w:t>
                      </w:r>
                      <w:r>
                        <w:rPr>
                          <w:rFonts w:hint="eastAsia" w:ascii="仿宋" w:hAnsi="仿宋" w:eastAsia="仿宋" w:cs="仿宋"/>
                          <w:szCs w:val="21"/>
                        </w:rPr>
                        <w:t>不得启封）</w:t>
                      </w:r>
                    </w:p>
                    <w:p w14:paraId="7CE4CF23">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ascii="仿宋" w:hAnsi="仿宋" w:eastAsia="仿宋" w:cs="仿宋"/>
                          <w:sz w:val="20"/>
                          <w:szCs w:val="20"/>
                        </w:rPr>
                      </w:pPr>
                    </w:p>
                    <w:p w14:paraId="416BFD4A">
                      <w:pPr>
                        <w:keepNext w:val="0"/>
                        <w:keepLines w:val="0"/>
                        <w:pageBreakBefore w:val="0"/>
                        <w:widowControl w:val="0"/>
                        <w:kinsoku/>
                        <w:wordWrap/>
                        <w:overflowPunct/>
                        <w:topLinePunct w:val="0"/>
                        <w:bidi w:val="0"/>
                        <w:adjustRightInd w:val="0"/>
                        <w:snapToGrid/>
                        <w:spacing w:line="520" w:lineRule="exact"/>
                        <w:textAlignment w:val="auto"/>
                        <w:rPr>
                          <w:rFonts w:hint="eastAsia"/>
                        </w:rPr>
                      </w:pPr>
                    </w:p>
                    <w:p w14:paraId="1AB57D14">
                      <w:pPr>
                        <w:pStyle w:val="19"/>
                        <w:keepNext w:val="0"/>
                        <w:keepLines w:val="0"/>
                        <w:pageBreakBefore w:val="0"/>
                        <w:widowControl w:val="0"/>
                        <w:kinsoku/>
                        <w:wordWrap/>
                        <w:overflowPunct/>
                        <w:topLinePunct w:val="0"/>
                        <w:bidi w:val="0"/>
                        <w:adjustRightInd w:val="0"/>
                        <w:snapToGrid/>
                        <w:spacing w:after="0" w:afterLines="0" w:line="520" w:lineRule="exact"/>
                        <w:textAlignment w:val="auto"/>
                        <w:rPr>
                          <w:rFonts w:hint="eastAsia"/>
                        </w:rPr>
                      </w:pPr>
                    </w:p>
                    <w:p w14:paraId="0FB92E28">
                      <w:pPr>
                        <w:keepNext w:val="0"/>
                        <w:keepLines w:val="0"/>
                        <w:pageBreakBefore w:val="0"/>
                        <w:widowControl w:val="0"/>
                        <w:kinsoku/>
                        <w:wordWrap/>
                        <w:overflowPunct/>
                        <w:topLinePunct w:val="0"/>
                        <w:bidi w:val="0"/>
                        <w:adjustRightInd w:val="0"/>
                        <w:snapToGrid/>
                        <w:spacing w:line="520" w:lineRule="exact"/>
                        <w:textAlignment w:val="auto"/>
                        <w:rPr>
                          <w:rFonts w:hint="eastAsia"/>
                        </w:rPr>
                      </w:pPr>
                    </w:p>
                    <w:p w14:paraId="46D1BCD9">
                      <w:pPr>
                        <w:keepNext w:val="0"/>
                        <w:keepLines w:val="0"/>
                        <w:pageBreakBefore w:val="0"/>
                        <w:widowControl w:val="0"/>
                        <w:kinsoku/>
                        <w:wordWrap/>
                        <w:overflowPunct/>
                        <w:topLinePunct w:val="0"/>
                        <w:bidi w:val="0"/>
                        <w:adjustRightInd w:val="0"/>
                        <w:snapToGrid/>
                        <w:spacing w:line="520" w:lineRule="exact"/>
                        <w:jc w:val="both"/>
                        <w:textAlignment w:val="auto"/>
                        <w:rPr>
                          <w:rFonts w:hint="eastAsia"/>
                        </w:rPr>
                      </w:pPr>
                      <w:r>
                        <w:rPr>
                          <w:rFonts w:hint="eastAsia" w:ascii="仿宋" w:hAnsi="仿宋" w:eastAsia="仿宋" w:cs="仿宋"/>
                          <w:szCs w:val="21"/>
                        </w:rPr>
                        <w:t>供应商名称：（单位公章）</w:t>
                      </w:r>
                    </w:p>
                    <w:p w14:paraId="0484B398">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p>
                    <w:p w14:paraId="398D8FE2">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供应商地址：</w:t>
                      </w:r>
                    </w:p>
                    <w:p w14:paraId="74D30A07">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p>
                    <w:p w14:paraId="1A6254E3">
                      <w:pPr>
                        <w:keepNext w:val="0"/>
                        <w:keepLines w:val="0"/>
                        <w:pageBreakBefore w:val="0"/>
                        <w:widowControl w:val="0"/>
                        <w:kinsoku/>
                        <w:wordWrap/>
                        <w:overflowPunct/>
                        <w:topLinePunct w:val="0"/>
                        <w:bidi w:val="0"/>
                        <w:adjustRightInd w:val="0"/>
                        <w:snapToGrid/>
                        <w:spacing w:line="520" w:lineRule="exact"/>
                        <w:textAlignment w:val="auto"/>
                        <w:rPr>
                          <w:rFonts w:hint="eastAsia" w:ascii="仿宋" w:hAnsi="仿宋" w:eastAsia="仿宋" w:cs="仿宋"/>
                          <w:szCs w:val="21"/>
                        </w:rPr>
                      </w:pPr>
                      <w:r>
                        <w:rPr>
                          <w:rFonts w:hint="eastAsia" w:ascii="仿宋" w:hAnsi="仿宋" w:eastAsia="仿宋" w:cs="仿宋"/>
                          <w:szCs w:val="21"/>
                        </w:rPr>
                        <w:t>供应商电话：</w:t>
                      </w:r>
                    </w:p>
                  </w:txbxContent>
                </v:textbox>
                <w10:wrap type="none"/>
                <w10:anchorlock/>
              </v:shape>
            </w:pict>
          </mc:Fallback>
        </mc:AlternateContent>
      </w:r>
      <w:bookmarkEnd w:id="19"/>
    </w:p>
    <w:p w14:paraId="24D8FD0E">
      <w:pPr>
        <w:jc w:val="center"/>
        <w:outlineLvl w:val="0"/>
        <w:rPr>
          <w:rStyle w:val="48"/>
          <w:rFonts w:hint="eastAsia" w:ascii="方正小标宋简体" w:hAnsi="方正小标宋简体" w:eastAsia="方正小标宋简体" w:cs="方正小标宋简体"/>
          <w:b w:val="0"/>
          <w:bCs w:val="0"/>
          <w:color w:val="auto"/>
          <w:sz w:val="40"/>
          <w:szCs w:val="40"/>
          <w:highlight w:val="none"/>
          <w:shd w:val="clear" w:color="auto" w:fill="FFFFFF"/>
        </w:rPr>
      </w:pPr>
      <w:r>
        <w:rPr>
          <w:rFonts w:hint="eastAsia"/>
          <w:color w:val="auto"/>
          <w:highlight w:val="none"/>
        </w:rPr>
        <w:br w:type="page"/>
      </w:r>
      <w:bookmarkStart w:id="20" w:name="_Toc27698"/>
      <w:r>
        <w:rPr>
          <w:rStyle w:val="48"/>
          <w:rFonts w:hint="eastAsia" w:ascii="方正小标宋简体" w:hAnsi="方正小标宋简体" w:eastAsia="方正小标宋简体" w:cs="方正小标宋简体"/>
          <w:b w:val="0"/>
          <w:bCs w:val="0"/>
          <w:color w:val="auto"/>
          <w:sz w:val="40"/>
          <w:szCs w:val="40"/>
          <w:highlight w:val="none"/>
          <w:shd w:val="clear" w:color="auto" w:fill="FFFFFF"/>
        </w:rPr>
        <w:t>第三章  响应文件格式</w:t>
      </w:r>
      <w:bookmarkEnd w:id="20"/>
    </w:p>
    <w:p w14:paraId="4E09BD2F">
      <w:pPr>
        <w:overflowPunct w:val="0"/>
        <w:topLinePunct/>
        <w:autoSpaceDE/>
        <w:autoSpaceDN/>
        <w:spacing w:line="560" w:lineRule="exact"/>
        <w:jc w:val="right"/>
        <w:rPr>
          <w:rFonts w:hint="eastAsia" w:ascii="仿宋" w:hAnsi="仿宋" w:eastAsia="仿宋"/>
          <w:color w:val="auto"/>
          <w:sz w:val="36"/>
          <w:szCs w:val="36"/>
          <w:highlight w:val="none"/>
        </w:rPr>
      </w:pPr>
      <w:r>
        <w:rPr>
          <w:rFonts w:hint="eastAsia" w:ascii="仿宋" w:hAnsi="仿宋" w:eastAsia="仿宋"/>
          <w:color w:val="auto"/>
          <w:sz w:val="36"/>
          <w:szCs w:val="36"/>
          <w:highlight w:val="none"/>
        </w:rPr>
        <w:t>正（副）本</w:t>
      </w:r>
    </w:p>
    <w:p w14:paraId="441235C5">
      <w:pPr>
        <w:overflowPunct w:val="0"/>
        <w:topLinePunct/>
        <w:autoSpaceDE/>
        <w:autoSpaceDN/>
        <w:spacing w:line="560" w:lineRule="exact"/>
        <w:jc w:val="both"/>
        <w:rPr>
          <w:rFonts w:hint="eastAsia" w:ascii="仿宋" w:hAnsi="仿宋" w:eastAsia="仿宋"/>
          <w:bCs/>
          <w:color w:val="auto"/>
          <w:sz w:val="32"/>
          <w:szCs w:val="32"/>
          <w:highlight w:val="none"/>
        </w:rPr>
      </w:pPr>
    </w:p>
    <w:p w14:paraId="3D5EA1A8">
      <w:pPr>
        <w:overflowPunct w:val="0"/>
        <w:topLinePunct/>
        <w:autoSpaceDE/>
        <w:autoSpaceDN/>
        <w:spacing w:line="560" w:lineRule="exact"/>
        <w:jc w:val="both"/>
        <w:rPr>
          <w:rFonts w:ascii="仿宋" w:hAnsi="仿宋" w:eastAsia="仿宋"/>
          <w:color w:val="auto"/>
          <w:sz w:val="36"/>
          <w:szCs w:val="36"/>
          <w:highlight w:val="none"/>
          <w:u w:val="single"/>
        </w:rPr>
      </w:pPr>
      <w:r>
        <w:rPr>
          <w:rFonts w:hint="eastAsia" w:ascii="仿宋" w:hAnsi="仿宋" w:eastAsia="仿宋"/>
          <w:bCs/>
          <w:color w:val="auto"/>
          <w:sz w:val="32"/>
          <w:szCs w:val="32"/>
          <w:highlight w:val="none"/>
        </w:rPr>
        <w:t>采购项目编号：</w:t>
      </w:r>
      <w:r>
        <w:rPr>
          <w:rFonts w:hint="eastAsia" w:ascii="仿宋" w:hAnsi="仿宋" w:eastAsia="仿宋"/>
          <w:bCs/>
          <w:color w:val="auto"/>
          <w:sz w:val="32"/>
          <w:szCs w:val="32"/>
          <w:highlight w:val="none"/>
          <w:u w:val="single"/>
        </w:rPr>
        <w:t xml:space="preserve">                 </w:t>
      </w:r>
    </w:p>
    <w:p w14:paraId="778FCE94">
      <w:pPr>
        <w:overflowPunct w:val="0"/>
        <w:topLinePunct/>
        <w:autoSpaceDE/>
        <w:autoSpaceDN/>
        <w:spacing w:line="560" w:lineRule="exact"/>
        <w:rPr>
          <w:rFonts w:hint="eastAsia" w:ascii="仿宋" w:hAnsi="仿宋" w:eastAsia="仿宋"/>
          <w:b/>
          <w:bCs/>
          <w:color w:val="auto"/>
          <w:sz w:val="36"/>
          <w:szCs w:val="36"/>
          <w:highlight w:val="none"/>
          <w:u w:val="single"/>
        </w:rPr>
      </w:pPr>
    </w:p>
    <w:p w14:paraId="3EC6E43B">
      <w:pPr>
        <w:spacing w:line="560" w:lineRule="exact"/>
        <w:rPr>
          <w:rFonts w:hint="eastAsia"/>
          <w:color w:val="auto"/>
          <w:highlight w:val="none"/>
        </w:rPr>
      </w:pPr>
    </w:p>
    <w:p w14:paraId="5803338C">
      <w:pPr>
        <w:overflowPunct w:val="0"/>
        <w:topLinePunct/>
        <w:autoSpaceDE/>
        <w:autoSpaceDN/>
        <w:spacing w:line="560" w:lineRule="exact"/>
        <w:jc w:val="center"/>
        <w:rPr>
          <w:rFonts w:hint="eastAsia" w:ascii="仿宋" w:hAnsi="仿宋" w:eastAsia="仿宋"/>
          <w:bCs/>
          <w:color w:val="auto"/>
          <w:sz w:val="36"/>
          <w:szCs w:val="36"/>
          <w:highlight w:val="none"/>
        </w:rPr>
      </w:pPr>
      <w:r>
        <w:rPr>
          <w:rFonts w:hint="eastAsia" w:ascii="仿宋" w:hAnsi="仿宋" w:eastAsia="仿宋"/>
          <w:bCs/>
          <w:color w:val="auto"/>
          <w:sz w:val="36"/>
          <w:szCs w:val="36"/>
          <w:highlight w:val="none"/>
          <w:u w:val="single"/>
        </w:rPr>
        <w:t xml:space="preserve">                                  </w:t>
      </w:r>
      <w:r>
        <w:rPr>
          <w:rFonts w:hint="eastAsia" w:ascii="仿宋" w:hAnsi="仿宋" w:eastAsia="仿宋"/>
          <w:bCs/>
          <w:color w:val="auto"/>
          <w:sz w:val="36"/>
          <w:szCs w:val="36"/>
          <w:highlight w:val="none"/>
        </w:rPr>
        <w:t>项目</w:t>
      </w:r>
    </w:p>
    <w:p w14:paraId="4A66E6AE">
      <w:pPr>
        <w:overflowPunct w:val="0"/>
        <w:topLinePunct/>
        <w:autoSpaceDE/>
        <w:autoSpaceDN/>
        <w:spacing w:line="560" w:lineRule="exact"/>
        <w:jc w:val="center"/>
        <w:rPr>
          <w:rFonts w:hint="eastAsia" w:ascii="仿宋" w:hAnsi="仿宋" w:eastAsia="仿宋"/>
          <w:b/>
          <w:bCs/>
          <w:color w:val="auto"/>
          <w:sz w:val="21"/>
          <w:szCs w:val="21"/>
          <w:highlight w:val="none"/>
        </w:rPr>
      </w:pPr>
    </w:p>
    <w:p w14:paraId="73EE16AE">
      <w:pPr>
        <w:overflowPunct w:val="0"/>
        <w:topLinePunct/>
        <w:autoSpaceDE/>
        <w:autoSpaceDN/>
        <w:spacing w:line="560" w:lineRule="exact"/>
        <w:jc w:val="center"/>
        <w:rPr>
          <w:rFonts w:hint="eastAsia" w:ascii="仿宋" w:hAnsi="仿宋" w:eastAsia="仿宋"/>
          <w:b/>
          <w:bCs/>
          <w:color w:val="auto"/>
          <w:sz w:val="21"/>
          <w:szCs w:val="21"/>
          <w:highlight w:val="none"/>
        </w:rPr>
      </w:pPr>
    </w:p>
    <w:p w14:paraId="6320079C">
      <w:pPr>
        <w:pStyle w:val="19"/>
        <w:spacing w:after="0" w:line="560" w:lineRule="exact"/>
        <w:rPr>
          <w:rFonts w:hint="eastAsia"/>
          <w:color w:val="auto"/>
          <w:highlight w:val="none"/>
        </w:rPr>
      </w:pPr>
    </w:p>
    <w:p w14:paraId="5DC39763">
      <w:pPr>
        <w:overflowPunct w:val="0"/>
        <w:topLinePunct/>
        <w:autoSpaceDE/>
        <w:autoSpaceDN/>
        <w:spacing w:line="360" w:lineRule="auto"/>
        <w:jc w:val="center"/>
        <w:rPr>
          <w:rFonts w:hint="eastAsia" w:ascii="仿宋" w:hAnsi="仿宋" w:eastAsia="仿宋"/>
          <w:color w:val="auto"/>
          <w:sz w:val="48"/>
          <w:szCs w:val="48"/>
          <w:highlight w:val="none"/>
        </w:rPr>
      </w:pPr>
      <w:r>
        <w:rPr>
          <w:rFonts w:hint="eastAsia" w:ascii="仿宋" w:hAnsi="仿宋" w:eastAsia="仿宋"/>
          <w:color w:val="auto"/>
          <w:sz w:val="84"/>
          <w:szCs w:val="84"/>
          <w:highlight w:val="none"/>
        </w:rPr>
        <w:t>响 应 文 件</w:t>
      </w:r>
    </w:p>
    <w:p w14:paraId="5D41E08A">
      <w:pPr>
        <w:overflowPunct w:val="0"/>
        <w:topLinePunct/>
        <w:autoSpaceDE/>
        <w:autoSpaceDN/>
        <w:spacing w:line="560" w:lineRule="exact"/>
        <w:jc w:val="center"/>
        <w:rPr>
          <w:rFonts w:hint="eastAsia" w:ascii="仿宋" w:hAnsi="仿宋" w:eastAsia="仿宋"/>
          <w:color w:val="auto"/>
          <w:sz w:val="32"/>
          <w:highlight w:val="none"/>
        </w:rPr>
      </w:pPr>
      <w:r>
        <w:rPr>
          <w:rFonts w:hint="eastAsia" w:ascii="仿宋" w:hAnsi="仿宋" w:eastAsia="仿宋"/>
          <w:bCs/>
          <w:color w:val="auto"/>
          <w:sz w:val="32"/>
          <w:szCs w:val="32"/>
          <w:highlight w:val="none"/>
        </w:rPr>
        <w:t xml:space="preserve"> </w:t>
      </w:r>
    </w:p>
    <w:p w14:paraId="35B58D3C">
      <w:pPr>
        <w:overflowPunct w:val="0"/>
        <w:topLinePunct/>
        <w:autoSpaceDE/>
        <w:autoSpaceDN/>
        <w:spacing w:line="560" w:lineRule="exact"/>
        <w:jc w:val="both"/>
        <w:rPr>
          <w:rFonts w:hint="eastAsia" w:ascii="仿宋" w:hAnsi="仿宋" w:eastAsia="仿宋"/>
          <w:color w:val="auto"/>
          <w:sz w:val="32"/>
          <w:highlight w:val="none"/>
        </w:rPr>
      </w:pPr>
    </w:p>
    <w:p w14:paraId="6362C9B5">
      <w:pPr>
        <w:overflowPunct w:val="0"/>
        <w:topLinePunct/>
        <w:autoSpaceDE/>
        <w:autoSpaceDN/>
        <w:spacing w:line="560" w:lineRule="exact"/>
        <w:jc w:val="both"/>
        <w:rPr>
          <w:rFonts w:hint="eastAsia" w:ascii="仿宋" w:hAnsi="仿宋" w:eastAsia="仿宋"/>
          <w:b/>
          <w:bCs/>
          <w:color w:val="auto"/>
          <w:sz w:val="36"/>
          <w:szCs w:val="36"/>
          <w:highlight w:val="none"/>
        </w:rPr>
      </w:pPr>
    </w:p>
    <w:p w14:paraId="24B74956">
      <w:pPr>
        <w:overflowPunct w:val="0"/>
        <w:topLinePunct/>
        <w:autoSpaceDE/>
        <w:autoSpaceDN/>
        <w:spacing w:line="560" w:lineRule="exact"/>
        <w:jc w:val="both"/>
        <w:rPr>
          <w:rFonts w:hint="eastAsia" w:ascii="仿宋" w:hAnsi="仿宋" w:eastAsia="仿宋"/>
          <w:b/>
          <w:bCs/>
          <w:color w:val="auto"/>
          <w:sz w:val="36"/>
          <w:szCs w:val="36"/>
          <w:highlight w:val="none"/>
        </w:rPr>
      </w:pPr>
    </w:p>
    <w:p w14:paraId="2F0F71C0">
      <w:pPr>
        <w:pStyle w:val="19"/>
        <w:rPr>
          <w:rFonts w:hint="eastAsia"/>
          <w:color w:val="auto"/>
          <w:highlight w:val="none"/>
        </w:rPr>
      </w:pPr>
    </w:p>
    <w:p w14:paraId="290B9427">
      <w:pPr>
        <w:overflowPunct w:val="0"/>
        <w:topLinePunct/>
        <w:autoSpaceDE/>
        <w:autoSpaceDN/>
        <w:spacing w:line="560" w:lineRule="exact"/>
        <w:ind w:firstLine="2168" w:firstLineChars="600"/>
        <w:jc w:val="both"/>
        <w:rPr>
          <w:rFonts w:ascii="仿宋" w:hAnsi="仿宋" w:eastAsia="仿宋"/>
          <w:b/>
          <w:bCs/>
          <w:color w:val="auto"/>
          <w:sz w:val="36"/>
          <w:szCs w:val="36"/>
          <w:highlight w:val="none"/>
          <w:u w:val="single"/>
        </w:rPr>
      </w:pPr>
      <w:r>
        <w:rPr>
          <w:rFonts w:hint="eastAsia" w:ascii="仿宋" w:hAnsi="仿宋" w:eastAsia="仿宋"/>
          <w:b/>
          <w:bCs/>
          <w:color w:val="auto"/>
          <w:sz w:val="36"/>
          <w:szCs w:val="36"/>
          <w:highlight w:val="none"/>
        </w:rPr>
        <w:t>供应商：</w:t>
      </w:r>
      <w:r>
        <w:rPr>
          <w:rFonts w:hint="eastAsia" w:ascii="仿宋" w:hAnsi="仿宋" w:eastAsia="仿宋"/>
          <w:b/>
          <w:bCs/>
          <w:color w:val="auto"/>
          <w:sz w:val="36"/>
          <w:szCs w:val="36"/>
          <w:highlight w:val="none"/>
          <w:u w:val="single"/>
        </w:rPr>
        <w:t xml:space="preserve">                </w:t>
      </w:r>
    </w:p>
    <w:p w14:paraId="52CBEA7A">
      <w:pPr>
        <w:overflowPunct w:val="0"/>
        <w:topLinePunct/>
        <w:autoSpaceDE/>
        <w:autoSpaceDN/>
        <w:spacing w:line="560" w:lineRule="exact"/>
        <w:jc w:val="both"/>
        <w:rPr>
          <w:rFonts w:hint="eastAsia" w:ascii="仿宋" w:hAnsi="仿宋" w:eastAsia="仿宋"/>
          <w:b/>
          <w:bCs/>
          <w:color w:val="auto"/>
          <w:sz w:val="32"/>
          <w:szCs w:val="32"/>
          <w:highlight w:val="none"/>
        </w:rPr>
      </w:pPr>
    </w:p>
    <w:p w14:paraId="70291F7F">
      <w:pPr>
        <w:pStyle w:val="27"/>
        <w:overflowPunct w:val="0"/>
        <w:topLinePunct/>
        <w:spacing w:line="560" w:lineRule="exact"/>
        <w:jc w:val="cente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 xml:space="preserve">    年  月  日</w:t>
      </w:r>
    </w:p>
    <w:p w14:paraId="0D72BA10">
      <w:pPr>
        <w:overflowPunct w:val="0"/>
        <w:topLinePunct/>
        <w:spacing w:line="560" w:lineRule="exact"/>
        <w:rPr>
          <w:rFonts w:hint="eastAsia" w:ascii="仿宋" w:hAnsi="仿宋" w:eastAsia="仿宋"/>
          <w:color w:val="auto"/>
          <w:sz w:val="32"/>
          <w:szCs w:val="32"/>
          <w:highlight w:val="none"/>
        </w:rPr>
      </w:pPr>
    </w:p>
    <w:p w14:paraId="277E851E">
      <w:pPr>
        <w:overflowPunct w:val="0"/>
        <w:topLinePunct/>
        <w:spacing w:line="560" w:lineRule="exact"/>
        <w:jc w:val="center"/>
        <w:rPr>
          <w:rFonts w:hint="eastAsia" w:ascii="仿宋" w:hAnsi="仿宋" w:eastAsia="仿宋"/>
          <w:color w:val="auto"/>
          <w:sz w:val="52"/>
          <w:szCs w:val="52"/>
          <w:highlight w:val="none"/>
        </w:rPr>
      </w:pPr>
      <w:r>
        <w:rPr>
          <w:rFonts w:hint="eastAsia" w:ascii="仿宋" w:hAnsi="仿宋" w:eastAsia="仿宋"/>
          <w:color w:val="auto"/>
          <w:sz w:val="48"/>
          <w:szCs w:val="48"/>
          <w:highlight w:val="none"/>
        </w:rPr>
        <w:br w:type="page"/>
      </w:r>
      <w:r>
        <w:rPr>
          <w:rFonts w:hint="eastAsia" w:ascii="黑体" w:hAnsi="黑体" w:eastAsia="黑体" w:cs="黑体"/>
          <w:color w:val="auto"/>
          <w:sz w:val="40"/>
          <w:szCs w:val="40"/>
          <w:highlight w:val="none"/>
        </w:rPr>
        <w:t>目  录</w:t>
      </w:r>
    </w:p>
    <w:p w14:paraId="14BE79CD">
      <w:pPr>
        <w:overflowPunct w:val="0"/>
        <w:topLinePunct/>
        <w:spacing w:line="560" w:lineRule="exact"/>
        <w:rPr>
          <w:rFonts w:hint="eastAsia" w:ascii="仿宋" w:hAnsi="仿宋" w:eastAsia="仿宋"/>
          <w:color w:val="auto"/>
          <w:sz w:val="32"/>
          <w:szCs w:val="32"/>
          <w:highlight w:val="none"/>
        </w:rPr>
      </w:pPr>
    </w:p>
    <w:p w14:paraId="44A7256E">
      <w:pPr>
        <w:overflowPunct w:val="0"/>
        <w:topLinePunct/>
        <w:spacing w:line="560" w:lineRule="exact"/>
        <w:ind w:firstLine="800" w:firstLineChars="250"/>
        <w:rPr>
          <w:rFonts w:hint="eastAsia" w:ascii="仿宋" w:hAnsi="仿宋" w:eastAsia="仿宋" w:cs="宋体-18030"/>
          <w:color w:val="auto"/>
          <w:sz w:val="32"/>
          <w:szCs w:val="32"/>
          <w:highlight w:val="none"/>
        </w:rPr>
      </w:pPr>
      <w:r>
        <w:rPr>
          <w:rFonts w:hint="eastAsia" w:ascii="仿宋" w:hAnsi="仿宋" w:eastAsia="仿宋" w:cs="宋体-18030"/>
          <w:color w:val="auto"/>
          <w:sz w:val="32"/>
          <w:szCs w:val="32"/>
          <w:highlight w:val="none"/>
        </w:rPr>
        <w:t>第1部分  磋商响应函</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4B9B394E">
      <w:pPr>
        <w:overflowPunct w:val="0"/>
        <w:topLinePunct/>
        <w:spacing w:line="560" w:lineRule="exact"/>
        <w:ind w:firstLine="800" w:firstLineChars="250"/>
        <w:rPr>
          <w:rFonts w:hint="eastAsia" w:ascii="仿宋" w:hAnsi="仿宋" w:eastAsia="仿宋" w:cs="宋体-18030"/>
          <w:color w:val="auto"/>
          <w:sz w:val="32"/>
          <w:szCs w:val="32"/>
          <w:highlight w:val="none"/>
        </w:rPr>
      </w:pPr>
      <w:r>
        <w:rPr>
          <w:rFonts w:hint="eastAsia" w:ascii="仿宋" w:hAnsi="仿宋" w:eastAsia="仿宋" w:cs="宋体-18030"/>
          <w:color w:val="auto"/>
          <w:sz w:val="32"/>
          <w:szCs w:val="32"/>
          <w:highlight w:val="none"/>
        </w:rPr>
        <w:t>第2部分  磋商一览表</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6905E971">
      <w:pPr>
        <w:overflowPunct w:val="0"/>
        <w:topLinePunct/>
        <w:spacing w:line="560" w:lineRule="exact"/>
        <w:ind w:firstLine="800" w:firstLineChars="250"/>
        <w:rPr>
          <w:rFonts w:hint="eastAsia" w:ascii="仿宋" w:hAnsi="仿宋" w:eastAsia="仿宋" w:cs="宋体-18030"/>
          <w:color w:val="auto"/>
          <w:sz w:val="32"/>
          <w:szCs w:val="32"/>
          <w:highlight w:val="none"/>
        </w:rPr>
      </w:pPr>
      <w:r>
        <w:rPr>
          <w:rFonts w:hint="eastAsia" w:ascii="仿宋" w:hAnsi="仿宋" w:eastAsia="仿宋" w:cs="宋体-18030"/>
          <w:color w:val="auto"/>
          <w:sz w:val="32"/>
          <w:szCs w:val="32"/>
          <w:highlight w:val="none"/>
        </w:rPr>
        <w:t>第3部分  供应商概况及承诺</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5D809E10">
      <w:pPr>
        <w:overflowPunct w:val="0"/>
        <w:topLinePunct/>
        <w:spacing w:line="560" w:lineRule="exact"/>
        <w:ind w:firstLine="800" w:firstLineChars="250"/>
        <w:rPr>
          <w:rFonts w:hint="eastAsia"/>
          <w:color w:val="auto"/>
          <w:highlight w:val="none"/>
        </w:rPr>
      </w:pPr>
      <w:r>
        <w:rPr>
          <w:rFonts w:hint="eastAsia" w:ascii="仿宋" w:hAnsi="仿宋" w:eastAsia="仿宋" w:cs="宋体-18030"/>
          <w:color w:val="auto"/>
          <w:sz w:val="32"/>
          <w:szCs w:val="32"/>
          <w:highlight w:val="none"/>
        </w:rPr>
        <w:t>第4部分  其他声明函</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1E588764">
      <w:pPr>
        <w:overflowPunct w:val="0"/>
        <w:topLinePunct/>
        <w:spacing w:line="560" w:lineRule="exact"/>
        <w:ind w:firstLine="800" w:firstLineChars="250"/>
        <w:rPr>
          <w:rFonts w:hint="eastAsia" w:ascii="仿宋" w:hAnsi="仿宋" w:eastAsia="仿宋" w:cs="宋体-18030"/>
          <w:color w:val="auto"/>
          <w:sz w:val="32"/>
          <w:szCs w:val="32"/>
          <w:highlight w:val="none"/>
        </w:rPr>
      </w:pPr>
      <w:r>
        <w:rPr>
          <w:rFonts w:hint="eastAsia" w:ascii="仿宋" w:hAnsi="仿宋" w:eastAsia="仿宋" w:cs="宋体-18030"/>
          <w:color w:val="auto"/>
          <w:sz w:val="32"/>
          <w:szCs w:val="32"/>
          <w:highlight w:val="none"/>
        </w:rPr>
        <w:t>第5部分  技术响应方案</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56510096">
      <w:pPr>
        <w:overflowPunct w:val="0"/>
        <w:topLinePunct/>
        <w:spacing w:line="560" w:lineRule="exact"/>
        <w:ind w:firstLine="800" w:firstLineChars="250"/>
        <w:rPr>
          <w:rFonts w:eastAsia="仿宋"/>
          <w:color w:val="auto"/>
          <w:highlight w:val="none"/>
        </w:rPr>
      </w:pPr>
      <w:r>
        <w:rPr>
          <w:rFonts w:hint="eastAsia" w:ascii="仿宋" w:hAnsi="仿宋" w:eastAsia="仿宋" w:cs="宋体-18030"/>
          <w:color w:val="auto"/>
          <w:sz w:val="32"/>
          <w:szCs w:val="32"/>
          <w:highlight w:val="none"/>
        </w:rPr>
        <w:t>第6部分  商务响应方案</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43B67547">
      <w:pPr>
        <w:overflowPunct w:val="0"/>
        <w:topLinePunct/>
        <w:spacing w:line="560" w:lineRule="exact"/>
        <w:ind w:firstLine="800" w:firstLineChars="250"/>
        <w:rPr>
          <w:rFonts w:hint="eastAsia" w:ascii="仿宋" w:hAnsi="仿宋" w:eastAsia="仿宋" w:cs="宋体-18030"/>
          <w:color w:val="auto"/>
          <w:sz w:val="32"/>
          <w:szCs w:val="32"/>
          <w:highlight w:val="none"/>
        </w:rPr>
      </w:pPr>
      <w:r>
        <w:rPr>
          <w:rFonts w:hint="eastAsia" w:ascii="仿宋" w:hAnsi="仿宋" w:eastAsia="仿宋" w:cs="宋体-18030"/>
          <w:color w:val="auto"/>
          <w:sz w:val="32"/>
          <w:szCs w:val="32"/>
          <w:highlight w:val="none"/>
        </w:rPr>
        <w:t>第7部分  资格证明材料</w:t>
      </w:r>
      <w:r>
        <w:rPr>
          <w:rFonts w:ascii="仿宋" w:hAnsi="仿宋" w:eastAsia="仿宋" w:cs="宋体-18030"/>
          <w:color w:val="auto"/>
          <w:sz w:val="32"/>
          <w:szCs w:val="32"/>
          <w:highlight w:val="none"/>
        </w:rPr>
        <w:t>……………………………</w:t>
      </w:r>
      <w:r>
        <w:rPr>
          <w:rFonts w:hint="eastAsia" w:ascii="仿宋" w:hAnsi="仿宋" w:eastAsia="仿宋" w:cs="宋体-18030"/>
          <w:color w:val="auto"/>
          <w:sz w:val="32"/>
          <w:szCs w:val="32"/>
          <w:highlight w:val="none"/>
        </w:rPr>
        <w:t>**</w:t>
      </w:r>
    </w:p>
    <w:p w14:paraId="67B75057">
      <w:pPr>
        <w:overflowPunct w:val="0"/>
        <w:topLinePunct/>
        <w:spacing w:line="560" w:lineRule="exact"/>
        <w:ind w:firstLine="640" w:firstLineChars="200"/>
        <w:rPr>
          <w:rFonts w:hint="eastAsia" w:ascii="仿宋" w:hAnsi="仿宋" w:eastAsia="仿宋"/>
          <w:color w:val="auto"/>
          <w:sz w:val="32"/>
          <w:szCs w:val="32"/>
          <w:highlight w:val="none"/>
        </w:rPr>
      </w:pPr>
    </w:p>
    <w:p w14:paraId="66D03B01">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6F4FDE22">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4330941F">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21115FBB">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63029EAE">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439B3CAF">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36370101">
      <w:pPr>
        <w:tabs>
          <w:tab w:val="left" w:pos="1260"/>
        </w:tabs>
        <w:overflowPunct w:val="0"/>
        <w:topLinePunct/>
        <w:spacing w:line="560" w:lineRule="exact"/>
        <w:jc w:val="center"/>
        <w:rPr>
          <w:rFonts w:hint="eastAsia" w:ascii="仿宋" w:hAnsi="仿宋" w:eastAsia="仿宋" w:cs="宋体-18030"/>
          <w:b/>
          <w:bCs/>
          <w:color w:val="auto"/>
          <w:sz w:val="36"/>
          <w:szCs w:val="44"/>
          <w:highlight w:val="none"/>
        </w:rPr>
      </w:pPr>
    </w:p>
    <w:p w14:paraId="6FD0F1DC">
      <w:pPr>
        <w:tabs>
          <w:tab w:val="left" w:pos="1260"/>
        </w:tabs>
        <w:overflowPunct w:val="0"/>
        <w:topLinePunct/>
        <w:spacing w:line="560" w:lineRule="exact"/>
        <w:jc w:val="center"/>
        <w:outlineLvl w:val="1"/>
        <w:rPr>
          <w:rFonts w:hint="eastAsia" w:ascii="仿宋" w:hAnsi="仿宋" w:eastAsia="仿宋"/>
          <w:color w:val="auto"/>
          <w:highlight w:val="none"/>
        </w:rPr>
      </w:pPr>
      <w:r>
        <w:rPr>
          <w:rFonts w:ascii="仿宋" w:hAnsi="仿宋" w:eastAsia="仿宋" w:cs="宋体-18030"/>
          <w:b/>
          <w:bCs/>
          <w:color w:val="auto"/>
          <w:sz w:val="36"/>
          <w:szCs w:val="44"/>
          <w:highlight w:val="none"/>
        </w:rPr>
        <w:br w:type="page"/>
      </w:r>
      <w:r>
        <w:rPr>
          <w:rFonts w:hint="eastAsia" w:ascii="黑体" w:hAnsi="黑体" w:eastAsia="黑体" w:cs="黑体"/>
          <w:color w:val="auto"/>
          <w:sz w:val="32"/>
          <w:szCs w:val="40"/>
          <w:highlight w:val="none"/>
        </w:rPr>
        <w:t>第</w:t>
      </w:r>
      <w:r>
        <w:rPr>
          <w:rFonts w:hint="eastAsia" w:ascii="黑体" w:hAnsi="黑体" w:eastAsia="黑体" w:cs="黑体"/>
          <w:color w:val="auto"/>
          <w:sz w:val="32"/>
          <w:szCs w:val="32"/>
          <w:highlight w:val="none"/>
        </w:rPr>
        <w:t>1</w:t>
      </w:r>
      <w:r>
        <w:rPr>
          <w:rFonts w:hint="eastAsia" w:ascii="黑体" w:hAnsi="黑体" w:eastAsia="黑体" w:cs="黑体"/>
          <w:color w:val="auto"/>
          <w:sz w:val="32"/>
          <w:szCs w:val="40"/>
          <w:highlight w:val="none"/>
        </w:rPr>
        <w:t>部分  磋商响应函</w:t>
      </w:r>
    </w:p>
    <w:p w14:paraId="12205AF9">
      <w:pPr>
        <w:keepNext w:val="0"/>
        <w:keepLines w:val="0"/>
        <w:pageBreakBefore w:val="0"/>
        <w:widowControl w:val="0"/>
        <w:kinsoku/>
        <w:wordWrap/>
        <w:autoSpaceDE w:val="0"/>
        <w:autoSpaceDN w:val="0"/>
        <w:bidi w:val="0"/>
        <w:adjustRightInd w:val="0"/>
        <w:snapToGrid/>
        <w:spacing w:line="520" w:lineRule="exact"/>
        <w:textAlignment w:val="auto"/>
        <w:rPr>
          <w:rFonts w:hint="default" w:ascii="仿宋" w:hAnsi="仿宋" w:eastAsia="仿宋" w:cs="仿宋"/>
          <w:color w:val="auto"/>
          <w:szCs w:val="32"/>
          <w:highlight w:val="none"/>
          <w:lang w:val="en-US"/>
        </w:rPr>
      </w:pPr>
      <w:r>
        <w:rPr>
          <w:rFonts w:hint="eastAsia" w:ascii="仿宋" w:hAnsi="仿宋" w:eastAsia="仿宋" w:cs="仿宋"/>
          <w:color w:val="auto"/>
          <w:szCs w:val="32"/>
          <w:highlight w:val="none"/>
        </w:rPr>
        <w:t>致：</w:t>
      </w:r>
      <w:r>
        <w:rPr>
          <w:rFonts w:hint="eastAsia" w:ascii="仿宋" w:hAnsi="仿宋" w:eastAsia="仿宋" w:cs="仿宋"/>
          <w:color w:val="auto"/>
          <w:szCs w:val="32"/>
          <w:highlight w:val="none"/>
          <w:u w:val="single"/>
          <w:lang w:val="en-US" w:eastAsia="zh-CN"/>
        </w:rPr>
        <w:t xml:space="preserve"> （</w:t>
      </w:r>
      <w:r>
        <w:rPr>
          <w:rFonts w:hint="eastAsia" w:ascii="仿宋" w:hAnsi="仿宋" w:eastAsia="仿宋" w:cs="仿宋"/>
          <w:color w:val="auto"/>
          <w:szCs w:val="32"/>
          <w:highlight w:val="none"/>
          <w:u w:val="single"/>
        </w:rPr>
        <w:t>代理机构名称</w:t>
      </w:r>
      <w:r>
        <w:rPr>
          <w:rFonts w:hint="eastAsia" w:ascii="仿宋" w:hAnsi="仿宋" w:eastAsia="仿宋" w:cs="仿宋"/>
          <w:color w:val="auto"/>
          <w:szCs w:val="32"/>
          <w:highlight w:val="none"/>
          <w:u w:val="single"/>
          <w:lang w:val="en-US" w:eastAsia="zh-CN"/>
        </w:rPr>
        <w:t xml:space="preserve">） </w:t>
      </w:r>
    </w:p>
    <w:p w14:paraId="41F98C06">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32"/>
          <w:highlight w:val="none"/>
        </w:rPr>
        <w:t>我单位作为</w:t>
      </w:r>
      <w:r>
        <w:rPr>
          <w:rFonts w:hint="eastAsia" w:ascii="仿宋" w:hAnsi="仿宋" w:eastAsia="仿宋" w:cs="仿宋"/>
          <w:color w:val="auto"/>
          <w:szCs w:val="32"/>
          <w:highlight w:val="none"/>
          <w:u w:val="single"/>
          <w:lang w:val="en-US" w:eastAsia="zh-CN"/>
        </w:rPr>
        <w:t xml:space="preserve">  （项目名称）  </w:t>
      </w:r>
      <w:r>
        <w:rPr>
          <w:rFonts w:hint="eastAsia" w:ascii="仿宋" w:hAnsi="仿宋" w:eastAsia="仿宋" w:cs="仿宋"/>
          <w:color w:val="auto"/>
          <w:szCs w:val="32"/>
          <w:highlight w:val="none"/>
        </w:rPr>
        <w:t>（项目编号：</w:t>
      </w:r>
      <w:r>
        <w:rPr>
          <w:rFonts w:hint="eastAsia" w:ascii="仿宋" w:hAnsi="仿宋" w:eastAsia="仿宋" w:cs="仿宋"/>
          <w:color w:val="auto"/>
          <w:szCs w:val="32"/>
          <w:highlight w:val="none"/>
          <w:u w:val="single"/>
          <w:lang w:val="en-US" w:eastAsia="zh-CN"/>
        </w:rPr>
        <w:t xml:space="preserve"> （项目编号） </w:t>
      </w:r>
      <w:r>
        <w:rPr>
          <w:rFonts w:hint="eastAsia" w:ascii="仿宋" w:hAnsi="仿宋" w:eastAsia="仿宋" w:cs="仿宋"/>
          <w:color w:val="auto"/>
          <w:szCs w:val="32"/>
          <w:highlight w:val="none"/>
        </w:rPr>
        <w:t>）的</w:t>
      </w:r>
      <w:r>
        <w:rPr>
          <w:rFonts w:hint="eastAsia" w:ascii="仿宋" w:hAnsi="仿宋" w:eastAsia="仿宋" w:cs="仿宋"/>
          <w:color w:val="auto"/>
          <w:szCs w:val="32"/>
          <w:highlight w:val="none"/>
          <w:lang w:eastAsia="zh-CN"/>
        </w:rPr>
        <w:t>供应商</w:t>
      </w:r>
      <w:r>
        <w:rPr>
          <w:rFonts w:hint="eastAsia" w:ascii="仿宋" w:hAnsi="仿宋" w:eastAsia="仿宋" w:cs="仿宋"/>
          <w:color w:val="auto"/>
          <w:szCs w:val="32"/>
          <w:highlight w:val="none"/>
        </w:rPr>
        <w:t>，</w:t>
      </w:r>
      <w:r>
        <w:rPr>
          <w:rFonts w:hint="eastAsia" w:ascii="仿宋" w:hAnsi="仿宋" w:eastAsia="仿宋" w:cs="仿宋"/>
          <w:color w:val="auto"/>
          <w:highlight w:val="none"/>
        </w:rPr>
        <w:t>自愿参与本项目政府采购活动，充分理解采购文件的要求，在此郑重声明及承诺：</w:t>
      </w:r>
    </w:p>
    <w:p w14:paraId="20AC2B9C">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一、我单位具有独立承担民事责任的能力；</w:t>
      </w:r>
    </w:p>
    <w:p w14:paraId="445EEC5D">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二、我单位具有良好的商业信誉和健全的财务会计制度；</w:t>
      </w:r>
    </w:p>
    <w:p w14:paraId="35A9C27F">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三、我单位具有履行合同所必需的设备和专业技术能力；</w:t>
      </w:r>
    </w:p>
    <w:p w14:paraId="34C2AD02">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四、我单位具有依法缴纳税收和社会保障资金的良好记录；</w:t>
      </w:r>
    </w:p>
    <w:p w14:paraId="31E1B397">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五、我单位参加政府采购活动前三年内，在经营活动中没有重大违法记录；</w:t>
      </w:r>
    </w:p>
    <w:p w14:paraId="72D4B317">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六、我单位满足采购文件规定的特定条件；</w:t>
      </w:r>
    </w:p>
    <w:p w14:paraId="226113DD">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七、我单位不存在与单位负责人为同一人或者存在直接控股、管理关系的其他供应商参与同一合同项下的政府采购活动的行为；</w:t>
      </w:r>
    </w:p>
    <w:p w14:paraId="41B3DFBD">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八、我单位不属于为本项目提供整体设计、规范编制或者项目管理、监理、检测等服务的供应商；</w:t>
      </w:r>
    </w:p>
    <w:p w14:paraId="03300DD0">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九、我单位不存在与其他供应商委托同一单位或者个人编制响应文件、办理响应事宜的情形；</w:t>
      </w:r>
    </w:p>
    <w:p w14:paraId="6E290E93">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十、我单位一旦成交，将严格按照采购文件规定交纳代理服务费、履约保证金，在约定期限内签订采购合同，并严格履行采购合同规定的责任和义务；</w:t>
      </w:r>
    </w:p>
    <w:p w14:paraId="11F283A0">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14:paraId="2CB7EA29">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、我单位完全接受和理解本项目采购文件规定的实质性要求；</w:t>
      </w:r>
    </w:p>
    <w:p w14:paraId="086A39F2">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、我单位承诺，响应有效期为提交响应文件截止之日起</w:t>
      </w:r>
      <w:r>
        <w:rPr>
          <w:rFonts w:hint="eastAsia" w:ascii="仿宋" w:hAnsi="仿宋" w:eastAsia="仿宋" w:cs="仿宋"/>
          <w:color w:val="auto"/>
          <w:highlight w:val="none"/>
          <w:u w:val="single"/>
          <w:lang w:val="en-US" w:eastAsia="zh-CN"/>
        </w:rPr>
        <w:t xml:space="preserve"> 90 </w:t>
      </w:r>
      <w:r>
        <w:rPr>
          <w:rFonts w:hint="eastAsia" w:ascii="仿宋" w:hAnsi="仿宋" w:eastAsia="仿宋" w:cs="仿宋"/>
          <w:color w:val="auto"/>
          <w:highlight w:val="none"/>
        </w:rPr>
        <w:t>天；</w:t>
      </w:r>
    </w:p>
    <w:p w14:paraId="58F13B9F">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根据采购文件规定，以上承诺事项如需提供相关证明材料的，以响应文件中提供的证明材料为准。本函发出后，即对我单位产生约束力，我单位保证严格遵守本响应函的各项承诺，并对本次提交的响应文件全部内容真实性负责。</w:t>
      </w:r>
    </w:p>
    <w:p w14:paraId="4354CF20">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如经查实上述承诺的内容事项存在虚假，我单位愿意接受以提供虚假材料谋取入围、成交的法律责任。</w:t>
      </w:r>
    </w:p>
    <w:p w14:paraId="10DF8960">
      <w:pPr>
        <w:overflowPunct w:val="0"/>
        <w:topLinePunct/>
        <w:spacing w:line="52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特此声明。</w:t>
      </w:r>
    </w:p>
    <w:p w14:paraId="4A4EA184">
      <w:pPr>
        <w:overflowPunct w:val="0"/>
        <w:topLinePunct/>
        <w:spacing w:line="52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供 应 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（单位公章）</w:t>
      </w:r>
    </w:p>
    <w:p w14:paraId="46D4792E">
      <w:pPr>
        <w:overflowPunct w:val="0"/>
        <w:topLinePunct/>
        <w:spacing w:line="52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（签字或签章）</w:t>
      </w:r>
    </w:p>
    <w:p w14:paraId="63A2C47E">
      <w:pPr>
        <w:overflowPunct w:val="0"/>
        <w:topLinePunct/>
        <w:spacing w:line="520" w:lineRule="exact"/>
        <w:ind w:firstLine="3920" w:firstLineChars="140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p>
    <w:p w14:paraId="6FE380FF">
      <w:pPr>
        <w:overflowPunct w:val="0"/>
        <w:topLinePunct/>
        <w:spacing w:line="520" w:lineRule="exact"/>
        <w:ind w:firstLine="3920" w:firstLineChars="1400"/>
        <w:rPr>
          <w:rFonts w:hint="eastAsia" w:ascii="仿宋" w:hAnsi="仿宋" w:eastAsia="仿宋" w:cs="仿宋"/>
          <w:color w:val="auto"/>
          <w:highlight w:val="none"/>
          <w:u w:val="singl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xml:space="preserve">                         </w:t>
      </w:r>
    </w:p>
    <w:p w14:paraId="32311E09">
      <w:pPr>
        <w:overflowPunct w:val="0"/>
        <w:topLinePunct/>
        <w:spacing w:line="520" w:lineRule="exact"/>
        <w:ind w:firstLine="5460" w:firstLineChars="1950"/>
        <w:rPr>
          <w:rFonts w:hint="eastAsia" w:ascii="仿宋" w:hAnsi="仿宋" w:eastAsia="仿宋"/>
          <w:color w:val="auto"/>
          <w:highlight w:val="none"/>
        </w:rPr>
      </w:pP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w:t>
      </w:r>
    </w:p>
    <w:p w14:paraId="1199202D">
      <w:pPr>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br w:type="page"/>
      </w:r>
    </w:p>
    <w:p w14:paraId="1A603CD8">
      <w:pPr>
        <w:tabs>
          <w:tab w:val="left" w:pos="1260"/>
        </w:tabs>
        <w:overflowPunct w:val="0"/>
        <w:topLinePunct/>
        <w:spacing w:line="560" w:lineRule="exact"/>
        <w:jc w:val="center"/>
        <w:outlineLvl w:val="1"/>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t>第2部分  磋商一览表</w:t>
      </w:r>
    </w:p>
    <w:p w14:paraId="7365293D">
      <w:pPr>
        <w:overflowPunct w:val="0"/>
        <w:topLinePunct/>
        <w:autoSpaceDE/>
        <w:autoSpaceDN/>
        <w:spacing w:line="560" w:lineRule="exact"/>
        <w:jc w:val="center"/>
        <w:rPr>
          <w:rFonts w:hint="eastAsia" w:ascii="仿宋" w:hAnsi="仿宋" w:eastAsia="仿宋"/>
          <w:color w:val="auto"/>
          <w:sz w:val="32"/>
          <w:szCs w:val="32"/>
          <w:highlight w:val="none"/>
        </w:rPr>
      </w:pPr>
    </w:p>
    <w:p w14:paraId="0E7DE0FA">
      <w:pPr>
        <w:tabs>
          <w:tab w:val="left" w:pos="1260"/>
        </w:tabs>
        <w:overflowPunct w:val="0"/>
        <w:topLinePunct/>
        <w:autoSpaceDE/>
        <w:autoSpaceDN/>
        <w:spacing w:line="560" w:lineRule="exact"/>
        <w:jc w:val="both"/>
        <w:rPr>
          <w:rFonts w:hint="eastAsia" w:ascii="仿宋" w:hAnsi="仿宋" w:eastAsia="仿宋" w:cs="宋体-18030"/>
          <w:color w:val="auto"/>
          <w:highlight w:val="none"/>
        </w:rPr>
      </w:pPr>
      <w:r>
        <w:rPr>
          <w:rFonts w:hint="eastAsia" w:ascii="仿宋" w:hAnsi="仿宋" w:eastAsia="仿宋" w:cs="宋体-18030"/>
          <w:color w:val="auto"/>
          <w:highlight w:val="none"/>
        </w:rPr>
        <w:t>项目名称：</w:t>
      </w:r>
    </w:p>
    <w:p w14:paraId="31445290">
      <w:pPr>
        <w:pStyle w:val="30"/>
        <w:spacing w:line="560" w:lineRule="exact"/>
        <w:rPr>
          <w:rFonts w:hint="eastAsia" w:ascii="仿宋" w:hAnsi="仿宋" w:eastAsia="仿宋" w:cs="宋体-18030"/>
          <w:color w:val="auto"/>
          <w:sz w:val="28"/>
          <w:szCs w:val="28"/>
          <w:highlight w:val="none"/>
        </w:rPr>
      </w:pPr>
      <w:r>
        <w:rPr>
          <w:rFonts w:hint="eastAsia" w:ascii="仿宋" w:hAnsi="仿宋" w:eastAsia="仿宋" w:cs="宋体-18030"/>
          <w:color w:val="auto"/>
          <w:sz w:val="28"/>
          <w:szCs w:val="28"/>
          <w:highlight w:val="none"/>
        </w:rPr>
        <w:t>项目编号：</w:t>
      </w:r>
    </w:p>
    <w:tbl>
      <w:tblPr>
        <w:tblStyle w:val="44"/>
        <w:tblW w:w="9386" w:type="dxa"/>
        <w:jc w:val="center"/>
        <w:tblLayout w:type="fixed"/>
        <w:tblCellMar>
          <w:top w:w="0" w:type="dxa"/>
          <w:left w:w="108" w:type="dxa"/>
          <w:bottom w:w="0" w:type="dxa"/>
          <w:right w:w="108" w:type="dxa"/>
        </w:tblCellMar>
      </w:tblPr>
      <w:tblGrid>
        <w:gridCol w:w="1712"/>
        <w:gridCol w:w="2455"/>
        <w:gridCol w:w="2700"/>
        <w:gridCol w:w="1650"/>
        <w:gridCol w:w="869"/>
      </w:tblGrid>
      <w:tr w14:paraId="1D5A6F76">
        <w:tblPrEx>
          <w:tblCellMar>
            <w:top w:w="0" w:type="dxa"/>
            <w:left w:w="108" w:type="dxa"/>
            <w:bottom w:w="0" w:type="dxa"/>
            <w:right w:w="108" w:type="dxa"/>
          </w:tblCellMar>
        </w:tblPrEx>
        <w:trPr>
          <w:trHeight w:val="858"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1B538377">
            <w:pPr>
              <w:overflowPunct w:val="0"/>
              <w:topLinePunct/>
              <w:autoSpaceDE/>
              <w:autoSpaceDN/>
              <w:spacing w:line="360" w:lineRule="auto"/>
              <w:jc w:val="center"/>
              <w:rPr>
                <w:rFonts w:hint="eastAsia" w:ascii="仿宋" w:hAnsi="仿宋" w:eastAsia="仿宋"/>
                <w:color w:val="auto"/>
                <w:highlight w:val="none"/>
              </w:rPr>
            </w:pPr>
            <w:r>
              <w:rPr>
                <w:rFonts w:hint="eastAsia" w:ascii="仿宋" w:hAnsi="仿宋" w:eastAsia="仿宋"/>
                <w:color w:val="auto"/>
                <w:highlight w:val="none"/>
              </w:rPr>
              <w:t>磋商内容</w:t>
            </w:r>
          </w:p>
        </w:tc>
        <w:tc>
          <w:tcPr>
            <w:tcW w:w="2455" w:type="dxa"/>
            <w:tcBorders>
              <w:top w:val="single" w:color="auto" w:sz="4" w:space="0"/>
              <w:left w:val="single" w:color="auto" w:sz="4" w:space="0"/>
              <w:bottom w:val="single" w:color="auto" w:sz="4" w:space="0"/>
              <w:right w:val="single" w:color="auto" w:sz="4" w:space="0"/>
            </w:tcBorders>
            <w:noWrap w:val="0"/>
            <w:vAlign w:val="center"/>
          </w:tcPr>
          <w:p w14:paraId="05FA6AF8">
            <w:pPr>
              <w:overflowPunct w:val="0"/>
              <w:topLinePunct/>
              <w:autoSpaceDE/>
              <w:autoSpaceDN/>
              <w:spacing w:line="360" w:lineRule="auto"/>
              <w:jc w:val="center"/>
              <w:rPr>
                <w:rFonts w:hint="eastAsia" w:ascii="仿宋" w:hAnsi="仿宋" w:eastAsia="仿宋"/>
                <w:color w:val="auto"/>
                <w:highlight w:val="none"/>
              </w:rPr>
            </w:pPr>
            <w:r>
              <w:rPr>
                <w:rFonts w:hint="eastAsia" w:ascii="仿宋" w:hAnsi="仿宋" w:eastAsia="仿宋"/>
                <w:color w:val="auto"/>
                <w:highlight w:val="none"/>
              </w:rPr>
              <w:t>磋商总</w:t>
            </w:r>
            <w:r>
              <w:rPr>
                <w:rFonts w:hint="eastAsia" w:ascii="仿宋" w:hAnsi="仿宋" w:eastAsia="仿宋"/>
                <w:color w:val="auto"/>
                <w:highlight w:val="none"/>
                <w:lang w:val="en-US" w:eastAsia="zh-CN"/>
              </w:rPr>
              <w:t>报</w:t>
            </w:r>
            <w:r>
              <w:rPr>
                <w:rFonts w:hint="eastAsia" w:ascii="仿宋" w:hAnsi="仿宋" w:eastAsia="仿宋"/>
                <w:color w:val="auto"/>
                <w:highlight w:val="none"/>
              </w:rPr>
              <w:t>价（元）</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60053E6">
            <w:pPr>
              <w:overflowPunct w:val="0"/>
              <w:topLinePunct/>
              <w:autoSpaceDE/>
              <w:autoSpaceDN/>
              <w:spacing w:line="360" w:lineRule="auto"/>
              <w:jc w:val="center"/>
              <w:rPr>
                <w:rFonts w:ascii="仿宋" w:hAnsi="仿宋" w:eastAsia="仿宋"/>
                <w:color w:val="auto"/>
                <w:highlight w:val="none"/>
              </w:rPr>
            </w:pPr>
            <w:r>
              <w:rPr>
                <w:rFonts w:hint="eastAsia" w:ascii="仿宋" w:hAnsi="仿宋" w:eastAsia="仿宋"/>
                <w:color w:val="auto"/>
                <w:highlight w:val="none"/>
              </w:rPr>
              <w:t>服务期限</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E29E2F5">
            <w:pPr>
              <w:overflowPunct w:val="0"/>
              <w:topLinePunct/>
              <w:autoSpaceDE/>
              <w:autoSpaceDN/>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项目负责人</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1A42438E">
            <w:pPr>
              <w:overflowPunct w:val="0"/>
              <w:topLinePunct/>
              <w:autoSpaceDE/>
              <w:autoSpaceDN/>
              <w:spacing w:line="360" w:lineRule="auto"/>
              <w:jc w:val="center"/>
              <w:rPr>
                <w:rFonts w:hint="eastAsia" w:ascii="仿宋" w:hAnsi="仿宋" w:eastAsia="仿宋"/>
                <w:color w:val="auto"/>
                <w:highlight w:val="none"/>
              </w:rPr>
            </w:pPr>
            <w:r>
              <w:rPr>
                <w:rFonts w:hint="eastAsia" w:ascii="仿宋" w:hAnsi="仿宋" w:eastAsia="仿宋"/>
                <w:color w:val="auto"/>
                <w:highlight w:val="none"/>
              </w:rPr>
              <w:t>备注</w:t>
            </w:r>
          </w:p>
        </w:tc>
      </w:tr>
      <w:tr w14:paraId="17577506">
        <w:tblPrEx>
          <w:tblCellMar>
            <w:top w:w="0" w:type="dxa"/>
            <w:left w:w="108" w:type="dxa"/>
            <w:bottom w:w="0" w:type="dxa"/>
            <w:right w:w="108" w:type="dxa"/>
          </w:tblCellMar>
        </w:tblPrEx>
        <w:trPr>
          <w:trHeight w:val="2141" w:hRule="atLeast"/>
          <w:jc w:val="center"/>
        </w:trPr>
        <w:tc>
          <w:tcPr>
            <w:tcW w:w="1712" w:type="dxa"/>
            <w:tcBorders>
              <w:top w:val="single" w:color="auto" w:sz="4" w:space="0"/>
              <w:left w:val="single" w:color="auto" w:sz="4" w:space="0"/>
              <w:right w:val="single" w:color="auto" w:sz="4" w:space="0"/>
            </w:tcBorders>
            <w:noWrap w:val="0"/>
            <w:vAlign w:val="top"/>
          </w:tcPr>
          <w:p w14:paraId="1868DB59">
            <w:pPr>
              <w:overflowPunct w:val="0"/>
              <w:topLinePunct/>
              <w:autoSpaceDE/>
              <w:autoSpaceDN/>
              <w:spacing w:line="360" w:lineRule="auto"/>
              <w:jc w:val="both"/>
              <w:rPr>
                <w:rFonts w:hint="eastAsia" w:ascii="仿宋" w:hAnsi="仿宋" w:eastAsia="仿宋"/>
                <w:color w:val="auto"/>
                <w:szCs w:val="21"/>
                <w:highlight w:val="none"/>
              </w:rPr>
            </w:pPr>
          </w:p>
        </w:tc>
        <w:tc>
          <w:tcPr>
            <w:tcW w:w="2455" w:type="dxa"/>
            <w:tcBorders>
              <w:top w:val="single" w:color="auto" w:sz="4" w:space="0"/>
              <w:left w:val="single" w:color="auto" w:sz="4" w:space="0"/>
              <w:right w:val="single" w:color="auto" w:sz="4" w:space="0"/>
            </w:tcBorders>
            <w:noWrap w:val="0"/>
            <w:vAlign w:val="top"/>
          </w:tcPr>
          <w:p w14:paraId="207254A2">
            <w:pPr>
              <w:overflowPunct w:val="0"/>
              <w:topLinePunct/>
              <w:autoSpaceDE/>
              <w:autoSpaceDN/>
              <w:spacing w:line="360" w:lineRule="auto"/>
              <w:jc w:val="both"/>
              <w:rPr>
                <w:rFonts w:hint="eastAsia" w:ascii="仿宋" w:hAnsi="仿宋" w:eastAsia="仿宋"/>
                <w:color w:val="auto"/>
                <w:szCs w:val="21"/>
                <w:highlight w:val="none"/>
              </w:rPr>
            </w:pPr>
          </w:p>
        </w:tc>
        <w:tc>
          <w:tcPr>
            <w:tcW w:w="2700" w:type="dxa"/>
            <w:tcBorders>
              <w:top w:val="single" w:color="auto" w:sz="4" w:space="0"/>
              <w:left w:val="single" w:color="auto" w:sz="4" w:space="0"/>
              <w:right w:val="single" w:color="auto" w:sz="4" w:space="0"/>
            </w:tcBorders>
            <w:noWrap w:val="0"/>
            <w:vAlign w:val="top"/>
          </w:tcPr>
          <w:p w14:paraId="5F5D107E">
            <w:pPr>
              <w:overflowPunct w:val="0"/>
              <w:topLinePunct/>
              <w:autoSpaceDE/>
              <w:autoSpaceDN/>
              <w:spacing w:line="360" w:lineRule="auto"/>
              <w:jc w:val="both"/>
              <w:rPr>
                <w:rFonts w:ascii="仿宋" w:hAnsi="仿宋" w:eastAsia="仿宋"/>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32C8A3F5">
            <w:pPr>
              <w:overflowPunct w:val="0"/>
              <w:topLinePunct/>
              <w:autoSpaceDE/>
              <w:autoSpaceDN/>
              <w:spacing w:line="360" w:lineRule="auto"/>
              <w:jc w:val="both"/>
              <w:rPr>
                <w:rFonts w:hint="eastAsia" w:ascii="仿宋" w:hAnsi="仿宋" w:eastAsia="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noWrap w:val="0"/>
            <w:vAlign w:val="top"/>
          </w:tcPr>
          <w:p w14:paraId="4EC84270">
            <w:pPr>
              <w:overflowPunct w:val="0"/>
              <w:topLinePunct/>
              <w:autoSpaceDE/>
              <w:autoSpaceDN/>
              <w:spacing w:line="360" w:lineRule="auto"/>
              <w:jc w:val="both"/>
              <w:rPr>
                <w:rFonts w:hint="eastAsia" w:ascii="仿宋" w:hAnsi="仿宋" w:eastAsia="仿宋"/>
                <w:color w:val="auto"/>
                <w:szCs w:val="21"/>
                <w:highlight w:val="none"/>
              </w:rPr>
            </w:pPr>
          </w:p>
        </w:tc>
      </w:tr>
      <w:tr w14:paraId="4189553F">
        <w:tblPrEx>
          <w:tblCellMar>
            <w:top w:w="0" w:type="dxa"/>
            <w:left w:w="108" w:type="dxa"/>
            <w:bottom w:w="0" w:type="dxa"/>
            <w:right w:w="108" w:type="dxa"/>
          </w:tblCellMar>
        </w:tblPrEx>
        <w:trPr>
          <w:trHeight w:val="856" w:hRule="atLeast"/>
          <w:jc w:val="center"/>
        </w:trPr>
        <w:tc>
          <w:tcPr>
            <w:tcW w:w="9386" w:type="dxa"/>
            <w:gridSpan w:val="5"/>
            <w:tcBorders>
              <w:top w:val="single" w:color="auto" w:sz="4" w:space="0"/>
              <w:left w:val="single" w:color="auto" w:sz="4" w:space="0"/>
              <w:bottom w:val="single" w:color="auto" w:sz="4" w:space="0"/>
              <w:right w:val="single" w:color="auto" w:sz="4" w:space="0"/>
            </w:tcBorders>
            <w:noWrap w:val="0"/>
            <w:vAlign w:val="center"/>
          </w:tcPr>
          <w:p w14:paraId="160BA6D8">
            <w:pPr>
              <w:overflowPunct w:val="0"/>
              <w:topLinePunct/>
              <w:autoSpaceDE/>
              <w:autoSpaceDN/>
              <w:spacing w:line="360" w:lineRule="auto"/>
              <w:jc w:val="both"/>
              <w:rPr>
                <w:rFonts w:hint="eastAsia" w:ascii="仿宋" w:hAnsi="仿宋" w:eastAsia="仿宋"/>
                <w:color w:val="auto"/>
                <w:highlight w:val="none"/>
                <w:u w:val="single"/>
              </w:rPr>
            </w:pPr>
            <w:r>
              <w:rPr>
                <w:rFonts w:hint="eastAsia" w:ascii="仿宋" w:hAnsi="仿宋" w:eastAsia="仿宋"/>
                <w:color w:val="auto"/>
                <w:highlight w:val="none"/>
              </w:rPr>
              <w:t>磋商总报价大写：</w:t>
            </w:r>
            <w:r>
              <w:rPr>
                <w:rFonts w:hint="eastAsia" w:ascii="仿宋" w:hAnsi="仿宋" w:eastAsia="仿宋"/>
                <w:color w:val="auto"/>
                <w:highlight w:val="none"/>
                <w:u w:val="single"/>
              </w:rPr>
              <w:t xml:space="preserve">                                   </w:t>
            </w:r>
          </w:p>
        </w:tc>
      </w:tr>
      <w:tr w14:paraId="4E20E20A">
        <w:tblPrEx>
          <w:tblCellMar>
            <w:top w:w="0" w:type="dxa"/>
            <w:left w:w="108" w:type="dxa"/>
            <w:bottom w:w="0" w:type="dxa"/>
            <w:right w:w="108" w:type="dxa"/>
          </w:tblCellMar>
        </w:tblPrEx>
        <w:trPr>
          <w:trHeight w:val="1736" w:hRule="atLeast"/>
          <w:jc w:val="center"/>
        </w:trPr>
        <w:tc>
          <w:tcPr>
            <w:tcW w:w="9386" w:type="dxa"/>
            <w:gridSpan w:val="5"/>
            <w:tcBorders>
              <w:top w:val="single" w:color="auto" w:sz="4" w:space="0"/>
              <w:left w:val="single" w:color="auto" w:sz="4" w:space="0"/>
              <w:bottom w:val="single" w:color="auto" w:sz="4" w:space="0"/>
              <w:right w:val="single" w:color="auto" w:sz="4" w:space="0"/>
            </w:tcBorders>
            <w:noWrap w:val="0"/>
            <w:vAlign w:val="top"/>
          </w:tcPr>
          <w:p w14:paraId="338701F5">
            <w:pPr>
              <w:overflowPunct w:val="0"/>
              <w:topLinePunct/>
              <w:autoSpaceDE/>
              <w:autoSpaceDN/>
              <w:spacing w:line="360" w:lineRule="auto"/>
              <w:jc w:val="both"/>
              <w:rPr>
                <w:rFonts w:hint="eastAsia" w:ascii="仿宋" w:hAnsi="仿宋" w:eastAsia="仿宋"/>
                <w:color w:val="auto"/>
                <w:highlight w:val="none"/>
              </w:rPr>
            </w:pPr>
            <w:r>
              <w:rPr>
                <w:rFonts w:hint="eastAsia" w:ascii="仿宋" w:hAnsi="仿宋" w:eastAsia="仿宋"/>
                <w:color w:val="auto"/>
                <w:highlight w:val="none"/>
              </w:rPr>
              <w:t>报价声明：</w:t>
            </w:r>
          </w:p>
        </w:tc>
      </w:tr>
    </w:tbl>
    <w:p w14:paraId="0F6C636A">
      <w:pPr>
        <w:overflowPunct w:val="0"/>
        <w:topLinePunct/>
        <w:autoSpaceDE/>
        <w:autoSpaceDN/>
        <w:spacing w:line="560" w:lineRule="exact"/>
        <w:rPr>
          <w:rFonts w:hint="default" w:ascii="仿宋" w:hAnsi="仿宋" w:eastAsia="仿宋"/>
          <w:color w:val="auto"/>
          <w:highlight w:val="none"/>
          <w:lang w:val="en-US" w:eastAsia="zh-CN"/>
        </w:rPr>
      </w:pPr>
      <w:r>
        <w:rPr>
          <w:rFonts w:hint="eastAsia" w:ascii="仿宋" w:hAnsi="仿宋" w:eastAsia="仿宋"/>
          <w:b/>
          <w:bCs/>
          <w:color w:val="auto"/>
          <w:sz w:val="24"/>
          <w:szCs w:val="24"/>
          <w:highlight w:val="none"/>
          <w:lang w:val="en-US" w:eastAsia="zh-CN"/>
        </w:rPr>
        <w:t>注：磋商总报价保留两位小数</w:t>
      </w:r>
    </w:p>
    <w:p w14:paraId="175347C3">
      <w:pPr>
        <w:overflowPunct w:val="0"/>
        <w:topLinePunct/>
        <w:autoSpaceDE/>
        <w:autoSpaceDN/>
        <w:spacing w:line="560" w:lineRule="exact"/>
        <w:rPr>
          <w:rFonts w:hint="eastAsia" w:ascii="仿宋" w:hAnsi="仿宋" w:eastAsia="仿宋"/>
          <w:color w:val="auto"/>
          <w:highlight w:val="none"/>
        </w:rPr>
      </w:pPr>
    </w:p>
    <w:p w14:paraId="1E71D7FD">
      <w:pPr>
        <w:overflowPunct w:val="0"/>
        <w:topLinePunct/>
        <w:autoSpaceDE/>
        <w:autoSpaceDN/>
        <w:spacing w:line="560" w:lineRule="exact"/>
        <w:rPr>
          <w:rFonts w:hint="eastAsia" w:ascii="仿宋" w:hAnsi="仿宋" w:eastAsia="仿宋"/>
          <w:color w:val="auto"/>
          <w:highlight w:val="none"/>
        </w:rPr>
      </w:pPr>
      <w:r>
        <w:rPr>
          <w:rFonts w:hint="eastAsia" w:ascii="仿宋" w:hAnsi="仿宋" w:eastAsia="仿宋"/>
          <w:color w:val="auto"/>
          <w:highlight w:val="none"/>
        </w:rPr>
        <w:t>供应商：</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（单位公章）</w:t>
      </w:r>
    </w:p>
    <w:p w14:paraId="79DBFFC6">
      <w:pPr>
        <w:overflowPunct w:val="0"/>
        <w:topLinePunct/>
        <w:autoSpaceDE/>
        <w:autoSpaceDN/>
        <w:spacing w:line="560" w:lineRule="exact"/>
        <w:rPr>
          <w:rFonts w:hint="eastAsia" w:ascii="仿宋" w:hAnsi="仿宋" w:eastAsia="仿宋"/>
          <w:color w:val="auto"/>
          <w:highlight w:val="none"/>
        </w:rPr>
      </w:pPr>
      <w:r>
        <w:rPr>
          <w:rFonts w:hint="eastAsia" w:ascii="仿宋" w:hAnsi="仿宋" w:eastAsia="仿宋"/>
          <w:color w:val="auto"/>
          <w:highlight w:val="none"/>
        </w:rPr>
        <w:t>法定代表人或授权代表：</w:t>
      </w:r>
      <w:r>
        <w:rPr>
          <w:rFonts w:hint="eastAsia" w:ascii="仿宋" w:hAnsi="仿宋" w:eastAsia="仿宋"/>
          <w:color w:val="auto"/>
          <w:highlight w:val="none"/>
          <w:u w:val="single"/>
        </w:rPr>
        <w:t xml:space="preserve">               </w:t>
      </w:r>
      <w:r>
        <w:rPr>
          <w:rFonts w:hint="eastAsia" w:ascii="仿宋" w:hAnsi="仿宋" w:eastAsia="仿宋"/>
          <w:color w:val="auto"/>
          <w:highlight w:val="none"/>
        </w:rPr>
        <w:t>（签字或签章）</w:t>
      </w:r>
    </w:p>
    <w:p w14:paraId="76025221">
      <w:pPr>
        <w:overflowPunct w:val="0"/>
        <w:topLinePunct/>
        <w:spacing w:line="560" w:lineRule="exact"/>
        <w:jc w:val="both"/>
        <w:rPr>
          <w:rFonts w:hint="eastAsia" w:ascii="仿宋" w:hAnsi="仿宋" w:eastAsia="仿宋"/>
          <w:color w:val="auto"/>
          <w:highlight w:val="none"/>
        </w:rPr>
      </w:pPr>
      <w:r>
        <w:rPr>
          <w:rFonts w:hint="eastAsia" w:ascii="仿宋" w:hAnsi="仿宋" w:eastAsia="仿宋"/>
          <w:color w:val="auto"/>
          <w:highlight w:val="none"/>
        </w:rPr>
        <w:t>日  期：</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w:t>
      </w:r>
    </w:p>
    <w:p w14:paraId="767B5C7A">
      <w:pPr>
        <w:overflowPunct w:val="0"/>
        <w:topLinePunct/>
        <w:spacing w:line="560" w:lineRule="exact"/>
        <w:jc w:val="center"/>
        <w:rPr>
          <w:rFonts w:hint="eastAsia" w:ascii="仿宋" w:hAnsi="仿宋" w:eastAsia="仿宋" w:cs="宋体-18030"/>
          <w:color w:val="auto"/>
          <w:sz w:val="32"/>
          <w:szCs w:val="32"/>
          <w:highlight w:val="none"/>
        </w:rPr>
      </w:pPr>
      <w:r>
        <w:rPr>
          <w:rFonts w:ascii="仿宋" w:hAnsi="仿宋" w:eastAsia="仿宋" w:cs="宋体-18030"/>
          <w:color w:val="auto"/>
          <w:sz w:val="32"/>
          <w:szCs w:val="32"/>
          <w:highlight w:val="none"/>
        </w:rPr>
        <w:br w:type="page"/>
      </w:r>
      <w:r>
        <w:rPr>
          <w:rFonts w:hint="eastAsia" w:ascii="黑体" w:hAnsi="黑体" w:eastAsia="黑体" w:cs="黑体"/>
          <w:color w:val="auto"/>
          <w:highlight w:val="none"/>
        </w:rPr>
        <w:t>分项报价表</w:t>
      </w:r>
    </w:p>
    <w:p w14:paraId="13C14AA7">
      <w:pPr>
        <w:tabs>
          <w:tab w:val="left" w:pos="1260"/>
        </w:tabs>
        <w:overflowPunct w:val="0"/>
        <w:topLinePunct/>
        <w:autoSpaceDE/>
        <w:autoSpaceDN/>
        <w:spacing w:line="560" w:lineRule="exact"/>
        <w:jc w:val="both"/>
        <w:rPr>
          <w:rFonts w:hint="eastAsia" w:ascii="仿宋" w:hAnsi="仿宋" w:eastAsia="仿宋" w:cs="宋体-18030"/>
          <w:color w:val="auto"/>
          <w:highlight w:val="none"/>
        </w:rPr>
      </w:pPr>
      <w:r>
        <w:rPr>
          <w:rFonts w:hint="eastAsia" w:ascii="仿宋" w:hAnsi="仿宋" w:eastAsia="仿宋" w:cs="宋体-18030"/>
          <w:color w:val="auto"/>
          <w:highlight w:val="none"/>
        </w:rPr>
        <w:t>项目名称：</w:t>
      </w:r>
    </w:p>
    <w:p w14:paraId="41435C3F">
      <w:pPr>
        <w:pStyle w:val="30"/>
        <w:spacing w:line="560" w:lineRule="exact"/>
        <w:rPr>
          <w:rFonts w:hint="eastAsia"/>
          <w:color w:val="auto"/>
          <w:highlight w:val="none"/>
        </w:rPr>
      </w:pPr>
      <w:r>
        <w:rPr>
          <w:rFonts w:hint="eastAsia" w:ascii="仿宋" w:hAnsi="仿宋" w:eastAsia="仿宋" w:cs="宋体-18030"/>
          <w:color w:val="auto"/>
          <w:sz w:val="28"/>
          <w:szCs w:val="28"/>
          <w:highlight w:val="none"/>
        </w:rPr>
        <w:t>项目编号：</w:t>
      </w:r>
    </w:p>
    <w:tbl>
      <w:tblPr>
        <w:tblStyle w:val="4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35"/>
        <w:gridCol w:w="1529"/>
        <w:gridCol w:w="1833"/>
        <w:gridCol w:w="1410"/>
        <w:gridCol w:w="1360"/>
      </w:tblGrid>
      <w:tr w14:paraId="1E22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51" w:type="dxa"/>
            <w:noWrap w:val="0"/>
            <w:vAlign w:val="center"/>
          </w:tcPr>
          <w:p w14:paraId="28927BC3">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135" w:type="dxa"/>
            <w:noWrap w:val="0"/>
            <w:vAlign w:val="center"/>
          </w:tcPr>
          <w:p w14:paraId="45D46334">
            <w:pPr>
              <w:jc w:val="center"/>
              <w:rPr>
                <w:rFonts w:hint="eastAsia" w:ascii="仿宋" w:hAnsi="仿宋" w:eastAsia="仿宋" w:cs="仿宋"/>
                <w:b/>
                <w:color w:val="auto"/>
                <w:highlight w:val="none"/>
                <w:lang w:eastAsia="zh-CN"/>
              </w:rPr>
            </w:pPr>
            <w:r>
              <w:rPr>
                <w:rFonts w:hint="eastAsia" w:ascii="仿宋" w:hAnsi="仿宋" w:eastAsia="仿宋" w:cs="仿宋"/>
                <w:b/>
                <w:color w:val="auto"/>
                <w:highlight w:val="none"/>
                <w:lang w:val="en-US" w:eastAsia="zh-CN"/>
              </w:rPr>
              <w:t>名称</w:t>
            </w:r>
          </w:p>
        </w:tc>
        <w:tc>
          <w:tcPr>
            <w:tcW w:w="1529" w:type="dxa"/>
            <w:noWrap w:val="0"/>
            <w:vAlign w:val="center"/>
          </w:tcPr>
          <w:p w14:paraId="77131A2D">
            <w:pPr>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833" w:type="dxa"/>
            <w:noWrap w:val="0"/>
            <w:vAlign w:val="center"/>
          </w:tcPr>
          <w:p w14:paraId="2C77E68E">
            <w:pPr>
              <w:jc w:val="center"/>
              <w:rPr>
                <w:rFonts w:hint="eastAsia" w:ascii="仿宋" w:hAnsi="仿宋" w:eastAsia="仿宋" w:cs="仿宋"/>
                <w:b/>
                <w:color w:val="auto"/>
                <w:highlight w:val="none"/>
              </w:rPr>
            </w:pPr>
            <w:r>
              <w:rPr>
                <w:rFonts w:hint="eastAsia" w:ascii="仿宋" w:hAnsi="仿宋" w:eastAsia="仿宋" w:cs="仿宋"/>
                <w:b/>
                <w:color w:val="auto"/>
                <w:highlight w:val="none"/>
              </w:rPr>
              <w:t>单价（元）</w:t>
            </w:r>
          </w:p>
        </w:tc>
        <w:tc>
          <w:tcPr>
            <w:tcW w:w="1410" w:type="dxa"/>
            <w:noWrap w:val="0"/>
            <w:vAlign w:val="center"/>
          </w:tcPr>
          <w:p w14:paraId="44433A55">
            <w:pPr>
              <w:jc w:val="center"/>
              <w:rPr>
                <w:rFonts w:hint="eastAsia" w:ascii="仿宋" w:hAnsi="仿宋" w:eastAsia="仿宋" w:cs="仿宋"/>
                <w:b/>
                <w:color w:val="auto"/>
                <w:highlight w:val="none"/>
              </w:rPr>
            </w:pPr>
            <w:r>
              <w:rPr>
                <w:rFonts w:hint="eastAsia" w:ascii="仿宋" w:hAnsi="仿宋" w:eastAsia="仿宋" w:cs="仿宋"/>
                <w:b/>
                <w:color w:val="auto"/>
                <w:highlight w:val="none"/>
              </w:rPr>
              <w:t>总价（元）</w:t>
            </w:r>
          </w:p>
        </w:tc>
        <w:tc>
          <w:tcPr>
            <w:tcW w:w="1360" w:type="dxa"/>
            <w:noWrap w:val="0"/>
            <w:vAlign w:val="center"/>
          </w:tcPr>
          <w:p w14:paraId="50C2C487">
            <w:pPr>
              <w:jc w:val="cente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67BE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51" w:type="dxa"/>
            <w:noWrap w:val="0"/>
            <w:vAlign w:val="center"/>
          </w:tcPr>
          <w:p w14:paraId="59527857">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35" w:type="dxa"/>
            <w:noWrap w:val="0"/>
            <w:vAlign w:val="center"/>
          </w:tcPr>
          <w:p w14:paraId="7D8689BA">
            <w:pPr>
              <w:jc w:val="center"/>
              <w:rPr>
                <w:rFonts w:hint="eastAsia" w:ascii="仿宋" w:hAnsi="仿宋" w:eastAsia="仿宋" w:cs="仿宋"/>
                <w:color w:val="auto"/>
                <w:highlight w:val="none"/>
              </w:rPr>
            </w:pPr>
          </w:p>
        </w:tc>
        <w:tc>
          <w:tcPr>
            <w:tcW w:w="1529" w:type="dxa"/>
            <w:noWrap w:val="0"/>
            <w:vAlign w:val="center"/>
          </w:tcPr>
          <w:p w14:paraId="197B1A4E">
            <w:pPr>
              <w:jc w:val="center"/>
              <w:rPr>
                <w:rFonts w:hint="eastAsia" w:ascii="仿宋" w:hAnsi="仿宋" w:eastAsia="仿宋" w:cs="仿宋"/>
                <w:color w:val="auto"/>
                <w:highlight w:val="none"/>
              </w:rPr>
            </w:pPr>
          </w:p>
        </w:tc>
        <w:tc>
          <w:tcPr>
            <w:tcW w:w="1833" w:type="dxa"/>
            <w:noWrap w:val="0"/>
            <w:vAlign w:val="center"/>
          </w:tcPr>
          <w:p w14:paraId="259081DB">
            <w:pPr>
              <w:jc w:val="center"/>
              <w:rPr>
                <w:rFonts w:hint="eastAsia" w:ascii="仿宋" w:hAnsi="仿宋" w:eastAsia="仿宋" w:cs="仿宋"/>
                <w:color w:val="auto"/>
                <w:highlight w:val="none"/>
              </w:rPr>
            </w:pPr>
          </w:p>
        </w:tc>
        <w:tc>
          <w:tcPr>
            <w:tcW w:w="1410" w:type="dxa"/>
            <w:noWrap w:val="0"/>
            <w:vAlign w:val="center"/>
          </w:tcPr>
          <w:p w14:paraId="5D18E87B">
            <w:pPr>
              <w:jc w:val="center"/>
              <w:rPr>
                <w:rFonts w:hint="eastAsia" w:ascii="仿宋" w:hAnsi="仿宋" w:eastAsia="仿宋" w:cs="仿宋"/>
                <w:color w:val="auto"/>
                <w:highlight w:val="none"/>
              </w:rPr>
            </w:pPr>
          </w:p>
        </w:tc>
        <w:tc>
          <w:tcPr>
            <w:tcW w:w="1360" w:type="dxa"/>
            <w:noWrap w:val="0"/>
            <w:vAlign w:val="center"/>
          </w:tcPr>
          <w:p w14:paraId="34F54167">
            <w:pPr>
              <w:jc w:val="center"/>
              <w:rPr>
                <w:rFonts w:hint="eastAsia" w:ascii="仿宋" w:hAnsi="仿宋" w:eastAsia="仿宋" w:cs="仿宋"/>
                <w:color w:val="auto"/>
                <w:highlight w:val="none"/>
              </w:rPr>
            </w:pPr>
          </w:p>
        </w:tc>
      </w:tr>
      <w:tr w14:paraId="065B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51" w:type="dxa"/>
            <w:noWrap w:val="0"/>
            <w:vAlign w:val="center"/>
          </w:tcPr>
          <w:p w14:paraId="3112F6AE">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35" w:type="dxa"/>
            <w:noWrap w:val="0"/>
            <w:vAlign w:val="center"/>
          </w:tcPr>
          <w:p w14:paraId="6CDA3778">
            <w:pPr>
              <w:jc w:val="center"/>
              <w:rPr>
                <w:rFonts w:hint="eastAsia" w:ascii="仿宋" w:hAnsi="仿宋" w:eastAsia="仿宋" w:cs="仿宋"/>
                <w:color w:val="auto"/>
                <w:highlight w:val="none"/>
              </w:rPr>
            </w:pPr>
          </w:p>
        </w:tc>
        <w:tc>
          <w:tcPr>
            <w:tcW w:w="1529" w:type="dxa"/>
            <w:noWrap w:val="0"/>
            <w:vAlign w:val="center"/>
          </w:tcPr>
          <w:p w14:paraId="01D8E260">
            <w:pPr>
              <w:jc w:val="center"/>
              <w:rPr>
                <w:rFonts w:hint="eastAsia" w:ascii="仿宋" w:hAnsi="仿宋" w:eastAsia="仿宋" w:cs="仿宋"/>
                <w:color w:val="auto"/>
                <w:highlight w:val="none"/>
              </w:rPr>
            </w:pPr>
          </w:p>
        </w:tc>
        <w:tc>
          <w:tcPr>
            <w:tcW w:w="1833" w:type="dxa"/>
            <w:noWrap w:val="0"/>
            <w:vAlign w:val="center"/>
          </w:tcPr>
          <w:p w14:paraId="22CAF946">
            <w:pPr>
              <w:jc w:val="center"/>
              <w:rPr>
                <w:rFonts w:hint="eastAsia" w:ascii="仿宋" w:hAnsi="仿宋" w:eastAsia="仿宋" w:cs="仿宋"/>
                <w:color w:val="auto"/>
                <w:highlight w:val="none"/>
              </w:rPr>
            </w:pPr>
          </w:p>
        </w:tc>
        <w:tc>
          <w:tcPr>
            <w:tcW w:w="1410" w:type="dxa"/>
            <w:noWrap w:val="0"/>
            <w:vAlign w:val="center"/>
          </w:tcPr>
          <w:p w14:paraId="40B16A66">
            <w:pPr>
              <w:jc w:val="center"/>
              <w:rPr>
                <w:rFonts w:hint="eastAsia" w:ascii="仿宋" w:hAnsi="仿宋" w:eastAsia="仿宋" w:cs="仿宋"/>
                <w:color w:val="auto"/>
                <w:highlight w:val="none"/>
              </w:rPr>
            </w:pPr>
          </w:p>
        </w:tc>
        <w:tc>
          <w:tcPr>
            <w:tcW w:w="1360" w:type="dxa"/>
            <w:noWrap w:val="0"/>
            <w:vAlign w:val="center"/>
          </w:tcPr>
          <w:p w14:paraId="051D6956">
            <w:pPr>
              <w:jc w:val="center"/>
              <w:rPr>
                <w:rFonts w:hint="eastAsia" w:ascii="仿宋" w:hAnsi="仿宋" w:eastAsia="仿宋" w:cs="仿宋"/>
                <w:color w:val="auto"/>
                <w:highlight w:val="none"/>
              </w:rPr>
            </w:pPr>
          </w:p>
        </w:tc>
      </w:tr>
      <w:tr w14:paraId="0AFB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951" w:type="dxa"/>
            <w:noWrap w:val="0"/>
            <w:vAlign w:val="center"/>
          </w:tcPr>
          <w:p w14:paraId="623C946E">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35" w:type="dxa"/>
            <w:noWrap w:val="0"/>
            <w:vAlign w:val="center"/>
          </w:tcPr>
          <w:p w14:paraId="2C5C0527">
            <w:pPr>
              <w:jc w:val="center"/>
              <w:rPr>
                <w:rFonts w:hint="eastAsia" w:ascii="仿宋" w:hAnsi="仿宋" w:eastAsia="仿宋" w:cs="仿宋"/>
                <w:color w:val="auto"/>
                <w:highlight w:val="none"/>
              </w:rPr>
            </w:pPr>
          </w:p>
        </w:tc>
        <w:tc>
          <w:tcPr>
            <w:tcW w:w="1529" w:type="dxa"/>
            <w:noWrap w:val="0"/>
            <w:vAlign w:val="center"/>
          </w:tcPr>
          <w:p w14:paraId="7A312520">
            <w:pPr>
              <w:jc w:val="center"/>
              <w:rPr>
                <w:rFonts w:hint="eastAsia" w:ascii="仿宋" w:hAnsi="仿宋" w:eastAsia="仿宋" w:cs="仿宋"/>
                <w:color w:val="auto"/>
                <w:highlight w:val="none"/>
              </w:rPr>
            </w:pPr>
          </w:p>
        </w:tc>
        <w:tc>
          <w:tcPr>
            <w:tcW w:w="1833" w:type="dxa"/>
            <w:noWrap w:val="0"/>
            <w:vAlign w:val="center"/>
          </w:tcPr>
          <w:p w14:paraId="7648C0F5">
            <w:pPr>
              <w:jc w:val="center"/>
              <w:rPr>
                <w:rFonts w:hint="eastAsia" w:ascii="仿宋" w:hAnsi="仿宋" w:eastAsia="仿宋" w:cs="仿宋"/>
                <w:color w:val="auto"/>
                <w:highlight w:val="none"/>
              </w:rPr>
            </w:pPr>
          </w:p>
        </w:tc>
        <w:tc>
          <w:tcPr>
            <w:tcW w:w="1410" w:type="dxa"/>
            <w:noWrap w:val="0"/>
            <w:vAlign w:val="center"/>
          </w:tcPr>
          <w:p w14:paraId="2B5529DC">
            <w:pPr>
              <w:jc w:val="center"/>
              <w:rPr>
                <w:rFonts w:hint="eastAsia" w:ascii="仿宋" w:hAnsi="仿宋" w:eastAsia="仿宋" w:cs="仿宋"/>
                <w:color w:val="auto"/>
                <w:highlight w:val="none"/>
              </w:rPr>
            </w:pPr>
          </w:p>
        </w:tc>
        <w:tc>
          <w:tcPr>
            <w:tcW w:w="1360" w:type="dxa"/>
            <w:noWrap w:val="0"/>
            <w:vAlign w:val="center"/>
          </w:tcPr>
          <w:p w14:paraId="0EC0C3DF">
            <w:pPr>
              <w:jc w:val="center"/>
              <w:rPr>
                <w:rFonts w:hint="eastAsia" w:ascii="仿宋" w:hAnsi="仿宋" w:eastAsia="仿宋" w:cs="仿宋"/>
                <w:color w:val="auto"/>
                <w:highlight w:val="none"/>
              </w:rPr>
            </w:pPr>
          </w:p>
        </w:tc>
      </w:tr>
      <w:tr w14:paraId="7B56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51" w:type="dxa"/>
            <w:noWrap w:val="0"/>
            <w:vAlign w:val="center"/>
          </w:tcPr>
          <w:p w14:paraId="5A859DDB">
            <w:pPr>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35" w:type="dxa"/>
            <w:noWrap w:val="0"/>
            <w:vAlign w:val="center"/>
          </w:tcPr>
          <w:p w14:paraId="58C3DA89">
            <w:pPr>
              <w:jc w:val="center"/>
              <w:rPr>
                <w:rFonts w:hint="eastAsia" w:ascii="仿宋" w:hAnsi="仿宋" w:eastAsia="仿宋" w:cs="仿宋"/>
                <w:color w:val="auto"/>
                <w:highlight w:val="none"/>
              </w:rPr>
            </w:pPr>
          </w:p>
        </w:tc>
        <w:tc>
          <w:tcPr>
            <w:tcW w:w="1529" w:type="dxa"/>
            <w:noWrap w:val="0"/>
            <w:vAlign w:val="center"/>
          </w:tcPr>
          <w:p w14:paraId="79BA8E6A">
            <w:pPr>
              <w:jc w:val="center"/>
              <w:rPr>
                <w:rFonts w:hint="eastAsia" w:ascii="仿宋" w:hAnsi="仿宋" w:eastAsia="仿宋" w:cs="仿宋"/>
                <w:color w:val="auto"/>
                <w:highlight w:val="none"/>
              </w:rPr>
            </w:pPr>
          </w:p>
        </w:tc>
        <w:tc>
          <w:tcPr>
            <w:tcW w:w="1833" w:type="dxa"/>
            <w:noWrap w:val="0"/>
            <w:vAlign w:val="center"/>
          </w:tcPr>
          <w:p w14:paraId="1D49BEAE">
            <w:pPr>
              <w:jc w:val="center"/>
              <w:rPr>
                <w:rFonts w:hint="eastAsia" w:ascii="仿宋" w:hAnsi="仿宋" w:eastAsia="仿宋" w:cs="仿宋"/>
                <w:color w:val="auto"/>
                <w:highlight w:val="none"/>
              </w:rPr>
            </w:pPr>
          </w:p>
        </w:tc>
        <w:tc>
          <w:tcPr>
            <w:tcW w:w="1410" w:type="dxa"/>
            <w:noWrap w:val="0"/>
            <w:vAlign w:val="center"/>
          </w:tcPr>
          <w:p w14:paraId="795EBD81">
            <w:pPr>
              <w:jc w:val="center"/>
              <w:rPr>
                <w:rFonts w:hint="eastAsia" w:ascii="仿宋" w:hAnsi="仿宋" w:eastAsia="仿宋" w:cs="仿宋"/>
                <w:color w:val="auto"/>
                <w:highlight w:val="none"/>
              </w:rPr>
            </w:pPr>
          </w:p>
        </w:tc>
        <w:tc>
          <w:tcPr>
            <w:tcW w:w="1360" w:type="dxa"/>
            <w:noWrap w:val="0"/>
            <w:vAlign w:val="center"/>
          </w:tcPr>
          <w:p w14:paraId="04CC82AC">
            <w:pPr>
              <w:jc w:val="center"/>
              <w:rPr>
                <w:rFonts w:hint="eastAsia" w:ascii="仿宋" w:hAnsi="仿宋" w:eastAsia="仿宋" w:cs="仿宋"/>
                <w:color w:val="auto"/>
                <w:highlight w:val="none"/>
              </w:rPr>
            </w:pPr>
          </w:p>
        </w:tc>
      </w:tr>
      <w:tr w14:paraId="2314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51" w:type="dxa"/>
            <w:noWrap w:val="0"/>
            <w:vAlign w:val="center"/>
          </w:tcPr>
          <w:p w14:paraId="11130960">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135" w:type="dxa"/>
            <w:noWrap w:val="0"/>
            <w:vAlign w:val="center"/>
          </w:tcPr>
          <w:p w14:paraId="74410B12">
            <w:pPr>
              <w:jc w:val="center"/>
              <w:rPr>
                <w:rFonts w:hint="eastAsia" w:ascii="仿宋" w:hAnsi="仿宋" w:eastAsia="仿宋" w:cs="仿宋"/>
                <w:color w:val="auto"/>
                <w:highlight w:val="none"/>
              </w:rPr>
            </w:pPr>
          </w:p>
        </w:tc>
        <w:tc>
          <w:tcPr>
            <w:tcW w:w="1529" w:type="dxa"/>
            <w:noWrap w:val="0"/>
            <w:vAlign w:val="center"/>
          </w:tcPr>
          <w:p w14:paraId="2B55BE2E">
            <w:pPr>
              <w:jc w:val="center"/>
              <w:rPr>
                <w:rFonts w:hint="eastAsia" w:ascii="仿宋" w:hAnsi="仿宋" w:eastAsia="仿宋" w:cs="仿宋"/>
                <w:color w:val="auto"/>
                <w:highlight w:val="none"/>
              </w:rPr>
            </w:pPr>
          </w:p>
        </w:tc>
        <w:tc>
          <w:tcPr>
            <w:tcW w:w="1833" w:type="dxa"/>
            <w:noWrap w:val="0"/>
            <w:vAlign w:val="center"/>
          </w:tcPr>
          <w:p w14:paraId="0FCC4BC3">
            <w:pPr>
              <w:jc w:val="center"/>
              <w:rPr>
                <w:rFonts w:hint="eastAsia" w:ascii="仿宋" w:hAnsi="仿宋" w:eastAsia="仿宋" w:cs="仿宋"/>
                <w:color w:val="auto"/>
                <w:highlight w:val="none"/>
              </w:rPr>
            </w:pPr>
          </w:p>
        </w:tc>
        <w:tc>
          <w:tcPr>
            <w:tcW w:w="1410" w:type="dxa"/>
            <w:noWrap w:val="0"/>
            <w:vAlign w:val="center"/>
          </w:tcPr>
          <w:p w14:paraId="2349927D">
            <w:pPr>
              <w:jc w:val="center"/>
              <w:rPr>
                <w:rFonts w:hint="eastAsia" w:ascii="仿宋" w:hAnsi="仿宋" w:eastAsia="仿宋" w:cs="仿宋"/>
                <w:color w:val="auto"/>
                <w:highlight w:val="none"/>
              </w:rPr>
            </w:pPr>
          </w:p>
        </w:tc>
        <w:tc>
          <w:tcPr>
            <w:tcW w:w="1360" w:type="dxa"/>
            <w:noWrap w:val="0"/>
            <w:vAlign w:val="center"/>
          </w:tcPr>
          <w:p w14:paraId="5194167A">
            <w:pPr>
              <w:jc w:val="center"/>
              <w:rPr>
                <w:rFonts w:hint="eastAsia" w:ascii="仿宋" w:hAnsi="仿宋" w:eastAsia="仿宋" w:cs="仿宋"/>
                <w:color w:val="auto"/>
                <w:highlight w:val="none"/>
              </w:rPr>
            </w:pPr>
          </w:p>
        </w:tc>
      </w:tr>
      <w:tr w14:paraId="6551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51" w:type="dxa"/>
            <w:noWrap w:val="0"/>
            <w:vAlign w:val="center"/>
          </w:tcPr>
          <w:p w14:paraId="63AD3A60">
            <w:pPr>
              <w:jc w:val="center"/>
              <w:rPr>
                <w:rFonts w:hint="eastAsia" w:ascii="仿宋" w:hAnsi="仿宋" w:eastAsia="仿宋" w:cs="仿宋"/>
                <w:color w:val="auto"/>
                <w:highlight w:val="none"/>
              </w:rPr>
            </w:pPr>
            <w:r>
              <w:rPr>
                <w:rFonts w:hint="eastAsia" w:ascii="仿宋" w:hAnsi="仿宋" w:eastAsia="仿宋" w:cs="仿宋"/>
                <w:color w:val="auto"/>
                <w:highlight w:val="none"/>
              </w:rPr>
              <w:t>N</w:t>
            </w:r>
          </w:p>
        </w:tc>
        <w:tc>
          <w:tcPr>
            <w:tcW w:w="2135" w:type="dxa"/>
            <w:noWrap w:val="0"/>
            <w:vAlign w:val="center"/>
          </w:tcPr>
          <w:p w14:paraId="726DE250">
            <w:pPr>
              <w:jc w:val="center"/>
              <w:rPr>
                <w:rFonts w:hint="eastAsia" w:ascii="仿宋" w:hAnsi="仿宋" w:eastAsia="仿宋" w:cs="仿宋"/>
                <w:color w:val="auto"/>
                <w:highlight w:val="none"/>
              </w:rPr>
            </w:pPr>
          </w:p>
        </w:tc>
        <w:tc>
          <w:tcPr>
            <w:tcW w:w="1529" w:type="dxa"/>
            <w:noWrap w:val="0"/>
            <w:vAlign w:val="center"/>
          </w:tcPr>
          <w:p w14:paraId="5BEDF97E">
            <w:pPr>
              <w:jc w:val="center"/>
              <w:rPr>
                <w:rFonts w:hint="eastAsia" w:ascii="仿宋" w:hAnsi="仿宋" w:eastAsia="仿宋" w:cs="仿宋"/>
                <w:color w:val="auto"/>
                <w:highlight w:val="none"/>
              </w:rPr>
            </w:pPr>
          </w:p>
        </w:tc>
        <w:tc>
          <w:tcPr>
            <w:tcW w:w="1833" w:type="dxa"/>
            <w:noWrap w:val="0"/>
            <w:vAlign w:val="center"/>
          </w:tcPr>
          <w:p w14:paraId="234B09DD">
            <w:pPr>
              <w:jc w:val="center"/>
              <w:rPr>
                <w:rFonts w:hint="eastAsia" w:ascii="仿宋" w:hAnsi="仿宋" w:eastAsia="仿宋" w:cs="仿宋"/>
                <w:color w:val="auto"/>
                <w:highlight w:val="none"/>
              </w:rPr>
            </w:pPr>
          </w:p>
        </w:tc>
        <w:tc>
          <w:tcPr>
            <w:tcW w:w="1410" w:type="dxa"/>
            <w:noWrap w:val="0"/>
            <w:vAlign w:val="center"/>
          </w:tcPr>
          <w:p w14:paraId="2D07409E">
            <w:pPr>
              <w:jc w:val="center"/>
              <w:rPr>
                <w:rFonts w:hint="eastAsia" w:ascii="仿宋" w:hAnsi="仿宋" w:eastAsia="仿宋" w:cs="仿宋"/>
                <w:color w:val="auto"/>
                <w:highlight w:val="none"/>
              </w:rPr>
            </w:pPr>
          </w:p>
        </w:tc>
        <w:tc>
          <w:tcPr>
            <w:tcW w:w="1360" w:type="dxa"/>
            <w:noWrap w:val="0"/>
            <w:vAlign w:val="center"/>
          </w:tcPr>
          <w:p w14:paraId="1633B7BE">
            <w:pPr>
              <w:jc w:val="center"/>
              <w:rPr>
                <w:rFonts w:hint="eastAsia" w:ascii="仿宋" w:hAnsi="仿宋" w:eastAsia="仿宋" w:cs="仿宋"/>
                <w:color w:val="auto"/>
                <w:highlight w:val="none"/>
              </w:rPr>
            </w:pPr>
          </w:p>
        </w:tc>
      </w:tr>
    </w:tbl>
    <w:p w14:paraId="0EACE686">
      <w:pPr>
        <w:tabs>
          <w:tab w:val="left" w:pos="7920"/>
        </w:tabs>
        <w:overflowPunct w:val="0"/>
        <w:topLinePunct/>
        <w:spacing w:line="560" w:lineRule="exact"/>
        <w:jc w:val="both"/>
        <w:rPr>
          <w:rFonts w:hint="eastAsia" w:ascii="仿宋" w:hAnsi="仿宋" w:eastAsia="仿宋" w:cs="宋体-18030"/>
          <w:b/>
          <w:bCs/>
          <w:color w:val="auto"/>
          <w:sz w:val="24"/>
          <w:szCs w:val="24"/>
          <w:highlight w:val="none"/>
        </w:rPr>
      </w:pPr>
      <w:r>
        <w:rPr>
          <w:rFonts w:hint="eastAsia" w:ascii="仿宋" w:hAnsi="仿宋" w:eastAsia="仿宋" w:cs="宋体-18030"/>
          <w:b/>
          <w:bCs/>
          <w:color w:val="auto"/>
          <w:sz w:val="24"/>
          <w:szCs w:val="24"/>
          <w:highlight w:val="none"/>
        </w:rPr>
        <w:t>备注：分项报价应结合采购文件“第六章 采购需求及要求”内容自主填写报价。</w:t>
      </w:r>
    </w:p>
    <w:p w14:paraId="080E3E5F">
      <w:pPr>
        <w:pStyle w:val="19"/>
        <w:spacing w:after="0" w:line="560" w:lineRule="exact"/>
        <w:ind w:firstLine="723" w:firstLineChars="300"/>
        <w:rPr>
          <w:rFonts w:hint="eastAsia" w:ascii="仿宋" w:hAnsi="仿宋" w:eastAsia="仿宋" w:cs="宋体-18030"/>
          <w:b/>
          <w:bCs/>
          <w:color w:val="auto"/>
          <w:sz w:val="24"/>
          <w:szCs w:val="24"/>
          <w:highlight w:val="none"/>
        </w:rPr>
      </w:pPr>
      <w:r>
        <w:rPr>
          <w:rFonts w:hint="eastAsia" w:ascii="仿宋" w:hAnsi="仿宋" w:eastAsia="仿宋" w:cs="宋体-18030"/>
          <w:b/>
          <w:bCs/>
          <w:color w:val="auto"/>
          <w:sz w:val="24"/>
          <w:szCs w:val="24"/>
          <w:highlight w:val="none"/>
        </w:rPr>
        <w:t>本表格式可根据实际内容自主拟定。</w:t>
      </w:r>
    </w:p>
    <w:p w14:paraId="7D1E98FC">
      <w:pPr>
        <w:spacing w:line="560" w:lineRule="exact"/>
        <w:rPr>
          <w:color w:val="auto"/>
          <w:sz w:val="15"/>
          <w:szCs w:val="15"/>
          <w:highlight w:val="none"/>
        </w:rPr>
      </w:pPr>
    </w:p>
    <w:p w14:paraId="4600E656">
      <w:pPr>
        <w:pStyle w:val="19"/>
        <w:spacing w:after="0" w:line="560" w:lineRule="exact"/>
        <w:rPr>
          <w:rFonts w:hint="eastAsia"/>
          <w:color w:val="auto"/>
          <w:highlight w:val="none"/>
        </w:rPr>
      </w:pPr>
    </w:p>
    <w:p w14:paraId="751E8A36">
      <w:pPr>
        <w:overflowPunct w:val="0"/>
        <w:topLinePunct/>
        <w:autoSpaceDE/>
        <w:autoSpaceDN/>
        <w:spacing w:line="560" w:lineRule="exact"/>
        <w:rPr>
          <w:rFonts w:hint="eastAsia" w:ascii="仿宋" w:hAnsi="仿宋" w:eastAsia="仿宋"/>
          <w:color w:val="auto"/>
          <w:highlight w:val="none"/>
        </w:rPr>
      </w:pPr>
      <w:r>
        <w:rPr>
          <w:rFonts w:hint="eastAsia" w:ascii="仿宋" w:hAnsi="仿宋" w:eastAsia="仿宋"/>
          <w:color w:val="auto"/>
          <w:highlight w:val="none"/>
        </w:rPr>
        <w:t>供应商：</w:t>
      </w:r>
      <w:r>
        <w:rPr>
          <w:rFonts w:hint="eastAsia" w:ascii="仿宋" w:hAnsi="仿宋" w:eastAsia="仿宋"/>
          <w:color w:val="auto"/>
          <w:highlight w:val="none"/>
          <w:u w:val="single"/>
        </w:rPr>
        <w:t xml:space="preserve">                             </w:t>
      </w:r>
      <w:r>
        <w:rPr>
          <w:rFonts w:hint="eastAsia" w:ascii="仿宋" w:hAnsi="仿宋" w:eastAsia="仿宋"/>
          <w:color w:val="auto"/>
          <w:highlight w:val="none"/>
        </w:rPr>
        <w:t>（单位公章）</w:t>
      </w:r>
    </w:p>
    <w:p w14:paraId="25CBE26D">
      <w:pPr>
        <w:overflowPunct w:val="0"/>
        <w:topLinePunct/>
        <w:autoSpaceDE/>
        <w:autoSpaceDN/>
        <w:spacing w:line="560" w:lineRule="exact"/>
        <w:rPr>
          <w:rFonts w:hint="eastAsia" w:ascii="仿宋" w:hAnsi="仿宋" w:eastAsia="仿宋"/>
          <w:color w:val="auto"/>
          <w:highlight w:val="none"/>
        </w:rPr>
      </w:pPr>
    </w:p>
    <w:p w14:paraId="0324E4F6">
      <w:pPr>
        <w:overflowPunct w:val="0"/>
        <w:topLinePunct/>
        <w:autoSpaceDE/>
        <w:autoSpaceDN/>
        <w:spacing w:line="560" w:lineRule="exact"/>
        <w:rPr>
          <w:rFonts w:hint="eastAsia" w:ascii="仿宋" w:hAnsi="仿宋" w:eastAsia="仿宋"/>
          <w:color w:val="auto"/>
          <w:highlight w:val="none"/>
        </w:rPr>
      </w:pPr>
      <w:r>
        <w:rPr>
          <w:rFonts w:hint="eastAsia" w:ascii="仿宋" w:hAnsi="仿宋" w:eastAsia="仿宋"/>
          <w:color w:val="auto"/>
          <w:highlight w:val="none"/>
        </w:rPr>
        <w:t>法定代表人或授权代表：</w:t>
      </w:r>
      <w:r>
        <w:rPr>
          <w:rFonts w:hint="eastAsia" w:ascii="仿宋" w:hAnsi="仿宋" w:eastAsia="仿宋"/>
          <w:color w:val="auto"/>
          <w:highlight w:val="none"/>
          <w:u w:val="single"/>
        </w:rPr>
        <w:t xml:space="preserve">               </w:t>
      </w:r>
      <w:r>
        <w:rPr>
          <w:rFonts w:hint="eastAsia" w:ascii="仿宋" w:hAnsi="仿宋" w:eastAsia="仿宋"/>
          <w:color w:val="auto"/>
          <w:highlight w:val="none"/>
        </w:rPr>
        <w:t>（签字或签章）</w:t>
      </w:r>
    </w:p>
    <w:p w14:paraId="545EA3FB">
      <w:pPr>
        <w:overflowPunct w:val="0"/>
        <w:topLinePunct/>
        <w:autoSpaceDE/>
        <w:autoSpaceDN/>
        <w:spacing w:line="560" w:lineRule="exact"/>
        <w:jc w:val="both"/>
        <w:rPr>
          <w:rFonts w:hint="eastAsia" w:ascii="仿宋" w:hAnsi="仿宋" w:eastAsia="仿宋"/>
          <w:color w:val="auto"/>
          <w:highlight w:val="none"/>
        </w:rPr>
      </w:pPr>
    </w:p>
    <w:p w14:paraId="383211CE">
      <w:pPr>
        <w:overflowPunct w:val="0"/>
        <w:topLinePunct/>
        <w:spacing w:line="560" w:lineRule="exact"/>
        <w:jc w:val="both"/>
        <w:rPr>
          <w:rFonts w:hint="eastAsia" w:ascii="仿宋" w:hAnsi="仿宋" w:eastAsia="仿宋"/>
          <w:color w:val="auto"/>
          <w:highlight w:val="none"/>
        </w:rPr>
      </w:pPr>
      <w:r>
        <w:rPr>
          <w:rFonts w:hint="eastAsia" w:ascii="仿宋" w:hAnsi="仿宋" w:eastAsia="仿宋"/>
          <w:color w:val="auto"/>
          <w:highlight w:val="none"/>
        </w:rPr>
        <w:t>日  期：</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w:t>
      </w:r>
    </w:p>
    <w:p w14:paraId="20C7DFEF">
      <w:pPr>
        <w:overflowPunct w:val="0"/>
        <w:topLinePunct/>
        <w:spacing w:line="560" w:lineRule="exact"/>
        <w:jc w:val="center"/>
        <w:outlineLvl w:val="1"/>
        <w:rPr>
          <w:rFonts w:hint="eastAsia" w:ascii="仿宋" w:hAnsi="仿宋" w:eastAsia="仿宋" w:cs="宋体-18030"/>
          <w:b/>
          <w:bCs/>
          <w:color w:val="auto"/>
          <w:sz w:val="36"/>
          <w:szCs w:val="44"/>
          <w:highlight w:val="none"/>
        </w:rPr>
      </w:pPr>
      <w:r>
        <w:rPr>
          <w:rFonts w:hint="eastAsia" w:ascii="仿宋" w:hAnsi="仿宋" w:eastAsia="仿宋"/>
          <w:color w:val="auto"/>
          <w:highlight w:val="none"/>
        </w:rPr>
        <w:br w:type="page"/>
      </w:r>
      <w:r>
        <w:rPr>
          <w:rFonts w:hint="eastAsia" w:ascii="黑体" w:hAnsi="黑体" w:eastAsia="黑体" w:cs="黑体"/>
          <w:color w:val="auto"/>
          <w:sz w:val="32"/>
          <w:szCs w:val="40"/>
          <w:highlight w:val="none"/>
        </w:rPr>
        <w:t>第3部分  供应商概况与承诺</w:t>
      </w:r>
    </w:p>
    <w:p w14:paraId="1F860319">
      <w:pPr>
        <w:overflowPunct w:val="0"/>
        <w:topLinePunct/>
        <w:spacing w:line="560" w:lineRule="exact"/>
        <w:rPr>
          <w:rFonts w:hint="eastAsia" w:ascii="仿宋" w:hAnsi="仿宋" w:eastAsia="仿宋" w:cs="宋体-18030"/>
          <w:color w:val="auto"/>
          <w:highlight w:val="none"/>
        </w:rPr>
      </w:pPr>
    </w:p>
    <w:p w14:paraId="7EA18211">
      <w:pPr>
        <w:overflowPunct w:val="0"/>
        <w:topLinePunct/>
        <w:spacing w:line="560" w:lineRule="exact"/>
        <w:jc w:val="center"/>
        <w:rPr>
          <w:rFonts w:hint="eastAsia" w:ascii="仿宋" w:hAnsi="仿宋" w:eastAsia="仿宋" w:cs="宋体-18030"/>
          <w:bCs/>
          <w:color w:val="auto"/>
          <w:highlight w:val="none"/>
        </w:rPr>
      </w:pPr>
      <w:r>
        <w:rPr>
          <w:rFonts w:hint="eastAsia" w:ascii="仿宋" w:hAnsi="仿宋" w:eastAsia="仿宋" w:cs="宋体-18030"/>
          <w:color w:val="auto"/>
          <w:highlight w:val="none"/>
        </w:rPr>
        <w:t>3.1</w:t>
      </w:r>
      <w:r>
        <w:rPr>
          <w:rFonts w:hint="eastAsia" w:ascii="仿宋" w:hAnsi="仿宋" w:eastAsia="仿宋" w:cs="宋体-18030"/>
          <w:bCs/>
          <w:color w:val="auto"/>
          <w:highlight w:val="none"/>
        </w:rPr>
        <w:t>供应商企业简介（</w:t>
      </w:r>
      <w:r>
        <w:rPr>
          <w:rFonts w:hint="eastAsia" w:ascii="仿宋" w:hAnsi="仿宋" w:eastAsia="仿宋" w:cs="宋体-18030"/>
          <w:color w:val="auto"/>
          <w:highlight w:val="none"/>
        </w:rPr>
        <w:t>据实编写）</w:t>
      </w:r>
    </w:p>
    <w:p w14:paraId="70FAAACD">
      <w:pPr>
        <w:spacing w:line="560" w:lineRule="exact"/>
        <w:rPr>
          <w:rFonts w:hint="eastAsia" w:ascii="仿宋" w:hAnsi="仿宋" w:eastAsia="仿宋" w:cs="宋体-18030"/>
          <w:bCs/>
          <w:color w:val="auto"/>
          <w:highlight w:val="none"/>
        </w:rPr>
      </w:pPr>
    </w:p>
    <w:p w14:paraId="6585D24E">
      <w:pPr>
        <w:pStyle w:val="19"/>
        <w:spacing w:after="0" w:line="560" w:lineRule="exact"/>
        <w:rPr>
          <w:rFonts w:hint="eastAsia" w:ascii="仿宋" w:hAnsi="仿宋" w:eastAsia="仿宋" w:cs="宋体-18030"/>
          <w:bCs/>
          <w:color w:val="auto"/>
          <w:highlight w:val="none"/>
        </w:rPr>
      </w:pPr>
    </w:p>
    <w:p w14:paraId="36C2FABC">
      <w:pPr>
        <w:spacing w:line="560" w:lineRule="exact"/>
        <w:rPr>
          <w:rFonts w:hint="eastAsia" w:ascii="仿宋" w:hAnsi="仿宋" w:eastAsia="仿宋" w:cs="宋体-18030"/>
          <w:bCs/>
          <w:color w:val="auto"/>
          <w:highlight w:val="none"/>
        </w:rPr>
      </w:pPr>
    </w:p>
    <w:p w14:paraId="6DA1173E">
      <w:pPr>
        <w:pStyle w:val="19"/>
        <w:spacing w:after="0" w:line="560" w:lineRule="exact"/>
        <w:rPr>
          <w:rFonts w:hint="eastAsia" w:ascii="仿宋" w:hAnsi="仿宋" w:eastAsia="仿宋" w:cs="宋体-18030"/>
          <w:bCs/>
          <w:color w:val="auto"/>
          <w:highlight w:val="none"/>
        </w:rPr>
      </w:pPr>
    </w:p>
    <w:p w14:paraId="0A378A58">
      <w:pPr>
        <w:spacing w:line="560" w:lineRule="exact"/>
        <w:rPr>
          <w:rFonts w:hint="eastAsia" w:ascii="仿宋" w:hAnsi="仿宋" w:eastAsia="仿宋" w:cs="宋体-18030"/>
          <w:bCs/>
          <w:color w:val="auto"/>
          <w:highlight w:val="none"/>
        </w:rPr>
      </w:pPr>
    </w:p>
    <w:p w14:paraId="0BC6DC8C">
      <w:pPr>
        <w:pStyle w:val="19"/>
        <w:spacing w:after="0" w:line="560" w:lineRule="exact"/>
        <w:rPr>
          <w:rFonts w:hint="eastAsia" w:ascii="仿宋" w:hAnsi="仿宋" w:eastAsia="仿宋" w:cs="宋体-18030"/>
          <w:bCs/>
          <w:color w:val="auto"/>
          <w:highlight w:val="none"/>
        </w:rPr>
      </w:pPr>
    </w:p>
    <w:p w14:paraId="6DC1C081">
      <w:pPr>
        <w:spacing w:line="560" w:lineRule="exact"/>
        <w:rPr>
          <w:rFonts w:hint="eastAsia" w:ascii="仿宋" w:hAnsi="仿宋" w:eastAsia="仿宋" w:cs="宋体-18030"/>
          <w:bCs/>
          <w:color w:val="auto"/>
          <w:highlight w:val="none"/>
        </w:rPr>
      </w:pPr>
    </w:p>
    <w:p w14:paraId="0EA5EF61">
      <w:pPr>
        <w:pStyle w:val="19"/>
        <w:spacing w:after="0" w:line="560" w:lineRule="exact"/>
        <w:rPr>
          <w:rFonts w:hint="eastAsia" w:ascii="仿宋" w:hAnsi="仿宋" w:eastAsia="仿宋" w:cs="宋体-18030"/>
          <w:bCs/>
          <w:color w:val="auto"/>
          <w:highlight w:val="none"/>
        </w:rPr>
      </w:pPr>
    </w:p>
    <w:p w14:paraId="789F0AB8">
      <w:pPr>
        <w:spacing w:line="560" w:lineRule="exact"/>
        <w:rPr>
          <w:rFonts w:hint="eastAsia" w:ascii="仿宋" w:hAnsi="仿宋" w:eastAsia="仿宋" w:cs="宋体-18030"/>
          <w:bCs/>
          <w:color w:val="auto"/>
          <w:highlight w:val="none"/>
        </w:rPr>
      </w:pPr>
    </w:p>
    <w:p w14:paraId="34266F93">
      <w:pPr>
        <w:pStyle w:val="19"/>
        <w:spacing w:after="0" w:line="560" w:lineRule="exact"/>
        <w:rPr>
          <w:rFonts w:hint="eastAsia"/>
          <w:color w:val="auto"/>
          <w:highlight w:val="none"/>
        </w:rPr>
      </w:pPr>
    </w:p>
    <w:p w14:paraId="393E0437">
      <w:pPr>
        <w:overflowPunct w:val="0"/>
        <w:topLinePunct/>
        <w:spacing w:line="560" w:lineRule="exact"/>
        <w:jc w:val="center"/>
        <w:rPr>
          <w:rFonts w:hint="eastAsia" w:ascii="仿宋" w:hAnsi="仿宋" w:eastAsia="仿宋"/>
          <w:bCs/>
          <w:color w:val="auto"/>
          <w:sz w:val="24"/>
          <w:szCs w:val="24"/>
          <w:highlight w:val="none"/>
        </w:rPr>
      </w:pPr>
      <w:r>
        <w:rPr>
          <w:rFonts w:hint="eastAsia" w:ascii="仿宋" w:hAnsi="仿宋" w:eastAsia="仿宋" w:cs="宋体-18030"/>
          <w:bCs/>
          <w:color w:val="auto"/>
          <w:highlight w:val="none"/>
        </w:rPr>
        <w:br w:type="page"/>
      </w:r>
      <w:r>
        <w:rPr>
          <w:rFonts w:hint="eastAsia" w:ascii="仿宋" w:hAnsi="仿宋" w:eastAsia="仿宋" w:cs="宋体-18030"/>
          <w:bCs/>
          <w:color w:val="auto"/>
          <w:sz w:val="32"/>
          <w:szCs w:val="32"/>
          <w:highlight w:val="none"/>
        </w:rPr>
        <w:t>3.2供应商基本情况表</w:t>
      </w:r>
    </w:p>
    <w:p w14:paraId="08CDFC00">
      <w:pPr>
        <w:overflowPunct w:val="0"/>
        <w:topLinePunct/>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供应商：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（单位公章）                      单位：元</w:t>
      </w:r>
    </w:p>
    <w:tbl>
      <w:tblPr>
        <w:tblStyle w:val="44"/>
        <w:tblW w:w="0" w:type="auto"/>
        <w:tblInd w:w="-153" w:type="dxa"/>
        <w:tblLayout w:type="fixed"/>
        <w:tblCellMar>
          <w:top w:w="0" w:type="dxa"/>
          <w:left w:w="0" w:type="dxa"/>
          <w:bottom w:w="0" w:type="dxa"/>
          <w:right w:w="0" w:type="dxa"/>
        </w:tblCellMar>
      </w:tblPr>
      <w:tblGrid>
        <w:gridCol w:w="1693"/>
        <w:gridCol w:w="1051"/>
        <w:gridCol w:w="493"/>
        <w:gridCol w:w="559"/>
        <w:gridCol w:w="794"/>
        <w:gridCol w:w="257"/>
        <w:gridCol w:w="1052"/>
        <w:gridCol w:w="287"/>
        <w:gridCol w:w="764"/>
        <w:gridCol w:w="607"/>
        <w:gridCol w:w="445"/>
        <w:gridCol w:w="1052"/>
      </w:tblGrid>
      <w:tr w14:paraId="2CE72751">
        <w:tblPrEx>
          <w:tblCellMar>
            <w:top w:w="0" w:type="dxa"/>
            <w:left w:w="0" w:type="dxa"/>
            <w:bottom w:w="0" w:type="dxa"/>
            <w:right w:w="0" w:type="dxa"/>
          </w:tblCellMar>
        </w:tblPrEx>
        <w:trPr>
          <w:trHeight w:val="422" w:hRule="atLeast"/>
        </w:trPr>
        <w:tc>
          <w:tcPr>
            <w:tcW w:w="16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13E18E">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企业名称</w:t>
            </w:r>
          </w:p>
        </w:tc>
        <w:tc>
          <w:tcPr>
            <w:tcW w:w="736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8D474B">
            <w:pPr>
              <w:overflowPunct w:val="0"/>
              <w:topLinePunct/>
              <w:spacing w:line="500" w:lineRule="exact"/>
              <w:jc w:val="center"/>
              <w:rPr>
                <w:rFonts w:hint="eastAsia" w:ascii="仿宋" w:hAnsi="仿宋" w:eastAsia="仿宋" w:cs="仿宋"/>
                <w:color w:val="auto"/>
                <w:kern w:val="2"/>
                <w:highlight w:val="none"/>
              </w:rPr>
            </w:pPr>
          </w:p>
        </w:tc>
      </w:tr>
      <w:tr w14:paraId="01E9D8EB">
        <w:tblPrEx>
          <w:tblCellMar>
            <w:top w:w="0" w:type="dxa"/>
            <w:left w:w="0" w:type="dxa"/>
            <w:bottom w:w="0" w:type="dxa"/>
            <w:right w:w="0" w:type="dxa"/>
          </w:tblCellMar>
        </w:tblPrEx>
        <w:trPr>
          <w:trHeight w:val="442" w:hRule="atLeast"/>
        </w:trPr>
        <w:tc>
          <w:tcPr>
            <w:tcW w:w="16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52CD78">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住所</w:t>
            </w:r>
          </w:p>
        </w:tc>
        <w:tc>
          <w:tcPr>
            <w:tcW w:w="4493"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369248">
            <w:pPr>
              <w:pStyle w:val="133"/>
              <w:widowControl w:val="0"/>
              <w:pBdr>
                <w:bottom w:val="none" w:color="auto" w:sz="0" w:space="0"/>
              </w:pBdr>
              <w:overflowPunct w:val="0"/>
              <w:topLinePunct/>
              <w:spacing w:before="0" w:beforeAutospacing="0" w:after="0" w:afterAutospacing="0" w:line="500" w:lineRule="exact"/>
              <w:rPr>
                <w:rFonts w:hint="eastAsia" w:ascii="仿宋" w:hAnsi="仿宋" w:eastAsia="仿宋" w:cs="仿宋"/>
                <w:color w:val="auto"/>
                <w:kern w:val="2"/>
                <w:sz w:val="28"/>
                <w:szCs w:val="28"/>
                <w:highlight w:val="none"/>
              </w:rPr>
            </w:pPr>
          </w:p>
        </w:tc>
        <w:tc>
          <w:tcPr>
            <w:tcW w:w="1371" w:type="dxa"/>
            <w:gridSpan w:val="2"/>
            <w:tcBorders>
              <w:top w:val="single" w:color="auto" w:sz="4" w:space="0"/>
              <w:left w:val="nil"/>
              <w:bottom w:val="single" w:color="auto" w:sz="4" w:space="0"/>
              <w:right w:val="single" w:color="auto" w:sz="4" w:space="0"/>
            </w:tcBorders>
            <w:noWrap w:val="0"/>
            <w:vAlign w:val="center"/>
          </w:tcPr>
          <w:p w14:paraId="399D4EA4">
            <w:pPr>
              <w:pStyle w:val="133"/>
              <w:widowControl w:val="0"/>
              <w:pBdr>
                <w:bottom w:val="none" w:color="auto" w:sz="0" w:space="0"/>
              </w:pBdr>
              <w:overflowPunct w:val="0"/>
              <w:topLinePunct/>
              <w:spacing w:before="0" w:beforeAutospacing="0" w:after="0" w:afterAutospacing="0" w:line="500" w:lineRule="exact"/>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营业期限</w:t>
            </w:r>
          </w:p>
        </w:tc>
        <w:tc>
          <w:tcPr>
            <w:tcW w:w="1497" w:type="dxa"/>
            <w:gridSpan w:val="2"/>
            <w:tcBorders>
              <w:top w:val="single" w:color="auto" w:sz="4" w:space="0"/>
              <w:left w:val="nil"/>
              <w:bottom w:val="single" w:color="auto" w:sz="4" w:space="0"/>
              <w:right w:val="single" w:color="auto" w:sz="4" w:space="0"/>
            </w:tcBorders>
            <w:noWrap w:val="0"/>
            <w:vAlign w:val="center"/>
          </w:tcPr>
          <w:p w14:paraId="73352F5C">
            <w:pPr>
              <w:pStyle w:val="133"/>
              <w:widowControl w:val="0"/>
              <w:pBdr>
                <w:bottom w:val="none" w:color="auto" w:sz="0" w:space="0"/>
              </w:pBdr>
              <w:overflowPunct w:val="0"/>
              <w:topLinePunct/>
              <w:spacing w:before="0" w:beforeAutospacing="0" w:after="0" w:afterAutospacing="0" w:line="500" w:lineRule="exact"/>
              <w:rPr>
                <w:rFonts w:hint="eastAsia" w:ascii="仿宋" w:hAnsi="仿宋" w:eastAsia="仿宋" w:cs="仿宋"/>
                <w:color w:val="auto"/>
                <w:kern w:val="2"/>
                <w:sz w:val="28"/>
                <w:szCs w:val="28"/>
                <w:highlight w:val="none"/>
              </w:rPr>
            </w:pPr>
          </w:p>
        </w:tc>
      </w:tr>
      <w:tr w14:paraId="69B286AA">
        <w:tblPrEx>
          <w:tblCellMar>
            <w:top w:w="0" w:type="dxa"/>
            <w:left w:w="0" w:type="dxa"/>
            <w:bottom w:w="0" w:type="dxa"/>
            <w:right w:w="0" w:type="dxa"/>
          </w:tblCellMar>
        </w:tblPrEx>
        <w:trPr>
          <w:trHeight w:val="433" w:hRule="atLeast"/>
        </w:trPr>
        <w:tc>
          <w:tcPr>
            <w:tcW w:w="16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B53480">
            <w:pPr>
              <w:pStyle w:val="18"/>
              <w:overflowPunct w:val="0"/>
              <w:topLinePunct/>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类型</w:t>
            </w:r>
          </w:p>
        </w:tc>
        <w:tc>
          <w:tcPr>
            <w:tcW w:w="1544"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B6D655">
            <w:pPr>
              <w:overflowPunct w:val="0"/>
              <w:topLinePunct/>
              <w:spacing w:line="500" w:lineRule="exact"/>
              <w:jc w:val="center"/>
              <w:rPr>
                <w:rFonts w:hint="eastAsia" w:ascii="仿宋" w:hAnsi="仿宋" w:eastAsia="仿宋" w:cs="仿宋"/>
                <w:color w:val="auto"/>
                <w:kern w:val="2"/>
                <w:highlight w:val="none"/>
              </w:rPr>
            </w:pPr>
          </w:p>
        </w:tc>
        <w:tc>
          <w:tcPr>
            <w:tcW w:w="135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BF6B36">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注册资本</w:t>
            </w:r>
          </w:p>
        </w:tc>
        <w:tc>
          <w:tcPr>
            <w:tcW w:w="1596"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5C4465">
            <w:pPr>
              <w:overflowPunct w:val="0"/>
              <w:topLinePunct/>
              <w:spacing w:line="500" w:lineRule="exact"/>
              <w:jc w:val="center"/>
              <w:rPr>
                <w:rFonts w:hint="eastAsia" w:ascii="仿宋" w:hAnsi="仿宋" w:eastAsia="仿宋" w:cs="仿宋"/>
                <w:color w:val="auto"/>
                <w:kern w:val="2"/>
                <w:highlight w:val="none"/>
              </w:rPr>
            </w:pPr>
          </w:p>
        </w:tc>
        <w:tc>
          <w:tcPr>
            <w:tcW w:w="137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5CEBE6">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成立时间</w:t>
            </w:r>
          </w:p>
        </w:tc>
        <w:tc>
          <w:tcPr>
            <w:tcW w:w="149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E344A0">
            <w:pPr>
              <w:overflowPunct w:val="0"/>
              <w:topLinePunct/>
              <w:spacing w:line="500" w:lineRule="exact"/>
              <w:jc w:val="center"/>
              <w:rPr>
                <w:rFonts w:hint="eastAsia" w:ascii="仿宋" w:hAnsi="仿宋" w:eastAsia="仿宋" w:cs="仿宋"/>
                <w:color w:val="auto"/>
                <w:kern w:val="2"/>
                <w:highlight w:val="none"/>
              </w:rPr>
            </w:pPr>
          </w:p>
        </w:tc>
      </w:tr>
      <w:tr w14:paraId="017F8561">
        <w:tblPrEx>
          <w:tblCellMar>
            <w:top w:w="0" w:type="dxa"/>
            <w:left w:w="0" w:type="dxa"/>
            <w:bottom w:w="0" w:type="dxa"/>
            <w:right w:w="0" w:type="dxa"/>
          </w:tblCellMar>
        </w:tblPrEx>
        <w:trPr>
          <w:trHeight w:val="453" w:hRule="atLeast"/>
        </w:trPr>
        <w:tc>
          <w:tcPr>
            <w:tcW w:w="16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00CDC9">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法定代表人</w:t>
            </w:r>
          </w:p>
        </w:tc>
        <w:tc>
          <w:tcPr>
            <w:tcW w:w="1544"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C2DBE0">
            <w:pPr>
              <w:overflowPunct w:val="0"/>
              <w:topLinePunct/>
              <w:spacing w:line="500" w:lineRule="exact"/>
              <w:jc w:val="center"/>
              <w:rPr>
                <w:rFonts w:hint="eastAsia" w:ascii="仿宋" w:hAnsi="仿宋" w:eastAsia="仿宋" w:cs="仿宋"/>
                <w:color w:val="auto"/>
                <w:kern w:val="2"/>
                <w:highlight w:val="none"/>
              </w:rPr>
            </w:pPr>
          </w:p>
        </w:tc>
        <w:tc>
          <w:tcPr>
            <w:tcW w:w="1353"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9B7952">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职    务</w:t>
            </w:r>
          </w:p>
        </w:tc>
        <w:tc>
          <w:tcPr>
            <w:tcW w:w="1596"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A63C76">
            <w:pPr>
              <w:overflowPunct w:val="0"/>
              <w:topLinePunct/>
              <w:spacing w:line="500" w:lineRule="exact"/>
              <w:jc w:val="center"/>
              <w:rPr>
                <w:rFonts w:hint="eastAsia" w:ascii="仿宋" w:hAnsi="仿宋" w:eastAsia="仿宋" w:cs="仿宋"/>
                <w:color w:val="auto"/>
                <w:kern w:val="2"/>
                <w:highlight w:val="none"/>
              </w:rPr>
            </w:pPr>
          </w:p>
        </w:tc>
        <w:tc>
          <w:tcPr>
            <w:tcW w:w="137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A0146E">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电    话</w:t>
            </w:r>
          </w:p>
        </w:tc>
        <w:tc>
          <w:tcPr>
            <w:tcW w:w="149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8C8168">
            <w:pPr>
              <w:overflowPunct w:val="0"/>
              <w:topLinePunct/>
              <w:spacing w:line="500" w:lineRule="exact"/>
              <w:jc w:val="center"/>
              <w:rPr>
                <w:rFonts w:hint="eastAsia" w:ascii="仿宋" w:hAnsi="仿宋" w:eastAsia="仿宋" w:cs="仿宋"/>
                <w:color w:val="auto"/>
                <w:kern w:val="2"/>
                <w:highlight w:val="none"/>
              </w:rPr>
            </w:pPr>
          </w:p>
        </w:tc>
      </w:tr>
      <w:tr w14:paraId="7885CB7D">
        <w:tblPrEx>
          <w:tblCellMar>
            <w:top w:w="0" w:type="dxa"/>
            <w:left w:w="0" w:type="dxa"/>
            <w:bottom w:w="0" w:type="dxa"/>
            <w:right w:w="0" w:type="dxa"/>
          </w:tblCellMar>
        </w:tblPrEx>
        <w:trPr>
          <w:trHeight w:val="445" w:hRule="atLeast"/>
        </w:trPr>
        <w:tc>
          <w:tcPr>
            <w:tcW w:w="16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66C9E">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公司网址</w:t>
            </w:r>
          </w:p>
        </w:tc>
        <w:tc>
          <w:tcPr>
            <w:tcW w:w="4493"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2B50C4">
            <w:pPr>
              <w:overflowPunct w:val="0"/>
              <w:topLinePunct/>
              <w:spacing w:line="500" w:lineRule="exact"/>
              <w:jc w:val="center"/>
              <w:rPr>
                <w:rFonts w:hint="eastAsia" w:ascii="仿宋" w:hAnsi="仿宋" w:eastAsia="仿宋" w:cs="仿宋"/>
                <w:color w:val="auto"/>
                <w:kern w:val="2"/>
                <w:highlight w:val="none"/>
              </w:rPr>
            </w:pPr>
          </w:p>
        </w:tc>
        <w:tc>
          <w:tcPr>
            <w:tcW w:w="1371"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AB03F0">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电子邮箱</w:t>
            </w:r>
          </w:p>
        </w:tc>
        <w:tc>
          <w:tcPr>
            <w:tcW w:w="149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CA8160">
            <w:pPr>
              <w:overflowPunct w:val="0"/>
              <w:topLinePunct/>
              <w:spacing w:line="500" w:lineRule="exact"/>
              <w:jc w:val="center"/>
              <w:rPr>
                <w:rFonts w:hint="eastAsia" w:ascii="仿宋" w:hAnsi="仿宋" w:eastAsia="仿宋" w:cs="仿宋"/>
                <w:color w:val="auto"/>
                <w:kern w:val="2"/>
                <w:highlight w:val="none"/>
              </w:rPr>
            </w:pPr>
          </w:p>
        </w:tc>
      </w:tr>
      <w:tr w14:paraId="59778715">
        <w:tblPrEx>
          <w:tblCellMar>
            <w:top w:w="0" w:type="dxa"/>
            <w:left w:w="0" w:type="dxa"/>
            <w:bottom w:w="0" w:type="dxa"/>
            <w:right w:w="0" w:type="dxa"/>
          </w:tblCellMar>
        </w:tblPrEx>
        <w:trPr>
          <w:cantSplit/>
          <w:trHeight w:val="1133" w:hRule="atLeast"/>
        </w:trPr>
        <w:tc>
          <w:tcPr>
            <w:tcW w:w="169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A72E03">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营业范围</w:t>
            </w:r>
          </w:p>
        </w:tc>
        <w:tc>
          <w:tcPr>
            <w:tcW w:w="7361"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8CAF7C">
            <w:pPr>
              <w:overflowPunct w:val="0"/>
              <w:topLinePunct/>
              <w:spacing w:line="500" w:lineRule="exact"/>
              <w:jc w:val="center"/>
              <w:rPr>
                <w:rFonts w:hint="eastAsia" w:ascii="仿宋" w:hAnsi="仿宋" w:eastAsia="仿宋" w:cs="仿宋"/>
                <w:color w:val="auto"/>
                <w:kern w:val="2"/>
                <w:highlight w:val="none"/>
              </w:rPr>
            </w:pPr>
          </w:p>
        </w:tc>
      </w:tr>
      <w:tr w14:paraId="3EBCD46A">
        <w:tblPrEx>
          <w:tblCellMar>
            <w:top w:w="0" w:type="dxa"/>
            <w:left w:w="0" w:type="dxa"/>
            <w:bottom w:w="0" w:type="dxa"/>
            <w:right w:w="0" w:type="dxa"/>
          </w:tblCellMar>
        </w:tblPrEx>
        <w:trPr>
          <w:cantSplit/>
          <w:trHeight w:val="446" w:hRule="atLeast"/>
        </w:trPr>
        <w:tc>
          <w:tcPr>
            <w:tcW w:w="169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F7CA9">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开户银行</w:t>
            </w:r>
          </w:p>
        </w:tc>
        <w:tc>
          <w:tcPr>
            <w:tcW w:w="1544"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EB10F04">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开户行名称</w:t>
            </w:r>
          </w:p>
        </w:tc>
        <w:tc>
          <w:tcPr>
            <w:tcW w:w="5817" w:type="dxa"/>
            <w:gridSpan w:val="9"/>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010AC6">
            <w:pPr>
              <w:overflowPunct w:val="0"/>
              <w:topLinePunct/>
              <w:spacing w:line="500" w:lineRule="exact"/>
              <w:jc w:val="center"/>
              <w:rPr>
                <w:rFonts w:hint="eastAsia" w:ascii="仿宋" w:hAnsi="仿宋" w:eastAsia="仿宋" w:cs="仿宋"/>
                <w:color w:val="auto"/>
                <w:kern w:val="2"/>
                <w:highlight w:val="none"/>
              </w:rPr>
            </w:pPr>
          </w:p>
        </w:tc>
      </w:tr>
      <w:tr w14:paraId="5AC37452">
        <w:tblPrEx>
          <w:tblCellMar>
            <w:top w:w="0" w:type="dxa"/>
            <w:left w:w="0" w:type="dxa"/>
            <w:bottom w:w="0" w:type="dxa"/>
            <w:right w:w="0" w:type="dxa"/>
          </w:tblCellMar>
        </w:tblPrEx>
        <w:trPr>
          <w:cantSplit/>
          <w:trHeight w:val="438" w:hRule="atLeast"/>
        </w:trPr>
        <w:tc>
          <w:tcPr>
            <w:tcW w:w="1693" w:type="dxa"/>
            <w:vMerge w:val="continue"/>
            <w:tcBorders>
              <w:top w:val="nil"/>
              <w:left w:val="single" w:color="auto" w:sz="4" w:space="0"/>
              <w:bottom w:val="single" w:color="auto" w:sz="4" w:space="0"/>
              <w:right w:val="single" w:color="auto" w:sz="4" w:space="0"/>
            </w:tcBorders>
            <w:noWrap w:val="0"/>
            <w:vAlign w:val="center"/>
          </w:tcPr>
          <w:p w14:paraId="7CF9C696">
            <w:pPr>
              <w:widowControl/>
              <w:spacing w:line="500" w:lineRule="exact"/>
              <w:rPr>
                <w:rFonts w:hint="eastAsia" w:ascii="仿宋" w:hAnsi="仿宋" w:eastAsia="仿宋" w:cs="仿宋"/>
                <w:color w:val="auto"/>
                <w:kern w:val="2"/>
                <w:highlight w:val="none"/>
              </w:rPr>
            </w:pPr>
          </w:p>
        </w:tc>
        <w:tc>
          <w:tcPr>
            <w:tcW w:w="1544"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56FCAF">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开户行账号</w:t>
            </w:r>
          </w:p>
        </w:tc>
        <w:tc>
          <w:tcPr>
            <w:tcW w:w="5817" w:type="dxa"/>
            <w:gridSpan w:val="9"/>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8ACAE0">
            <w:pPr>
              <w:overflowPunct w:val="0"/>
              <w:topLinePunct/>
              <w:spacing w:line="500" w:lineRule="exact"/>
              <w:jc w:val="center"/>
              <w:rPr>
                <w:rFonts w:hint="eastAsia" w:ascii="仿宋" w:hAnsi="仿宋" w:eastAsia="仿宋" w:cs="仿宋"/>
                <w:color w:val="auto"/>
                <w:kern w:val="2"/>
                <w:highlight w:val="none"/>
              </w:rPr>
            </w:pPr>
          </w:p>
        </w:tc>
      </w:tr>
      <w:tr w14:paraId="7BE6043C">
        <w:tblPrEx>
          <w:tblCellMar>
            <w:top w:w="0" w:type="dxa"/>
            <w:left w:w="0" w:type="dxa"/>
            <w:bottom w:w="0" w:type="dxa"/>
            <w:right w:w="0" w:type="dxa"/>
          </w:tblCellMar>
        </w:tblPrEx>
        <w:trPr>
          <w:cantSplit/>
          <w:trHeight w:val="991" w:hRule="atLeast"/>
        </w:trPr>
        <w:tc>
          <w:tcPr>
            <w:tcW w:w="16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70CC62">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上一年度</w:t>
            </w:r>
          </w:p>
          <w:p w14:paraId="477CA4D1">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企业销售额</w:t>
            </w:r>
          </w:p>
        </w:tc>
        <w:tc>
          <w:tcPr>
            <w:tcW w:w="736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4FE1BF">
            <w:pPr>
              <w:overflowPunct w:val="0"/>
              <w:topLinePunct/>
              <w:spacing w:line="500" w:lineRule="exact"/>
              <w:jc w:val="center"/>
              <w:rPr>
                <w:rFonts w:hint="eastAsia" w:ascii="仿宋" w:hAnsi="仿宋" w:eastAsia="仿宋" w:cs="仿宋"/>
                <w:color w:val="auto"/>
                <w:highlight w:val="none"/>
              </w:rPr>
            </w:pPr>
          </w:p>
        </w:tc>
      </w:tr>
      <w:tr w14:paraId="3B3F6C19">
        <w:tblPrEx>
          <w:tblCellMar>
            <w:top w:w="0" w:type="dxa"/>
            <w:left w:w="0" w:type="dxa"/>
            <w:bottom w:w="0" w:type="dxa"/>
            <w:right w:w="0" w:type="dxa"/>
          </w:tblCellMar>
        </w:tblPrEx>
        <w:trPr>
          <w:cantSplit/>
          <w:trHeight w:val="1028" w:hRule="atLeast"/>
        </w:trPr>
        <w:tc>
          <w:tcPr>
            <w:tcW w:w="16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64C99F">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上一年度</w:t>
            </w:r>
          </w:p>
          <w:p w14:paraId="7C0A094F">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综合纳税额</w:t>
            </w:r>
          </w:p>
        </w:tc>
        <w:tc>
          <w:tcPr>
            <w:tcW w:w="736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26D025">
            <w:pPr>
              <w:overflowPunct w:val="0"/>
              <w:topLinePunct/>
              <w:spacing w:line="500" w:lineRule="exact"/>
              <w:jc w:val="center"/>
              <w:rPr>
                <w:rFonts w:hint="eastAsia" w:ascii="仿宋" w:hAnsi="仿宋" w:eastAsia="仿宋" w:cs="仿宋"/>
                <w:color w:val="auto"/>
                <w:highlight w:val="none"/>
              </w:rPr>
            </w:pPr>
          </w:p>
        </w:tc>
      </w:tr>
      <w:tr w14:paraId="5C784AC3">
        <w:tblPrEx>
          <w:tblCellMar>
            <w:top w:w="0" w:type="dxa"/>
            <w:left w:w="0" w:type="dxa"/>
            <w:bottom w:w="0" w:type="dxa"/>
            <w:right w:w="0" w:type="dxa"/>
          </w:tblCellMar>
        </w:tblPrEx>
        <w:trPr>
          <w:cantSplit/>
          <w:trHeight w:val="1066" w:hRule="atLeast"/>
        </w:trPr>
        <w:tc>
          <w:tcPr>
            <w:tcW w:w="16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0EFA20">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上一年度</w:t>
            </w:r>
          </w:p>
          <w:p w14:paraId="0B780DAD">
            <w:pPr>
              <w:overflowPunct w:val="0"/>
              <w:topLinePunct/>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社保缴纳额</w:t>
            </w:r>
          </w:p>
        </w:tc>
        <w:tc>
          <w:tcPr>
            <w:tcW w:w="736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091ADB">
            <w:pPr>
              <w:overflowPunct w:val="0"/>
              <w:topLinePunct/>
              <w:spacing w:line="500" w:lineRule="exact"/>
              <w:jc w:val="center"/>
              <w:rPr>
                <w:rFonts w:hint="eastAsia" w:ascii="仿宋" w:hAnsi="仿宋" w:eastAsia="仿宋" w:cs="仿宋"/>
                <w:color w:val="auto"/>
                <w:highlight w:val="none"/>
              </w:rPr>
            </w:pPr>
          </w:p>
        </w:tc>
      </w:tr>
      <w:tr w14:paraId="233F8826">
        <w:tblPrEx>
          <w:tblCellMar>
            <w:top w:w="0" w:type="dxa"/>
            <w:left w:w="0" w:type="dxa"/>
            <w:bottom w:w="0" w:type="dxa"/>
            <w:right w:w="0" w:type="dxa"/>
          </w:tblCellMar>
        </w:tblPrEx>
        <w:trPr>
          <w:cantSplit/>
          <w:trHeight w:val="868" w:hRule="atLeast"/>
        </w:trPr>
        <w:tc>
          <w:tcPr>
            <w:tcW w:w="169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268700">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人员构成</w:t>
            </w:r>
          </w:p>
        </w:tc>
        <w:tc>
          <w:tcPr>
            <w:tcW w:w="10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F84A0">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职工</w:t>
            </w:r>
          </w:p>
          <w:p w14:paraId="5FDDD714">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总数</w:t>
            </w: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07EF475E">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管理</w:t>
            </w:r>
          </w:p>
          <w:p w14:paraId="63BE66F9">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人员</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14:paraId="6F35CA24">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技术</w:t>
            </w:r>
          </w:p>
          <w:p w14:paraId="64881F3C">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人员</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AB3C213">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员工</w:t>
            </w: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14:paraId="33F1C6DA">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高级职称人数</w:t>
            </w: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50139D3F">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中级职称人数</w:t>
            </w:r>
          </w:p>
        </w:tc>
        <w:tc>
          <w:tcPr>
            <w:tcW w:w="1052" w:type="dxa"/>
            <w:tcBorders>
              <w:top w:val="single" w:color="auto" w:sz="4" w:space="0"/>
              <w:left w:val="single" w:color="auto" w:sz="4" w:space="0"/>
              <w:bottom w:val="single" w:color="auto" w:sz="4" w:space="0"/>
              <w:right w:val="single" w:color="auto" w:sz="4" w:space="0"/>
            </w:tcBorders>
            <w:noWrap w:val="0"/>
            <w:vAlign w:val="top"/>
          </w:tcPr>
          <w:p w14:paraId="5951F80C">
            <w:pPr>
              <w:keepNext w:val="0"/>
              <w:keepLines w:val="0"/>
              <w:pageBreakBefore w:val="0"/>
              <w:widowControl w:val="0"/>
              <w:kinsoku/>
              <w:wordWrap/>
              <w:overflowPunct w:val="0"/>
              <w:topLinePunct/>
              <w:autoSpaceDE w:val="0"/>
              <w:autoSpaceDN w:val="0"/>
              <w:bidi w:val="0"/>
              <w:adjustRightInd w:val="0"/>
              <w:snapToGrid/>
              <w:spacing w:line="400" w:lineRule="exact"/>
              <w:jc w:val="center"/>
              <w:textAlignment w:val="auto"/>
              <w:rPr>
                <w:rFonts w:hint="eastAsia" w:ascii="仿宋" w:hAnsi="仿宋" w:eastAsia="仿宋" w:cs="仿宋"/>
                <w:color w:val="auto"/>
                <w:kern w:val="2"/>
                <w:highlight w:val="none"/>
              </w:rPr>
            </w:pPr>
            <w:r>
              <w:rPr>
                <w:rFonts w:hint="eastAsia" w:ascii="仿宋" w:hAnsi="仿宋" w:eastAsia="仿宋" w:cs="仿宋"/>
                <w:color w:val="auto"/>
                <w:highlight w:val="none"/>
              </w:rPr>
              <w:t>初级职称人数</w:t>
            </w:r>
          </w:p>
        </w:tc>
      </w:tr>
      <w:tr w14:paraId="4E200685">
        <w:tblPrEx>
          <w:tblCellMar>
            <w:top w:w="0" w:type="dxa"/>
            <w:left w:w="0" w:type="dxa"/>
            <w:bottom w:w="0" w:type="dxa"/>
            <w:right w:w="0" w:type="dxa"/>
          </w:tblCellMar>
        </w:tblPrEx>
        <w:trPr>
          <w:cantSplit/>
          <w:trHeight w:val="868" w:hRule="atLeast"/>
        </w:trPr>
        <w:tc>
          <w:tcPr>
            <w:tcW w:w="1693" w:type="dxa"/>
            <w:vMerge w:val="continue"/>
            <w:tcBorders>
              <w:top w:val="single" w:color="auto" w:sz="4" w:space="0"/>
              <w:left w:val="single" w:color="auto" w:sz="4" w:space="0"/>
              <w:bottom w:val="single" w:color="auto" w:sz="4" w:space="0"/>
              <w:right w:val="single" w:color="auto" w:sz="4" w:space="0"/>
            </w:tcBorders>
            <w:noWrap w:val="0"/>
            <w:vAlign w:val="center"/>
          </w:tcPr>
          <w:p w14:paraId="1E284C81">
            <w:pPr>
              <w:widowControl/>
              <w:spacing w:line="500" w:lineRule="exact"/>
              <w:rPr>
                <w:rFonts w:hint="eastAsia" w:ascii="仿宋" w:hAnsi="仿宋" w:eastAsia="仿宋" w:cs="仿宋"/>
                <w:color w:val="auto"/>
                <w:kern w:val="2"/>
                <w:highlight w:val="none"/>
              </w:rPr>
            </w:pPr>
          </w:p>
        </w:tc>
        <w:tc>
          <w:tcPr>
            <w:tcW w:w="10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4FAE988A">
            <w:pPr>
              <w:overflowPunct w:val="0"/>
              <w:topLinePunct/>
              <w:spacing w:line="500" w:lineRule="exact"/>
              <w:jc w:val="center"/>
              <w:rPr>
                <w:rFonts w:hint="eastAsia" w:ascii="仿宋" w:hAnsi="仿宋" w:eastAsia="仿宋" w:cs="仿宋"/>
                <w:color w:val="auto"/>
                <w:kern w:val="2"/>
                <w:highlight w:val="none"/>
              </w:rPr>
            </w:pP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3BDD4469">
            <w:pPr>
              <w:overflowPunct w:val="0"/>
              <w:topLinePunct/>
              <w:spacing w:line="500" w:lineRule="exact"/>
              <w:jc w:val="center"/>
              <w:rPr>
                <w:rFonts w:hint="eastAsia" w:ascii="仿宋" w:hAnsi="仿宋" w:eastAsia="仿宋" w:cs="仿宋"/>
                <w:color w:val="auto"/>
                <w:kern w:val="2"/>
                <w:highlight w:val="none"/>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14:paraId="4485139C">
            <w:pPr>
              <w:overflowPunct w:val="0"/>
              <w:topLinePunct/>
              <w:spacing w:line="500" w:lineRule="exact"/>
              <w:jc w:val="center"/>
              <w:rPr>
                <w:rFonts w:hint="eastAsia" w:ascii="仿宋" w:hAnsi="仿宋" w:eastAsia="仿宋" w:cs="仿宋"/>
                <w:color w:val="auto"/>
                <w:kern w:val="2"/>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top"/>
          </w:tcPr>
          <w:p w14:paraId="3DD49AED">
            <w:pPr>
              <w:overflowPunct w:val="0"/>
              <w:topLinePunct/>
              <w:spacing w:line="500" w:lineRule="exact"/>
              <w:jc w:val="center"/>
              <w:rPr>
                <w:rFonts w:hint="eastAsia" w:ascii="仿宋" w:hAnsi="仿宋" w:eastAsia="仿宋" w:cs="仿宋"/>
                <w:color w:val="auto"/>
                <w:kern w:val="2"/>
                <w:highlight w:val="none"/>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14:paraId="7063D603">
            <w:pPr>
              <w:overflowPunct w:val="0"/>
              <w:topLinePunct/>
              <w:spacing w:line="500" w:lineRule="exact"/>
              <w:jc w:val="center"/>
              <w:rPr>
                <w:rFonts w:hint="eastAsia" w:ascii="仿宋" w:hAnsi="仿宋" w:eastAsia="仿宋" w:cs="仿宋"/>
                <w:color w:val="auto"/>
                <w:kern w:val="2"/>
                <w:highlight w:val="none"/>
              </w:rPr>
            </w:pP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4BA992EE">
            <w:pPr>
              <w:overflowPunct w:val="0"/>
              <w:topLinePunct/>
              <w:spacing w:line="500" w:lineRule="exact"/>
              <w:jc w:val="center"/>
              <w:rPr>
                <w:rFonts w:hint="eastAsia" w:ascii="仿宋" w:hAnsi="仿宋" w:eastAsia="仿宋" w:cs="仿宋"/>
                <w:color w:val="auto"/>
                <w:kern w:val="2"/>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top"/>
          </w:tcPr>
          <w:p w14:paraId="422CD9BF">
            <w:pPr>
              <w:overflowPunct w:val="0"/>
              <w:topLinePunct/>
              <w:spacing w:line="500" w:lineRule="exact"/>
              <w:jc w:val="center"/>
              <w:rPr>
                <w:rFonts w:hint="eastAsia" w:ascii="仿宋" w:hAnsi="仿宋" w:eastAsia="仿宋" w:cs="仿宋"/>
                <w:color w:val="auto"/>
                <w:kern w:val="2"/>
                <w:highlight w:val="none"/>
              </w:rPr>
            </w:pPr>
          </w:p>
        </w:tc>
      </w:tr>
      <w:tr w14:paraId="0A3BBDB9">
        <w:tblPrEx>
          <w:tblCellMar>
            <w:top w:w="0" w:type="dxa"/>
            <w:left w:w="0" w:type="dxa"/>
            <w:bottom w:w="0" w:type="dxa"/>
            <w:right w:w="0" w:type="dxa"/>
          </w:tblCellMar>
        </w:tblPrEx>
        <w:trPr>
          <w:cantSplit/>
          <w:trHeight w:val="1363" w:hRule="atLeast"/>
        </w:trPr>
        <w:tc>
          <w:tcPr>
            <w:tcW w:w="1693" w:type="dxa"/>
            <w:tcBorders>
              <w:top w:val="single" w:color="auto" w:sz="4" w:space="0"/>
              <w:left w:val="single" w:color="auto" w:sz="4" w:space="0"/>
              <w:bottom w:val="single" w:color="auto" w:sz="4" w:space="0"/>
              <w:right w:val="single" w:color="auto" w:sz="4" w:space="0"/>
            </w:tcBorders>
            <w:noWrap w:val="0"/>
            <w:vAlign w:val="center"/>
          </w:tcPr>
          <w:p w14:paraId="1213299B">
            <w:pPr>
              <w:widowControl/>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近年发生的诉讼及仲裁情况</w:t>
            </w:r>
          </w:p>
        </w:tc>
        <w:tc>
          <w:tcPr>
            <w:tcW w:w="7361"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47A883">
            <w:pPr>
              <w:overflowPunct w:val="0"/>
              <w:topLinePunct/>
              <w:spacing w:line="500" w:lineRule="exact"/>
              <w:jc w:val="center"/>
              <w:rPr>
                <w:rFonts w:hint="eastAsia" w:ascii="仿宋" w:hAnsi="仿宋" w:eastAsia="仿宋" w:cs="仿宋"/>
                <w:color w:val="auto"/>
                <w:kern w:val="2"/>
                <w:highlight w:val="none"/>
              </w:rPr>
            </w:pPr>
            <w:r>
              <w:rPr>
                <w:rFonts w:hint="eastAsia" w:ascii="仿宋" w:hAnsi="仿宋" w:eastAsia="仿宋" w:cs="仿宋"/>
                <w:color w:val="auto"/>
                <w:highlight w:val="none"/>
              </w:rPr>
              <w:t>须如实填写，没有仲裁、诉讼事项的填写“无”</w:t>
            </w:r>
          </w:p>
        </w:tc>
      </w:tr>
    </w:tbl>
    <w:p w14:paraId="06DACC2A">
      <w:pPr>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br w:type="page"/>
      </w:r>
    </w:p>
    <w:p w14:paraId="5652A544">
      <w:pPr>
        <w:widowControl/>
        <w:autoSpaceDE/>
        <w:autoSpaceDN/>
        <w:adjustRightInd/>
        <w:spacing w:line="560" w:lineRule="exact"/>
        <w:jc w:val="center"/>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3.3</w:t>
      </w:r>
      <w:r>
        <w:rPr>
          <w:rFonts w:ascii="仿宋" w:hAnsi="仿宋" w:eastAsia="仿宋"/>
          <w:bCs/>
          <w:color w:val="auto"/>
          <w:sz w:val="32"/>
          <w:szCs w:val="32"/>
          <w:highlight w:val="none"/>
        </w:rPr>
        <w:t>陕西省政府</w:t>
      </w:r>
      <w:r>
        <w:rPr>
          <w:rFonts w:hint="eastAsia" w:ascii="仿宋" w:hAnsi="仿宋" w:eastAsia="仿宋"/>
          <w:bCs/>
          <w:color w:val="auto"/>
          <w:sz w:val="32"/>
          <w:szCs w:val="32"/>
          <w:highlight w:val="none"/>
        </w:rPr>
        <w:t>采购供应商</w:t>
      </w:r>
    </w:p>
    <w:p w14:paraId="39F5DFB4">
      <w:pPr>
        <w:widowControl/>
        <w:overflowPunct w:val="0"/>
        <w:topLinePunct/>
        <w:autoSpaceDE/>
        <w:autoSpaceDN/>
        <w:adjustRightInd/>
        <w:spacing w:line="560" w:lineRule="exact"/>
        <w:jc w:val="center"/>
        <w:rPr>
          <w:rFonts w:hint="eastAsia" w:ascii="仿宋" w:hAnsi="仿宋" w:eastAsia="仿宋" w:cs="宋体-18030"/>
          <w:bCs/>
          <w:color w:val="auto"/>
          <w:sz w:val="32"/>
          <w:szCs w:val="32"/>
          <w:highlight w:val="none"/>
        </w:rPr>
      </w:pPr>
      <w:r>
        <w:rPr>
          <w:rFonts w:ascii="仿宋" w:hAnsi="仿宋" w:eastAsia="仿宋"/>
          <w:bCs/>
          <w:color w:val="auto"/>
          <w:sz w:val="32"/>
          <w:szCs w:val="32"/>
          <w:highlight w:val="none"/>
        </w:rPr>
        <w:t>拒绝政府采购领域商业贿赂承诺书</w:t>
      </w:r>
    </w:p>
    <w:p w14:paraId="05CAFB17">
      <w:pPr>
        <w:widowControl/>
        <w:autoSpaceDE/>
        <w:autoSpaceDN/>
        <w:adjustRightInd/>
        <w:spacing w:line="520" w:lineRule="exact"/>
        <w:ind w:firstLine="537" w:firstLineChars="192"/>
        <w:rPr>
          <w:rFonts w:hint="eastAsia" w:ascii="仿宋" w:hAnsi="仿宋" w:eastAsia="仿宋"/>
          <w:color w:val="auto"/>
          <w:highlight w:val="none"/>
        </w:rPr>
      </w:pPr>
      <w:r>
        <w:rPr>
          <w:rFonts w:ascii="仿宋" w:hAnsi="仿宋" w:eastAsia="仿宋"/>
          <w:color w:val="auto"/>
          <w:highlight w:val="none"/>
        </w:rPr>
        <w:t>为响应党中央、国务院关于治理政府采购领域商业贿赂行为的号召，我公司在此庄严承诺：</w:t>
      </w:r>
    </w:p>
    <w:p w14:paraId="5E86F98E">
      <w:pPr>
        <w:widowControl/>
        <w:autoSpaceDE/>
        <w:autoSpaceDN/>
        <w:adjustRightInd/>
        <w:spacing w:line="520" w:lineRule="exact"/>
        <w:ind w:firstLine="560" w:firstLineChars="200"/>
        <w:rPr>
          <w:rFonts w:hint="eastAsia" w:ascii="仿宋" w:hAnsi="仿宋" w:eastAsia="仿宋"/>
          <w:color w:val="auto"/>
          <w:highlight w:val="none"/>
        </w:rPr>
      </w:pPr>
      <w:r>
        <w:rPr>
          <w:rFonts w:ascii="仿宋" w:hAnsi="仿宋" w:eastAsia="仿宋"/>
          <w:color w:val="auto"/>
          <w:highlight w:val="none"/>
        </w:rPr>
        <w:t>1、在参与政府采购活动中遵纪守法、诚信经营、公平竞标。</w:t>
      </w:r>
    </w:p>
    <w:p w14:paraId="25D5B3C7">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2、不向政府采购人、采购代理机构和政府采购</w:t>
      </w:r>
      <w:r>
        <w:rPr>
          <w:rFonts w:hint="eastAsia" w:ascii="仿宋" w:hAnsi="仿宋" w:eastAsia="仿宋"/>
          <w:color w:val="auto"/>
          <w:highlight w:val="none"/>
        </w:rPr>
        <w:t>评审</w:t>
      </w:r>
      <w:r>
        <w:rPr>
          <w:rFonts w:ascii="仿宋" w:hAnsi="仿宋" w:eastAsia="仿宋"/>
          <w:color w:val="auto"/>
          <w:highlight w:val="none"/>
        </w:rPr>
        <w:t>专家进行任何形式的商业贿赂以谋取交易机会。</w:t>
      </w:r>
    </w:p>
    <w:p w14:paraId="1F09CE1E">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3、不向政府采购代理机构和采购人提供虚假资质文件或采用虚假应标方式参与政府采购市场竞争并谋取</w:t>
      </w:r>
      <w:r>
        <w:rPr>
          <w:rFonts w:hint="eastAsia" w:ascii="仿宋" w:hAnsi="仿宋" w:eastAsia="仿宋"/>
          <w:color w:val="auto"/>
          <w:highlight w:val="none"/>
        </w:rPr>
        <w:t>中标、成交</w:t>
      </w:r>
      <w:r>
        <w:rPr>
          <w:rFonts w:ascii="仿宋" w:hAnsi="仿宋" w:eastAsia="仿宋"/>
          <w:color w:val="auto"/>
          <w:highlight w:val="none"/>
        </w:rPr>
        <w:t>。</w:t>
      </w:r>
    </w:p>
    <w:p w14:paraId="0AA947E2">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4、不采取“围标、陪标”等商业欺诈手段获得政府采购定单。</w:t>
      </w:r>
    </w:p>
    <w:p w14:paraId="78E4348F">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5、不采取不正当手段诋毁、排挤其他供应商。</w:t>
      </w:r>
    </w:p>
    <w:p w14:paraId="437C039E">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6、不在提供商品和服务时“偷梁换柱、以次充好”损害采购人的合法权益。</w:t>
      </w:r>
    </w:p>
    <w:p w14:paraId="23154E9D">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7、不与采购人、采购代理机构政府采购</w:t>
      </w:r>
      <w:r>
        <w:rPr>
          <w:rFonts w:hint="eastAsia" w:ascii="仿宋" w:hAnsi="仿宋" w:eastAsia="仿宋"/>
          <w:color w:val="auto"/>
          <w:highlight w:val="none"/>
        </w:rPr>
        <w:t>评审</w:t>
      </w:r>
      <w:r>
        <w:rPr>
          <w:rFonts w:ascii="仿宋" w:hAnsi="仿宋" w:eastAsia="仿宋"/>
          <w:color w:val="auto"/>
          <w:highlight w:val="none"/>
        </w:rPr>
        <w:t>专家或其它供应商恶意串通，进行质疑和投诉，维护政府采购市场秩序。</w:t>
      </w:r>
    </w:p>
    <w:p w14:paraId="73113A01">
      <w:pPr>
        <w:widowControl/>
        <w:autoSpaceDE/>
        <w:autoSpaceDN/>
        <w:adjustRightInd/>
        <w:spacing w:line="520" w:lineRule="exact"/>
        <w:ind w:firstLine="560" w:firstLineChars="200"/>
        <w:rPr>
          <w:rFonts w:ascii="仿宋" w:hAnsi="仿宋" w:eastAsia="仿宋"/>
          <w:color w:val="auto"/>
          <w:highlight w:val="none"/>
        </w:rPr>
      </w:pPr>
      <w:r>
        <w:rPr>
          <w:rFonts w:ascii="仿宋" w:hAnsi="仿宋" w:eastAsia="仿宋"/>
          <w:color w:val="auto"/>
          <w:highlight w:val="none"/>
        </w:rPr>
        <w:t>8、尊重和接受政府采购监督管理部门的监督和政府采购代理机构采购要求，承担因违约行为给采购人造成的损失。</w:t>
      </w:r>
    </w:p>
    <w:p w14:paraId="0CCE799A">
      <w:pPr>
        <w:widowControl/>
        <w:autoSpaceDE/>
        <w:autoSpaceDN/>
        <w:adjustRightInd/>
        <w:spacing w:line="520" w:lineRule="exact"/>
        <w:ind w:firstLine="560" w:firstLineChars="200"/>
        <w:rPr>
          <w:rFonts w:hint="eastAsia" w:ascii="仿宋" w:hAnsi="仿宋" w:eastAsia="仿宋"/>
          <w:color w:val="auto"/>
          <w:highlight w:val="none"/>
        </w:rPr>
      </w:pPr>
      <w:r>
        <w:rPr>
          <w:rFonts w:ascii="仿宋" w:hAnsi="仿宋" w:eastAsia="仿宋"/>
          <w:color w:val="auto"/>
          <w:highlight w:val="none"/>
        </w:rPr>
        <w:t>9、不发生其他有悖于政府采购公开、公平、公正和诚信原则的行为。</w:t>
      </w:r>
    </w:p>
    <w:p w14:paraId="32428C87">
      <w:pPr>
        <w:widowControl/>
        <w:autoSpaceDE/>
        <w:autoSpaceDN/>
        <w:adjustRightInd/>
        <w:spacing w:line="520" w:lineRule="exact"/>
        <w:rPr>
          <w:rFonts w:ascii="仿宋" w:hAnsi="仿宋" w:eastAsia="仿宋"/>
          <w:color w:val="auto"/>
          <w:highlight w:val="none"/>
        </w:rPr>
      </w:pPr>
    </w:p>
    <w:p w14:paraId="0A252C01">
      <w:pPr>
        <w:widowControl/>
        <w:autoSpaceDE/>
        <w:autoSpaceDN/>
        <w:adjustRightInd/>
        <w:spacing w:line="520" w:lineRule="exact"/>
        <w:rPr>
          <w:rFonts w:ascii="仿宋" w:hAnsi="仿宋" w:eastAsia="仿宋"/>
          <w:color w:val="auto"/>
          <w:highlight w:val="none"/>
        </w:rPr>
      </w:pPr>
      <w:r>
        <w:rPr>
          <w:rFonts w:ascii="仿宋" w:hAnsi="仿宋" w:eastAsia="仿宋"/>
          <w:color w:val="auto"/>
          <w:highlight w:val="none"/>
        </w:rPr>
        <w:t>承诺单位：</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r>
        <w:rPr>
          <w:rFonts w:ascii="仿宋" w:hAnsi="仿宋" w:eastAsia="仿宋"/>
          <w:color w:val="auto"/>
          <w:highlight w:val="none"/>
        </w:rPr>
        <w:t>（盖章）</w:t>
      </w:r>
    </w:p>
    <w:p w14:paraId="5510D171">
      <w:pPr>
        <w:widowControl/>
        <w:autoSpaceDE/>
        <w:autoSpaceDN/>
        <w:adjustRightInd/>
        <w:spacing w:line="520" w:lineRule="exact"/>
        <w:rPr>
          <w:rFonts w:ascii="仿宋" w:hAnsi="仿宋" w:eastAsia="仿宋"/>
          <w:color w:val="auto"/>
          <w:highlight w:val="none"/>
        </w:rPr>
      </w:pPr>
      <w:r>
        <w:rPr>
          <w:rFonts w:ascii="仿宋" w:hAnsi="仿宋" w:eastAsia="仿宋"/>
          <w:color w:val="auto"/>
          <w:highlight w:val="none"/>
        </w:rPr>
        <w:t>全权代表：</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r>
        <w:rPr>
          <w:rFonts w:ascii="仿宋" w:hAnsi="仿宋" w:eastAsia="仿宋"/>
          <w:color w:val="auto"/>
          <w:highlight w:val="none"/>
        </w:rPr>
        <w:t>（签字）</w:t>
      </w:r>
    </w:p>
    <w:p w14:paraId="294108B2">
      <w:pPr>
        <w:widowControl/>
        <w:autoSpaceDE/>
        <w:autoSpaceDN/>
        <w:adjustRightInd/>
        <w:spacing w:line="520" w:lineRule="exact"/>
        <w:rPr>
          <w:rFonts w:hint="eastAsia" w:ascii="Calibri" w:hAnsi="Calibri" w:eastAsia="仿宋" w:cs="Calibri"/>
          <w:color w:val="auto"/>
          <w:highlight w:val="none"/>
          <w:u w:val="single"/>
        </w:rPr>
      </w:pPr>
      <w:r>
        <w:rPr>
          <w:rFonts w:ascii="仿宋" w:hAnsi="仿宋" w:eastAsia="仿宋"/>
          <w:color w:val="auto"/>
          <w:highlight w:val="none"/>
        </w:rPr>
        <w:t>地</w:t>
      </w:r>
      <w:r>
        <w:rPr>
          <w:rFonts w:hint="eastAsia" w:ascii="Calibri" w:hAnsi="Calibri" w:eastAsia="仿宋" w:cs="Calibri"/>
          <w:color w:val="auto"/>
          <w:highlight w:val="none"/>
        </w:rPr>
        <w:t xml:space="preserve">    </w:t>
      </w:r>
      <w:r>
        <w:rPr>
          <w:rFonts w:ascii="仿宋" w:hAnsi="仿宋" w:eastAsia="仿宋"/>
          <w:color w:val="auto"/>
          <w:highlight w:val="none"/>
        </w:rPr>
        <w:t>址：</w:t>
      </w:r>
      <w:r>
        <w:rPr>
          <w:rFonts w:hint="eastAsia" w:ascii="Calibri" w:hAnsi="Calibri" w:eastAsia="仿宋" w:cs="Calibri"/>
          <w:color w:val="auto"/>
          <w:highlight w:val="none"/>
          <w:u w:val="single"/>
        </w:rPr>
        <w:t xml:space="preserve">             </w:t>
      </w:r>
      <w:r>
        <w:rPr>
          <w:rFonts w:hint="eastAsia" w:ascii="Calibri" w:hAnsi="Calibri" w:eastAsia="仿宋" w:cs="Calibri"/>
          <w:color w:val="auto"/>
          <w:highlight w:val="none"/>
          <w:u w:val="single"/>
          <w:lang w:val="en-US" w:eastAsia="zh-CN"/>
        </w:rPr>
        <w:t xml:space="preserve">     </w:t>
      </w:r>
      <w:r>
        <w:rPr>
          <w:rFonts w:hint="eastAsia" w:ascii="Calibri" w:hAnsi="Calibri" w:eastAsia="仿宋" w:cs="Calibri"/>
          <w:color w:val="auto"/>
          <w:highlight w:val="none"/>
          <w:u w:val="single"/>
        </w:rPr>
        <w:t xml:space="preserve">  </w:t>
      </w:r>
    </w:p>
    <w:p w14:paraId="47D7C1AD">
      <w:pPr>
        <w:widowControl/>
        <w:autoSpaceDE/>
        <w:autoSpaceDN/>
        <w:adjustRightInd/>
        <w:spacing w:line="520" w:lineRule="exact"/>
        <w:rPr>
          <w:rFonts w:hint="eastAsia"/>
          <w:color w:val="auto"/>
          <w:highlight w:val="none"/>
        </w:rPr>
      </w:pPr>
      <w:r>
        <w:rPr>
          <w:rFonts w:ascii="仿宋" w:hAnsi="仿宋" w:eastAsia="仿宋"/>
          <w:color w:val="auto"/>
          <w:highlight w:val="none"/>
        </w:rPr>
        <w:t>电</w:t>
      </w:r>
      <w:r>
        <w:rPr>
          <w:rFonts w:hint="eastAsia" w:ascii="Calibri" w:hAnsi="Calibri" w:eastAsia="仿宋" w:cs="Calibri"/>
          <w:color w:val="auto"/>
          <w:highlight w:val="none"/>
        </w:rPr>
        <w:t xml:space="preserve">    </w:t>
      </w:r>
      <w:r>
        <w:rPr>
          <w:rFonts w:ascii="仿宋" w:hAnsi="仿宋" w:eastAsia="仿宋"/>
          <w:color w:val="auto"/>
          <w:highlight w:val="none"/>
        </w:rPr>
        <w:t>话：</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p>
    <w:p w14:paraId="20909FC2">
      <w:pPr>
        <w:overflowPunct w:val="0"/>
        <w:topLinePunct/>
        <w:autoSpaceDE/>
        <w:autoSpaceDN/>
        <w:spacing w:line="520" w:lineRule="exact"/>
        <w:jc w:val="right"/>
        <w:rPr>
          <w:rFonts w:ascii="仿宋" w:hAnsi="仿宋" w:eastAsia="仿宋"/>
          <w:color w:val="auto"/>
          <w:highlight w:val="none"/>
        </w:rPr>
      </w:pP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ascii="仿宋" w:hAnsi="仿宋" w:eastAsia="仿宋"/>
          <w:color w:val="auto"/>
          <w:highlight w:val="none"/>
        </w:rPr>
        <w:t>月</w:t>
      </w:r>
      <w:r>
        <w:rPr>
          <w:rFonts w:hint="eastAsia" w:ascii="仿宋" w:hAnsi="仿宋" w:eastAsia="仿宋"/>
          <w:color w:val="auto"/>
          <w:highlight w:val="none"/>
          <w:u w:val="single"/>
        </w:rPr>
        <w:t xml:space="preserve">   </w:t>
      </w:r>
      <w:r>
        <w:rPr>
          <w:rFonts w:ascii="仿宋" w:hAnsi="仿宋" w:eastAsia="仿宋"/>
          <w:color w:val="auto"/>
          <w:highlight w:val="none"/>
        </w:rPr>
        <w:t>日</w:t>
      </w:r>
    </w:p>
    <w:p w14:paraId="3BB2ABA8">
      <w:pPr>
        <w:rPr>
          <w:rFonts w:hint="eastAsia" w:ascii="黑体" w:hAnsi="黑体" w:eastAsia="黑体" w:cs="黑体"/>
          <w:color w:val="auto"/>
          <w:sz w:val="32"/>
          <w:szCs w:val="40"/>
          <w:highlight w:val="none"/>
        </w:rPr>
      </w:pPr>
      <w:bookmarkStart w:id="21" w:name="_Toc17249"/>
      <w:bookmarkStart w:id="22" w:name="_Toc20607"/>
      <w:r>
        <w:rPr>
          <w:rFonts w:hint="eastAsia" w:ascii="黑体" w:hAnsi="黑体" w:eastAsia="黑体" w:cs="黑体"/>
          <w:color w:val="auto"/>
          <w:sz w:val="32"/>
          <w:szCs w:val="40"/>
          <w:highlight w:val="none"/>
        </w:rPr>
        <w:br w:type="page"/>
      </w:r>
    </w:p>
    <w:p w14:paraId="4BB385F4">
      <w:pPr>
        <w:overflowPunct w:val="0"/>
        <w:topLinePunct/>
        <w:spacing w:line="560" w:lineRule="exact"/>
        <w:jc w:val="center"/>
        <w:outlineLvl w:val="1"/>
        <w:rPr>
          <w:rFonts w:ascii="黑体" w:hAnsi="黑体" w:eastAsia="黑体" w:cs="黑体"/>
          <w:color w:val="auto"/>
          <w:sz w:val="32"/>
          <w:szCs w:val="40"/>
          <w:highlight w:val="none"/>
        </w:rPr>
      </w:pPr>
      <w:r>
        <w:rPr>
          <w:rFonts w:hint="eastAsia" w:ascii="黑体" w:hAnsi="黑体" w:eastAsia="黑体" w:cs="黑体"/>
          <w:color w:val="auto"/>
          <w:sz w:val="32"/>
          <w:szCs w:val="40"/>
          <w:highlight w:val="none"/>
        </w:rPr>
        <w:t>第4部分  其他声明函</w:t>
      </w:r>
    </w:p>
    <w:p w14:paraId="5870A2AD">
      <w:pPr>
        <w:pStyle w:val="99"/>
        <w:spacing w:before="193" w:beforeLines="50" w:after="193" w:afterLines="50" w:line="560" w:lineRule="exact"/>
        <w:outlineLvl w:val="2"/>
        <w:rPr>
          <w:rFonts w:hint="eastAsia" w:ascii="仿宋" w:hAnsi="仿宋" w:eastAsia="仿宋" w:cs="仿宋"/>
          <w:b w:val="0"/>
          <w:color w:val="auto"/>
          <w:sz w:val="28"/>
          <w:szCs w:val="28"/>
          <w:highlight w:val="none"/>
        </w:rPr>
      </w:pPr>
      <w:r>
        <w:rPr>
          <w:rFonts w:hint="eastAsia" w:ascii="仿宋" w:hAnsi="仿宋" w:eastAsia="仿宋" w:cs="仿宋"/>
          <w:bCs/>
          <w:color w:val="auto"/>
          <w:sz w:val="28"/>
          <w:szCs w:val="28"/>
          <w:highlight w:val="none"/>
        </w:rPr>
        <w:t>4.1中小企业声明函（</w:t>
      </w:r>
      <w:r>
        <w:rPr>
          <w:rFonts w:hint="eastAsia" w:ascii="仿宋" w:hAnsi="仿宋" w:eastAsia="仿宋" w:cs="仿宋"/>
          <w:color w:val="auto"/>
          <w:sz w:val="28"/>
          <w:szCs w:val="28"/>
          <w:highlight w:val="none"/>
        </w:rPr>
        <w:t>工程、服务</w:t>
      </w:r>
      <w:r>
        <w:rPr>
          <w:rFonts w:hint="eastAsia" w:ascii="仿宋" w:hAnsi="仿宋" w:eastAsia="仿宋" w:cs="仿宋"/>
          <w:bCs/>
          <w:color w:val="auto"/>
          <w:sz w:val="28"/>
          <w:szCs w:val="28"/>
          <w:highlight w:val="none"/>
        </w:rPr>
        <w:t>）</w:t>
      </w:r>
      <w:bookmarkEnd w:id="21"/>
      <w:bookmarkEnd w:id="22"/>
    </w:p>
    <w:p w14:paraId="7D8D2ED5">
      <w:pPr>
        <w:widowControl/>
        <w:spacing w:line="560" w:lineRule="exact"/>
        <w:ind w:firstLine="840" w:firstLineChars="300"/>
        <w:rPr>
          <w:rFonts w:hint="eastAsia" w:ascii="仿宋" w:hAnsi="仿宋" w:eastAsia="仿宋" w:cs="仿宋"/>
          <w:color w:val="auto"/>
          <w:highlight w:val="none"/>
        </w:rPr>
      </w:pPr>
      <w:r>
        <w:rPr>
          <w:rFonts w:hint="eastAsia" w:ascii="仿宋" w:hAnsi="仿宋" w:eastAsia="仿宋" w:cs="仿宋"/>
          <w:color w:val="auto"/>
          <w:highlight w:val="none"/>
          <w:lang w:bidi="ar"/>
        </w:rPr>
        <w:t>本公司（联合体）郑重声明，根据《采购促进中小企业发展管理办法》（财库〔2020〕46号）的规定，本公司参加</w:t>
      </w:r>
      <w:r>
        <w:rPr>
          <w:rFonts w:hint="eastAsia" w:ascii="仿宋" w:hAnsi="仿宋" w:eastAsia="仿宋" w:cs="仿宋"/>
          <w:color w:val="auto"/>
          <w:highlight w:val="none"/>
          <w:u w:val="single"/>
          <w:lang w:bidi="ar"/>
        </w:rPr>
        <w:t>（单位名称）</w:t>
      </w:r>
      <w:r>
        <w:rPr>
          <w:rFonts w:hint="eastAsia" w:ascii="仿宋" w:hAnsi="仿宋" w:eastAsia="仿宋" w:cs="仿宋"/>
          <w:color w:val="auto"/>
          <w:highlight w:val="none"/>
          <w:lang w:bidi="ar"/>
        </w:rPr>
        <w:t>的（</w:t>
      </w:r>
      <w:r>
        <w:rPr>
          <w:rFonts w:hint="eastAsia" w:ascii="仿宋" w:hAnsi="仿宋" w:eastAsia="仿宋" w:cs="仿宋"/>
          <w:color w:val="auto"/>
          <w:highlight w:val="none"/>
          <w:u w:val="single"/>
          <w:lang w:bidi="ar"/>
        </w:rPr>
        <w:t>项目名称）</w:t>
      </w:r>
      <w:r>
        <w:rPr>
          <w:rFonts w:hint="eastAsia" w:ascii="仿宋" w:hAnsi="仿宋" w:eastAsia="仿宋" w:cs="仿宋"/>
          <w:color w:val="auto"/>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E64AFD1">
      <w:pPr>
        <w:widowControl/>
        <w:spacing w:line="560" w:lineRule="exact"/>
        <w:ind w:firstLine="478" w:firstLineChars="171"/>
        <w:rPr>
          <w:rFonts w:hint="eastAsia" w:ascii="仿宋" w:hAnsi="仿宋" w:eastAsia="仿宋" w:cs="仿宋"/>
          <w:color w:val="auto"/>
          <w:highlight w:val="none"/>
          <w:u w:val="single"/>
        </w:rPr>
      </w:pPr>
      <w:r>
        <w:rPr>
          <w:rFonts w:hint="eastAsia" w:ascii="仿宋" w:hAnsi="仿宋" w:eastAsia="仿宋" w:cs="仿宋"/>
          <w:color w:val="auto"/>
          <w:highlight w:val="none"/>
          <w:lang w:bidi="ar"/>
        </w:rPr>
        <w:t>1.</w:t>
      </w:r>
      <w:r>
        <w:rPr>
          <w:rFonts w:hint="eastAsia" w:ascii="仿宋" w:hAnsi="仿宋" w:eastAsia="仿宋" w:cs="仿宋"/>
          <w:color w:val="auto"/>
          <w:highlight w:val="none"/>
          <w:u w:val="single"/>
          <w:lang w:bidi="ar"/>
        </w:rPr>
        <w:t>（标的名称）</w:t>
      </w:r>
      <w:r>
        <w:rPr>
          <w:rFonts w:hint="eastAsia" w:ascii="仿宋" w:hAnsi="仿宋" w:eastAsia="仿宋" w:cs="仿宋"/>
          <w:color w:val="auto"/>
          <w:highlight w:val="none"/>
          <w:lang w:bidi="ar"/>
        </w:rPr>
        <w:t>，属于</w:t>
      </w:r>
      <w:r>
        <w:rPr>
          <w:rFonts w:hint="eastAsia" w:ascii="仿宋" w:hAnsi="仿宋" w:eastAsia="仿宋" w:cs="仿宋"/>
          <w:color w:val="auto"/>
          <w:highlight w:val="none"/>
          <w:u w:val="single"/>
          <w:lang w:bidi="ar"/>
        </w:rPr>
        <w:t>（采购文件中明确的所属行业）</w:t>
      </w:r>
      <w:r>
        <w:rPr>
          <w:rFonts w:hint="eastAsia" w:ascii="仿宋" w:hAnsi="仿宋" w:eastAsia="仿宋" w:cs="仿宋"/>
          <w:color w:val="auto"/>
          <w:highlight w:val="none"/>
          <w:lang w:bidi="ar"/>
        </w:rPr>
        <w:t>；承建（承接）企业为（</w:t>
      </w:r>
      <w:r>
        <w:rPr>
          <w:rFonts w:hint="eastAsia" w:ascii="仿宋" w:hAnsi="仿宋" w:eastAsia="仿宋" w:cs="仿宋"/>
          <w:color w:val="auto"/>
          <w:highlight w:val="none"/>
          <w:u w:val="single"/>
          <w:lang w:bidi="ar"/>
        </w:rPr>
        <w:t>企业名称）</w:t>
      </w:r>
      <w:r>
        <w:rPr>
          <w:rFonts w:hint="eastAsia" w:ascii="仿宋" w:hAnsi="仿宋" w:eastAsia="仿宋" w:cs="仿宋"/>
          <w:color w:val="auto"/>
          <w:highlight w:val="none"/>
          <w:lang w:bidi="ar"/>
        </w:rPr>
        <w:t>，从业人员</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lang w:bidi="ar"/>
        </w:rPr>
        <w:t xml:space="preserve">人，营业 收入为 </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lang w:bidi="ar"/>
        </w:rPr>
        <w:t>万元，资产总额为</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lang w:bidi="ar"/>
        </w:rPr>
        <w:t>万元，属于</w:t>
      </w:r>
      <w:r>
        <w:rPr>
          <w:rFonts w:hint="eastAsia" w:ascii="仿宋" w:hAnsi="仿宋" w:eastAsia="仿宋" w:cs="仿宋"/>
          <w:color w:val="auto"/>
          <w:highlight w:val="none"/>
          <w:u w:val="single"/>
          <w:lang w:bidi="ar"/>
        </w:rPr>
        <w:t>（中型企业、小型企业、微型企业）</w:t>
      </w:r>
      <w:r>
        <w:rPr>
          <w:rFonts w:hint="eastAsia" w:ascii="仿宋" w:hAnsi="仿宋" w:eastAsia="仿宋" w:cs="仿宋"/>
          <w:color w:val="auto"/>
          <w:highlight w:val="none"/>
          <w:u w:val="none"/>
          <w:lang w:bidi="ar"/>
        </w:rPr>
        <w:t>；</w:t>
      </w:r>
    </w:p>
    <w:p w14:paraId="54F91712">
      <w:pPr>
        <w:widowControl/>
        <w:spacing w:line="560" w:lineRule="exact"/>
        <w:ind w:firstLine="478" w:firstLineChars="171"/>
        <w:rPr>
          <w:rFonts w:hint="eastAsia" w:ascii="仿宋" w:hAnsi="仿宋" w:eastAsia="仿宋" w:cs="仿宋"/>
          <w:color w:val="auto"/>
          <w:highlight w:val="none"/>
        </w:rPr>
      </w:pPr>
      <w:r>
        <w:rPr>
          <w:rFonts w:hint="eastAsia" w:ascii="仿宋" w:hAnsi="仿宋" w:eastAsia="仿宋" w:cs="仿宋"/>
          <w:color w:val="auto"/>
          <w:highlight w:val="none"/>
          <w:lang w:bidi="ar"/>
        </w:rPr>
        <w:t>2.</w:t>
      </w:r>
      <w:r>
        <w:rPr>
          <w:rFonts w:hint="eastAsia" w:ascii="仿宋" w:hAnsi="仿宋" w:eastAsia="仿宋" w:cs="仿宋"/>
          <w:color w:val="auto"/>
          <w:highlight w:val="none"/>
          <w:u w:val="single"/>
          <w:lang w:bidi="ar"/>
        </w:rPr>
        <w:t>（标的名称）</w:t>
      </w:r>
      <w:r>
        <w:rPr>
          <w:rFonts w:hint="eastAsia" w:ascii="仿宋" w:hAnsi="仿宋" w:eastAsia="仿宋" w:cs="仿宋"/>
          <w:color w:val="auto"/>
          <w:highlight w:val="none"/>
          <w:lang w:bidi="ar"/>
        </w:rPr>
        <w:t>，属于</w:t>
      </w:r>
      <w:r>
        <w:rPr>
          <w:rFonts w:hint="eastAsia" w:ascii="仿宋" w:hAnsi="仿宋" w:eastAsia="仿宋" w:cs="仿宋"/>
          <w:color w:val="auto"/>
          <w:highlight w:val="none"/>
          <w:u w:val="single"/>
          <w:lang w:bidi="ar"/>
        </w:rPr>
        <w:t>（采购文件中明确的所属行业）</w:t>
      </w:r>
      <w:r>
        <w:rPr>
          <w:rFonts w:hint="eastAsia" w:ascii="仿宋" w:hAnsi="仿宋" w:eastAsia="仿宋" w:cs="仿宋"/>
          <w:color w:val="auto"/>
          <w:highlight w:val="none"/>
          <w:lang w:bidi="ar"/>
        </w:rPr>
        <w:t>；承建（承接）企业为</w:t>
      </w:r>
      <w:r>
        <w:rPr>
          <w:rFonts w:hint="eastAsia" w:ascii="仿宋" w:hAnsi="仿宋" w:eastAsia="仿宋" w:cs="仿宋"/>
          <w:color w:val="auto"/>
          <w:highlight w:val="none"/>
          <w:u w:val="single"/>
          <w:lang w:bidi="ar"/>
        </w:rPr>
        <w:t>（企业名称）</w:t>
      </w:r>
      <w:r>
        <w:rPr>
          <w:rFonts w:hint="eastAsia" w:ascii="仿宋" w:hAnsi="仿宋" w:eastAsia="仿宋" w:cs="仿宋"/>
          <w:color w:val="auto"/>
          <w:highlight w:val="none"/>
          <w:lang w:bidi="ar"/>
        </w:rPr>
        <w:t>，从业人员</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u w:val="single"/>
          <w:lang w:val="en-US" w:eastAsia="zh-CN" w:bidi="ar"/>
        </w:rPr>
        <w:t xml:space="preserve">  </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lang w:bidi="ar"/>
        </w:rPr>
        <w:t>人，营业 收入为</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u w:val="single"/>
          <w:lang w:val="en-US" w:eastAsia="zh-CN" w:bidi="ar"/>
        </w:rPr>
        <w:t xml:space="preserve">  </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lang w:bidi="ar"/>
        </w:rPr>
        <w:t>万元，资产总额为</w:t>
      </w:r>
      <w:r>
        <w:rPr>
          <w:rFonts w:hint="eastAsia" w:ascii="仿宋" w:hAnsi="仿宋" w:eastAsia="仿宋" w:cs="仿宋"/>
          <w:color w:val="auto"/>
          <w:highlight w:val="none"/>
          <w:u w:val="single"/>
          <w:lang w:bidi="ar"/>
        </w:rPr>
        <w:t xml:space="preserve">    </w:t>
      </w:r>
      <w:r>
        <w:rPr>
          <w:rFonts w:hint="eastAsia" w:ascii="仿宋" w:hAnsi="仿宋" w:eastAsia="仿宋" w:cs="仿宋"/>
          <w:color w:val="auto"/>
          <w:highlight w:val="none"/>
          <w:lang w:bidi="ar"/>
        </w:rPr>
        <w:t>万元，属于</w:t>
      </w:r>
      <w:r>
        <w:rPr>
          <w:rFonts w:hint="eastAsia" w:ascii="仿宋" w:hAnsi="仿宋" w:eastAsia="仿宋" w:cs="仿宋"/>
          <w:color w:val="auto"/>
          <w:highlight w:val="none"/>
          <w:u w:val="single"/>
          <w:lang w:bidi="ar"/>
        </w:rPr>
        <w:t>（中型企业、小型企业、微型企业）</w:t>
      </w:r>
      <w:r>
        <w:rPr>
          <w:rFonts w:hint="eastAsia" w:ascii="仿宋" w:hAnsi="仿宋" w:eastAsia="仿宋" w:cs="仿宋"/>
          <w:color w:val="auto"/>
          <w:highlight w:val="none"/>
          <w:lang w:bidi="ar"/>
        </w:rPr>
        <w:t>；</w:t>
      </w:r>
    </w:p>
    <w:p w14:paraId="6A236E77">
      <w:pPr>
        <w:keepNext w:val="0"/>
        <w:keepLines w:val="0"/>
        <w:pageBreakBefore w:val="0"/>
        <w:widowControl/>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bidi="ar"/>
        </w:rPr>
        <w:t>……</w:t>
      </w:r>
    </w:p>
    <w:p w14:paraId="5706F38B">
      <w:pPr>
        <w:widowControl/>
        <w:spacing w:line="56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lang w:bidi="ar"/>
        </w:rPr>
        <w:t>以上企业，不属于大企业的分支机构，不存在控股股东为大企业的情形，也不存在与大企业的负责人为同一人的情形。</w:t>
      </w:r>
    </w:p>
    <w:p w14:paraId="08251490">
      <w:pPr>
        <w:widowControl/>
        <w:spacing w:line="56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lang w:bidi="ar"/>
        </w:rPr>
        <w:t>本企业对上述声明内容的真实性负责。如有虚假，将依法承担相应责任。</w:t>
      </w:r>
    </w:p>
    <w:p w14:paraId="766557E4">
      <w:pPr>
        <w:pStyle w:val="99"/>
        <w:spacing w:line="560" w:lineRule="exact"/>
        <w:ind w:firstLine="560" w:firstLineChars="200"/>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val="zh-CN"/>
        </w:rPr>
        <w:t>企业名称（盖章）：</w:t>
      </w:r>
    </w:p>
    <w:p w14:paraId="1556B8EB">
      <w:pPr>
        <w:pStyle w:val="99"/>
        <w:spacing w:line="56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lang w:val="zh-CN"/>
        </w:rPr>
        <w:t xml:space="preserve">日 </w:t>
      </w: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val="zh-CN"/>
        </w:rPr>
        <w:t>期：</w:t>
      </w:r>
    </w:p>
    <w:p w14:paraId="05C070A2">
      <w:pPr>
        <w:pStyle w:val="99"/>
        <w:spacing w:line="560" w:lineRule="exact"/>
        <w:ind w:firstLine="482" w:firstLineChars="200"/>
        <w:jc w:val="both"/>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1"/>
          <w:highlight w:val="none"/>
        </w:rPr>
        <w:t>注：</w:t>
      </w:r>
      <w:r>
        <w:rPr>
          <w:rFonts w:hint="eastAsia" w:ascii="仿宋" w:hAnsi="仿宋" w:eastAsia="仿宋" w:cs="仿宋"/>
          <w:color w:val="auto"/>
          <w:sz w:val="24"/>
          <w:szCs w:val="24"/>
          <w:highlight w:val="none"/>
          <w:lang w:val="zh-CN"/>
        </w:rPr>
        <w:t>从业人员、营业收入、资产总额填报上一年度数据，无上一年度数据的新成立企业可不填报。</w:t>
      </w:r>
    </w:p>
    <w:p w14:paraId="0B75282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CC39CA2">
      <w:pPr>
        <w:pStyle w:val="99"/>
        <w:spacing w:line="560" w:lineRule="exact"/>
        <w:jc w:val="center"/>
        <w:outlineLvl w:val="2"/>
        <w:rPr>
          <w:rFonts w:hint="eastAsia" w:ascii="仿宋" w:hAnsi="仿宋" w:eastAsia="仿宋" w:cs="仿宋"/>
          <w:color w:val="auto"/>
          <w:spacing w:val="6"/>
          <w:sz w:val="32"/>
          <w:szCs w:val="32"/>
          <w:highlight w:val="none"/>
          <w:shd w:val="pct10" w:color="auto" w:fill="FFFFFF"/>
        </w:rPr>
      </w:pP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lang w:val="zh-CN"/>
        </w:rPr>
        <w:t>残疾人福利性单位声明函</w:t>
      </w:r>
    </w:p>
    <w:p w14:paraId="0C5FFAB3">
      <w:pPr>
        <w:spacing w:line="560" w:lineRule="exact"/>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（非残疾人福利企业不填写）</w:t>
      </w:r>
    </w:p>
    <w:p w14:paraId="0CDBC937">
      <w:pPr>
        <w:spacing w:line="560" w:lineRule="exact"/>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u w:val="single"/>
          <w:lang w:val="en-US" w:eastAsia="zh-CN"/>
        </w:rPr>
        <w:t xml:space="preserve">       </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项目采购活动提供本单位制造的货物（由本单位承担工程/提供服务），或者提供其他残疾人福利性单位制造的货物（不包括使用非残疾人福利性单位注册商标的货物）。</w:t>
      </w:r>
    </w:p>
    <w:p w14:paraId="6BA1D118">
      <w:pPr>
        <w:spacing w:line="560" w:lineRule="exact"/>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本单位对上述声明的真实性负责。如有虚假，将依法承担相应责任。</w:t>
      </w:r>
    </w:p>
    <w:p w14:paraId="5298FAE2">
      <w:pPr>
        <w:spacing w:line="560" w:lineRule="exact"/>
        <w:rPr>
          <w:rFonts w:hint="eastAsia" w:ascii="仿宋" w:hAnsi="仿宋" w:eastAsia="仿宋" w:cs="仿宋"/>
          <w:color w:val="auto"/>
          <w:szCs w:val="32"/>
          <w:highlight w:val="none"/>
        </w:rPr>
      </w:pPr>
    </w:p>
    <w:p w14:paraId="0FFC09B9">
      <w:pPr>
        <w:tabs>
          <w:tab w:val="left" w:pos="4860"/>
        </w:tabs>
        <w:spacing w:line="560" w:lineRule="exact"/>
        <w:ind w:firstLine="560" w:firstLineChars="200"/>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w:t>
      </w:r>
      <w:r>
        <w:rPr>
          <w:rFonts w:hint="eastAsia" w:ascii="仿宋" w:hAnsi="仿宋" w:eastAsia="仿宋" w:cs="仿宋"/>
          <w:color w:val="auto"/>
          <w:szCs w:val="32"/>
          <w:highlight w:val="none"/>
          <w:u w:val="single"/>
        </w:rPr>
        <w:t xml:space="preserve">               </w:t>
      </w:r>
    </w:p>
    <w:p w14:paraId="67D943E7">
      <w:pPr>
        <w:tabs>
          <w:tab w:val="left" w:pos="4860"/>
        </w:tabs>
        <w:spacing w:line="560" w:lineRule="exact"/>
        <w:ind w:firstLine="560" w:firstLineChars="200"/>
        <w:jc w:val="center"/>
        <w:rPr>
          <w:rFonts w:hint="eastAsia" w:ascii="仿宋" w:hAnsi="仿宋" w:eastAsia="仿宋" w:cs="仿宋"/>
          <w:b/>
          <w:color w:val="auto"/>
          <w:spacing w:val="6"/>
          <w:szCs w:val="32"/>
          <w:highlight w:val="none"/>
          <w:shd w:val="pct10" w:color="auto" w:fill="FFFFFF"/>
        </w:rPr>
      </w:pPr>
      <w:r>
        <w:rPr>
          <w:rFonts w:hint="eastAsia" w:ascii="仿宋" w:hAnsi="仿宋" w:eastAsia="仿宋" w:cs="仿宋"/>
          <w:color w:val="auto"/>
          <w:szCs w:val="32"/>
          <w:highlight w:val="none"/>
        </w:rPr>
        <w:t xml:space="preserve">                           日  期：</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月</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日</w:t>
      </w:r>
    </w:p>
    <w:p w14:paraId="01D4FF72">
      <w:pPr>
        <w:spacing w:line="560" w:lineRule="exact"/>
        <w:ind w:firstLine="506" w:firstLineChars="200"/>
        <w:rPr>
          <w:rFonts w:hint="eastAsia" w:ascii="仿宋" w:hAnsi="仿宋" w:eastAsia="仿宋" w:cs="仿宋"/>
          <w:b/>
          <w:color w:val="auto"/>
          <w:spacing w:val="6"/>
          <w:sz w:val="24"/>
          <w:highlight w:val="none"/>
          <w:shd w:val="pct10" w:color="auto" w:fill="FFFFFF"/>
        </w:rPr>
      </w:pPr>
    </w:p>
    <w:p w14:paraId="45FB5A11">
      <w:pPr>
        <w:kinsoku w:val="0"/>
        <w:spacing w:line="560" w:lineRule="exact"/>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注：供应商提供的《残疾人福利性单位声明函》必须真实有效，如果被举报经查实出具虚假声明函的，将被取</w:t>
      </w:r>
      <w:r>
        <w:rPr>
          <w:rFonts w:hint="eastAsia" w:ascii="仿宋" w:hAnsi="仿宋" w:eastAsia="仿宋" w:cs="仿宋"/>
          <w:b/>
          <w:bCs/>
          <w:color w:val="auto"/>
          <w:sz w:val="24"/>
          <w:highlight w:val="none"/>
        </w:rPr>
        <w:t>磋商</w:t>
      </w:r>
      <w:r>
        <w:rPr>
          <w:rFonts w:hint="eastAsia" w:ascii="仿宋" w:hAnsi="仿宋" w:eastAsia="仿宋" w:cs="仿宋"/>
          <w:b/>
          <w:bCs/>
          <w:color w:val="auto"/>
          <w:sz w:val="24"/>
          <w:highlight w:val="none"/>
          <w:lang w:val="zh-CN"/>
        </w:rPr>
        <w:t>资格，并按有关规定予以处理。</w:t>
      </w:r>
    </w:p>
    <w:p w14:paraId="7E4F4292">
      <w:pPr>
        <w:tabs>
          <w:tab w:val="left" w:pos="1755"/>
        </w:tabs>
        <w:spacing w:line="560" w:lineRule="exact"/>
        <w:jc w:val="center"/>
        <w:outlineLvl w:val="2"/>
        <w:rPr>
          <w:rFonts w:hint="eastAsia" w:ascii="仿宋" w:hAnsi="仿宋" w:eastAsia="仿宋" w:cs="仿宋"/>
          <w:b/>
          <w:color w:val="auto"/>
          <w:spacing w:val="6"/>
          <w:sz w:val="32"/>
          <w:szCs w:val="32"/>
          <w:highlight w:val="none"/>
          <w:shd w:val="pct10" w:color="auto" w:fill="FFFFFF"/>
        </w:rPr>
      </w:pPr>
      <w:bookmarkStart w:id="23" w:name="_Hlk18049907"/>
      <w:r>
        <w:rPr>
          <w:rFonts w:hint="eastAsia" w:ascii="仿宋" w:hAnsi="仿宋" w:eastAsia="仿宋" w:cs="仿宋"/>
          <w:b/>
          <w:bCs/>
          <w:color w:val="auto"/>
          <w:highlight w:val="none"/>
        </w:rPr>
        <w:br w:type="page"/>
      </w:r>
      <w:r>
        <w:rPr>
          <w:rFonts w:hint="eastAsia" w:ascii="仿宋" w:hAnsi="仿宋" w:eastAsia="仿宋" w:cs="仿宋"/>
          <w:b/>
          <w:color w:val="auto"/>
          <w:highlight w:val="none"/>
        </w:rPr>
        <w:t>4.3</w:t>
      </w:r>
      <w:r>
        <w:rPr>
          <w:rFonts w:hint="eastAsia" w:ascii="仿宋" w:hAnsi="仿宋" w:eastAsia="仿宋" w:cs="仿宋"/>
          <w:b/>
          <w:color w:val="auto"/>
          <w:highlight w:val="none"/>
          <w:lang w:val="zh-CN"/>
        </w:rPr>
        <w:t>监狱、戒毒企业</w:t>
      </w:r>
      <w:bookmarkEnd w:id="23"/>
      <w:r>
        <w:rPr>
          <w:rFonts w:hint="eastAsia" w:ascii="仿宋" w:hAnsi="仿宋" w:eastAsia="仿宋" w:cs="仿宋"/>
          <w:b/>
          <w:color w:val="auto"/>
          <w:highlight w:val="none"/>
          <w:lang w:val="zh-CN"/>
        </w:rPr>
        <w:t>声明函</w:t>
      </w:r>
    </w:p>
    <w:p w14:paraId="1C4A9578">
      <w:pPr>
        <w:spacing w:line="560" w:lineRule="exact"/>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（非监狱、戒毒企业不填写）</w:t>
      </w:r>
    </w:p>
    <w:p w14:paraId="2314CA0F">
      <w:pPr>
        <w:spacing w:line="560" w:lineRule="exact"/>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本单位郑重声明，根据《</w:t>
      </w:r>
      <w:r>
        <w:rPr>
          <w:rFonts w:hint="eastAsia" w:ascii="仿宋" w:hAnsi="仿宋" w:eastAsia="仿宋" w:cs="仿宋"/>
          <w:color w:val="auto"/>
          <w:spacing w:val="-4"/>
          <w:szCs w:val="32"/>
          <w:highlight w:val="none"/>
        </w:rPr>
        <w:t>财政部 司法部 关于政府采购支持监狱企业发展有关问题的通知</w:t>
      </w:r>
      <w:r>
        <w:rPr>
          <w:rFonts w:hint="eastAsia" w:ascii="仿宋" w:hAnsi="仿宋" w:eastAsia="仿宋" w:cs="仿宋"/>
          <w:color w:val="auto"/>
          <w:szCs w:val="32"/>
          <w:highlight w:val="none"/>
        </w:rPr>
        <w:t>》（财库〔2014〕 68号）的规定，本单位为符合条件的监狱、戒毒企业，且本单位参加的</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u w:val="single"/>
          <w:lang w:val="en-US" w:eastAsia="zh-CN"/>
        </w:rPr>
        <w:t xml:space="preserve">           </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项目采购活动提供本单位制造的货物（由本单位承担工程/提供服务），或者提供其他监狱、戒毒企业制造的货物（不包括使用非监狱、戒毒企业注册商标的货物）。</w:t>
      </w:r>
    </w:p>
    <w:p w14:paraId="5E94C794">
      <w:pPr>
        <w:spacing w:line="560" w:lineRule="exact"/>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本单位对上述声明的真实性负责。如有虚假，将依法承担相应责任。</w:t>
      </w:r>
    </w:p>
    <w:p w14:paraId="18A6E754">
      <w:pPr>
        <w:spacing w:line="560" w:lineRule="exact"/>
        <w:rPr>
          <w:rFonts w:hint="eastAsia" w:ascii="仿宋" w:hAnsi="仿宋" w:eastAsia="仿宋" w:cs="仿宋"/>
          <w:color w:val="auto"/>
          <w:szCs w:val="32"/>
          <w:highlight w:val="none"/>
        </w:rPr>
      </w:pPr>
    </w:p>
    <w:p w14:paraId="4FD706C2">
      <w:pPr>
        <w:tabs>
          <w:tab w:val="left" w:pos="4860"/>
        </w:tabs>
        <w:spacing w:line="560" w:lineRule="exact"/>
        <w:ind w:firstLine="560" w:firstLineChars="200"/>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w:t>
      </w:r>
      <w:r>
        <w:rPr>
          <w:rFonts w:hint="eastAsia" w:ascii="仿宋" w:hAnsi="仿宋" w:eastAsia="仿宋" w:cs="仿宋"/>
          <w:color w:val="auto"/>
          <w:szCs w:val="32"/>
          <w:highlight w:val="none"/>
          <w:u w:val="single"/>
        </w:rPr>
        <w:t xml:space="preserve">               </w:t>
      </w:r>
    </w:p>
    <w:p w14:paraId="2C153856">
      <w:pPr>
        <w:tabs>
          <w:tab w:val="left" w:pos="4860"/>
        </w:tabs>
        <w:spacing w:line="560" w:lineRule="exact"/>
        <w:ind w:firstLine="560" w:firstLineChars="200"/>
        <w:jc w:val="center"/>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日  期：</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月</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日</w:t>
      </w:r>
    </w:p>
    <w:p w14:paraId="470A3277">
      <w:pPr>
        <w:spacing w:line="560" w:lineRule="exact"/>
        <w:rPr>
          <w:rFonts w:hint="eastAsia" w:ascii="仿宋" w:hAnsi="仿宋" w:eastAsia="仿宋" w:cs="仿宋"/>
          <w:b/>
          <w:color w:val="auto"/>
          <w:spacing w:val="6"/>
          <w:szCs w:val="32"/>
          <w:highlight w:val="none"/>
          <w:shd w:val="pct10" w:color="auto" w:fill="FFFFFF"/>
        </w:rPr>
      </w:pPr>
    </w:p>
    <w:p w14:paraId="11BD7527">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注：供应商提供的《</w:t>
      </w:r>
      <w:r>
        <w:rPr>
          <w:rFonts w:hint="eastAsia" w:ascii="仿宋" w:hAnsi="仿宋" w:eastAsia="仿宋" w:cs="仿宋"/>
          <w:b/>
          <w:bCs/>
          <w:color w:val="auto"/>
          <w:sz w:val="24"/>
          <w:highlight w:val="none"/>
        </w:rPr>
        <w:t>监狱、戒毒企业</w:t>
      </w:r>
      <w:r>
        <w:rPr>
          <w:rFonts w:hint="eastAsia" w:ascii="仿宋" w:hAnsi="仿宋" w:eastAsia="仿宋" w:cs="仿宋"/>
          <w:b/>
          <w:bCs/>
          <w:color w:val="auto"/>
          <w:sz w:val="24"/>
          <w:highlight w:val="none"/>
          <w:lang w:val="zh-CN"/>
        </w:rPr>
        <w:t>声明函》必须真实有效，</w:t>
      </w:r>
      <w:r>
        <w:rPr>
          <w:rFonts w:hint="eastAsia" w:ascii="仿宋" w:hAnsi="仿宋" w:eastAsia="仿宋" w:cs="仿宋"/>
          <w:b/>
          <w:bCs/>
          <w:color w:val="auto"/>
          <w:sz w:val="24"/>
          <w:highlight w:val="none"/>
        </w:rPr>
        <w:t>供应商应当提供由省级以上监狱管理局、戒毒管理局(含新疆生产建设兵团)出具的属于监狱企业的证明文件。</w:t>
      </w:r>
    </w:p>
    <w:p w14:paraId="7778D458">
      <w:pPr>
        <w:overflowPunct w:val="0"/>
        <w:topLinePunct/>
        <w:spacing w:line="560" w:lineRule="exact"/>
        <w:jc w:val="center"/>
        <w:outlineLvl w:val="1"/>
        <w:rPr>
          <w:rFonts w:hint="eastAsia" w:ascii="仿宋" w:hAnsi="仿宋" w:eastAsia="仿宋" w:cs="宋体-18030"/>
          <w:color w:val="auto"/>
          <w:highlight w:val="none"/>
        </w:rPr>
      </w:pPr>
      <w:r>
        <w:rPr>
          <w:rFonts w:hint="eastAsia" w:ascii="仿宋" w:hAnsi="仿宋" w:eastAsia="仿宋" w:cs="仿宋"/>
          <w:color w:val="auto"/>
          <w:sz w:val="24"/>
          <w:highlight w:val="none"/>
        </w:rPr>
        <w:br w:type="page"/>
      </w:r>
      <w:r>
        <w:rPr>
          <w:rFonts w:hint="eastAsia" w:ascii="黑体" w:hAnsi="黑体" w:eastAsia="黑体" w:cs="黑体"/>
          <w:color w:val="auto"/>
          <w:sz w:val="32"/>
          <w:szCs w:val="40"/>
          <w:highlight w:val="none"/>
        </w:rPr>
        <w:t>第5部分  技术响应方案</w:t>
      </w:r>
    </w:p>
    <w:p w14:paraId="76DEECF4">
      <w:pPr>
        <w:overflowPunct w:val="0"/>
        <w:topLinePunct/>
        <w:spacing w:line="560" w:lineRule="exact"/>
        <w:ind w:firstLine="56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5.1 技术条款偏离表</w:t>
      </w:r>
    </w:p>
    <w:tbl>
      <w:tblPr>
        <w:tblStyle w:val="4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740"/>
        <w:gridCol w:w="2798"/>
        <w:gridCol w:w="1152"/>
        <w:gridCol w:w="1154"/>
      </w:tblGrid>
      <w:tr w14:paraId="5FA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5" w:type="dxa"/>
            <w:noWrap w:val="0"/>
            <w:vAlign w:val="center"/>
          </w:tcPr>
          <w:p w14:paraId="3A115A9E">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序号</w:t>
            </w:r>
          </w:p>
        </w:tc>
        <w:tc>
          <w:tcPr>
            <w:tcW w:w="2740" w:type="dxa"/>
            <w:noWrap w:val="0"/>
            <w:vAlign w:val="center"/>
          </w:tcPr>
          <w:p w14:paraId="2BAA5FCD">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采购要求</w:t>
            </w:r>
          </w:p>
        </w:tc>
        <w:tc>
          <w:tcPr>
            <w:tcW w:w="2798" w:type="dxa"/>
            <w:noWrap w:val="0"/>
            <w:vAlign w:val="center"/>
          </w:tcPr>
          <w:p w14:paraId="250F67D0">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磋商响应</w:t>
            </w:r>
          </w:p>
        </w:tc>
        <w:tc>
          <w:tcPr>
            <w:tcW w:w="1152" w:type="dxa"/>
            <w:noWrap w:val="0"/>
            <w:vAlign w:val="center"/>
          </w:tcPr>
          <w:p w14:paraId="0016AB5F">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偏离</w:t>
            </w:r>
          </w:p>
        </w:tc>
        <w:tc>
          <w:tcPr>
            <w:tcW w:w="1154" w:type="dxa"/>
            <w:noWrap w:val="0"/>
            <w:vAlign w:val="center"/>
          </w:tcPr>
          <w:p w14:paraId="01A63156">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说明</w:t>
            </w:r>
          </w:p>
        </w:tc>
      </w:tr>
      <w:tr w14:paraId="18EF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5" w:type="dxa"/>
            <w:noWrap w:val="0"/>
            <w:vAlign w:val="top"/>
          </w:tcPr>
          <w:p w14:paraId="1D8BB4DD">
            <w:pPr>
              <w:overflowPunct w:val="0"/>
              <w:topLinePunct/>
              <w:spacing w:line="560" w:lineRule="exact"/>
              <w:rPr>
                <w:rFonts w:hint="eastAsia" w:ascii="仿宋" w:hAnsi="仿宋" w:eastAsia="仿宋" w:cs="宋体-18030"/>
                <w:color w:val="auto"/>
                <w:highlight w:val="none"/>
              </w:rPr>
            </w:pPr>
          </w:p>
        </w:tc>
        <w:tc>
          <w:tcPr>
            <w:tcW w:w="2740" w:type="dxa"/>
            <w:noWrap w:val="0"/>
            <w:vAlign w:val="top"/>
          </w:tcPr>
          <w:p w14:paraId="38F07C00">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3381C57D">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1F46198A">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041090FE">
            <w:pPr>
              <w:overflowPunct w:val="0"/>
              <w:topLinePunct/>
              <w:spacing w:line="560" w:lineRule="exact"/>
              <w:ind w:firstLine="560" w:firstLineChars="200"/>
              <w:rPr>
                <w:rFonts w:hint="eastAsia" w:ascii="仿宋" w:hAnsi="仿宋" w:eastAsia="仿宋" w:cs="宋体-18030"/>
                <w:color w:val="auto"/>
                <w:highlight w:val="none"/>
              </w:rPr>
            </w:pPr>
          </w:p>
        </w:tc>
      </w:tr>
      <w:tr w14:paraId="1E32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085B323F">
            <w:pPr>
              <w:overflowPunct w:val="0"/>
              <w:topLinePunct/>
              <w:spacing w:line="560" w:lineRule="exact"/>
              <w:rPr>
                <w:rFonts w:ascii="仿宋" w:hAnsi="仿宋" w:eastAsia="仿宋" w:cs="宋体-18030"/>
                <w:color w:val="auto"/>
                <w:highlight w:val="none"/>
              </w:rPr>
            </w:pPr>
          </w:p>
        </w:tc>
        <w:tc>
          <w:tcPr>
            <w:tcW w:w="2740" w:type="dxa"/>
            <w:noWrap w:val="0"/>
            <w:vAlign w:val="top"/>
          </w:tcPr>
          <w:p w14:paraId="4571F2ED">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75E19101">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66F910AE">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24009F39">
            <w:pPr>
              <w:overflowPunct w:val="0"/>
              <w:topLinePunct/>
              <w:spacing w:line="560" w:lineRule="exact"/>
              <w:ind w:firstLine="560" w:firstLineChars="200"/>
              <w:rPr>
                <w:rFonts w:hint="eastAsia" w:ascii="仿宋" w:hAnsi="仿宋" w:eastAsia="仿宋" w:cs="宋体-18030"/>
                <w:color w:val="auto"/>
                <w:highlight w:val="none"/>
              </w:rPr>
            </w:pPr>
          </w:p>
        </w:tc>
      </w:tr>
      <w:tr w14:paraId="477F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32B67862">
            <w:pPr>
              <w:overflowPunct w:val="0"/>
              <w:topLinePunct/>
              <w:spacing w:line="560" w:lineRule="exact"/>
              <w:rPr>
                <w:rFonts w:ascii="仿宋" w:hAnsi="仿宋" w:eastAsia="仿宋" w:cs="宋体-18030"/>
                <w:color w:val="auto"/>
                <w:highlight w:val="none"/>
              </w:rPr>
            </w:pPr>
          </w:p>
        </w:tc>
        <w:tc>
          <w:tcPr>
            <w:tcW w:w="2740" w:type="dxa"/>
            <w:noWrap w:val="0"/>
            <w:vAlign w:val="top"/>
          </w:tcPr>
          <w:p w14:paraId="7CF7AE8C">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74A2CC28">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5725752F">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654AB1AE">
            <w:pPr>
              <w:overflowPunct w:val="0"/>
              <w:topLinePunct/>
              <w:spacing w:line="560" w:lineRule="exact"/>
              <w:ind w:firstLine="560" w:firstLineChars="200"/>
              <w:rPr>
                <w:rFonts w:hint="eastAsia" w:ascii="仿宋" w:hAnsi="仿宋" w:eastAsia="仿宋" w:cs="宋体-18030"/>
                <w:color w:val="auto"/>
                <w:highlight w:val="none"/>
              </w:rPr>
            </w:pPr>
          </w:p>
        </w:tc>
      </w:tr>
      <w:tr w14:paraId="62F0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2236CDF6">
            <w:pPr>
              <w:overflowPunct w:val="0"/>
              <w:topLinePunct/>
              <w:spacing w:line="560" w:lineRule="exact"/>
              <w:rPr>
                <w:rFonts w:ascii="仿宋" w:hAnsi="仿宋" w:eastAsia="仿宋" w:cs="宋体-18030"/>
                <w:color w:val="auto"/>
                <w:highlight w:val="none"/>
              </w:rPr>
            </w:pPr>
          </w:p>
        </w:tc>
        <w:tc>
          <w:tcPr>
            <w:tcW w:w="2740" w:type="dxa"/>
            <w:noWrap w:val="0"/>
            <w:vAlign w:val="top"/>
          </w:tcPr>
          <w:p w14:paraId="2DE57B7A">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506B3DF2">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18564E24">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40D6A13C">
            <w:pPr>
              <w:overflowPunct w:val="0"/>
              <w:topLinePunct/>
              <w:spacing w:line="560" w:lineRule="exact"/>
              <w:ind w:firstLine="560" w:firstLineChars="200"/>
              <w:rPr>
                <w:rFonts w:hint="eastAsia" w:ascii="仿宋" w:hAnsi="仿宋" w:eastAsia="仿宋" w:cs="宋体-18030"/>
                <w:color w:val="auto"/>
                <w:highlight w:val="none"/>
              </w:rPr>
            </w:pPr>
          </w:p>
        </w:tc>
      </w:tr>
      <w:tr w14:paraId="11EB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6CAED8E0">
            <w:pPr>
              <w:overflowPunct w:val="0"/>
              <w:topLinePunct/>
              <w:spacing w:line="560" w:lineRule="exact"/>
              <w:rPr>
                <w:rFonts w:ascii="仿宋" w:hAnsi="仿宋" w:eastAsia="仿宋" w:cs="宋体-18030"/>
                <w:color w:val="auto"/>
                <w:highlight w:val="none"/>
              </w:rPr>
            </w:pPr>
          </w:p>
        </w:tc>
        <w:tc>
          <w:tcPr>
            <w:tcW w:w="2740" w:type="dxa"/>
            <w:noWrap w:val="0"/>
            <w:vAlign w:val="top"/>
          </w:tcPr>
          <w:p w14:paraId="43BA9A8F">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5BEA4B8E">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09F289F9">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79B5F9B9">
            <w:pPr>
              <w:overflowPunct w:val="0"/>
              <w:topLinePunct/>
              <w:spacing w:line="560" w:lineRule="exact"/>
              <w:ind w:firstLine="560" w:firstLineChars="200"/>
              <w:rPr>
                <w:rFonts w:hint="eastAsia" w:ascii="仿宋" w:hAnsi="仿宋" w:eastAsia="仿宋" w:cs="宋体-18030"/>
                <w:color w:val="auto"/>
                <w:highlight w:val="none"/>
              </w:rPr>
            </w:pPr>
          </w:p>
        </w:tc>
      </w:tr>
      <w:tr w14:paraId="13A2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1C3758EC">
            <w:pPr>
              <w:overflowPunct w:val="0"/>
              <w:topLinePunct/>
              <w:spacing w:line="560" w:lineRule="exact"/>
              <w:rPr>
                <w:rFonts w:ascii="仿宋" w:hAnsi="仿宋" w:eastAsia="仿宋" w:cs="宋体-18030"/>
                <w:color w:val="auto"/>
                <w:highlight w:val="none"/>
              </w:rPr>
            </w:pPr>
          </w:p>
        </w:tc>
        <w:tc>
          <w:tcPr>
            <w:tcW w:w="2740" w:type="dxa"/>
            <w:noWrap w:val="0"/>
            <w:vAlign w:val="top"/>
          </w:tcPr>
          <w:p w14:paraId="6473B9C3">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4EDD8AB0">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58D1BB67">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2A409E24">
            <w:pPr>
              <w:overflowPunct w:val="0"/>
              <w:topLinePunct/>
              <w:spacing w:line="560" w:lineRule="exact"/>
              <w:ind w:firstLine="560" w:firstLineChars="200"/>
              <w:rPr>
                <w:rFonts w:hint="eastAsia" w:ascii="仿宋" w:hAnsi="仿宋" w:eastAsia="仿宋" w:cs="宋体-18030"/>
                <w:color w:val="auto"/>
                <w:highlight w:val="none"/>
              </w:rPr>
            </w:pPr>
          </w:p>
        </w:tc>
      </w:tr>
      <w:tr w14:paraId="488A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4526E2ED">
            <w:pPr>
              <w:overflowPunct w:val="0"/>
              <w:topLinePunct/>
              <w:spacing w:line="560" w:lineRule="exact"/>
              <w:rPr>
                <w:rFonts w:ascii="仿宋" w:hAnsi="仿宋" w:eastAsia="仿宋" w:cs="宋体-18030"/>
                <w:color w:val="auto"/>
                <w:highlight w:val="none"/>
              </w:rPr>
            </w:pPr>
          </w:p>
        </w:tc>
        <w:tc>
          <w:tcPr>
            <w:tcW w:w="2740" w:type="dxa"/>
            <w:noWrap w:val="0"/>
            <w:vAlign w:val="top"/>
          </w:tcPr>
          <w:p w14:paraId="23D01CB8">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54582164">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098F9386">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0F715686">
            <w:pPr>
              <w:overflowPunct w:val="0"/>
              <w:topLinePunct/>
              <w:spacing w:line="560" w:lineRule="exact"/>
              <w:ind w:firstLine="560" w:firstLineChars="200"/>
              <w:rPr>
                <w:rFonts w:hint="eastAsia" w:ascii="仿宋" w:hAnsi="仿宋" w:eastAsia="仿宋" w:cs="宋体-18030"/>
                <w:color w:val="auto"/>
                <w:highlight w:val="none"/>
              </w:rPr>
            </w:pPr>
          </w:p>
        </w:tc>
      </w:tr>
      <w:tr w14:paraId="6B1D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45DF591E">
            <w:pPr>
              <w:overflowPunct w:val="0"/>
              <w:topLinePunct/>
              <w:spacing w:line="560" w:lineRule="exact"/>
              <w:rPr>
                <w:rFonts w:ascii="仿宋" w:hAnsi="仿宋" w:eastAsia="仿宋" w:cs="宋体-18030"/>
                <w:color w:val="auto"/>
                <w:highlight w:val="none"/>
              </w:rPr>
            </w:pPr>
          </w:p>
        </w:tc>
        <w:tc>
          <w:tcPr>
            <w:tcW w:w="2740" w:type="dxa"/>
            <w:noWrap w:val="0"/>
            <w:vAlign w:val="top"/>
          </w:tcPr>
          <w:p w14:paraId="38DD2E9B">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322AC40F">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1CC2C086">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241C3AB5">
            <w:pPr>
              <w:overflowPunct w:val="0"/>
              <w:topLinePunct/>
              <w:spacing w:line="560" w:lineRule="exact"/>
              <w:ind w:firstLine="560" w:firstLineChars="200"/>
              <w:rPr>
                <w:rFonts w:hint="eastAsia" w:ascii="仿宋" w:hAnsi="仿宋" w:eastAsia="仿宋" w:cs="宋体-18030"/>
                <w:color w:val="auto"/>
                <w:highlight w:val="none"/>
              </w:rPr>
            </w:pPr>
          </w:p>
        </w:tc>
      </w:tr>
      <w:tr w14:paraId="08E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58EEEBB3">
            <w:pPr>
              <w:overflowPunct w:val="0"/>
              <w:topLinePunct/>
              <w:spacing w:line="560" w:lineRule="exact"/>
              <w:rPr>
                <w:rFonts w:ascii="仿宋" w:hAnsi="仿宋" w:eastAsia="仿宋" w:cs="宋体-18030"/>
                <w:color w:val="auto"/>
                <w:highlight w:val="none"/>
              </w:rPr>
            </w:pPr>
          </w:p>
        </w:tc>
        <w:tc>
          <w:tcPr>
            <w:tcW w:w="2740" w:type="dxa"/>
            <w:noWrap w:val="0"/>
            <w:vAlign w:val="top"/>
          </w:tcPr>
          <w:p w14:paraId="2A62F414">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0B072F96">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0EB82F80">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7603E44B">
            <w:pPr>
              <w:overflowPunct w:val="0"/>
              <w:topLinePunct/>
              <w:spacing w:line="560" w:lineRule="exact"/>
              <w:ind w:firstLine="560" w:firstLineChars="200"/>
              <w:rPr>
                <w:rFonts w:hint="eastAsia" w:ascii="仿宋" w:hAnsi="仿宋" w:eastAsia="仿宋" w:cs="宋体-18030"/>
                <w:color w:val="auto"/>
                <w:highlight w:val="none"/>
              </w:rPr>
            </w:pPr>
          </w:p>
        </w:tc>
      </w:tr>
      <w:tr w14:paraId="0B86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6EBE7488">
            <w:pPr>
              <w:overflowPunct w:val="0"/>
              <w:topLinePunct/>
              <w:spacing w:line="560" w:lineRule="exact"/>
              <w:rPr>
                <w:rFonts w:ascii="仿宋" w:hAnsi="仿宋" w:eastAsia="仿宋" w:cs="宋体-18030"/>
                <w:color w:val="auto"/>
                <w:highlight w:val="none"/>
              </w:rPr>
            </w:pPr>
          </w:p>
        </w:tc>
        <w:tc>
          <w:tcPr>
            <w:tcW w:w="2740" w:type="dxa"/>
            <w:noWrap w:val="0"/>
            <w:vAlign w:val="top"/>
          </w:tcPr>
          <w:p w14:paraId="34801B38">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629DE6D6">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7A8AFCDF">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725FF900">
            <w:pPr>
              <w:overflowPunct w:val="0"/>
              <w:topLinePunct/>
              <w:spacing w:line="560" w:lineRule="exact"/>
              <w:ind w:firstLine="560" w:firstLineChars="200"/>
              <w:rPr>
                <w:rFonts w:hint="eastAsia" w:ascii="仿宋" w:hAnsi="仿宋" w:eastAsia="仿宋" w:cs="宋体-18030"/>
                <w:color w:val="auto"/>
                <w:highlight w:val="none"/>
              </w:rPr>
            </w:pPr>
          </w:p>
        </w:tc>
      </w:tr>
      <w:tr w14:paraId="3FBA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305D3747">
            <w:pPr>
              <w:overflowPunct w:val="0"/>
              <w:topLinePunct/>
              <w:spacing w:line="560" w:lineRule="exact"/>
              <w:rPr>
                <w:rFonts w:ascii="仿宋" w:hAnsi="仿宋" w:eastAsia="仿宋" w:cs="宋体-18030"/>
                <w:color w:val="auto"/>
                <w:highlight w:val="none"/>
              </w:rPr>
            </w:pPr>
          </w:p>
        </w:tc>
        <w:tc>
          <w:tcPr>
            <w:tcW w:w="2740" w:type="dxa"/>
            <w:noWrap w:val="0"/>
            <w:vAlign w:val="top"/>
          </w:tcPr>
          <w:p w14:paraId="326D9F89">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70F25627">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35D6596C">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4773D426">
            <w:pPr>
              <w:overflowPunct w:val="0"/>
              <w:topLinePunct/>
              <w:spacing w:line="560" w:lineRule="exact"/>
              <w:ind w:firstLine="560" w:firstLineChars="200"/>
              <w:rPr>
                <w:rFonts w:hint="eastAsia" w:ascii="仿宋" w:hAnsi="仿宋" w:eastAsia="仿宋" w:cs="宋体-18030"/>
                <w:color w:val="auto"/>
                <w:highlight w:val="none"/>
              </w:rPr>
            </w:pPr>
          </w:p>
        </w:tc>
      </w:tr>
      <w:tr w14:paraId="655B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5EEEB924">
            <w:pPr>
              <w:overflowPunct w:val="0"/>
              <w:topLinePunct/>
              <w:spacing w:line="560" w:lineRule="exact"/>
              <w:rPr>
                <w:rFonts w:ascii="仿宋" w:hAnsi="仿宋" w:eastAsia="仿宋" w:cs="宋体-18030"/>
                <w:color w:val="auto"/>
                <w:highlight w:val="none"/>
              </w:rPr>
            </w:pPr>
          </w:p>
        </w:tc>
        <w:tc>
          <w:tcPr>
            <w:tcW w:w="2740" w:type="dxa"/>
            <w:noWrap w:val="0"/>
            <w:vAlign w:val="top"/>
          </w:tcPr>
          <w:p w14:paraId="211987FF">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2504F79A">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431CCF23">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12A73305">
            <w:pPr>
              <w:overflowPunct w:val="0"/>
              <w:topLinePunct/>
              <w:spacing w:line="560" w:lineRule="exact"/>
              <w:ind w:firstLine="560" w:firstLineChars="200"/>
              <w:rPr>
                <w:rFonts w:hint="eastAsia" w:ascii="仿宋" w:hAnsi="仿宋" w:eastAsia="仿宋" w:cs="宋体-18030"/>
                <w:color w:val="auto"/>
                <w:highlight w:val="none"/>
              </w:rPr>
            </w:pPr>
          </w:p>
        </w:tc>
      </w:tr>
      <w:tr w14:paraId="0DE1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5" w:type="dxa"/>
            <w:noWrap w:val="0"/>
            <w:vAlign w:val="top"/>
          </w:tcPr>
          <w:p w14:paraId="53D92C07">
            <w:pPr>
              <w:overflowPunct w:val="0"/>
              <w:topLinePunct/>
              <w:spacing w:line="560" w:lineRule="exact"/>
              <w:rPr>
                <w:rFonts w:ascii="仿宋" w:hAnsi="仿宋" w:eastAsia="仿宋" w:cs="宋体-18030"/>
                <w:color w:val="auto"/>
                <w:highlight w:val="none"/>
              </w:rPr>
            </w:pPr>
          </w:p>
        </w:tc>
        <w:tc>
          <w:tcPr>
            <w:tcW w:w="2740" w:type="dxa"/>
            <w:noWrap w:val="0"/>
            <w:vAlign w:val="top"/>
          </w:tcPr>
          <w:p w14:paraId="65524773">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29CF0FF0">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2D899F9A">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777D4108">
            <w:pPr>
              <w:overflowPunct w:val="0"/>
              <w:topLinePunct/>
              <w:spacing w:line="560" w:lineRule="exact"/>
              <w:ind w:firstLine="560" w:firstLineChars="200"/>
              <w:rPr>
                <w:rFonts w:hint="eastAsia" w:ascii="仿宋" w:hAnsi="仿宋" w:eastAsia="仿宋" w:cs="宋体-18030"/>
                <w:color w:val="auto"/>
                <w:highlight w:val="none"/>
              </w:rPr>
            </w:pPr>
          </w:p>
        </w:tc>
      </w:tr>
      <w:tr w14:paraId="4EBC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5" w:type="dxa"/>
            <w:noWrap w:val="0"/>
            <w:vAlign w:val="top"/>
          </w:tcPr>
          <w:p w14:paraId="5C2758D3">
            <w:pPr>
              <w:overflowPunct w:val="0"/>
              <w:topLinePunct/>
              <w:spacing w:line="560" w:lineRule="exact"/>
              <w:rPr>
                <w:rFonts w:ascii="仿宋" w:hAnsi="仿宋" w:eastAsia="仿宋" w:cs="宋体-18030"/>
                <w:color w:val="auto"/>
                <w:highlight w:val="none"/>
              </w:rPr>
            </w:pPr>
          </w:p>
        </w:tc>
        <w:tc>
          <w:tcPr>
            <w:tcW w:w="2740" w:type="dxa"/>
            <w:noWrap w:val="0"/>
            <w:vAlign w:val="top"/>
          </w:tcPr>
          <w:p w14:paraId="7080C4BE">
            <w:pPr>
              <w:overflowPunct w:val="0"/>
              <w:topLinePunct/>
              <w:spacing w:line="560" w:lineRule="exact"/>
              <w:ind w:firstLine="560" w:firstLineChars="200"/>
              <w:rPr>
                <w:rFonts w:hint="eastAsia" w:ascii="仿宋" w:hAnsi="仿宋" w:eastAsia="仿宋" w:cs="宋体-18030"/>
                <w:color w:val="auto"/>
                <w:highlight w:val="none"/>
              </w:rPr>
            </w:pPr>
          </w:p>
        </w:tc>
        <w:tc>
          <w:tcPr>
            <w:tcW w:w="2798" w:type="dxa"/>
            <w:noWrap w:val="0"/>
            <w:vAlign w:val="top"/>
          </w:tcPr>
          <w:p w14:paraId="1FD3797A">
            <w:pPr>
              <w:overflowPunct w:val="0"/>
              <w:topLinePunct/>
              <w:spacing w:line="560" w:lineRule="exact"/>
              <w:ind w:firstLine="560" w:firstLineChars="200"/>
              <w:rPr>
                <w:rFonts w:hint="eastAsia" w:ascii="仿宋" w:hAnsi="仿宋" w:eastAsia="仿宋" w:cs="宋体-18030"/>
                <w:color w:val="auto"/>
                <w:highlight w:val="none"/>
              </w:rPr>
            </w:pPr>
          </w:p>
        </w:tc>
        <w:tc>
          <w:tcPr>
            <w:tcW w:w="1152" w:type="dxa"/>
            <w:noWrap w:val="0"/>
            <w:vAlign w:val="top"/>
          </w:tcPr>
          <w:p w14:paraId="4EEC5ECB">
            <w:pPr>
              <w:overflowPunct w:val="0"/>
              <w:topLinePunct/>
              <w:spacing w:line="560" w:lineRule="exact"/>
              <w:ind w:firstLine="560" w:firstLineChars="200"/>
              <w:rPr>
                <w:rFonts w:hint="eastAsia" w:ascii="仿宋" w:hAnsi="仿宋" w:eastAsia="仿宋" w:cs="宋体-18030"/>
                <w:color w:val="auto"/>
                <w:highlight w:val="none"/>
              </w:rPr>
            </w:pPr>
          </w:p>
        </w:tc>
        <w:tc>
          <w:tcPr>
            <w:tcW w:w="1154" w:type="dxa"/>
            <w:noWrap w:val="0"/>
            <w:vAlign w:val="top"/>
          </w:tcPr>
          <w:p w14:paraId="6DE6E235">
            <w:pPr>
              <w:overflowPunct w:val="0"/>
              <w:topLinePunct/>
              <w:spacing w:line="560" w:lineRule="exact"/>
              <w:ind w:firstLine="560" w:firstLineChars="200"/>
              <w:rPr>
                <w:rFonts w:hint="eastAsia" w:ascii="仿宋" w:hAnsi="仿宋" w:eastAsia="仿宋" w:cs="宋体-18030"/>
                <w:color w:val="auto"/>
                <w:highlight w:val="none"/>
              </w:rPr>
            </w:pPr>
          </w:p>
        </w:tc>
      </w:tr>
    </w:tbl>
    <w:p w14:paraId="6444CF5B">
      <w:pPr>
        <w:overflowPunct w:val="0"/>
        <w:topLinePunct/>
        <w:spacing w:line="560" w:lineRule="exact"/>
        <w:ind w:firstLine="482" w:firstLineChars="200"/>
        <w:rPr>
          <w:rFonts w:hint="eastAsia" w:ascii="仿宋" w:hAnsi="仿宋" w:eastAsia="仿宋" w:cs="宋体-18030"/>
          <w:color w:val="auto"/>
          <w:highlight w:val="none"/>
        </w:rPr>
      </w:pPr>
      <w:r>
        <w:rPr>
          <w:rFonts w:hint="eastAsia" w:ascii="仿宋" w:hAnsi="仿宋" w:eastAsia="仿宋" w:cs="宋体-18030"/>
          <w:b/>
          <w:bCs/>
          <w:color w:val="auto"/>
          <w:sz w:val="24"/>
          <w:szCs w:val="24"/>
          <w:highlight w:val="none"/>
        </w:rPr>
        <w:t>声明：除本技术</w:t>
      </w:r>
      <w:r>
        <w:rPr>
          <w:rFonts w:hint="eastAsia" w:ascii="仿宋" w:hAnsi="仿宋" w:eastAsia="仿宋" w:cs="宋体-18030"/>
          <w:b/>
          <w:bCs/>
          <w:color w:val="auto"/>
          <w:sz w:val="24"/>
          <w:szCs w:val="24"/>
          <w:highlight w:val="none"/>
          <w:lang w:val="en-US" w:eastAsia="zh-CN"/>
        </w:rPr>
        <w:t>条款</w:t>
      </w:r>
      <w:r>
        <w:rPr>
          <w:rFonts w:hint="eastAsia" w:ascii="仿宋" w:hAnsi="仿宋" w:eastAsia="仿宋" w:cs="宋体-18030"/>
          <w:b/>
          <w:bCs/>
          <w:color w:val="auto"/>
          <w:sz w:val="24"/>
          <w:szCs w:val="24"/>
          <w:highlight w:val="none"/>
        </w:rPr>
        <w:t>偏离表所列的偏离项目外，我公司声明其他所有技术条款均完全响应竞争性磋商文件中的要求。</w:t>
      </w:r>
    </w:p>
    <w:p w14:paraId="2629A592">
      <w:pPr>
        <w:overflowPunct w:val="0"/>
        <w:topLinePunct/>
        <w:spacing w:line="560" w:lineRule="exact"/>
        <w:ind w:firstLine="560" w:firstLineChars="200"/>
        <w:rPr>
          <w:rFonts w:hint="eastAsia" w:ascii="仿宋" w:hAnsi="仿宋" w:eastAsia="仿宋" w:cs="宋体-18030"/>
          <w:color w:val="auto"/>
          <w:highlight w:val="none"/>
          <w:u w:val="single"/>
        </w:rPr>
      </w:pPr>
      <w:r>
        <w:rPr>
          <w:rFonts w:hint="eastAsia" w:ascii="仿宋" w:hAnsi="仿宋" w:eastAsia="仿宋" w:cs="宋体-18030"/>
          <w:color w:val="auto"/>
          <w:highlight w:val="none"/>
        </w:rPr>
        <w:t>供应商(盖章):</w:t>
      </w:r>
      <w:r>
        <w:rPr>
          <w:rFonts w:hint="eastAsia" w:ascii="仿宋" w:hAnsi="仿宋" w:eastAsia="仿宋" w:cs="宋体-18030"/>
          <w:color w:val="auto"/>
          <w:highlight w:val="none"/>
          <w:u w:val="single"/>
        </w:rPr>
        <w:t xml:space="preserve">                  </w:t>
      </w:r>
    </w:p>
    <w:p w14:paraId="303EEB56">
      <w:pPr>
        <w:tabs>
          <w:tab w:val="left" w:pos="1470"/>
        </w:tabs>
        <w:spacing w:line="560" w:lineRule="exact"/>
        <w:ind w:firstLine="560" w:firstLineChars="200"/>
        <w:rPr>
          <w:rFonts w:hint="eastAsia" w:ascii="仿宋" w:hAnsi="仿宋" w:eastAsia="仿宋" w:cs="宋体-18030"/>
          <w:color w:val="auto"/>
          <w:highlight w:val="none"/>
          <w:u w:val="single"/>
        </w:rPr>
      </w:pPr>
      <w:r>
        <w:rPr>
          <w:rFonts w:hint="eastAsia" w:ascii="仿宋" w:hAnsi="仿宋" w:eastAsia="仿宋" w:cs="宋体-18030"/>
          <w:color w:val="auto"/>
          <w:highlight w:val="none"/>
        </w:rPr>
        <w:t xml:space="preserve">法定代表人或授权代表（签字或签章）: </w:t>
      </w:r>
      <w:r>
        <w:rPr>
          <w:rFonts w:hint="eastAsia" w:ascii="仿宋" w:hAnsi="仿宋" w:eastAsia="仿宋" w:cs="宋体-18030"/>
          <w:color w:val="auto"/>
          <w:highlight w:val="none"/>
          <w:u w:val="single"/>
        </w:rPr>
        <w:t xml:space="preserve">                 </w:t>
      </w:r>
    </w:p>
    <w:p w14:paraId="72CE011C">
      <w:pPr>
        <w:pStyle w:val="19"/>
        <w:spacing w:line="560" w:lineRule="exact"/>
        <w:ind w:firstLine="560" w:firstLineChars="200"/>
        <w:rPr>
          <w:rFonts w:hint="eastAsia"/>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25E1D327">
      <w:pPr>
        <w:rPr>
          <w:rFonts w:hint="eastAsia" w:ascii="仿宋" w:hAnsi="仿宋" w:eastAsia="仿宋"/>
          <w:b/>
          <w:bCs/>
          <w:color w:val="auto"/>
          <w:highlight w:val="none"/>
        </w:rPr>
      </w:pPr>
      <w:r>
        <w:rPr>
          <w:rFonts w:hint="eastAsia" w:ascii="仿宋" w:hAnsi="仿宋" w:eastAsia="仿宋"/>
          <w:b/>
          <w:bCs/>
          <w:color w:val="auto"/>
          <w:highlight w:val="none"/>
        </w:rPr>
        <w:br w:type="page"/>
      </w:r>
    </w:p>
    <w:p w14:paraId="611F9CD4">
      <w:pPr>
        <w:tabs>
          <w:tab w:val="left" w:pos="1470"/>
        </w:tabs>
        <w:spacing w:line="560" w:lineRule="exact"/>
        <w:ind w:firstLine="562" w:firstLineChars="200"/>
        <w:rPr>
          <w:rFonts w:hint="eastAsia" w:ascii="仿宋" w:hAnsi="仿宋" w:eastAsia="仿宋"/>
          <w:color w:val="auto"/>
          <w:highlight w:val="none"/>
        </w:rPr>
      </w:pPr>
      <w:r>
        <w:rPr>
          <w:rFonts w:hint="eastAsia" w:ascii="仿宋" w:hAnsi="仿宋" w:eastAsia="仿宋"/>
          <w:b/>
          <w:bCs/>
          <w:color w:val="auto"/>
          <w:highlight w:val="none"/>
        </w:rPr>
        <w:t>5.2 项目人员配置</w:t>
      </w:r>
    </w:p>
    <w:tbl>
      <w:tblPr>
        <w:tblStyle w:val="4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87"/>
        <w:gridCol w:w="830"/>
        <w:gridCol w:w="1630"/>
        <w:gridCol w:w="1386"/>
        <w:gridCol w:w="2861"/>
      </w:tblGrid>
      <w:tr w14:paraId="2635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20" w:type="dxa"/>
            <w:gridSpan w:val="6"/>
            <w:tcBorders>
              <w:top w:val="single" w:color="auto" w:sz="4" w:space="0"/>
              <w:left w:val="single" w:color="auto" w:sz="4" w:space="0"/>
              <w:bottom w:val="single" w:color="auto" w:sz="4" w:space="0"/>
              <w:right w:val="single" w:color="auto" w:sz="4" w:space="0"/>
            </w:tcBorders>
            <w:noWrap w:val="0"/>
            <w:vAlign w:val="center"/>
          </w:tcPr>
          <w:p w14:paraId="587DEE50">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
                <w:bCs w:val="0"/>
                <w:color w:val="auto"/>
                <w:highlight w:val="none"/>
              </w:rPr>
              <w:t>项目实施人员名单</w:t>
            </w:r>
          </w:p>
        </w:tc>
      </w:tr>
      <w:tr w14:paraId="65E6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20" w:type="dxa"/>
            <w:gridSpan w:val="6"/>
            <w:tcBorders>
              <w:top w:val="single" w:color="auto" w:sz="4" w:space="0"/>
              <w:left w:val="single" w:color="auto" w:sz="4" w:space="0"/>
              <w:bottom w:val="single" w:color="auto" w:sz="4" w:space="0"/>
              <w:right w:val="single" w:color="auto" w:sz="4" w:space="0"/>
            </w:tcBorders>
            <w:noWrap w:val="0"/>
            <w:vAlign w:val="center"/>
          </w:tcPr>
          <w:p w14:paraId="3F68B9AB">
            <w:pPr>
              <w:overflowPunct w:val="0"/>
              <w:topLinePunct/>
              <w:spacing w:line="300" w:lineRule="exact"/>
              <w:jc w:val="both"/>
              <w:rPr>
                <w:rFonts w:ascii="仿宋" w:hAnsi="仿宋" w:eastAsia="仿宋"/>
                <w:bCs/>
                <w:color w:val="auto"/>
                <w:kern w:val="2"/>
                <w:highlight w:val="none"/>
              </w:rPr>
            </w:pPr>
            <w:r>
              <w:rPr>
                <w:rFonts w:hint="eastAsia" w:ascii="仿宋" w:hAnsi="仿宋" w:eastAsia="仿宋"/>
                <w:bCs/>
                <w:color w:val="auto"/>
                <w:highlight w:val="none"/>
              </w:rPr>
              <w:t>1.项目负责人</w:t>
            </w:r>
          </w:p>
        </w:tc>
      </w:tr>
      <w:tr w14:paraId="68F7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13331EF5">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姓名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7F6223F">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年龄</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9ABE198">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职务</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11DCF1D">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资格、职称</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6D3BFE2">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从业年限</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67C5BFC5">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主要工作业绩和经历</w:t>
            </w:r>
          </w:p>
        </w:tc>
      </w:tr>
      <w:tr w14:paraId="292F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50B935CA">
            <w:pPr>
              <w:overflowPunct w:val="0"/>
              <w:topLinePunct/>
              <w:spacing w:line="300" w:lineRule="exact"/>
              <w:jc w:val="both"/>
              <w:rPr>
                <w:rFonts w:ascii="仿宋" w:hAnsi="仿宋" w:eastAsia="仿宋"/>
                <w:bCs/>
                <w:color w:val="auto"/>
                <w:kern w:val="2"/>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0C9FD89">
            <w:pPr>
              <w:overflowPunct w:val="0"/>
              <w:topLinePunct/>
              <w:spacing w:line="300" w:lineRule="exact"/>
              <w:jc w:val="both"/>
              <w:rPr>
                <w:rFonts w:ascii="仿宋" w:hAnsi="仿宋" w:eastAsia="仿宋"/>
                <w:bCs/>
                <w:color w:val="auto"/>
                <w:kern w:val="2"/>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518E130F">
            <w:pPr>
              <w:overflowPunct w:val="0"/>
              <w:topLinePunct/>
              <w:spacing w:line="300" w:lineRule="exact"/>
              <w:jc w:val="both"/>
              <w:rPr>
                <w:rFonts w:ascii="仿宋" w:hAnsi="仿宋" w:eastAsia="仿宋"/>
                <w:bCs/>
                <w:color w:val="auto"/>
                <w:kern w:val="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65EE04FE">
            <w:pPr>
              <w:overflowPunct w:val="0"/>
              <w:topLinePunct/>
              <w:spacing w:line="300" w:lineRule="exact"/>
              <w:jc w:val="both"/>
              <w:rPr>
                <w:rFonts w:ascii="仿宋" w:hAnsi="仿宋" w:eastAsia="仿宋"/>
                <w:bCs/>
                <w:color w:val="auto"/>
                <w:kern w:val="2"/>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1A48D3F">
            <w:pPr>
              <w:overflowPunct w:val="0"/>
              <w:topLinePunct/>
              <w:spacing w:line="300" w:lineRule="exact"/>
              <w:jc w:val="both"/>
              <w:rPr>
                <w:rFonts w:ascii="仿宋" w:hAnsi="仿宋" w:eastAsia="仿宋"/>
                <w:bCs/>
                <w:color w:val="auto"/>
                <w:kern w:val="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14:paraId="01849771">
            <w:pPr>
              <w:overflowPunct w:val="0"/>
              <w:topLinePunct/>
              <w:spacing w:line="300" w:lineRule="exact"/>
              <w:jc w:val="both"/>
              <w:rPr>
                <w:rFonts w:ascii="仿宋" w:hAnsi="仿宋" w:eastAsia="仿宋"/>
                <w:bCs/>
                <w:color w:val="auto"/>
                <w:kern w:val="2"/>
                <w:highlight w:val="none"/>
              </w:rPr>
            </w:pPr>
          </w:p>
        </w:tc>
      </w:tr>
      <w:tr w14:paraId="2CFF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3470307A">
            <w:pPr>
              <w:overflowPunct w:val="0"/>
              <w:topLinePunct/>
              <w:spacing w:line="300" w:lineRule="exact"/>
              <w:jc w:val="both"/>
              <w:rPr>
                <w:rFonts w:ascii="仿宋" w:hAnsi="仿宋" w:eastAsia="仿宋"/>
                <w:bCs/>
                <w:color w:val="auto"/>
                <w:kern w:val="2"/>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E91DF31">
            <w:pPr>
              <w:overflowPunct w:val="0"/>
              <w:topLinePunct/>
              <w:spacing w:line="300" w:lineRule="exact"/>
              <w:jc w:val="both"/>
              <w:rPr>
                <w:rFonts w:ascii="仿宋" w:hAnsi="仿宋" w:eastAsia="仿宋"/>
                <w:bCs/>
                <w:color w:val="auto"/>
                <w:kern w:val="2"/>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A0A3353">
            <w:pPr>
              <w:overflowPunct w:val="0"/>
              <w:topLinePunct/>
              <w:spacing w:line="300" w:lineRule="exact"/>
              <w:jc w:val="both"/>
              <w:rPr>
                <w:rFonts w:ascii="仿宋" w:hAnsi="仿宋" w:eastAsia="仿宋"/>
                <w:bCs/>
                <w:color w:val="auto"/>
                <w:kern w:val="2"/>
                <w:highlight w:val="none"/>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29629B3">
            <w:pPr>
              <w:overflowPunct w:val="0"/>
              <w:topLinePunct/>
              <w:spacing w:line="300" w:lineRule="exact"/>
              <w:jc w:val="both"/>
              <w:rPr>
                <w:rFonts w:ascii="仿宋" w:hAnsi="仿宋" w:eastAsia="仿宋"/>
                <w:bCs/>
                <w:color w:val="auto"/>
                <w:kern w:val="2"/>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C2339A1">
            <w:pPr>
              <w:overflowPunct w:val="0"/>
              <w:topLinePunct/>
              <w:spacing w:line="300" w:lineRule="exact"/>
              <w:jc w:val="both"/>
              <w:rPr>
                <w:rFonts w:ascii="仿宋" w:hAnsi="仿宋" w:eastAsia="仿宋"/>
                <w:bCs/>
                <w:color w:val="auto"/>
                <w:kern w:val="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14:paraId="5BABB290">
            <w:pPr>
              <w:overflowPunct w:val="0"/>
              <w:topLinePunct/>
              <w:spacing w:line="300" w:lineRule="exact"/>
              <w:jc w:val="both"/>
              <w:rPr>
                <w:rFonts w:ascii="仿宋" w:hAnsi="仿宋" w:eastAsia="仿宋"/>
                <w:bCs/>
                <w:color w:val="auto"/>
                <w:kern w:val="2"/>
                <w:highlight w:val="none"/>
              </w:rPr>
            </w:pPr>
          </w:p>
        </w:tc>
      </w:tr>
      <w:tr w14:paraId="2247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20" w:type="dxa"/>
            <w:gridSpan w:val="6"/>
            <w:tcBorders>
              <w:top w:val="single" w:color="auto" w:sz="4" w:space="0"/>
              <w:left w:val="single" w:color="auto" w:sz="4" w:space="0"/>
              <w:bottom w:val="single" w:color="auto" w:sz="4" w:space="0"/>
              <w:right w:val="single" w:color="auto" w:sz="4" w:space="0"/>
            </w:tcBorders>
            <w:noWrap w:val="0"/>
            <w:vAlign w:val="center"/>
          </w:tcPr>
          <w:p w14:paraId="17D0BBA7">
            <w:pPr>
              <w:overflowPunct w:val="0"/>
              <w:topLinePunct/>
              <w:spacing w:line="300" w:lineRule="exact"/>
              <w:jc w:val="both"/>
              <w:rPr>
                <w:rFonts w:ascii="仿宋" w:hAnsi="仿宋" w:eastAsia="仿宋"/>
                <w:bCs/>
                <w:color w:val="auto"/>
                <w:kern w:val="2"/>
                <w:highlight w:val="none"/>
              </w:rPr>
            </w:pPr>
            <w:r>
              <w:rPr>
                <w:rFonts w:hint="eastAsia" w:ascii="仿宋" w:hAnsi="仿宋" w:eastAsia="仿宋"/>
                <w:bCs/>
                <w:color w:val="auto"/>
                <w:highlight w:val="none"/>
              </w:rPr>
              <w:t>2.技术人员</w:t>
            </w:r>
          </w:p>
        </w:tc>
      </w:tr>
      <w:tr w14:paraId="7C30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09020AD3">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姓名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E7F7AE7">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年龄</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31EF4C5B">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资格、职称</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C5FC76E">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从业年限</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6167FFA9">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主要工作业绩和经历</w:t>
            </w:r>
          </w:p>
        </w:tc>
      </w:tr>
      <w:tr w14:paraId="4417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29A05C81">
            <w:pPr>
              <w:overflowPunct w:val="0"/>
              <w:topLinePunct/>
              <w:spacing w:line="300" w:lineRule="exact"/>
              <w:jc w:val="both"/>
              <w:rPr>
                <w:rFonts w:ascii="仿宋" w:hAnsi="仿宋" w:eastAsia="仿宋"/>
                <w:bCs/>
                <w:color w:val="auto"/>
                <w:kern w:val="2"/>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379665F">
            <w:pPr>
              <w:overflowPunct w:val="0"/>
              <w:topLinePunct/>
              <w:spacing w:line="300" w:lineRule="exact"/>
              <w:jc w:val="both"/>
              <w:rPr>
                <w:rFonts w:ascii="仿宋" w:hAnsi="仿宋" w:eastAsia="仿宋"/>
                <w:bCs/>
                <w:color w:val="auto"/>
                <w:kern w:val="2"/>
                <w:highlight w:val="none"/>
              </w:rPr>
            </w:pP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3F6413ED">
            <w:pPr>
              <w:overflowPunct w:val="0"/>
              <w:topLinePunct/>
              <w:spacing w:line="300" w:lineRule="exact"/>
              <w:jc w:val="both"/>
              <w:rPr>
                <w:rFonts w:ascii="仿宋" w:hAnsi="仿宋" w:eastAsia="仿宋"/>
                <w:bCs/>
                <w:color w:val="auto"/>
                <w:kern w:val="2"/>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8983293">
            <w:pPr>
              <w:overflowPunct w:val="0"/>
              <w:topLinePunct/>
              <w:spacing w:line="300" w:lineRule="exact"/>
              <w:jc w:val="both"/>
              <w:rPr>
                <w:rFonts w:ascii="仿宋" w:hAnsi="仿宋" w:eastAsia="仿宋"/>
                <w:bCs/>
                <w:color w:val="auto"/>
                <w:kern w:val="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14:paraId="2EDE93A5">
            <w:pPr>
              <w:overflowPunct w:val="0"/>
              <w:topLinePunct/>
              <w:spacing w:line="300" w:lineRule="exact"/>
              <w:jc w:val="both"/>
              <w:rPr>
                <w:rFonts w:ascii="仿宋" w:hAnsi="仿宋" w:eastAsia="仿宋"/>
                <w:bCs/>
                <w:color w:val="auto"/>
                <w:kern w:val="2"/>
                <w:highlight w:val="none"/>
              </w:rPr>
            </w:pPr>
          </w:p>
        </w:tc>
      </w:tr>
      <w:tr w14:paraId="60A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1256493E">
            <w:pPr>
              <w:overflowPunct w:val="0"/>
              <w:topLinePunct/>
              <w:spacing w:line="300" w:lineRule="exact"/>
              <w:jc w:val="both"/>
              <w:rPr>
                <w:rFonts w:ascii="仿宋" w:hAnsi="仿宋" w:eastAsia="仿宋"/>
                <w:bCs/>
                <w:color w:val="auto"/>
                <w:kern w:val="2"/>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E7EE6D6">
            <w:pPr>
              <w:overflowPunct w:val="0"/>
              <w:topLinePunct/>
              <w:spacing w:line="300" w:lineRule="exact"/>
              <w:jc w:val="both"/>
              <w:rPr>
                <w:rFonts w:ascii="仿宋" w:hAnsi="仿宋" w:eastAsia="仿宋"/>
                <w:bCs/>
                <w:color w:val="auto"/>
                <w:kern w:val="2"/>
                <w:highlight w:val="none"/>
              </w:rPr>
            </w:pP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46963A13">
            <w:pPr>
              <w:overflowPunct w:val="0"/>
              <w:topLinePunct/>
              <w:spacing w:line="300" w:lineRule="exact"/>
              <w:jc w:val="both"/>
              <w:rPr>
                <w:rFonts w:ascii="仿宋" w:hAnsi="仿宋" w:eastAsia="仿宋"/>
                <w:bCs/>
                <w:color w:val="auto"/>
                <w:kern w:val="2"/>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0E459EA">
            <w:pPr>
              <w:overflowPunct w:val="0"/>
              <w:topLinePunct/>
              <w:spacing w:line="300" w:lineRule="exact"/>
              <w:jc w:val="both"/>
              <w:rPr>
                <w:rFonts w:ascii="仿宋" w:hAnsi="仿宋" w:eastAsia="仿宋"/>
                <w:bCs/>
                <w:color w:val="auto"/>
                <w:kern w:val="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14:paraId="7A7E03B7">
            <w:pPr>
              <w:overflowPunct w:val="0"/>
              <w:topLinePunct/>
              <w:spacing w:line="300" w:lineRule="exact"/>
              <w:jc w:val="both"/>
              <w:rPr>
                <w:rFonts w:ascii="仿宋" w:hAnsi="仿宋" w:eastAsia="仿宋"/>
                <w:bCs/>
                <w:color w:val="auto"/>
                <w:kern w:val="2"/>
                <w:highlight w:val="none"/>
              </w:rPr>
            </w:pPr>
          </w:p>
        </w:tc>
      </w:tr>
      <w:tr w14:paraId="708A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20" w:type="dxa"/>
            <w:gridSpan w:val="6"/>
            <w:tcBorders>
              <w:top w:val="single" w:color="auto" w:sz="4" w:space="0"/>
              <w:left w:val="single" w:color="auto" w:sz="4" w:space="0"/>
              <w:bottom w:val="single" w:color="auto" w:sz="4" w:space="0"/>
              <w:right w:val="single" w:color="auto" w:sz="4" w:space="0"/>
            </w:tcBorders>
            <w:noWrap w:val="0"/>
            <w:vAlign w:val="center"/>
          </w:tcPr>
          <w:p w14:paraId="071C910B">
            <w:pPr>
              <w:overflowPunct w:val="0"/>
              <w:topLinePunct/>
              <w:spacing w:line="300" w:lineRule="exact"/>
              <w:jc w:val="both"/>
              <w:rPr>
                <w:rFonts w:ascii="仿宋" w:hAnsi="仿宋" w:eastAsia="仿宋"/>
                <w:bCs/>
                <w:color w:val="auto"/>
                <w:kern w:val="2"/>
                <w:highlight w:val="none"/>
              </w:rPr>
            </w:pPr>
            <w:r>
              <w:rPr>
                <w:rFonts w:hint="eastAsia" w:ascii="仿宋" w:hAnsi="仿宋" w:eastAsia="仿宋"/>
                <w:bCs/>
                <w:color w:val="auto"/>
                <w:highlight w:val="none"/>
              </w:rPr>
              <w:t>3.辅助人员</w:t>
            </w:r>
          </w:p>
        </w:tc>
      </w:tr>
      <w:tr w14:paraId="0945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169C309E">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姓名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CCEF521">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年龄</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55C114ED">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学历/职称</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FDD697D">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工作年限</w:t>
            </w:r>
          </w:p>
        </w:tc>
        <w:tc>
          <w:tcPr>
            <w:tcW w:w="2861" w:type="dxa"/>
            <w:tcBorders>
              <w:top w:val="single" w:color="auto" w:sz="4" w:space="0"/>
              <w:left w:val="single" w:color="auto" w:sz="4" w:space="0"/>
              <w:bottom w:val="single" w:color="auto" w:sz="4" w:space="0"/>
              <w:right w:val="single" w:color="auto" w:sz="4" w:space="0"/>
            </w:tcBorders>
            <w:noWrap w:val="0"/>
            <w:vAlign w:val="center"/>
          </w:tcPr>
          <w:p w14:paraId="23D37EA5">
            <w:pPr>
              <w:overflowPunct w:val="0"/>
              <w:topLinePunct/>
              <w:spacing w:line="300" w:lineRule="exact"/>
              <w:jc w:val="center"/>
              <w:rPr>
                <w:rFonts w:ascii="仿宋" w:hAnsi="仿宋" w:eastAsia="仿宋"/>
                <w:bCs/>
                <w:color w:val="auto"/>
                <w:kern w:val="2"/>
                <w:highlight w:val="none"/>
              </w:rPr>
            </w:pPr>
            <w:r>
              <w:rPr>
                <w:rFonts w:hint="eastAsia" w:ascii="仿宋" w:hAnsi="仿宋" w:eastAsia="仿宋"/>
                <w:bCs/>
                <w:color w:val="auto"/>
                <w:highlight w:val="none"/>
              </w:rPr>
              <w:t>主要工作业绩和经历</w:t>
            </w:r>
          </w:p>
        </w:tc>
      </w:tr>
      <w:tr w14:paraId="5E5E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3B8E1D91">
            <w:pPr>
              <w:overflowPunct w:val="0"/>
              <w:topLinePunct/>
              <w:spacing w:line="300" w:lineRule="exact"/>
              <w:jc w:val="both"/>
              <w:rPr>
                <w:rFonts w:ascii="仿宋" w:hAnsi="仿宋" w:eastAsia="仿宋"/>
                <w:bCs/>
                <w:color w:val="auto"/>
                <w:kern w:val="2"/>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2D89B17">
            <w:pPr>
              <w:overflowPunct w:val="0"/>
              <w:topLinePunct/>
              <w:spacing w:line="300" w:lineRule="exact"/>
              <w:jc w:val="both"/>
              <w:rPr>
                <w:rFonts w:ascii="仿宋" w:hAnsi="仿宋" w:eastAsia="仿宋"/>
                <w:bCs/>
                <w:color w:val="auto"/>
                <w:kern w:val="2"/>
                <w:highlight w:val="none"/>
              </w:rPr>
            </w:pP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12C27CEC">
            <w:pPr>
              <w:overflowPunct w:val="0"/>
              <w:topLinePunct/>
              <w:spacing w:line="300" w:lineRule="exact"/>
              <w:jc w:val="both"/>
              <w:rPr>
                <w:rFonts w:ascii="仿宋" w:hAnsi="仿宋" w:eastAsia="仿宋"/>
                <w:bCs/>
                <w:color w:val="auto"/>
                <w:kern w:val="2"/>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1354E9B">
            <w:pPr>
              <w:overflowPunct w:val="0"/>
              <w:topLinePunct/>
              <w:spacing w:line="300" w:lineRule="exact"/>
              <w:jc w:val="both"/>
              <w:rPr>
                <w:rFonts w:ascii="仿宋" w:hAnsi="仿宋" w:eastAsia="仿宋"/>
                <w:bCs/>
                <w:color w:val="auto"/>
                <w:kern w:val="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14:paraId="6BC86DBE">
            <w:pPr>
              <w:overflowPunct w:val="0"/>
              <w:topLinePunct/>
              <w:spacing w:line="300" w:lineRule="exact"/>
              <w:jc w:val="both"/>
              <w:rPr>
                <w:rFonts w:ascii="仿宋" w:hAnsi="仿宋" w:eastAsia="仿宋"/>
                <w:bCs/>
                <w:color w:val="auto"/>
                <w:kern w:val="2"/>
                <w:highlight w:val="none"/>
              </w:rPr>
            </w:pPr>
          </w:p>
        </w:tc>
      </w:tr>
      <w:tr w14:paraId="5BD7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5230F87F">
            <w:pPr>
              <w:overflowPunct w:val="0"/>
              <w:topLinePunct/>
              <w:spacing w:line="300" w:lineRule="exact"/>
              <w:jc w:val="both"/>
              <w:rPr>
                <w:rFonts w:ascii="仿宋" w:hAnsi="仿宋" w:eastAsia="仿宋"/>
                <w:bCs/>
                <w:color w:val="auto"/>
                <w:kern w:val="2"/>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C8168AA">
            <w:pPr>
              <w:overflowPunct w:val="0"/>
              <w:topLinePunct/>
              <w:spacing w:line="300" w:lineRule="exact"/>
              <w:jc w:val="both"/>
              <w:rPr>
                <w:rFonts w:ascii="仿宋" w:hAnsi="仿宋" w:eastAsia="仿宋"/>
                <w:bCs/>
                <w:color w:val="auto"/>
                <w:kern w:val="2"/>
                <w:highlight w:val="none"/>
              </w:rPr>
            </w:pP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14:paraId="2D24E4B0">
            <w:pPr>
              <w:overflowPunct w:val="0"/>
              <w:topLinePunct/>
              <w:spacing w:line="300" w:lineRule="exact"/>
              <w:jc w:val="both"/>
              <w:rPr>
                <w:rFonts w:ascii="仿宋" w:hAnsi="仿宋" w:eastAsia="仿宋"/>
                <w:bCs/>
                <w:color w:val="auto"/>
                <w:kern w:val="2"/>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3E03EC1">
            <w:pPr>
              <w:overflowPunct w:val="0"/>
              <w:topLinePunct/>
              <w:spacing w:line="300" w:lineRule="exact"/>
              <w:jc w:val="both"/>
              <w:rPr>
                <w:rFonts w:ascii="仿宋" w:hAnsi="仿宋" w:eastAsia="仿宋"/>
                <w:bCs/>
                <w:color w:val="auto"/>
                <w:kern w:val="2"/>
                <w:highlight w:val="none"/>
              </w:rPr>
            </w:pPr>
          </w:p>
        </w:tc>
        <w:tc>
          <w:tcPr>
            <w:tcW w:w="2861" w:type="dxa"/>
            <w:tcBorders>
              <w:top w:val="single" w:color="auto" w:sz="4" w:space="0"/>
              <w:left w:val="single" w:color="auto" w:sz="4" w:space="0"/>
              <w:bottom w:val="single" w:color="auto" w:sz="4" w:space="0"/>
              <w:right w:val="single" w:color="auto" w:sz="4" w:space="0"/>
            </w:tcBorders>
            <w:noWrap w:val="0"/>
            <w:vAlign w:val="center"/>
          </w:tcPr>
          <w:p w14:paraId="5E32AA4C">
            <w:pPr>
              <w:overflowPunct w:val="0"/>
              <w:topLinePunct/>
              <w:spacing w:line="300" w:lineRule="exact"/>
              <w:jc w:val="both"/>
              <w:rPr>
                <w:rFonts w:ascii="仿宋" w:hAnsi="仿宋" w:eastAsia="仿宋"/>
                <w:bCs/>
                <w:color w:val="auto"/>
                <w:kern w:val="2"/>
                <w:highlight w:val="none"/>
              </w:rPr>
            </w:pPr>
          </w:p>
        </w:tc>
      </w:tr>
    </w:tbl>
    <w:p w14:paraId="60D00E9E">
      <w:pPr>
        <w:rPr>
          <w:rFonts w:hint="eastAsia" w:ascii="仿宋" w:hAnsi="仿宋" w:eastAsia="仿宋"/>
          <w:b/>
          <w:bCs/>
          <w:color w:val="auto"/>
          <w:highlight w:val="none"/>
        </w:rPr>
      </w:pPr>
      <w:r>
        <w:rPr>
          <w:rFonts w:hint="eastAsia" w:ascii="仿宋" w:hAnsi="仿宋" w:eastAsia="仿宋"/>
          <w:b/>
          <w:bCs/>
          <w:color w:val="auto"/>
          <w:highlight w:val="none"/>
        </w:rPr>
        <w:br w:type="page"/>
      </w:r>
    </w:p>
    <w:p w14:paraId="63AE1826">
      <w:pPr>
        <w:tabs>
          <w:tab w:val="left" w:pos="1470"/>
        </w:tabs>
        <w:spacing w:line="560" w:lineRule="exact"/>
        <w:ind w:firstLine="562" w:firstLineChars="200"/>
        <w:rPr>
          <w:rFonts w:hint="eastAsia" w:ascii="仿宋" w:hAnsi="仿宋" w:eastAsia="仿宋" w:cs="宋体-18030"/>
          <w:bCs/>
          <w:color w:val="auto"/>
          <w:sz w:val="32"/>
          <w:szCs w:val="32"/>
          <w:highlight w:val="none"/>
        </w:rPr>
      </w:pPr>
      <w:r>
        <w:rPr>
          <w:rFonts w:hint="eastAsia" w:ascii="仿宋" w:hAnsi="仿宋" w:eastAsia="仿宋"/>
          <w:b/>
          <w:bCs/>
          <w:color w:val="auto"/>
          <w:highlight w:val="none"/>
        </w:rPr>
        <w:t>5.3 技术</w:t>
      </w:r>
      <w:r>
        <w:rPr>
          <w:rFonts w:hint="eastAsia" w:ascii="仿宋" w:hAnsi="仿宋" w:eastAsia="仿宋"/>
          <w:b/>
          <w:bCs/>
          <w:color w:val="auto"/>
          <w:highlight w:val="none"/>
          <w:lang w:val="en-US" w:eastAsia="zh-CN"/>
        </w:rPr>
        <w:t>响应</w:t>
      </w:r>
      <w:r>
        <w:rPr>
          <w:rFonts w:hint="eastAsia" w:ascii="仿宋" w:hAnsi="仿宋" w:eastAsia="仿宋"/>
          <w:b/>
          <w:bCs/>
          <w:color w:val="auto"/>
          <w:highlight w:val="none"/>
        </w:rPr>
        <w:t>方案（根据采购文件“第六章 采购需求及要求”结合</w:t>
      </w:r>
      <w:r>
        <w:rPr>
          <w:rFonts w:hint="eastAsia" w:ascii="仿宋" w:hAnsi="仿宋" w:eastAsia="仿宋" w:cs="仿宋"/>
          <w:b/>
          <w:bCs/>
          <w:color w:val="auto"/>
          <w:highlight w:val="none"/>
        </w:rPr>
        <w:t>“评审要素一览表”</w:t>
      </w:r>
      <w:r>
        <w:rPr>
          <w:rFonts w:hint="eastAsia" w:ascii="仿宋" w:hAnsi="仿宋" w:eastAsia="仿宋"/>
          <w:b/>
          <w:bCs/>
          <w:color w:val="auto"/>
          <w:highlight w:val="none"/>
        </w:rPr>
        <w:t>自行编写）</w:t>
      </w:r>
    </w:p>
    <w:p w14:paraId="3823739F">
      <w:pPr>
        <w:rPr>
          <w:rFonts w:hint="eastAsia" w:ascii="黑体" w:hAnsi="黑体" w:eastAsia="黑体" w:cs="黑体"/>
          <w:color w:val="auto"/>
          <w:sz w:val="32"/>
          <w:szCs w:val="40"/>
          <w:highlight w:val="none"/>
        </w:rPr>
      </w:pPr>
      <w:r>
        <w:rPr>
          <w:rFonts w:hint="eastAsia" w:ascii="黑体" w:hAnsi="黑体" w:eastAsia="黑体" w:cs="黑体"/>
          <w:color w:val="auto"/>
          <w:sz w:val="32"/>
          <w:szCs w:val="40"/>
          <w:highlight w:val="none"/>
        </w:rPr>
        <w:br w:type="page"/>
      </w:r>
    </w:p>
    <w:p w14:paraId="7D73709E">
      <w:pPr>
        <w:overflowPunct w:val="0"/>
        <w:topLinePunct/>
        <w:spacing w:line="560" w:lineRule="exact"/>
        <w:jc w:val="center"/>
        <w:outlineLvl w:val="1"/>
        <w:rPr>
          <w:rFonts w:hint="eastAsia" w:ascii="仿宋" w:hAnsi="仿宋" w:eastAsia="仿宋" w:cs="仿宋"/>
          <w:b/>
          <w:bCs/>
          <w:color w:val="auto"/>
          <w:highlight w:val="none"/>
        </w:rPr>
      </w:pPr>
      <w:r>
        <w:rPr>
          <w:rFonts w:hint="eastAsia" w:ascii="黑体" w:hAnsi="黑体" w:eastAsia="黑体" w:cs="黑体"/>
          <w:color w:val="auto"/>
          <w:sz w:val="32"/>
          <w:szCs w:val="40"/>
          <w:highlight w:val="none"/>
        </w:rPr>
        <w:t>第6部分  商务响应方案</w:t>
      </w:r>
    </w:p>
    <w:p w14:paraId="51976B01">
      <w:pPr>
        <w:overflowPunct w:val="0"/>
        <w:topLinePunct/>
        <w:spacing w:line="560" w:lineRule="exact"/>
        <w:ind w:firstLine="56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6.1 商务条款偏离表</w:t>
      </w:r>
    </w:p>
    <w:tbl>
      <w:tblPr>
        <w:tblStyle w:val="44"/>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14"/>
        <w:gridCol w:w="2771"/>
        <w:gridCol w:w="1142"/>
        <w:gridCol w:w="1144"/>
      </w:tblGrid>
      <w:tr w14:paraId="345F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center"/>
          </w:tcPr>
          <w:p w14:paraId="6DA0BC13">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序号</w:t>
            </w:r>
          </w:p>
        </w:tc>
        <w:tc>
          <w:tcPr>
            <w:tcW w:w="2714" w:type="dxa"/>
            <w:noWrap w:val="0"/>
            <w:vAlign w:val="center"/>
          </w:tcPr>
          <w:p w14:paraId="304D4A08">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采购要求</w:t>
            </w:r>
          </w:p>
        </w:tc>
        <w:tc>
          <w:tcPr>
            <w:tcW w:w="2771" w:type="dxa"/>
            <w:noWrap w:val="0"/>
            <w:vAlign w:val="center"/>
          </w:tcPr>
          <w:p w14:paraId="463AB5EB">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磋商响应</w:t>
            </w:r>
          </w:p>
        </w:tc>
        <w:tc>
          <w:tcPr>
            <w:tcW w:w="1142" w:type="dxa"/>
            <w:noWrap w:val="0"/>
            <w:vAlign w:val="center"/>
          </w:tcPr>
          <w:p w14:paraId="5507B9EB">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偏离</w:t>
            </w:r>
          </w:p>
        </w:tc>
        <w:tc>
          <w:tcPr>
            <w:tcW w:w="1144" w:type="dxa"/>
            <w:noWrap w:val="0"/>
            <w:vAlign w:val="center"/>
          </w:tcPr>
          <w:p w14:paraId="4295B75D">
            <w:pPr>
              <w:overflowPunct w:val="0"/>
              <w:topLinePunct/>
              <w:spacing w:line="560" w:lineRule="exact"/>
              <w:jc w:val="center"/>
              <w:rPr>
                <w:rFonts w:hint="eastAsia" w:ascii="仿宋" w:hAnsi="仿宋" w:eastAsia="仿宋" w:cs="宋体-18030"/>
                <w:color w:val="auto"/>
                <w:highlight w:val="none"/>
              </w:rPr>
            </w:pPr>
            <w:r>
              <w:rPr>
                <w:rFonts w:hint="eastAsia" w:ascii="仿宋" w:hAnsi="仿宋" w:eastAsia="仿宋" w:cs="宋体-18030"/>
                <w:color w:val="auto"/>
                <w:highlight w:val="none"/>
              </w:rPr>
              <w:t>说明</w:t>
            </w:r>
          </w:p>
        </w:tc>
      </w:tr>
      <w:tr w14:paraId="0533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6958BFCB">
            <w:pPr>
              <w:overflowPunct w:val="0"/>
              <w:topLinePunct/>
              <w:spacing w:line="560" w:lineRule="exact"/>
              <w:ind w:firstLine="560" w:firstLineChars="200"/>
              <w:rPr>
                <w:rFonts w:hint="eastAsia" w:ascii="仿宋" w:hAnsi="仿宋" w:eastAsia="仿宋" w:cs="宋体-18030"/>
                <w:color w:val="auto"/>
                <w:highlight w:val="none"/>
              </w:rPr>
            </w:pPr>
          </w:p>
        </w:tc>
        <w:tc>
          <w:tcPr>
            <w:tcW w:w="2714" w:type="dxa"/>
            <w:noWrap w:val="0"/>
            <w:vAlign w:val="top"/>
          </w:tcPr>
          <w:p w14:paraId="3E5C56BC">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393D90B7">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132161AD">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44B567B9">
            <w:pPr>
              <w:overflowPunct w:val="0"/>
              <w:topLinePunct/>
              <w:spacing w:line="560" w:lineRule="exact"/>
              <w:ind w:firstLine="560" w:firstLineChars="200"/>
              <w:rPr>
                <w:rFonts w:hint="eastAsia" w:ascii="仿宋" w:hAnsi="仿宋" w:eastAsia="仿宋" w:cs="宋体-18030"/>
                <w:color w:val="auto"/>
                <w:highlight w:val="none"/>
              </w:rPr>
            </w:pPr>
          </w:p>
        </w:tc>
      </w:tr>
      <w:tr w14:paraId="544E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609C9B2E">
            <w:pPr>
              <w:overflowPunct w:val="0"/>
              <w:topLinePunct/>
              <w:spacing w:line="560" w:lineRule="exact"/>
              <w:rPr>
                <w:rFonts w:ascii="仿宋" w:hAnsi="仿宋" w:eastAsia="仿宋" w:cs="宋体-18030"/>
                <w:color w:val="auto"/>
                <w:highlight w:val="none"/>
              </w:rPr>
            </w:pPr>
            <w:r>
              <w:rPr>
                <w:rFonts w:hint="eastAsia" w:ascii="仿宋" w:hAnsi="仿宋" w:eastAsia="仿宋" w:cs="宋体-18030"/>
                <w:color w:val="auto"/>
                <w:highlight w:val="none"/>
              </w:rPr>
              <w:t>...</w:t>
            </w:r>
          </w:p>
        </w:tc>
        <w:tc>
          <w:tcPr>
            <w:tcW w:w="2714" w:type="dxa"/>
            <w:noWrap w:val="0"/>
            <w:vAlign w:val="top"/>
          </w:tcPr>
          <w:p w14:paraId="1435A6A7">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01D85232">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312C192D">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61F6DB81">
            <w:pPr>
              <w:overflowPunct w:val="0"/>
              <w:topLinePunct/>
              <w:spacing w:line="560" w:lineRule="exact"/>
              <w:ind w:firstLine="560" w:firstLineChars="200"/>
              <w:rPr>
                <w:rFonts w:hint="eastAsia" w:ascii="仿宋" w:hAnsi="仿宋" w:eastAsia="仿宋" w:cs="宋体-18030"/>
                <w:color w:val="auto"/>
                <w:highlight w:val="none"/>
              </w:rPr>
            </w:pPr>
          </w:p>
        </w:tc>
      </w:tr>
      <w:tr w14:paraId="22D7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158A09C3">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4257E69B">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3DFD508F">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3EC911B4">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4CFF2E9E">
            <w:pPr>
              <w:overflowPunct w:val="0"/>
              <w:topLinePunct/>
              <w:spacing w:line="560" w:lineRule="exact"/>
              <w:ind w:firstLine="560" w:firstLineChars="200"/>
              <w:rPr>
                <w:rFonts w:hint="eastAsia" w:ascii="仿宋" w:hAnsi="仿宋" w:eastAsia="仿宋" w:cs="宋体-18030"/>
                <w:color w:val="auto"/>
                <w:highlight w:val="none"/>
              </w:rPr>
            </w:pPr>
          </w:p>
        </w:tc>
      </w:tr>
      <w:tr w14:paraId="31AD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45E4D19F">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1626983F">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30A43D1B">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4BC6C8C6">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6268D79C">
            <w:pPr>
              <w:overflowPunct w:val="0"/>
              <w:topLinePunct/>
              <w:spacing w:line="560" w:lineRule="exact"/>
              <w:ind w:firstLine="560" w:firstLineChars="200"/>
              <w:rPr>
                <w:rFonts w:hint="eastAsia" w:ascii="仿宋" w:hAnsi="仿宋" w:eastAsia="仿宋" w:cs="宋体-18030"/>
                <w:color w:val="auto"/>
                <w:highlight w:val="none"/>
              </w:rPr>
            </w:pPr>
          </w:p>
        </w:tc>
      </w:tr>
      <w:tr w14:paraId="42D9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170A6F30">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6F3E04E5">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38D40F16">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4B6EA803">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4C4B7BE4">
            <w:pPr>
              <w:overflowPunct w:val="0"/>
              <w:topLinePunct/>
              <w:spacing w:line="560" w:lineRule="exact"/>
              <w:ind w:firstLine="560" w:firstLineChars="200"/>
              <w:rPr>
                <w:rFonts w:hint="eastAsia" w:ascii="仿宋" w:hAnsi="仿宋" w:eastAsia="仿宋" w:cs="宋体-18030"/>
                <w:color w:val="auto"/>
                <w:highlight w:val="none"/>
              </w:rPr>
            </w:pPr>
          </w:p>
        </w:tc>
      </w:tr>
      <w:tr w14:paraId="08EB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6C02BF14">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7E649FC7">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0CF4A7E0">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74CDDD3F">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622730D4">
            <w:pPr>
              <w:overflowPunct w:val="0"/>
              <w:topLinePunct/>
              <w:spacing w:line="560" w:lineRule="exact"/>
              <w:ind w:firstLine="560" w:firstLineChars="200"/>
              <w:rPr>
                <w:rFonts w:hint="eastAsia" w:ascii="仿宋" w:hAnsi="仿宋" w:eastAsia="仿宋" w:cs="宋体-18030"/>
                <w:color w:val="auto"/>
                <w:highlight w:val="none"/>
              </w:rPr>
            </w:pPr>
          </w:p>
        </w:tc>
      </w:tr>
      <w:tr w14:paraId="0618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10901138">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25E4F0A1">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23E2B5D3">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4F668ED8">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47082B9C">
            <w:pPr>
              <w:overflowPunct w:val="0"/>
              <w:topLinePunct/>
              <w:spacing w:line="560" w:lineRule="exact"/>
              <w:ind w:firstLine="560" w:firstLineChars="200"/>
              <w:rPr>
                <w:rFonts w:hint="eastAsia" w:ascii="仿宋" w:hAnsi="仿宋" w:eastAsia="仿宋" w:cs="宋体-18030"/>
                <w:color w:val="auto"/>
                <w:highlight w:val="none"/>
              </w:rPr>
            </w:pPr>
          </w:p>
        </w:tc>
      </w:tr>
      <w:tr w14:paraId="5F75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58563246">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4B4A676B">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4519A93A">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1E55BE3D">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3C0B1BAF">
            <w:pPr>
              <w:overflowPunct w:val="0"/>
              <w:topLinePunct/>
              <w:spacing w:line="560" w:lineRule="exact"/>
              <w:ind w:firstLine="560" w:firstLineChars="200"/>
              <w:rPr>
                <w:rFonts w:hint="eastAsia" w:ascii="仿宋" w:hAnsi="仿宋" w:eastAsia="仿宋" w:cs="宋体-18030"/>
                <w:color w:val="auto"/>
                <w:highlight w:val="none"/>
              </w:rPr>
            </w:pPr>
          </w:p>
        </w:tc>
      </w:tr>
      <w:tr w14:paraId="04F2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1A919AA9">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76CAF7E3">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1A3367EB">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3F9A8B1C">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168F2A35">
            <w:pPr>
              <w:overflowPunct w:val="0"/>
              <w:topLinePunct/>
              <w:spacing w:line="560" w:lineRule="exact"/>
              <w:ind w:firstLine="560" w:firstLineChars="200"/>
              <w:rPr>
                <w:rFonts w:hint="eastAsia" w:ascii="仿宋" w:hAnsi="仿宋" w:eastAsia="仿宋" w:cs="宋体-18030"/>
                <w:color w:val="auto"/>
                <w:highlight w:val="none"/>
              </w:rPr>
            </w:pPr>
          </w:p>
        </w:tc>
      </w:tr>
      <w:tr w14:paraId="7F94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7E6C8EEC">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579B0E55">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160E58F0">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537C35BE">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5BD105A1">
            <w:pPr>
              <w:overflowPunct w:val="0"/>
              <w:topLinePunct/>
              <w:spacing w:line="560" w:lineRule="exact"/>
              <w:ind w:firstLine="560" w:firstLineChars="200"/>
              <w:rPr>
                <w:rFonts w:hint="eastAsia" w:ascii="仿宋" w:hAnsi="仿宋" w:eastAsia="仿宋" w:cs="宋体-18030"/>
                <w:color w:val="auto"/>
                <w:highlight w:val="none"/>
              </w:rPr>
            </w:pPr>
          </w:p>
        </w:tc>
      </w:tr>
      <w:tr w14:paraId="1F55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44EAAE0F">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301F1C25">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5754B82E">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0D45DC48">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26B1F940">
            <w:pPr>
              <w:overflowPunct w:val="0"/>
              <w:topLinePunct/>
              <w:spacing w:line="560" w:lineRule="exact"/>
              <w:ind w:firstLine="560" w:firstLineChars="200"/>
              <w:rPr>
                <w:rFonts w:hint="eastAsia" w:ascii="仿宋" w:hAnsi="仿宋" w:eastAsia="仿宋" w:cs="宋体-18030"/>
                <w:color w:val="auto"/>
                <w:highlight w:val="none"/>
              </w:rPr>
            </w:pPr>
          </w:p>
        </w:tc>
      </w:tr>
      <w:tr w14:paraId="7F4F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1E045DBA">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784E2401">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42456744">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67EA1D91">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6461FC64">
            <w:pPr>
              <w:overflowPunct w:val="0"/>
              <w:topLinePunct/>
              <w:spacing w:line="560" w:lineRule="exact"/>
              <w:ind w:firstLine="560" w:firstLineChars="200"/>
              <w:rPr>
                <w:rFonts w:hint="eastAsia" w:ascii="仿宋" w:hAnsi="仿宋" w:eastAsia="仿宋" w:cs="宋体-18030"/>
                <w:color w:val="auto"/>
                <w:highlight w:val="none"/>
              </w:rPr>
            </w:pPr>
          </w:p>
        </w:tc>
      </w:tr>
      <w:tr w14:paraId="5F68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7" w:type="dxa"/>
            <w:noWrap w:val="0"/>
            <w:vAlign w:val="top"/>
          </w:tcPr>
          <w:p w14:paraId="57A9A19E">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0CC01121">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55F904BB">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19A4A2BC">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60A199C8">
            <w:pPr>
              <w:overflowPunct w:val="0"/>
              <w:topLinePunct/>
              <w:spacing w:line="560" w:lineRule="exact"/>
              <w:ind w:firstLine="560" w:firstLineChars="200"/>
              <w:rPr>
                <w:rFonts w:hint="eastAsia" w:ascii="仿宋" w:hAnsi="仿宋" w:eastAsia="仿宋" w:cs="宋体-18030"/>
                <w:color w:val="auto"/>
                <w:highlight w:val="none"/>
              </w:rPr>
            </w:pPr>
          </w:p>
        </w:tc>
      </w:tr>
      <w:tr w14:paraId="0F87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67" w:type="dxa"/>
            <w:noWrap w:val="0"/>
            <w:vAlign w:val="top"/>
          </w:tcPr>
          <w:p w14:paraId="6FFEEECF">
            <w:pPr>
              <w:overflowPunct w:val="0"/>
              <w:topLinePunct/>
              <w:spacing w:line="560" w:lineRule="exact"/>
              <w:rPr>
                <w:rFonts w:hint="eastAsia" w:ascii="仿宋" w:hAnsi="仿宋" w:eastAsia="仿宋" w:cs="宋体-18030"/>
                <w:color w:val="auto"/>
                <w:highlight w:val="none"/>
              </w:rPr>
            </w:pPr>
          </w:p>
        </w:tc>
        <w:tc>
          <w:tcPr>
            <w:tcW w:w="2714" w:type="dxa"/>
            <w:noWrap w:val="0"/>
            <w:vAlign w:val="top"/>
          </w:tcPr>
          <w:p w14:paraId="4BCCE661">
            <w:pPr>
              <w:overflowPunct w:val="0"/>
              <w:topLinePunct/>
              <w:spacing w:line="560" w:lineRule="exact"/>
              <w:ind w:firstLine="560" w:firstLineChars="200"/>
              <w:rPr>
                <w:rFonts w:hint="eastAsia" w:ascii="仿宋" w:hAnsi="仿宋" w:eastAsia="仿宋" w:cs="宋体-18030"/>
                <w:color w:val="auto"/>
                <w:highlight w:val="none"/>
              </w:rPr>
            </w:pPr>
          </w:p>
        </w:tc>
        <w:tc>
          <w:tcPr>
            <w:tcW w:w="2771" w:type="dxa"/>
            <w:noWrap w:val="0"/>
            <w:vAlign w:val="top"/>
          </w:tcPr>
          <w:p w14:paraId="2E7654CB">
            <w:pPr>
              <w:overflowPunct w:val="0"/>
              <w:topLinePunct/>
              <w:spacing w:line="560" w:lineRule="exact"/>
              <w:ind w:firstLine="560" w:firstLineChars="200"/>
              <w:rPr>
                <w:rFonts w:hint="eastAsia" w:ascii="仿宋" w:hAnsi="仿宋" w:eastAsia="仿宋" w:cs="宋体-18030"/>
                <w:color w:val="auto"/>
                <w:highlight w:val="none"/>
              </w:rPr>
            </w:pPr>
          </w:p>
        </w:tc>
        <w:tc>
          <w:tcPr>
            <w:tcW w:w="1142" w:type="dxa"/>
            <w:noWrap w:val="0"/>
            <w:vAlign w:val="top"/>
          </w:tcPr>
          <w:p w14:paraId="322CBDAD">
            <w:pPr>
              <w:overflowPunct w:val="0"/>
              <w:topLinePunct/>
              <w:spacing w:line="560" w:lineRule="exact"/>
              <w:ind w:firstLine="560" w:firstLineChars="200"/>
              <w:rPr>
                <w:rFonts w:hint="eastAsia" w:ascii="仿宋" w:hAnsi="仿宋" w:eastAsia="仿宋" w:cs="宋体-18030"/>
                <w:color w:val="auto"/>
                <w:highlight w:val="none"/>
              </w:rPr>
            </w:pPr>
          </w:p>
        </w:tc>
        <w:tc>
          <w:tcPr>
            <w:tcW w:w="1144" w:type="dxa"/>
            <w:noWrap w:val="0"/>
            <w:vAlign w:val="top"/>
          </w:tcPr>
          <w:p w14:paraId="4F304BC3">
            <w:pPr>
              <w:overflowPunct w:val="0"/>
              <w:topLinePunct/>
              <w:spacing w:line="560" w:lineRule="exact"/>
              <w:ind w:firstLine="560" w:firstLineChars="200"/>
              <w:rPr>
                <w:rFonts w:hint="eastAsia" w:ascii="仿宋" w:hAnsi="仿宋" w:eastAsia="仿宋" w:cs="宋体-18030"/>
                <w:color w:val="auto"/>
                <w:highlight w:val="none"/>
              </w:rPr>
            </w:pPr>
          </w:p>
        </w:tc>
      </w:tr>
    </w:tbl>
    <w:p w14:paraId="140D52C1">
      <w:pPr>
        <w:overflowPunct w:val="0"/>
        <w:topLinePunct/>
        <w:spacing w:line="560" w:lineRule="exact"/>
        <w:ind w:firstLine="482" w:firstLineChars="200"/>
        <w:rPr>
          <w:rFonts w:hint="eastAsia" w:ascii="仿宋" w:hAnsi="仿宋" w:eastAsia="仿宋" w:cs="宋体-18030"/>
          <w:color w:val="auto"/>
          <w:highlight w:val="none"/>
        </w:rPr>
      </w:pPr>
      <w:r>
        <w:rPr>
          <w:rFonts w:hint="eastAsia" w:ascii="仿宋" w:hAnsi="仿宋" w:eastAsia="仿宋" w:cs="宋体-18030"/>
          <w:b/>
          <w:bCs/>
          <w:color w:val="auto"/>
          <w:sz w:val="24"/>
          <w:szCs w:val="24"/>
          <w:highlight w:val="none"/>
        </w:rPr>
        <w:t>声明：除本商务</w:t>
      </w:r>
      <w:r>
        <w:rPr>
          <w:rFonts w:hint="eastAsia" w:ascii="仿宋" w:hAnsi="仿宋" w:eastAsia="仿宋" w:cs="宋体-18030"/>
          <w:b/>
          <w:bCs/>
          <w:color w:val="auto"/>
          <w:sz w:val="24"/>
          <w:szCs w:val="24"/>
          <w:highlight w:val="none"/>
          <w:lang w:val="en-US" w:eastAsia="zh-CN"/>
        </w:rPr>
        <w:t>条款</w:t>
      </w:r>
      <w:r>
        <w:rPr>
          <w:rFonts w:hint="eastAsia" w:ascii="仿宋" w:hAnsi="仿宋" w:eastAsia="仿宋" w:cs="宋体-18030"/>
          <w:b/>
          <w:bCs/>
          <w:color w:val="auto"/>
          <w:sz w:val="24"/>
          <w:szCs w:val="24"/>
          <w:highlight w:val="none"/>
        </w:rPr>
        <w:t>偏离表所列的偏离项目外，我公司声明其他所有商务条款均完全响应竞争性磋商文件中的要求。</w:t>
      </w:r>
    </w:p>
    <w:p w14:paraId="2601BDBB">
      <w:pPr>
        <w:overflowPunct w:val="0"/>
        <w:topLinePunct/>
        <w:spacing w:line="560" w:lineRule="exact"/>
        <w:ind w:firstLine="560" w:firstLineChars="200"/>
        <w:rPr>
          <w:rFonts w:hint="eastAsia" w:ascii="仿宋" w:hAnsi="仿宋" w:eastAsia="仿宋" w:cs="宋体-18030"/>
          <w:color w:val="auto"/>
          <w:highlight w:val="none"/>
          <w:u w:val="single"/>
        </w:rPr>
      </w:pPr>
      <w:r>
        <w:rPr>
          <w:rFonts w:hint="eastAsia" w:ascii="仿宋" w:hAnsi="仿宋" w:eastAsia="仿宋" w:cs="宋体-18030"/>
          <w:color w:val="auto"/>
          <w:highlight w:val="none"/>
        </w:rPr>
        <w:t>供应商(盖章):</w:t>
      </w:r>
      <w:r>
        <w:rPr>
          <w:rFonts w:hint="eastAsia" w:ascii="仿宋" w:hAnsi="仿宋" w:eastAsia="仿宋" w:cs="宋体-18030"/>
          <w:color w:val="auto"/>
          <w:highlight w:val="none"/>
          <w:u w:val="single"/>
        </w:rPr>
        <w:t xml:space="preserve">                  </w:t>
      </w:r>
    </w:p>
    <w:p w14:paraId="03FCC0B4">
      <w:pPr>
        <w:tabs>
          <w:tab w:val="left" w:pos="1470"/>
        </w:tabs>
        <w:spacing w:line="560" w:lineRule="exact"/>
        <w:ind w:firstLine="560" w:firstLineChars="200"/>
        <w:rPr>
          <w:rFonts w:hint="eastAsia" w:ascii="仿宋" w:hAnsi="仿宋" w:eastAsia="仿宋" w:cs="宋体-18030"/>
          <w:color w:val="auto"/>
          <w:highlight w:val="none"/>
          <w:u w:val="single"/>
        </w:rPr>
      </w:pPr>
      <w:r>
        <w:rPr>
          <w:rFonts w:hint="eastAsia" w:ascii="仿宋" w:hAnsi="仿宋" w:eastAsia="仿宋" w:cs="宋体-18030"/>
          <w:color w:val="auto"/>
          <w:highlight w:val="none"/>
        </w:rPr>
        <w:t xml:space="preserve">法定代表人或授权代表（签字或签章）: </w:t>
      </w:r>
      <w:r>
        <w:rPr>
          <w:rFonts w:hint="eastAsia" w:ascii="仿宋" w:hAnsi="仿宋" w:eastAsia="仿宋" w:cs="宋体-18030"/>
          <w:color w:val="auto"/>
          <w:highlight w:val="none"/>
          <w:u w:val="single"/>
        </w:rPr>
        <w:t xml:space="preserve">                 </w:t>
      </w:r>
    </w:p>
    <w:p w14:paraId="60D7E494">
      <w:pPr>
        <w:pStyle w:val="19"/>
        <w:spacing w:line="560" w:lineRule="exact"/>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6E2F2C7">
      <w:pPr>
        <w:rPr>
          <w:rFonts w:hint="eastAsia" w:ascii="仿宋" w:hAnsi="仿宋" w:eastAsia="仿宋"/>
          <w:b/>
          <w:color w:val="auto"/>
          <w:highlight w:val="none"/>
        </w:rPr>
      </w:pPr>
      <w:r>
        <w:rPr>
          <w:rFonts w:hint="eastAsia" w:ascii="仿宋" w:hAnsi="仿宋" w:eastAsia="仿宋"/>
          <w:b/>
          <w:color w:val="auto"/>
          <w:highlight w:val="none"/>
        </w:rPr>
        <w:br w:type="page"/>
      </w:r>
    </w:p>
    <w:p w14:paraId="686DACB3">
      <w:pPr>
        <w:tabs>
          <w:tab w:val="left" w:pos="1470"/>
        </w:tabs>
        <w:spacing w:line="560" w:lineRule="exact"/>
        <w:ind w:firstLine="562" w:firstLineChars="200"/>
        <w:rPr>
          <w:rFonts w:hint="eastAsia" w:ascii="仿宋" w:hAnsi="仿宋" w:eastAsia="仿宋"/>
          <w:b/>
          <w:bCs/>
          <w:color w:val="auto"/>
          <w:highlight w:val="none"/>
        </w:rPr>
      </w:pPr>
      <w:r>
        <w:rPr>
          <w:rFonts w:hint="eastAsia" w:ascii="仿宋" w:hAnsi="仿宋" w:eastAsia="仿宋"/>
          <w:b/>
          <w:color w:val="auto"/>
          <w:highlight w:val="none"/>
        </w:rPr>
        <w:t>6.2 商务响应方案</w:t>
      </w:r>
      <w:r>
        <w:rPr>
          <w:rFonts w:hint="eastAsia" w:ascii="仿宋" w:hAnsi="仿宋" w:eastAsia="仿宋"/>
          <w:b/>
          <w:bCs/>
          <w:color w:val="auto"/>
          <w:highlight w:val="none"/>
        </w:rPr>
        <w:t>（根据采购文件“第六章 采购需求及要求”结合</w:t>
      </w:r>
      <w:r>
        <w:rPr>
          <w:rFonts w:hint="eastAsia" w:ascii="仿宋" w:hAnsi="仿宋" w:eastAsia="仿宋" w:cs="仿宋"/>
          <w:b/>
          <w:bCs/>
          <w:color w:val="auto"/>
          <w:highlight w:val="none"/>
        </w:rPr>
        <w:t>“评审要素一览表”</w:t>
      </w:r>
      <w:r>
        <w:rPr>
          <w:rFonts w:hint="eastAsia" w:ascii="仿宋" w:hAnsi="仿宋" w:eastAsia="仿宋"/>
          <w:b/>
          <w:bCs/>
          <w:color w:val="auto"/>
          <w:highlight w:val="none"/>
        </w:rPr>
        <w:t>自行编写）</w:t>
      </w:r>
    </w:p>
    <w:p w14:paraId="2818D9DC">
      <w:pPr>
        <w:tabs>
          <w:tab w:val="left" w:pos="1470"/>
        </w:tabs>
        <w:spacing w:line="560" w:lineRule="exact"/>
        <w:ind w:firstLine="562" w:firstLineChars="200"/>
        <w:rPr>
          <w:rFonts w:hint="eastAsia" w:ascii="仿宋" w:hAnsi="仿宋" w:eastAsia="仿宋"/>
          <w:b/>
          <w:bCs/>
          <w:color w:val="auto"/>
          <w:highlight w:val="none"/>
        </w:rPr>
      </w:pPr>
    </w:p>
    <w:p w14:paraId="084D378C">
      <w:pPr>
        <w:keepNext w:val="0"/>
        <w:keepLines w:val="0"/>
        <w:pageBreakBefore w:val="0"/>
        <w:widowControl w:val="0"/>
        <w:kinsoku/>
        <w:wordWrap/>
        <w:autoSpaceDE w:val="0"/>
        <w:autoSpaceDN w:val="0"/>
        <w:bidi w:val="0"/>
        <w:adjustRightInd w:val="0"/>
        <w:snapToGrid/>
        <w:spacing w:line="560" w:lineRule="exact"/>
        <w:jc w:val="both"/>
        <w:textAlignment w:val="auto"/>
        <w:rPr>
          <w:rFonts w:hint="eastAsia" w:ascii="仿宋" w:hAnsi="仿宋" w:eastAsia="仿宋"/>
          <w:b/>
          <w:bCs/>
          <w:color w:val="auto"/>
          <w:highlight w:val="none"/>
          <w:lang w:val="en-US" w:eastAsia="zh-CN"/>
        </w:rPr>
      </w:pPr>
      <w:r>
        <w:rPr>
          <w:rFonts w:hint="eastAsia" w:ascii="仿宋" w:hAnsi="仿宋" w:eastAsia="仿宋"/>
          <w:b/>
          <w:bCs/>
          <w:color w:val="auto"/>
          <w:highlight w:val="none"/>
        </w:rPr>
        <w:br w:type="page"/>
      </w:r>
      <w:r>
        <w:rPr>
          <w:rFonts w:hint="eastAsia" w:ascii="仿宋" w:hAnsi="仿宋" w:eastAsia="仿宋"/>
          <w:b/>
          <w:bCs/>
          <w:color w:val="auto"/>
          <w:highlight w:val="none"/>
          <w:lang w:val="en-US" w:eastAsia="zh-CN"/>
        </w:rPr>
        <w:t>附件：</w:t>
      </w:r>
    </w:p>
    <w:p w14:paraId="7E78026F">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项目</w:t>
      </w:r>
      <w:r>
        <w:rPr>
          <w:rFonts w:hint="eastAsia" w:ascii="仿宋" w:hAnsi="仿宋" w:eastAsia="仿宋" w:cs="仿宋"/>
          <w:b/>
          <w:bCs/>
          <w:color w:val="auto"/>
          <w:sz w:val="32"/>
          <w:szCs w:val="32"/>
          <w:highlight w:val="none"/>
        </w:rPr>
        <w:t>业绩一览表</w:t>
      </w:r>
    </w:p>
    <w:tbl>
      <w:tblPr>
        <w:tblStyle w:val="44"/>
        <w:tblpPr w:leftFromText="180" w:rightFromText="180" w:vertAnchor="text" w:horzAnchor="page" w:tblpXSpec="center" w:tblpY="299"/>
        <w:tblOverlap w:val="never"/>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05"/>
        <w:gridCol w:w="1988"/>
        <w:gridCol w:w="1312"/>
        <w:gridCol w:w="1350"/>
        <w:gridCol w:w="1425"/>
        <w:gridCol w:w="1425"/>
        <w:gridCol w:w="1106"/>
      </w:tblGrid>
      <w:tr w14:paraId="37958C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tcBorders>
              <w:top w:val="single" w:color="auto" w:sz="4" w:space="0"/>
            </w:tcBorders>
            <w:noWrap w:val="0"/>
            <w:vAlign w:val="center"/>
          </w:tcPr>
          <w:p w14:paraId="0CE5C4AA">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序号</w:t>
            </w:r>
          </w:p>
        </w:tc>
        <w:tc>
          <w:tcPr>
            <w:tcW w:w="1988" w:type="dxa"/>
            <w:tcBorders>
              <w:top w:val="single" w:color="auto" w:sz="4" w:space="0"/>
            </w:tcBorders>
            <w:noWrap w:val="0"/>
            <w:vAlign w:val="center"/>
          </w:tcPr>
          <w:p w14:paraId="318FDC37">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项目名称</w:t>
            </w:r>
          </w:p>
        </w:tc>
        <w:tc>
          <w:tcPr>
            <w:tcW w:w="1312" w:type="dxa"/>
            <w:tcBorders>
              <w:top w:val="single" w:color="auto" w:sz="4" w:space="0"/>
            </w:tcBorders>
            <w:noWrap w:val="0"/>
            <w:vAlign w:val="center"/>
          </w:tcPr>
          <w:p w14:paraId="40585465">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甲方</w:t>
            </w:r>
            <w:r>
              <w:rPr>
                <w:rFonts w:hint="eastAsia" w:ascii="仿宋" w:hAnsi="仿宋" w:eastAsia="仿宋" w:cs="仿宋"/>
                <w:b/>
                <w:bCs w:val="0"/>
                <w:color w:val="auto"/>
                <w:sz w:val="28"/>
                <w:szCs w:val="28"/>
                <w:highlight w:val="none"/>
              </w:rPr>
              <w:t>名称</w:t>
            </w:r>
          </w:p>
        </w:tc>
        <w:tc>
          <w:tcPr>
            <w:tcW w:w="1350" w:type="dxa"/>
            <w:tcBorders>
              <w:top w:val="single" w:color="auto" w:sz="4" w:space="0"/>
            </w:tcBorders>
            <w:noWrap w:val="0"/>
            <w:vAlign w:val="center"/>
          </w:tcPr>
          <w:p w14:paraId="32A39A4A">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服务时间</w:t>
            </w:r>
          </w:p>
        </w:tc>
        <w:tc>
          <w:tcPr>
            <w:tcW w:w="1425" w:type="dxa"/>
            <w:tcBorders>
              <w:top w:val="single" w:color="auto" w:sz="4" w:space="0"/>
            </w:tcBorders>
            <w:noWrap w:val="0"/>
            <w:vAlign w:val="center"/>
          </w:tcPr>
          <w:p w14:paraId="4CF4CFEB">
            <w:pPr>
              <w:keepNext w:val="0"/>
              <w:keepLines w:val="0"/>
              <w:pageBreakBefore w:val="0"/>
              <w:widowControl w:val="0"/>
              <w:kinsoku/>
              <w:wordWrap/>
              <w:autoSpaceDE w:val="0"/>
              <w:autoSpaceDN w:val="0"/>
              <w:bidi w:val="0"/>
              <w:adjustRightInd w:val="0"/>
              <w:snapToGrid/>
              <w:spacing w:line="560" w:lineRule="exact"/>
              <w:ind w:firstLine="141" w:firstLineChars="5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合同金额</w:t>
            </w:r>
          </w:p>
        </w:tc>
        <w:tc>
          <w:tcPr>
            <w:tcW w:w="1425" w:type="dxa"/>
            <w:tcBorders>
              <w:top w:val="single" w:color="auto" w:sz="4" w:space="0"/>
              <w:right w:val="single" w:color="auto" w:sz="4" w:space="0"/>
            </w:tcBorders>
            <w:noWrap w:val="0"/>
            <w:vAlign w:val="center"/>
          </w:tcPr>
          <w:p w14:paraId="37009B58">
            <w:pPr>
              <w:keepNext w:val="0"/>
              <w:keepLines w:val="0"/>
              <w:pageBreakBefore w:val="0"/>
              <w:widowControl w:val="0"/>
              <w:kinsoku/>
              <w:wordWrap/>
              <w:autoSpaceDE w:val="0"/>
              <w:autoSpaceDN w:val="0"/>
              <w:bidi w:val="0"/>
              <w:adjustRightInd w:val="0"/>
              <w:snapToGrid/>
              <w:spacing w:line="560" w:lineRule="exact"/>
              <w:ind w:left="233" w:hanging="273" w:hangingChars="97"/>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完成质量</w:t>
            </w:r>
          </w:p>
        </w:tc>
        <w:tc>
          <w:tcPr>
            <w:tcW w:w="1106" w:type="dxa"/>
            <w:tcBorders>
              <w:top w:val="single" w:color="auto" w:sz="4" w:space="0"/>
              <w:left w:val="single" w:color="auto" w:sz="4" w:space="0"/>
            </w:tcBorders>
            <w:noWrap w:val="0"/>
            <w:vAlign w:val="center"/>
          </w:tcPr>
          <w:p w14:paraId="1B4B9817">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备注</w:t>
            </w:r>
          </w:p>
        </w:tc>
      </w:tr>
      <w:tr w14:paraId="06C9CE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noWrap w:val="0"/>
            <w:vAlign w:val="center"/>
          </w:tcPr>
          <w:p w14:paraId="4EF1F932">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noWrap w:val="0"/>
            <w:vAlign w:val="center"/>
          </w:tcPr>
          <w:p w14:paraId="7880005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noWrap w:val="0"/>
            <w:vAlign w:val="center"/>
          </w:tcPr>
          <w:p w14:paraId="7EF8593C">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noWrap w:val="0"/>
            <w:vAlign w:val="center"/>
          </w:tcPr>
          <w:p w14:paraId="4A8B4E8E">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noWrap w:val="0"/>
            <w:vAlign w:val="center"/>
          </w:tcPr>
          <w:p w14:paraId="6C766086">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right w:val="single" w:color="auto" w:sz="4" w:space="0"/>
            </w:tcBorders>
            <w:noWrap w:val="0"/>
            <w:vAlign w:val="center"/>
          </w:tcPr>
          <w:p w14:paraId="28723272">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tcBorders>
            <w:noWrap w:val="0"/>
            <w:vAlign w:val="center"/>
          </w:tcPr>
          <w:p w14:paraId="3EC2B402">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r w14:paraId="560D6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noWrap w:val="0"/>
            <w:vAlign w:val="center"/>
          </w:tcPr>
          <w:p w14:paraId="22F3632D">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noWrap w:val="0"/>
            <w:vAlign w:val="center"/>
          </w:tcPr>
          <w:p w14:paraId="0B32C36B">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noWrap w:val="0"/>
            <w:vAlign w:val="center"/>
          </w:tcPr>
          <w:p w14:paraId="4A112E54">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noWrap w:val="0"/>
            <w:vAlign w:val="center"/>
          </w:tcPr>
          <w:p w14:paraId="1B2525D9">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noWrap w:val="0"/>
            <w:vAlign w:val="center"/>
          </w:tcPr>
          <w:p w14:paraId="7730E7A6">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right w:val="single" w:color="auto" w:sz="4" w:space="0"/>
            </w:tcBorders>
            <w:noWrap w:val="0"/>
            <w:vAlign w:val="center"/>
          </w:tcPr>
          <w:p w14:paraId="1E6994E9">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tcBorders>
            <w:noWrap w:val="0"/>
            <w:vAlign w:val="center"/>
          </w:tcPr>
          <w:p w14:paraId="6E84007B">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r w14:paraId="38D9E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noWrap w:val="0"/>
            <w:vAlign w:val="center"/>
          </w:tcPr>
          <w:p w14:paraId="6EADEA0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noWrap w:val="0"/>
            <w:vAlign w:val="center"/>
          </w:tcPr>
          <w:p w14:paraId="626A848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noWrap w:val="0"/>
            <w:vAlign w:val="center"/>
          </w:tcPr>
          <w:p w14:paraId="7A58E645">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noWrap w:val="0"/>
            <w:vAlign w:val="center"/>
          </w:tcPr>
          <w:p w14:paraId="089B04F0">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noWrap w:val="0"/>
            <w:vAlign w:val="center"/>
          </w:tcPr>
          <w:p w14:paraId="68F0990D">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right w:val="single" w:color="auto" w:sz="4" w:space="0"/>
            </w:tcBorders>
            <w:noWrap w:val="0"/>
            <w:vAlign w:val="center"/>
          </w:tcPr>
          <w:p w14:paraId="165F089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tcBorders>
            <w:noWrap w:val="0"/>
            <w:vAlign w:val="center"/>
          </w:tcPr>
          <w:p w14:paraId="70E8D8E7">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r w14:paraId="1FA9C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noWrap w:val="0"/>
            <w:vAlign w:val="center"/>
          </w:tcPr>
          <w:p w14:paraId="6E19D7BF">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tcBorders>
              <w:right w:val="single" w:color="auto" w:sz="4" w:space="0"/>
            </w:tcBorders>
            <w:noWrap w:val="0"/>
            <w:vAlign w:val="center"/>
          </w:tcPr>
          <w:p w14:paraId="3321791F">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tcBorders>
              <w:left w:val="single" w:color="auto" w:sz="4" w:space="0"/>
            </w:tcBorders>
            <w:noWrap w:val="0"/>
            <w:vAlign w:val="center"/>
          </w:tcPr>
          <w:p w14:paraId="6E21ABEF">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noWrap w:val="0"/>
            <w:vAlign w:val="center"/>
          </w:tcPr>
          <w:p w14:paraId="044E3EEC">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noWrap w:val="0"/>
            <w:vAlign w:val="center"/>
          </w:tcPr>
          <w:p w14:paraId="686901EF">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right w:val="single" w:color="auto" w:sz="4" w:space="0"/>
            </w:tcBorders>
            <w:noWrap w:val="0"/>
            <w:vAlign w:val="center"/>
          </w:tcPr>
          <w:p w14:paraId="5CE6B064">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tcBorders>
            <w:noWrap w:val="0"/>
            <w:vAlign w:val="center"/>
          </w:tcPr>
          <w:p w14:paraId="617A889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r w14:paraId="3BD7C4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tcBorders>
              <w:right w:val="single" w:color="auto" w:sz="4" w:space="0"/>
            </w:tcBorders>
            <w:noWrap w:val="0"/>
            <w:vAlign w:val="center"/>
          </w:tcPr>
          <w:p w14:paraId="7D9C4198">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tcBorders>
              <w:left w:val="single" w:color="auto" w:sz="4" w:space="0"/>
              <w:right w:val="single" w:color="auto" w:sz="4" w:space="0"/>
            </w:tcBorders>
            <w:noWrap w:val="0"/>
            <w:vAlign w:val="center"/>
          </w:tcPr>
          <w:p w14:paraId="1E60A495">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tcBorders>
              <w:left w:val="single" w:color="auto" w:sz="4" w:space="0"/>
              <w:right w:val="single" w:color="auto" w:sz="4" w:space="0"/>
            </w:tcBorders>
            <w:noWrap w:val="0"/>
            <w:vAlign w:val="center"/>
          </w:tcPr>
          <w:p w14:paraId="0E193A89">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tcBorders>
              <w:left w:val="single" w:color="auto" w:sz="4" w:space="0"/>
              <w:right w:val="single" w:color="auto" w:sz="4" w:space="0"/>
            </w:tcBorders>
            <w:noWrap w:val="0"/>
            <w:vAlign w:val="center"/>
          </w:tcPr>
          <w:p w14:paraId="093FEBFA">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left w:val="single" w:color="auto" w:sz="4" w:space="0"/>
              <w:right w:val="single" w:color="auto" w:sz="4" w:space="0"/>
            </w:tcBorders>
            <w:noWrap w:val="0"/>
            <w:vAlign w:val="center"/>
          </w:tcPr>
          <w:p w14:paraId="186EF139">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left w:val="single" w:color="auto" w:sz="4" w:space="0"/>
              <w:right w:val="single" w:color="auto" w:sz="4" w:space="0"/>
            </w:tcBorders>
            <w:noWrap w:val="0"/>
            <w:vAlign w:val="center"/>
          </w:tcPr>
          <w:p w14:paraId="7CC3D076">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tcBorders>
            <w:noWrap w:val="0"/>
            <w:vAlign w:val="center"/>
          </w:tcPr>
          <w:p w14:paraId="70907213">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r w14:paraId="381A18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noWrap w:val="0"/>
            <w:vAlign w:val="center"/>
          </w:tcPr>
          <w:p w14:paraId="3E97608C">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noWrap w:val="0"/>
            <w:vAlign w:val="center"/>
          </w:tcPr>
          <w:p w14:paraId="612F37A7">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noWrap w:val="0"/>
            <w:vAlign w:val="center"/>
          </w:tcPr>
          <w:p w14:paraId="1520720B">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noWrap w:val="0"/>
            <w:vAlign w:val="center"/>
          </w:tcPr>
          <w:p w14:paraId="54249124">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right w:val="single" w:color="auto" w:sz="4" w:space="0"/>
            </w:tcBorders>
            <w:noWrap w:val="0"/>
            <w:vAlign w:val="center"/>
          </w:tcPr>
          <w:p w14:paraId="350D6E3E">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left w:val="single" w:color="auto" w:sz="4" w:space="0"/>
              <w:right w:val="single" w:color="auto" w:sz="4" w:space="0"/>
            </w:tcBorders>
            <w:noWrap w:val="0"/>
            <w:vAlign w:val="center"/>
          </w:tcPr>
          <w:p w14:paraId="2957096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tcBorders>
            <w:noWrap w:val="0"/>
            <w:vAlign w:val="center"/>
          </w:tcPr>
          <w:p w14:paraId="1BE0658A">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r w14:paraId="4A3BD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1" w:hRule="atLeast"/>
          <w:jc w:val="center"/>
        </w:trPr>
        <w:tc>
          <w:tcPr>
            <w:tcW w:w="705" w:type="dxa"/>
            <w:tcBorders>
              <w:bottom w:val="single" w:color="auto" w:sz="4" w:space="0"/>
            </w:tcBorders>
            <w:noWrap w:val="0"/>
            <w:vAlign w:val="center"/>
          </w:tcPr>
          <w:p w14:paraId="7C55497B">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988" w:type="dxa"/>
            <w:tcBorders>
              <w:bottom w:val="single" w:color="auto" w:sz="4" w:space="0"/>
            </w:tcBorders>
            <w:noWrap w:val="0"/>
            <w:vAlign w:val="center"/>
          </w:tcPr>
          <w:p w14:paraId="6E863132">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12" w:type="dxa"/>
            <w:tcBorders>
              <w:bottom w:val="single" w:color="auto" w:sz="4" w:space="0"/>
            </w:tcBorders>
            <w:noWrap w:val="0"/>
            <w:vAlign w:val="center"/>
          </w:tcPr>
          <w:p w14:paraId="77F2A086">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350" w:type="dxa"/>
            <w:tcBorders>
              <w:bottom w:val="single" w:color="auto" w:sz="4" w:space="0"/>
            </w:tcBorders>
            <w:noWrap w:val="0"/>
            <w:vAlign w:val="center"/>
          </w:tcPr>
          <w:p w14:paraId="11F02BAD">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bottom w:val="single" w:color="auto" w:sz="4" w:space="0"/>
              <w:right w:val="single" w:color="auto" w:sz="4" w:space="0"/>
            </w:tcBorders>
            <w:noWrap w:val="0"/>
            <w:vAlign w:val="center"/>
          </w:tcPr>
          <w:p w14:paraId="4F75385A">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425" w:type="dxa"/>
            <w:tcBorders>
              <w:left w:val="single" w:color="auto" w:sz="4" w:space="0"/>
              <w:bottom w:val="single" w:color="auto" w:sz="4" w:space="0"/>
              <w:right w:val="single" w:color="auto" w:sz="4" w:space="0"/>
            </w:tcBorders>
            <w:noWrap w:val="0"/>
            <w:vAlign w:val="center"/>
          </w:tcPr>
          <w:p w14:paraId="31575D91">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c>
          <w:tcPr>
            <w:tcW w:w="1106" w:type="dxa"/>
            <w:tcBorders>
              <w:left w:val="single" w:color="auto" w:sz="4" w:space="0"/>
              <w:bottom w:val="single" w:color="auto" w:sz="4" w:space="0"/>
            </w:tcBorders>
            <w:noWrap w:val="0"/>
            <w:vAlign w:val="center"/>
          </w:tcPr>
          <w:p w14:paraId="6C61D563">
            <w:pPr>
              <w:keepNext w:val="0"/>
              <w:keepLines w:val="0"/>
              <w:pageBreakBefore w:val="0"/>
              <w:widowControl w:val="0"/>
              <w:kinsoku/>
              <w:wordWrap/>
              <w:autoSpaceDE w:val="0"/>
              <w:autoSpaceDN w:val="0"/>
              <w:bidi w:val="0"/>
              <w:adjustRightInd w:val="0"/>
              <w:snapToGrid/>
              <w:spacing w:line="560" w:lineRule="exact"/>
              <w:jc w:val="center"/>
              <w:textAlignment w:val="auto"/>
              <w:rPr>
                <w:rFonts w:hint="eastAsia" w:ascii="仿宋" w:hAnsi="仿宋" w:eastAsia="仿宋" w:cs="仿宋"/>
                <w:bCs/>
                <w:color w:val="auto"/>
                <w:sz w:val="28"/>
                <w:szCs w:val="28"/>
                <w:highlight w:val="none"/>
              </w:rPr>
            </w:pPr>
          </w:p>
        </w:tc>
      </w:tr>
    </w:tbl>
    <w:p w14:paraId="1F2A60D0">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autoSpaceDE w:val="0"/>
        <w:autoSpaceDN w:val="0"/>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注：以上业绩需提供合同复印件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扫描件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p w14:paraId="6DC42E18">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autoSpaceDE w:val="0"/>
        <w:autoSpaceDN w:val="0"/>
        <w:bidi w:val="0"/>
        <w:adjustRightInd w:val="0"/>
        <w:snapToGrid/>
        <w:spacing w:line="560" w:lineRule="exact"/>
        <w:textAlignment w:val="auto"/>
        <w:rPr>
          <w:rFonts w:hint="eastAsia" w:ascii="仿宋" w:hAnsi="仿宋" w:eastAsia="仿宋" w:cs="仿宋"/>
          <w:color w:val="auto"/>
          <w:sz w:val="28"/>
          <w:szCs w:val="28"/>
          <w:highlight w:val="none"/>
        </w:rPr>
      </w:pPr>
    </w:p>
    <w:p w14:paraId="550E0F77">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autoSpaceDE w:val="0"/>
        <w:autoSpaceDN w:val="0"/>
        <w:bidi w:val="0"/>
        <w:adjustRightInd w:val="0"/>
        <w:snapToGrid/>
        <w:spacing w:line="560" w:lineRule="exact"/>
        <w:ind w:left="479" w:leftChars="171" w:firstLine="420" w:firstLineChars="150"/>
        <w:textAlignment w:val="auto"/>
        <w:rPr>
          <w:rFonts w:hint="eastAsia" w:ascii="仿宋" w:hAnsi="仿宋" w:eastAsia="仿宋" w:cs="仿宋"/>
          <w:color w:val="auto"/>
          <w:sz w:val="28"/>
          <w:szCs w:val="28"/>
          <w:highlight w:val="none"/>
        </w:rPr>
      </w:pPr>
    </w:p>
    <w:p w14:paraId="0C26350C">
      <w:pPr>
        <w:overflowPunct w:val="0"/>
        <w:topLinePunct/>
        <w:autoSpaceDE/>
        <w:autoSpaceDN/>
        <w:spacing w:line="560" w:lineRule="exact"/>
        <w:jc w:val="both"/>
        <w:rPr>
          <w:rFonts w:hint="eastAsia" w:ascii="仿宋" w:hAnsi="仿宋" w:eastAsia="仿宋"/>
          <w:color w:val="auto"/>
          <w:highlight w:val="none"/>
        </w:rPr>
      </w:pPr>
      <w:r>
        <w:rPr>
          <w:rFonts w:hint="eastAsia" w:ascii="仿宋" w:hAnsi="仿宋" w:eastAsia="仿宋"/>
          <w:color w:val="auto"/>
          <w:highlight w:val="none"/>
        </w:rPr>
        <w:t>供应商：</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（单位公章）</w:t>
      </w:r>
    </w:p>
    <w:p w14:paraId="76DA1B42">
      <w:pPr>
        <w:overflowPunct w:val="0"/>
        <w:topLinePunct/>
        <w:spacing w:line="560" w:lineRule="exact"/>
        <w:jc w:val="both"/>
        <w:rPr>
          <w:rFonts w:hint="eastAsia" w:ascii="仿宋" w:hAnsi="仿宋" w:eastAsia="仿宋"/>
          <w:iCs/>
          <w:color w:val="auto"/>
          <w:highlight w:val="none"/>
          <w:lang w:val="zh-CN"/>
        </w:rPr>
      </w:pPr>
      <w:r>
        <w:rPr>
          <w:rFonts w:hint="eastAsia" w:ascii="仿宋" w:hAnsi="仿宋" w:eastAsia="仿宋"/>
          <w:color w:val="auto"/>
          <w:highlight w:val="none"/>
        </w:rPr>
        <w:t>法定代表人或授权代表：</w:t>
      </w:r>
      <w:r>
        <w:rPr>
          <w:rFonts w:hint="eastAsia" w:ascii="仿宋" w:hAnsi="仿宋" w:eastAsia="仿宋"/>
          <w:color w:val="auto"/>
          <w:highlight w:val="none"/>
          <w:u w:val="single"/>
        </w:rPr>
        <w:t xml:space="preserve">          </w:t>
      </w:r>
      <w:r>
        <w:rPr>
          <w:rFonts w:hint="eastAsia" w:ascii="仿宋" w:hAnsi="仿宋" w:eastAsia="仿宋"/>
          <w:color w:val="auto"/>
          <w:highlight w:val="none"/>
        </w:rPr>
        <w:t>（签字或签章）</w:t>
      </w:r>
    </w:p>
    <w:p w14:paraId="4C676C24">
      <w:pPr>
        <w:overflowPunct w:val="0"/>
        <w:topLinePunct/>
        <w:spacing w:line="560" w:lineRule="exact"/>
        <w:jc w:val="both"/>
        <w:rPr>
          <w:rFonts w:hint="eastAsia" w:ascii="仿宋" w:hAnsi="仿宋" w:eastAsia="仿宋"/>
          <w:iCs/>
          <w:color w:val="auto"/>
          <w:highlight w:val="none"/>
          <w:lang w:val="zh-CN"/>
        </w:rPr>
      </w:pPr>
      <w:r>
        <w:rPr>
          <w:rFonts w:hint="eastAsia" w:ascii="仿宋" w:hAnsi="仿宋" w:eastAsia="仿宋"/>
          <w:iCs/>
          <w:color w:val="auto"/>
          <w:highlight w:val="none"/>
          <w:lang w:val="zh-CN"/>
        </w:rPr>
        <w:t>日</w:t>
      </w:r>
      <w:r>
        <w:rPr>
          <w:rFonts w:hint="eastAsia" w:ascii="仿宋" w:hAnsi="仿宋" w:eastAsia="仿宋"/>
          <w:iCs/>
          <w:color w:val="auto"/>
          <w:highlight w:val="none"/>
        </w:rPr>
        <w:t xml:space="preserve">   </w:t>
      </w:r>
      <w:r>
        <w:rPr>
          <w:rFonts w:hint="eastAsia" w:ascii="仿宋" w:hAnsi="仿宋" w:eastAsia="仿宋"/>
          <w:iCs/>
          <w:color w:val="auto"/>
          <w:highlight w:val="none"/>
          <w:lang w:val="zh-CN"/>
        </w:rPr>
        <w:t>期：</w:t>
      </w:r>
      <w:r>
        <w:rPr>
          <w:rFonts w:hint="eastAsia" w:ascii="仿宋" w:hAnsi="仿宋" w:eastAsia="仿宋"/>
          <w:iCs/>
          <w:color w:val="auto"/>
          <w:highlight w:val="none"/>
          <w:u w:val="single"/>
          <w:lang w:val="zh-CN"/>
        </w:rPr>
        <w:t xml:space="preserve">      </w:t>
      </w:r>
      <w:r>
        <w:rPr>
          <w:rFonts w:hint="eastAsia" w:ascii="仿宋" w:hAnsi="仿宋" w:eastAsia="仿宋"/>
          <w:iCs/>
          <w:color w:val="auto"/>
          <w:highlight w:val="none"/>
          <w:lang w:val="zh-CN"/>
        </w:rPr>
        <w:t>年</w:t>
      </w:r>
      <w:r>
        <w:rPr>
          <w:rFonts w:hint="eastAsia" w:ascii="仿宋" w:hAnsi="仿宋" w:eastAsia="仿宋"/>
          <w:iCs/>
          <w:color w:val="auto"/>
          <w:highlight w:val="none"/>
          <w:u w:val="single"/>
          <w:lang w:val="zh-CN"/>
        </w:rPr>
        <w:t xml:space="preserve">    </w:t>
      </w:r>
      <w:r>
        <w:rPr>
          <w:rFonts w:hint="eastAsia" w:ascii="仿宋" w:hAnsi="仿宋" w:eastAsia="仿宋"/>
          <w:iCs/>
          <w:color w:val="auto"/>
          <w:highlight w:val="none"/>
          <w:lang w:val="zh-CN"/>
        </w:rPr>
        <w:t>月</w:t>
      </w:r>
      <w:r>
        <w:rPr>
          <w:rFonts w:hint="eastAsia" w:ascii="仿宋" w:hAnsi="仿宋" w:eastAsia="仿宋"/>
          <w:iCs/>
          <w:color w:val="auto"/>
          <w:highlight w:val="none"/>
          <w:u w:val="single"/>
          <w:lang w:val="zh-CN"/>
        </w:rPr>
        <w:t xml:space="preserve">    </w:t>
      </w:r>
      <w:r>
        <w:rPr>
          <w:rFonts w:hint="eastAsia" w:ascii="仿宋" w:hAnsi="仿宋" w:eastAsia="仿宋"/>
          <w:iCs/>
          <w:color w:val="auto"/>
          <w:highlight w:val="none"/>
          <w:lang w:val="zh-CN"/>
        </w:rPr>
        <w:t>日</w:t>
      </w:r>
    </w:p>
    <w:p w14:paraId="495A852F">
      <w:pPr>
        <w:keepNext w:val="0"/>
        <w:keepLines w:val="0"/>
        <w:pageBreakBefore w:val="0"/>
        <w:widowControl w:val="0"/>
        <w:tabs>
          <w:tab w:val="left" w:pos="1470"/>
        </w:tabs>
        <w:kinsoku/>
        <w:wordWrap/>
        <w:autoSpaceDE w:val="0"/>
        <w:autoSpaceDN w:val="0"/>
        <w:bidi w:val="0"/>
        <w:adjustRightInd w:val="0"/>
        <w:snapToGrid/>
        <w:spacing w:line="560" w:lineRule="exact"/>
        <w:ind w:firstLine="562" w:firstLineChars="200"/>
        <w:textAlignment w:val="auto"/>
        <w:rPr>
          <w:rFonts w:hint="eastAsia" w:ascii="仿宋" w:hAnsi="仿宋" w:eastAsia="仿宋"/>
          <w:b/>
          <w:bCs/>
          <w:color w:val="auto"/>
          <w:highlight w:val="none"/>
        </w:rPr>
      </w:pPr>
    </w:p>
    <w:p w14:paraId="5695938B">
      <w:pPr>
        <w:keepNext w:val="0"/>
        <w:keepLines w:val="0"/>
        <w:pageBreakBefore w:val="0"/>
        <w:widowControl w:val="0"/>
        <w:kinsoku/>
        <w:wordWrap/>
        <w:overflowPunct w:val="0"/>
        <w:topLinePunct/>
        <w:autoSpaceDE w:val="0"/>
        <w:autoSpaceDN w:val="0"/>
        <w:bidi w:val="0"/>
        <w:adjustRightInd w:val="0"/>
        <w:snapToGrid/>
        <w:spacing w:line="560" w:lineRule="exact"/>
        <w:jc w:val="center"/>
        <w:textAlignment w:val="auto"/>
        <w:outlineLvl w:val="1"/>
        <w:rPr>
          <w:rFonts w:hint="eastAsia" w:ascii="仿宋" w:hAnsi="仿宋" w:eastAsia="仿宋" w:cs="宋体-18030"/>
          <w:b/>
          <w:bCs/>
          <w:color w:val="auto"/>
          <w:sz w:val="36"/>
          <w:szCs w:val="44"/>
          <w:highlight w:val="none"/>
        </w:rPr>
      </w:pPr>
      <w:r>
        <w:rPr>
          <w:rFonts w:hint="eastAsia" w:ascii="仿宋" w:hAnsi="仿宋" w:eastAsia="仿宋"/>
          <w:color w:val="auto"/>
          <w:sz w:val="24"/>
          <w:szCs w:val="24"/>
          <w:highlight w:val="none"/>
        </w:rPr>
        <w:br w:type="page"/>
      </w:r>
      <w:r>
        <w:rPr>
          <w:rFonts w:hint="eastAsia" w:ascii="黑体" w:hAnsi="黑体" w:eastAsia="黑体" w:cs="黑体"/>
          <w:color w:val="auto"/>
          <w:sz w:val="32"/>
          <w:szCs w:val="40"/>
          <w:highlight w:val="none"/>
        </w:rPr>
        <w:t>第7部分  资格证明材料</w:t>
      </w:r>
    </w:p>
    <w:p w14:paraId="72440201">
      <w:pPr>
        <w:overflowPunct w:val="0"/>
        <w:topLinePunct/>
        <w:spacing w:line="560" w:lineRule="exact"/>
        <w:jc w:val="both"/>
        <w:rPr>
          <w:rFonts w:hint="eastAsia" w:ascii="仿宋" w:hAnsi="仿宋" w:eastAsia="仿宋" w:cs="宋体-18030"/>
          <w:b/>
          <w:bCs/>
          <w:color w:val="auto"/>
          <w:sz w:val="36"/>
          <w:szCs w:val="44"/>
          <w:highlight w:val="none"/>
        </w:rPr>
      </w:pPr>
    </w:p>
    <w:p w14:paraId="7C5733F1">
      <w:pPr>
        <w:overflowPunct w:val="0"/>
        <w:topLinePunct/>
        <w:spacing w:line="560" w:lineRule="exact"/>
        <w:ind w:firstLine="562" w:firstLineChars="200"/>
        <w:rPr>
          <w:rFonts w:hint="eastAsia" w:ascii="仿宋" w:hAnsi="仿宋" w:eastAsia="仿宋" w:cs="宋体-18030"/>
          <w:b/>
          <w:bCs/>
          <w:color w:val="auto"/>
          <w:szCs w:val="44"/>
          <w:highlight w:val="none"/>
        </w:rPr>
      </w:pPr>
      <w:r>
        <w:rPr>
          <w:rFonts w:hint="eastAsia" w:ascii="仿宋" w:hAnsi="仿宋" w:eastAsia="仿宋" w:cs="宋体-18030"/>
          <w:b/>
          <w:bCs/>
          <w:color w:val="auto"/>
          <w:highlight w:val="none"/>
        </w:rPr>
        <w:t xml:space="preserve">7.1 </w:t>
      </w:r>
      <w:r>
        <w:rPr>
          <w:rFonts w:hint="eastAsia" w:ascii="仿宋" w:hAnsi="仿宋" w:eastAsia="仿宋" w:cs="宋体-18030"/>
          <w:b/>
          <w:bCs/>
          <w:color w:val="auto"/>
          <w:szCs w:val="44"/>
          <w:highlight w:val="none"/>
        </w:rPr>
        <w:t>编制要求提供的资格证明材料。</w:t>
      </w:r>
    </w:p>
    <w:p w14:paraId="095DF81C">
      <w:pPr>
        <w:widowControl/>
        <w:wordWrap w:val="0"/>
        <w:autoSpaceDE/>
        <w:autoSpaceDN/>
        <w:adjustRightInd/>
        <w:spacing w:line="560" w:lineRule="exact"/>
        <w:ind w:firstLine="560" w:firstLineChars="200"/>
        <w:rPr>
          <w:rFonts w:hint="eastAsia" w:ascii="仿宋" w:hAnsi="仿宋" w:eastAsia="仿宋"/>
          <w:color w:val="auto"/>
          <w:highlight w:val="none"/>
          <w:lang w:eastAsia="zh-CN"/>
        </w:rPr>
      </w:pPr>
      <w:r>
        <w:rPr>
          <w:rFonts w:hint="eastAsia" w:ascii="仿宋" w:hAnsi="仿宋" w:eastAsia="仿宋"/>
          <w:color w:val="auto"/>
          <w:highlight w:val="none"/>
        </w:rPr>
        <w:t>（1）</w:t>
      </w:r>
      <w:r>
        <w:rPr>
          <w:rFonts w:hint="eastAsia" w:ascii="仿宋" w:hAnsi="仿宋" w:eastAsia="仿宋" w:cs="仿宋"/>
          <w:color w:val="auto"/>
          <w:sz w:val="28"/>
          <w:szCs w:val="28"/>
          <w:highlight w:val="none"/>
        </w:rPr>
        <w:t>具有独立承担民事责任的能力</w:t>
      </w:r>
      <w:r>
        <w:rPr>
          <w:rFonts w:hint="eastAsia" w:ascii="仿宋" w:hAnsi="仿宋" w:eastAsia="仿宋" w:cs="仿宋"/>
          <w:color w:val="auto"/>
          <w:sz w:val="28"/>
          <w:szCs w:val="28"/>
          <w:highlight w:val="none"/>
          <w:lang w:eastAsia="zh-CN"/>
        </w:rPr>
        <w:t>：</w:t>
      </w:r>
      <w:r>
        <w:rPr>
          <w:rFonts w:hint="eastAsia" w:ascii="仿宋" w:hAnsi="仿宋" w:eastAsia="仿宋"/>
          <w:color w:val="auto"/>
          <w:highlight w:val="none"/>
        </w:rPr>
        <w:t>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olor w:val="auto"/>
          <w:highlight w:val="none"/>
          <w:lang w:eastAsia="zh-CN"/>
        </w:rPr>
        <w:t>。</w:t>
      </w:r>
    </w:p>
    <w:p w14:paraId="51C1C649">
      <w:pPr>
        <w:widowControl/>
        <w:wordWrap w:val="0"/>
        <w:autoSpaceDE/>
        <w:autoSpaceDN/>
        <w:adjustRightInd/>
        <w:spacing w:line="560" w:lineRule="exact"/>
        <w:ind w:firstLine="560" w:firstLineChars="200"/>
        <w:rPr>
          <w:rFonts w:hint="eastAsia" w:ascii="仿宋" w:hAnsi="仿宋" w:eastAsia="仿宋"/>
          <w:color w:val="auto"/>
          <w:highlight w:val="none"/>
        </w:rPr>
      </w:pPr>
    </w:p>
    <w:p w14:paraId="7B4564FF">
      <w:pPr>
        <w:rPr>
          <w:rFonts w:hint="eastAsia" w:ascii="仿宋" w:hAnsi="仿宋" w:eastAsia="仿宋"/>
          <w:color w:val="auto"/>
          <w:highlight w:val="none"/>
        </w:rPr>
      </w:pPr>
      <w:r>
        <w:rPr>
          <w:rFonts w:hint="eastAsia" w:ascii="仿宋" w:hAnsi="仿宋" w:eastAsia="仿宋"/>
          <w:color w:val="auto"/>
          <w:highlight w:val="none"/>
        </w:rPr>
        <w:br w:type="page"/>
      </w:r>
    </w:p>
    <w:p w14:paraId="2E20A21A">
      <w:pPr>
        <w:widowControl/>
        <w:wordWrap w:val="0"/>
        <w:autoSpaceDE/>
        <w:autoSpaceDN/>
        <w:adjustRightInd/>
        <w:spacing w:line="560" w:lineRule="exact"/>
        <w:ind w:firstLine="560" w:firstLineChars="200"/>
        <w:rPr>
          <w:rFonts w:hint="eastAsia" w:ascii="仿宋" w:hAnsi="仿宋" w:eastAsia="仿宋"/>
          <w:color w:val="auto"/>
          <w:highlight w:val="none"/>
          <w:lang w:eastAsia="zh-CN"/>
        </w:rPr>
      </w:pPr>
      <w:r>
        <w:rPr>
          <w:rFonts w:hint="eastAsia" w:ascii="仿宋" w:hAnsi="仿宋" w:eastAsia="仿宋"/>
          <w:color w:val="auto"/>
          <w:highlight w:val="none"/>
        </w:rPr>
        <w:t>（2）</w:t>
      </w:r>
      <w:r>
        <w:rPr>
          <w:rFonts w:hint="eastAsia" w:ascii="仿宋" w:hAnsi="仿宋" w:eastAsia="仿宋"/>
          <w:color w:val="auto"/>
          <w:highlight w:val="none"/>
          <w:lang w:eastAsia="zh-CN"/>
        </w:rPr>
        <w:t>具有良好的商业信誉和健全的财务会计制度：提供2023年或2024年完整的财务审计报告（审计报告需上传至注册会计师行业统一监管平台并申请赋码），或</w:t>
      </w:r>
      <w:r>
        <w:rPr>
          <w:rFonts w:hint="eastAsia" w:ascii="仿宋" w:hAnsi="仿宋" w:eastAsia="仿宋"/>
          <w:color w:val="auto"/>
          <w:highlight w:val="none"/>
          <w:lang w:val="en-US" w:eastAsia="zh-CN"/>
        </w:rPr>
        <w:t>磋商</w:t>
      </w:r>
      <w:r>
        <w:rPr>
          <w:rFonts w:hint="eastAsia" w:ascii="仿宋" w:hAnsi="仿宋" w:eastAsia="仿宋"/>
          <w:color w:val="auto"/>
          <w:highlight w:val="none"/>
          <w:lang w:eastAsia="zh-CN"/>
        </w:rPr>
        <w:t>截止时间前六个月内公司基本账户开户银行出具的资信证明（附基本存款账户信息），其他组织和自然人提供银行出具的资信证明。</w:t>
      </w:r>
    </w:p>
    <w:p w14:paraId="477D782B">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说明：</w:t>
      </w:r>
      <w:r>
        <w:rPr>
          <w:rFonts w:hint="eastAsia" w:ascii="仿宋" w:hAnsi="仿宋" w:eastAsia="仿宋"/>
          <w:color w:val="auto"/>
          <w:highlight w:val="none"/>
          <w:lang w:val="en-US" w:eastAsia="zh-CN"/>
        </w:rPr>
        <w:t>提供</w:t>
      </w:r>
      <w:r>
        <w:rPr>
          <w:rFonts w:hint="eastAsia" w:ascii="仿宋" w:hAnsi="仿宋" w:eastAsia="仿宋"/>
          <w:color w:val="auto"/>
          <w:highlight w:val="none"/>
        </w:rPr>
        <w:t>基本账户开户银行出具的资信证明的须按下方给定格式（详见《中国人民银行关于取消企业银行账户许可的通知》银发〔2019〕41号附件1）填写基本存款账户信息。</w:t>
      </w:r>
    </w:p>
    <w:p w14:paraId="51CB51D7">
      <w:pPr>
        <w:widowControl/>
        <w:wordWrap w:val="0"/>
        <w:autoSpaceDE/>
        <w:autoSpaceDN/>
        <w:adjustRightInd/>
        <w:spacing w:line="560" w:lineRule="exact"/>
        <w:ind w:firstLine="560" w:firstLineChars="200"/>
        <w:jc w:val="center"/>
        <w:rPr>
          <w:rFonts w:hint="eastAsia" w:ascii="仿宋" w:hAnsi="仿宋" w:eastAsia="仿宋"/>
          <w:b w:val="0"/>
          <w:bCs w:val="0"/>
          <w:color w:val="auto"/>
          <w:highlight w:val="none"/>
        </w:rPr>
      </w:pPr>
      <w:r>
        <w:rPr>
          <w:rFonts w:hint="eastAsia" w:ascii="仿宋" w:hAnsi="仿宋" w:eastAsia="仿宋"/>
          <w:b w:val="0"/>
          <w:bCs w:val="0"/>
          <w:color w:val="auto"/>
          <w:highlight w:val="none"/>
        </w:rPr>
        <w:t>基本存款账户信息</w:t>
      </w:r>
    </w:p>
    <w:p w14:paraId="59188F83">
      <w:pPr>
        <w:widowControl/>
        <w:wordWrap w:val="0"/>
        <w:autoSpaceDE/>
        <w:autoSpaceDN/>
        <w:adjustRightInd/>
        <w:spacing w:line="560" w:lineRule="exact"/>
        <w:ind w:firstLine="560" w:firstLineChars="200"/>
        <w:rPr>
          <w:rFonts w:hint="eastAsia" w:ascii="仿宋" w:hAnsi="仿宋" w:eastAsia="仿宋"/>
          <w:b w:val="0"/>
          <w:bCs w:val="0"/>
          <w:color w:val="auto"/>
          <w:highlight w:val="none"/>
        </w:rPr>
      </w:pPr>
      <w:r>
        <w:rPr>
          <w:rFonts w:hint="eastAsia" w:ascii="仿宋" w:hAnsi="仿宋" w:eastAsia="仿宋"/>
          <w:b w:val="0"/>
          <w:bCs w:val="0"/>
          <w:color w:val="auto"/>
          <w:highlight w:val="none"/>
        </w:rPr>
        <w:t>账户名称：</w:t>
      </w:r>
    </w:p>
    <w:p w14:paraId="76A82E83">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账户号码：</w:t>
      </w:r>
    </w:p>
    <w:p w14:paraId="1DFACDC5">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开户银行：</w:t>
      </w:r>
    </w:p>
    <w:p w14:paraId="2576BABB">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法定代表人：（签字或盖章）</w:t>
      </w:r>
    </w:p>
    <w:p w14:paraId="744A6BD8">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基本存款账户编号：</w:t>
      </w:r>
    </w:p>
    <w:p w14:paraId="1A3B44F1">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供应商：（供应商全称并加盖公章）</w:t>
      </w:r>
    </w:p>
    <w:p w14:paraId="2524021B">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日期：　　年　月　日</w:t>
      </w:r>
    </w:p>
    <w:p w14:paraId="2B2BF5B6">
      <w:pPr>
        <w:widowControl/>
        <w:wordWrap w:val="0"/>
        <w:autoSpaceDE/>
        <w:autoSpaceDN/>
        <w:adjustRightInd/>
        <w:spacing w:line="560" w:lineRule="exact"/>
        <w:ind w:firstLine="560" w:firstLineChars="200"/>
        <w:rPr>
          <w:rFonts w:hint="eastAsia" w:ascii="仿宋" w:hAnsi="仿宋" w:eastAsia="仿宋"/>
          <w:color w:val="auto"/>
          <w:highlight w:val="none"/>
        </w:rPr>
      </w:pPr>
    </w:p>
    <w:p w14:paraId="74FCBD91">
      <w:pPr>
        <w:rPr>
          <w:rFonts w:hint="eastAsia" w:ascii="仿宋" w:hAnsi="仿宋" w:eastAsia="仿宋"/>
          <w:color w:val="auto"/>
          <w:highlight w:val="none"/>
        </w:rPr>
      </w:pPr>
      <w:r>
        <w:rPr>
          <w:rFonts w:hint="eastAsia" w:ascii="仿宋" w:hAnsi="仿宋" w:eastAsia="仿宋"/>
          <w:color w:val="auto"/>
          <w:highlight w:val="none"/>
        </w:rPr>
        <w:br w:type="page"/>
      </w:r>
    </w:p>
    <w:p w14:paraId="077C8FA2">
      <w:pPr>
        <w:widowControl/>
        <w:wordWrap w:val="0"/>
        <w:autoSpaceDE/>
        <w:autoSpaceDN/>
        <w:adjustRightInd/>
        <w:spacing w:line="560" w:lineRule="exact"/>
        <w:ind w:firstLine="560" w:firstLineChars="200"/>
        <w:rPr>
          <w:rFonts w:hint="eastAsia" w:ascii="仿宋" w:hAnsi="仿宋" w:eastAsia="仿宋"/>
          <w:color w:val="auto"/>
          <w:highlight w:val="none"/>
          <w:lang w:eastAsia="zh-CN"/>
        </w:rPr>
      </w:pPr>
      <w:r>
        <w:rPr>
          <w:rFonts w:hint="eastAsia" w:ascii="仿宋" w:hAnsi="仿宋" w:eastAsia="仿宋"/>
          <w:color w:val="auto"/>
          <w:highlight w:val="none"/>
        </w:rPr>
        <w:t>（3）</w:t>
      </w:r>
      <w:r>
        <w:rPr>
          <w:rFonts w:hint="eastAsia" w:ascii="仿宋" w:hAnsi="仿宋" w:eastAsia="仿宋"/>
          <w:color w:val="auto"/>
          <w:highlight w:val="none"/>
          <w:lang w:eastAsia="zh-CN"/>
        </w:rPr>
        <w:t>具有履行合同所必需的设备和专业技术能力：提供具有履行合同所必需的设备和专业技术能力的书面声明。（</w:t>
      </w:r>
      <w:r>
        <w:rPr>
          <w:rFonts w:hint="eastAsia" w:ascii="仿宋" w:hAnsi="仿宋" w:eastAsia="仿宋"/>
          <w:color w:val="auto"/>
          <w:highlight w:val="none"/>
          <w:lang w:val="en-US" w:eastAsia="zh-CN"/>
        </w:rPr>
        <w:t>附格式</w:t>
      </w:r>
      <w:r>
        <w:rPr>
          <w:rFonts w:hint="eastAsia" w:ascii="仿宋" w:hAnsi="仿宋" w:eastAsia="仿宋"/>
          <w:color w:val="auto"/>
          <w:highlight w:val="none"/>
          <w:lang w:eastAsia="zh-CN"/>
        </w:rPr>
        <w:t>）</w:t>
      </w:r>
    </w:p>
    <w:p w14:paraId="0D2D0BE4">
      <w:pPr>
        <w:overflowPunct w:val="0"/>
        <w:topLinePunct/>
        <w:spacing w:line="560" w:lineRule="exact"/>
        <w:jc w:val="center"/>
        <w:rPr>
          <w:rFonts w:ascii="仿宋" w:hAnsi="仿宋" w:eastAsia="仿宋" w:cs="宋体-18030"/>
          <w:b w:val="0"/>
          <w:bCs/>
          <w:color w:val="auto"/>
          <w:highlight w:val="none"/>
        </w:rPr>
      </w:pPr>
      <w:r>
        <w:rPr>
          <w:rFonts w:hint="eastAsia" w:ascii="仿宋" w:hAnsi="仿宋" w:eastAsia="仿宋" w:cs="宋体-18030"/>
          <w:b w:val="0"/>
          <w:bCs/>
          <w:color w:val="auto"/>
          <w:sz w:val="32"/>
          <w:szCs w:val="32"/>
          <w:highlight w:val="none"/>
        </w:rPr>
        <w:t>书面声明</w:t>
      </w:r>
    </w:p>
    <w:p w14:paraId="1C5B0F65">
      <w:pPr>
        <w:overflowPunct w:val="0"/>
        <w:topLinePunct/>
        <w:spacing w:line="560" w:lineRule="exact"/>
        <w:rPr>
          <w:rFonts w:hint="eastAsia" w:ascii="仿宋" w:hAnsi="仿宋" w:eastAsia="仿宋" w:cs="宋体-18030"/>
          <w:color w:val="auto"/>
          <w:highlight w:val="none"/>
        </w:rPr>
      </w:pPr>
      <w:r>
        <w:rPr>
          <w:rFonts w:hint="eastAsia" w:ascii="仿宋" w:hAnsi="仿宋" w:eastAsia="仿宋"/>
          <w:iCs/>
          <w:color w:val="auto"/>
          <w:highlight w:val="none"/>
          <w:lang w:val="zh-CN"/>
        </w:rPr>
        <w:t>致：</w:t>
      </w:r>
      <w:r>
        <w:rPr>
          <w:rFonts w:hint="eastAsia" w:ascii="仿宋" w:hAnsi="仿宋" w:eastAsia="仿宋"/>
          <w:iCs/>
          <w:color w:val="auto"/>
          <w:highlight w:val="none"/>
        </w:rPr>
        <w:t>陕西中信项目咨询有限公司</w:t>
      </w:r>
    </w:p>
    <w:p w14:paraId="712A76DA">
      <w:pPr>
        <w:overflowPunct w:val="0"/>
        <w:topLinePunct/>
        <w:spacing w:line="560" w:lineRule="exact"/>
        <w:ind w:firstLine="560" w:firstLineChars="200"/>
        <w:rPr>
          <w:rFonts w:hint="eastAsia" w:ascii="仿宋" w:hAnsi="仿宋" w:eastAsia="仿宋"/>
          <w:iCs/>
          <w:color w:val="auto"/>
          <w:highlight w:val="none"/>
        </w:rPr>
      </w:pPr>
      <w:r>
        <w:rPr>
          <w:rFonts w:hint="eastAsia" w:ascii="仿宋" w:hAnsi="仿宋" w:eastAsia="仿宋"/>
          <w:iCs/>
          <w:color w:val="auto"/>
          <w:highlight w:val="none"/>
        </w:rPr>
        <w:t>我单位具有履行合同所必需的设备和专业技术能力，且</w:t>
      </w:r>
      <w:r>
        <w:rPr>
          <w:rFonts w:ascii="仿宋" w:hAnsi="仿宋" w:eastAsia="仿宋" w:cs="仿宋"/>
          <w:color w:val="auto"/>
          <w:highlight w:val="none"/>
          <w:shd w:val="clear" w:color="auto" w:fill="FFFFFF"/>
        </w:rPr>
        <w:t>未为本项目提供整体设计、规范编制或者项目管理、监理、检测等服务</w:t>
      </w:r>
      <w:r>
        <w:rPr>
          <w:rFonts w:hint="eastAsia" w:ascii="仿宋" w:hAnsi="仿宋" w:eastAsia="仿宋" w:cs="仿宋"/>
          <w:color w:val="auto"/>
          <w:highlight w:val="none"/>
          <w:shd w:val="clear" w:color="auto" w:fill="FFFFFF"/>
        </w:rPr>
        <w:t>。</w:t>
      </w:r>
    </w:p>
    <w:p w14:paraId="2AB63708">
      <w:pPr>
        <w:overflowPunct w:val="0"/>
        <w:topLinePunct/>
        <w:spacing w:line="560" w:lineRule="exact"/>
        <w:ind w:firstLine="560" w:firstLineChars="200"/>
        <w:rPr>
          <w:rFonts w:hint="eastAsia" w:ascii="仿宋" w:hAnsi="仿宋" w:eastAsia="仿宋"/>
          <w:iCs/>
          <w:color w:val="auto"/>
          <w:highlight w:val="none"/>
          <w:lang w:val="zh-CN"/>
        </w:rPr>
      </w:pPr>
      <w:r>
        <w:rPr>
          <w:rFonts w:hint="eastAsia" w:ascii="仿宋" w:hAnsi="仿宋" w:eastAsia="仿宋"/>
          <w:iCs/>
          <w:color w:val="auto"/>
          <w:highlight w:val="none"/>
          <w:lang w:val="zh-CN"/>
        </w:rPr>
        <w:t>特此声明！</w:t>
      </w:r>
    </w:p>
    <w:p w14:paraId="11075A72">
      <w:pPr>
        <w:pStyle w:val="19"/>
        <w:spacing w:after="0" w:line="560" w:lineRule="exact"/>
        <w:rPr>
          <w:rFonts w:hint="eastAsia"/>
          <w:color w:val="auto"/>
          <w:highlight w:val="none"/>
          <w:lang w:val="zh-CN"/>
        </w:rPr>
      </w:pPr>
    </w:p>
    <w:p w14:paraId="0D80706F">
      <w:pPr>
        <w:overflowPunct w:val="0"/>
        <w:topLinePunct/>
        <w:autoSpaceDE/>
        <w:autoSpaceDN/>
        <w:spacing w:line="560" w:lineRule="exact"/>
        <w:jc w:val="both"/>
        <w:rPr>
          <w:rFonts w:hint="eastAsia" w:ascii="仿宋" w:hAnsi="仿宋" w:eastAsia="仿宋"/>
          <w:color w:val="auto"/>
          <w:highlight w:val="none"/>
        </w:rPr>
      </w:pPr>
      <w:r>
        <w:rPr>
          <w:rFonts w:hint="eastAsia" w:ascii="仿宋" w:hAnsi="仿宋" w:eastAsia="仿宋"/>
          <w:iCs/>
          <w:color w:val="auto"/>
          <w:highlight w:val="none"/>
          <w:lang w:val="zh-CN"/>
        </w:rPr>
        <w:t xml:space="preserve">                  </w:t>
      </w:r>
      <w:r>
        <w:rPr>
          <w:rFonts w:hint="eastAsia" w:ascii="仿宋" w:hAnsi="仿宋" w:eastAsia="仿宋"/>
          <w:iCs/>
          <w:color w:val="auto"/>
          <w:highlight w:val="none"/>
        </w:rPr>
        <w:t xml:space="preserve">  </w:t>
      </w:r>
      <w:r>
        <w:rPr>
          <w:rFonts w:hint="eastAsia" w:ascii="仿宋" w:hAnsi="仿宋" w:eastAsia="仿宋"/>
          <w:color w:val="auto"/>
          <w:highlight w:val="none"/>
        </w:rPr>
        <w:t>供应商：</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（单位公章）</w:t>
      </w:r>
    </w:p>
    <w:p w14:paraId="12BE34AC">
      <w:pPr>
        <w:overflowPunct w:val="0"/>
        <w:topLinePunct/>
        <w:autoSpaceDE/>
        <w:autoSpaceDN/>
        <w:spacing w:line="560" w:lineRule="exact"/>
        <w:jc w:val="right"/>
        <w:rPr>
          <w:rFonts w:hint="eastAsia" w:ascii="仿宋" w:hAnsi="仿宋" w:eastAsia="仿宋"/>
          <w:color w:val="auto"/>
          <w:highlight w:val="none"/>
          <w:lang w:val="zh-CN"/>
        </w:rPr>
      </w:pPr>
      <w:r>
        <w:rPr>
          <w:rFonts w:hint="eastAsia" w:ascii="仿宋" w:hAnsi="仿宋" w:eastAsia="仿宋"/>
          <w:color w:val="auto"/>
          <w:highlight w:val="none"/>
        </w:rPr>
        <w:t>法定代表人或授权代表：</w:t>
      </w:r>
      <w:r>
        <w:rPr>
          <w:rFonts w:hint="eastAsia" w:ascii="仿宋" w:hAnsi="仿宋" w:eastAsia="仿宋"/>
          <w:color w:val="auto"/>
          <w:highlight w:val="none"/>
          <w:u w:val="single"/>
        </w:rPr>
        <w:t xml:space="preserve">          </w:t>
      </w:r>
      <w:r>
        <w:rPr>
          <w:rFonts w:hint="eastAsia" w:ascii="仿宋" w:hAnsi="仿宋" w:eastAsia="仿宋"/>
          <w:color w:val="auto"/>
          <w:highlight w:val="none"/>
        </w:rPr>
        <w:t>（签字或签章）</w:t>
      </w:r>
    </w:p>
    <w:p w14:paraId="34F90B2E">
      <w:pPr>
        <w:overflowPunct w:val="0"/>
        <w:topLinePunct/>
        <w:autoSpaceDE/>
        <w:autoSpaceDN/>
        <w:spacing w:line="560" w:lineRule="exact"/>
        <w:jc w:val="both"/>
        <w:rPr>
          <w:rFonts w:hint="eastAsia" w:ascii="仿宋" w:hAnsi="仿宋" w:eastAsia="仿宋" w:cs="宋体-18030"/>
          <w:color w:val="auto"/>
          <w:highlight w:val="none"/>
        </w:rPr>
      </w:pPr>
      <w:r>
        <w:rPr>
          <w:rFonts w:hint="eastAsia" w:ascii="仿宋" w:hAnsi="仿宋" w:eastAsia="仿宋"/>
          <w:color w:val="auto"/>
          <w:highlight w:val="none"/>
        </w:rPr>
        <w:t xml:space="preserve">                    </w:t>
      </w:r>
      <w:r>
        <w:rPr>
          <w:rFonts w:hint="eastAsia" w:ascii="仿宋" w:hAnsi="仿宋" w:eastAsia="仿宋"/>
          <w:color w:val="auto"/>
          <w:highlight w:val="none"/>
          <w:lang w:val="zh-CN"/>
        </w:rPr>
        <w:t>日</w:t>
      </w:r>
      <w:r>
        <w:rPr>
          <w:rFonts w:hint="eastAsia" w:ascii="仿宋" w:hAnsi="仿宋" w:eastAsia="仿宋"/>
          <w:color w:val="auto"/>
          <w:highlight w:val="none"/>
        </w:rPr>
        <w:t xml:space="preserve">   </w:t>
      </w:r>
      <w:r>
        <w:rPr>
          <w:rFonts w:hint="eastAsia" w:ascii="仿宋" w:hAnsi="仿宋" w:eastAsia="仿宋"/>
          <w:color w:val="auto"/>
          <w:highlight w:val="none"/>
          <w:lang w:val="zh-CN"/>
        </w:rPr>
        <w:t>期：</w:t>
      </w:r>
      <w:r>
        <w:rPr>
          <w:rFonts w:hint="eastAsia" w:ascii="仿宋" w:hAnsi="仿宋" w:eastAsia="仿宋"/>
          <w:color w:val="auto"/>
          <w:highlight w:val="none"/>
          <w:u w:val="single"/>
          <w:lang w:val="zh-CN"/>
        </w:rPr>
        <w:t xml:space="preserve">      </w:t>
      </w:r>
      <w:r>
        <w:rPr>
          <w:rFonts w:hint="eastAsia" w:ascii="仿宋" w:hAnsi="仿宋" w:eastAsia="仿宋"/>
          <w:color w:val="auto"/>
          <w:highlight w:val="none"/>
          <w:lang w:val="zh-CN"/>
        </w:rPr>
        <w:t>年</w:t>
      </w:r>
      <w:r>
        <w:rPr>
          <w:rFonts w:hint="eastAsia" w:ascii="仿宋" w:hAnsi="仿宋" w:eastAsia="仿宋"/>
          <w:color w:val="auto"/>
          <w:highlight w:val="none"/>
          <w:u w:val="single"/>
          <w:lang w:val="zh-CN"/>
        </w:rPr>
        <w:t xml:space="preserve">    </w:t>
      </w:r>
      <w:r>
        <w:rPr>
          <w:rFonts w:hint="eastAsia" w:ascii="仿宋" w:hAnsi="仿宋" w:eastAsia="仿宋"/>
          <w:color w:val="auto"/>
          <w:highlight w:val="none"/>
          <w:lang w:val="zh-CN"/>
        </w:rPr>
        <w:t>月</w:t>
      </w:r>
      <w:r>
        <w:rPr>
          <w:rFonts w:hint="eastAsia" w:ascii="仿宋" w:hAnsi="仿宋" w:eastAsia="仿宋"/>
          <w:color w:val="auto"/>
          <w:highlight w:val="none"/>
          <w:u w:val="single"/>
          <w:lang w:val="zh-CN"/>
        </w:rPr>
        <w:t xml:space="preserve">    </w:t>
      </w:r>
      <w:r>
        <w:rPr>
          <w:rFonts w:hint="eastAsia" w:ascii="仿宋" w:hAnsi="仿宋" w:eastAsia="仿宋"/>
          <w:color w:val="auto"/>
          <w:highlight w:val="none"/>
          <w:lang w:val="zh-CN"/>
        </w:rPr>
        <w:t>日</w:t>
      </w:r>
    </w:p>
    <w:p w14:paraId="3BECD06B">
      <w:pPr>
        <w:overflowPunct w:val="0"/>
        <w:topLinePunct/>
        <w:spacing w:line="560" w:lineRule="exact"/>
        <w:rPr>
          <w:rFonts w:hint="eastAsia" w:ascii="仿宋" w:hAnsi="仿宋" w:eastAsia="仿宋" w:cs="宋体-18030"/>
          <w:color w:val="auto"/>
          <w:highlight w:val="none"/>
        </w:rPr>
      </w:pPr>
    </w:p>
    <w:p w14:paraId="0F1B1B87">
      <w:pPr>
        <w:spacing w:line="560" w:lineRule="exact"/>
        <w:rPr>
          <w:rFonts w:hint="eastAsia"/>
          <w:color w:val="auto"/>
          <w:highlight w:val="none"/>
        </w:rPr>
      </w:pPr>
    </w:p>
    <w:p w14:paraId="3690A8EB">
      <w:pPr>
        <w:pStyle w:val="19"/>
        <w:spacing w:after="0" w:line="560" w:lineRule="exact"/>
        <w:rPr>
          <w:rFonts w:hint="eastAsia"/>
          <w:color w:val="auto"/>
          <w:highlight w:val="none"/>
        </w:rPr>
      </w:pPr>
    </w:p>
    <w:p w14:paraId="67D150E9">
      <w:pPr>
        <w:numPr>
          <w:ilvl w:val="0"/>
          <w:numId w:val="0"/>
        </w:numPr>
        <w:overflowPunct w:val="0"/>
        <w:topLinePunct/>
        <w:spacing w:line="560" w:lineRule="exact"/>
        <w:jc w:val="both"/>
        <w:rPr>
          <w:rFonts w:hint="eastAsia" w:ascii="仿宋" w:hAnsi="仿宋" w:eastAsia="仿宋" w:cs="宋体-18030"/>
          <w:bCs/>
          <w:color w:val="auto"/>
          <w:highlight w:val="none"/>
        </w:rPr>
      </w:pPr>
    </w:p>
    <w:p w14:paraId="38EA0E96">
      <w:pPr>
        <w:keepNext w:val="0"/>
        <w:keepLines w:val="0"/>
        <w:pageBreakBefore w:val="0"/>
        <w:widowControl w:val="0"/>
        <w:numPr>
          <w:ilvl w:val="0"/>
          <w:numId w:val="0"/>
        </w:numPr>
        <w:kinsoku/>
        <w:wordWrap/>
        <w:overflowPunct w:val="0"/>
        <w:topLinePunct/>
        <w:autoSpaceDE w:val="0"/>
        <w:autoSpaceDN w:val="0"/>
        <w:bidi w:val="0"/>
        <w:adjustRightInd w:val="0"/>
        <w:snapToGrid/>
        <w:spacing w:line="560" w:lineRule="exact"/>
        <w:jc w:val="both"/>
        <w:textAlignment w:val="auto"/>
        <w:rPr>
          <w:rFonts w:hint="eastAsia" w:ascii="仿宋" w:hAnsi="仿宋" w:eastAsia="仿宋" w:cs="宋体-18030"/>
          <w:bCs/>
          <w:color w:val="auto"/>
          <w:highlight w:val="none"/>
        </w:rPr>
      </w:pPr>
    </w:p>
    <w:p w14:paraId="27BE36AA">
      <w:pPr>
        <w:numPr>
          <w:ilvl w:val="0"/>
          <w:numId w:val="0"/>
        </w:numPr>
        <w:overflowPunct w:val="0"/>
        <w:topLinePunct/>
        <w:spacing w:line="560" w:lineRule="exact"/>
        <w:jc w:val="both"/>
        <w:rPr>
          <w:rFonts w:hint="eastAsia" w:ascii="仿宋" w:hAnsi="仿宋" w:eastAsia="仿宋" w:cs="宋体-18030"/>
          <w:bCs/>
          <w:color w:val="auto"/>
          <w:highlight w:val="none"/>
        </w:rPr>
      </w:pPr>
    </w:p>
    <w:p w14:paraId="5DE7621B">
      <w:pPr>
        <w:pStyle w:val="43"/>
        <w:keepNext w:val="0"/>
        <w:keepLines w:val="0"/>
        <w:pageBreakBefore w:val="0"/>
        <w:widowControl w:val="0"/>
        <w:kinsoku/>
        <w:wordWrap/>
        <w:overflowPunct/>
        <w:topLinePunct w:val="0"/>
        <w:autoSpaceDE w:val="0"/>
        <w:autoSpaceDN w:val="0"/>
        <w:bidi w:val="0"/>
        <w:adjustRightInd w:val="0"/>
        <w:snapToGrid/>
        <w:spacing w:after="0" w:line="600" w:lineRule="exact"/>
        <w:ind w:left="0" w:leftChars="0" w:firstLine="560" w:firstLineChars="200"/>
        <w:jc w:val="both"/>
        <w:textAlignment w:val="auto"/>
        <w:rPr>
          <w:rFonts w:hint="eastAsia"/>
          <w:color w:val="auto"/>
          <w:highlight w:val="none"/>
        </w:rPr>
      </w:pPr>
      <w:r>
        <w:rPr>
          <w:rFonts w:hint="eastAsia"/>
          <w:color w:val="auto"/>
          <w:highlight w:val="none"/>
        </w:rPr>
        <w:br w:type="page"/>
      </w:r>
    </w:p>
    <w:p w14:paraId="2892FCD6">
      <w:pPr>
        <w:widowControl/>
        <w:wordWrap w:val="0"/>
        <w:autoSpaceDE/>
        <w:autoSpaceDN/>
        <w:adjustRightInd/>
        <w:spacing w:line="560" w:lineRule="exact"/>
        <w:ind w:firstLine="560" w:firstLineChars="200"/>
        <w:rPr>
          <w:rFonts w:hint="eastAsia" w:ascii="仿宋" w:hAnsi="仿宋" w:eastAsia="仿宋"/>
          <w:color w:val="auto"/>
          <w:highlight w:val="none"/>
          <w:lang w:eastAsia="zh-CN"/>
        </w:rPr>
      </w:pPr>
      <w:r>
        <w:rPr>
          <w:rFonts w:hint="eastAsia" w:ascii="仿宋" w:hAnsi="仿宋" w:eastAsia="仿宋"/>
          <w:color w:val="auto"/>
          <w:highlight w:val="none"/>
        </w:rPr>
        <w:t>（4）</w:t>
      </w:r>
      <w:r>
        <w:rPr>
          <w:rFonts w:hint="eastAsia" w:ascii="仿宋" w:hAnsi="仿宋" w:eastAsia="仿宋"/>
          <w:color w:val="auto"/>
          <w:highlight w:val="none"/>
          <w:lang w:eastAsia="zh-CN"/>
        </w:rPr>
        <w:t>有依法缴纳税收的良好记录：提供2024年06月至今已缴纳的至少一个月的纳税证明或完税证明，依法免税的单位应提供相关证明材料。</w:t>
      </w:r>
    </w:p>
    <w:p w14:paraId="4EE06BD7">
      <w:pPr>
        <w:widowControl/>
        <w:wordWrap w:val="0"/>
        <w:autoSpaceDE/>
        <w:autoSpaceDN/>
        <w:adjustRightInd/>
        <w:spacing w:line="560" w:lineRule="exact"/>
        <w:ind w:firstLine="560" w:firstLineChars="200"/>
        <w:rPr>
          <w:rFonts w:hint="eastAsia" w:ascii="仿宋" w:hAnsi="仿宋" w:eastAsia="仿宋"/>
          <w:color w:val="auto"/>
          <w:highlight w:val="none"/>
        </w:rPr>
      </w:pPr>
    </w:p>
    <w:p w14:paraId="41DBB558">
      <w:pPr>
        <w:rPr>
          <w:rFonts w:hint="eastAsia" w:ascii="仿宋" w:hAnsi="仿宋" w:eastAsia="仿宋"/>
          <w:color w:val="auto"/>
          <w:highlight w:val="none"/>
        </w:rPr>
      </w:pPr>
      <w:r>
        <w:rPr>
          <w:rFonts w:hint="eastAsia" w:ascii="仿宋" w:hAnsi="仿宋" w:eastAsia="仿宋"/>
          <w:color w:val="auto"/>
          <w:highlight w:val="none"/>
        </w:rPr>
        <w:br w:type="page"/>
      </w:r>
    </w:p>
    <w:p w14:paraId="75277F69">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（5）</w:t>
      </w:r>
      <w:r>
        <w:rPr>
          <w:rFonts w:hint="eastAsia" w:ascii="仿宋" w:hAnsi="仿宋" w:eastAsia="仿宋"/>
          <w:color w:val="auto"/>
          <w:highlight w:val="none"/>
          <w:lang w:eastAsia="zh-CN"/>
        </w:rPr>
        <w:t>有依法缴纳社会保障资金的良好记录：提供2024年06月至今已缴存的至少一个月的社会保障资金缴存单据或社保机构开具的社会保险参保缴费情况证明，依法不需要缴纳社会保障资金的单位应提供相关证明材料。</w:t>
      </w:r>
    </w:p>
    <w:p w14:paraId="22CBADC5">
      <w:pPr>
        <w:rPr>
          <w:rFonts w:hint="eastAsia" w:ascii="仿宋" w:hAnsi="仿宋" w:eastAsia="仿宋"/>
          <w:color w:val="auto"/>
          <w:highlight w:val="none"/>
        </w:rPr>
      </w:pPr>
      <w:r>
        <w:rPr>
          <w:rFonts w:hint="eastAsia" w:ascii="仿宋" w:hAnsi="仿宋" w:eastAsia="仿宋"/>
          <w:color w:val="auto"/>
          <w:highlight w:val="none"/>
        </w:rPr>
        <w:br w:type="page"/>
      </w:r>
    </w:p>
    <w:p w14:paraId="60BC9550">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rPr>
        <w:t>（6）</w:t>
      </w:r>
      <w:r>
        <w:rPr>
          <w:rFonts w:hint="eastAsia" w:ascii="仿宋" w:hAnsi="仿宋" w:eastAsia="仿宋" w:cs="仿宋"/>
          <w:color w:val="auto"/>
          <w:sz w:val="28"/>
          <w:szCs w:val="28"/>
          <w:highlight w:val="none"/>
          <w:lang w:eastAsia="zh-CN"/>
        </w:rPr>
        <w:t>参加政府采购活动前三年内，在经营活动中没有重大违法记录：提供参加本次政府采购活动前3年内在经营活动中没有重大违法记录，以及未被列入失信被执行人、重大税收违法失信主体、政府采购严重违法失信行为记录名单的书面声明；被列入【信用中国】网站（www.creditchina.gov.cn）“失信被执行人”、“重大税收违法失信主体”、“政府采购严重违法失信行为记录名单”以及【中国政府采购网】(www.ccgp.gov.cn)“政府采购严重违法失信行为记录名单”的供应商不得参加本次政府采购活动。</w:t>
      </w:r>
      <w:r>
        <w:rPr>
          <w:rFonts w:hint="eastAsia" w:ascii="仿宋" w:hAnsi="仿宋" w:eastAsia="仿宋" w:cs="仿宋"/>
          <w:color w:val="auto"/>
          <w:highlight w:val="none"/>
          <w:shd w:val="clear" w:color="auto" w:fill="FFFFFF"/>
        </w:rPr>
        <w:t>（附格式）</w:t>
      </w:r>
    </w:p>
    <w:p w14:paraId="3C232A8B">
      <w:pPr>
        <w:spacing w:line="560" w:lineRule="exact"/>
        <w:jc w:val="both"/>
        <w:rPr>
          <w:rFonts w:hint="eastAsia" w:ascii="仿宋" w:hAnsi="仿宋" w:eastAsia="仿宋" w:cs="宋体-18030"/>
          <w:bCs/>
          <w:color w:val="auto"/>
          <w:sz w:val="32"/>
          <w:szCs w:val="32"/>
          <w:highlight w:val="none"/>
        </w:rPr>
      </w:pPr>
    </w:p>
    <w:p w14:paraId="1F24DD18">
      <w:pPr>
        <w:spacing w:line="560" w:lineRule="exact"/>
        <w:jc w:val="center"/>
        <w:rPr>
          <w:b w:val="0"/>
          <w:bCs/>
          <w:color w:val="auto"/>
          <w:highlight w:val="none"/>
        </w:rPr>
      </w:pPr>
      <w:r>
        <w:rPr>
          <w:rFonts w:hint="eastAsia" w:ascii="仿宋" w:hAnsi="仿宋" w:eastAsia="仿宋" w:cs="宋体-18030"/>
          <w:b w:val="0"/>
          <w:bCs/>
          <w:color w:val="auto"/>
          <w:sz w:val="32"/>
          <w:szCs w:val="32"/>
          <w:highlight w:val="none"/>
        </w:rPr>
        <w:t>书面声明</w:t>
      </w:r>
    </w:p>
    <w:p w14:paraId="5022B13F">
      <w:pPr>
        <w:overflowPunct w:val="0"/>
        <w:topLinePunct/>
        <w:spacing w:line="560" w:lineRule="exact"/>
        <w:rPr>
          <w:rFonts w:ascii="仿宋" w:hAnsi="仿宋" w:eastAsia="仿宋"/>
          <w:iCs/>
          <w:color w:val="auto"/>
          <w:highlight w:val="none"/>
        </w:rPr>
      </w:pPr>
      <w:r>
        <w:rPr>
          <w:rFonts w:hint="eastAsia" w:ascii="仿宋" w:hAnsi="仿宋" w:eastAsia="仿宋"/>
          <w:iCs/>
          <w:color w:val="auto"/>
          <w:highlight w:val="none"/>
          <w:lang w:val="zh-CN"/>
        </w:rPr>
        <w:t>致：</w:t>
      </w:r>
      <w:r>
        <w:rPr>
          <w:rFonts w:hint="eastAsia" w:ascii="仿宋" w:hAnsi="仿宋" w:eastAsia="仿宋"/>
          <w:iCs/>
          <w:color w:val="auto"/>
          <w:highlight w:val="none"/>
        </w:rPr>
        <w:t>陕西中信项目咨询有限公司</w:t>
      </w:r>
    </w:p>
    <w:p w14:paraId="4D8A138D">
      <w:pPr>
        <w:overflowPunct w:val="0"/>
        <w:topLinePunct/>
        <w:spacing w:line="560" w:lineRule="exact"/>
        <w:ind w:firstLine="560" w:firstLineChars="200"/>
        <w:rPr>
          <w:rFonts w:hint="eastAsia" w:ascii="仿宋" w:hAnsi="仿宋" w:eastAsia="仿宋"/>
          <w:iCs/>
          <w:color w:val="auto"/>
          <w:highlight w:val="none"/>
          <w:lang w:val="zh-CN"/>
        </w:rPr>
      </w:pPr>
      <w:r>
        <w:rPr>
          <w:rFonts w:hint="eastAsia" w:ascii="仿宋" w:hAnsi="仿宋" w:eastAsia="仿宋"/>
          <w:iCs/>
          <w:color w:val="auto"/>
          <w:highlight w:val="none"/>
          <w:lang w:val="zh-CN"/>
        </w:rPr>
        <w:t>我单位声明参加本次政府采购活动前三年内，在经营活动中没有重大违纪，以及未被列入失信被执行人名单、未在重大税收违法失信主体名单及政府采购严重违法失信行为记录名单。</w:t>
      </w:r>
    </w:p>
    <w:p w14:paraId="5E75830D">
      <w:pPr>
        <w:overflowPunct w:val="0"/>
        <w:topLinePunct/>
        <w:spacing w:line="560" w:lineRule="exact"/>
        <w:ind w:firstLine="560" w:firstLineChars="200"/>
        <w:rPr>
          <w:rFonts w:hint="eastAsia" w:ascii="仿宋" w:hAnsi="仿宋" w:eastAsia="仿宋"/>
          <w:iCs/>
          <w:color w:val="auto"/>
          <w:highlight w:val="none"/>
          <w:lang w:val="zh-CN"/>
        </w:rPr>
      </w:pPr>
      <w:r>
        <w:rPr>
          <w:rFonts w:hint="eastAsia" w:ascii="仿宋" w:hAnsi="仿宋" w:eastAsia="仿宋"/>
          <w:iCs/>
          <w:color w:val="auto"/>
          <w:highlight w:val="none"/>
          <w:lang w:val="zh-CN"/>
        </w:rPr>
        <w:t>以上如构成虚假，自愿承担相关法律责任。</w:t>
      </w:r>
    </w:p>
    <w:p w14:paraId="37133929">
      <w:pPr>
        <w:overflowPunct w:val="0"/>
        <w:topLinePunct/>
        <w:spacing w:line="560" w:lineRule="exact"/>
        <w:ind w:firstLine="560" w:firstLineChars="200"/>
        <w:rPr>
          <w:rFonts w:hint="eastAsia" w:ascii="仿宋" w:hAnsi="仿宋" w:eastAsia="仿宋"/>
          <w:iCs/>
          <w:color w:val="auto"/>
          <w:highlight w:val="none"/>
          <w:lang w:val="zh-CN"/>
        </w:rPr>
      </w:pPr>
      <w:r>
        <w:rPr>
          <w:rFonts w:hint="eastAsia" w:ascii="仿宋" w:hAnsi="仿宋" w:eastAsia="仿宋"/>
          <w:iCs/>
          <w:color w:val="auto"/>
          <w:highlight w:val="none"/>
          <w:lang w:val="zh-CN"/>
        </w:rPr>
        <w:t>特此声明！</w:t>
      </w:r>
    </w:p>
    <w:p w14:paraId="6A4272F3">
      <w:pPr>
        <w:overflowPunct w:val="0"/>
        <w:topLinePunct/>
        <w:spacing w:line="560" w:lineRule="exact"/>
        <w:ind w:firstLine="560" w:firstLineChars="200"/>
        <w:rPr>
          <w:rFonts w:hint="default" w:ascii="仿宋" w:hAnsi="仿宋" w:eastAsia="仿宋" w:cs="Times New Roman"/>
          <w:iCs/>
          <w:color w:val="auto"/>
          <w:highlight w:val="none"/>
          <w:lang w:val="en-US" w:eastAsia="zh-CN"/>
        </w:rPr>
      </w:pPr>
      <w:r>
        <w:rPr>
          <w:rFonts w:hint="eastAsia" w:ascii="仿宋" w:hAnsi="仿宋" w:eastAsia="仿宋" w:cs="Times New Roman"/>
          <w:iCs/>
          <w:color w:val="auto"/>
          <w:highlight w:val="none"/>
          <w:lang w:val="en-US" w:eastAsia="zh-CN"/>
        </w:rPr>
        <w:t>附：相关网站查询截图</w:t>
      </w:r>
    </w:p>
    <w:p w14:paraId="7A729BD9">
      <w:pPr>
        <w:overflowPunct w:val="0"/>
        <w:topLinePunct/>
        <w:autoSpaceDE/>
        <w:autoSpaceDN/>
        <w:spacing w:line="560" w:lineRule="exact"/>
        <w:jc w:val="both"/>
        <w:rPr>
          <w:rFonts w:hint="eastAsia" w:ascii="仿宋" w:hAnsi="仿宋" w:eastAsia="仿宋"/>
          <w:color w:val="auto"/>
          <w:highlight w:val="none"/>
        </w:rPr>
      </w:pPr>
      <w:r>
        <w:rPr>
          <w:rFonts w:hint="eastAsia" w:ascii="仿宋" w:hAnsi="仿宋" w:eastAsia="仿宋"/>
          <w:iCs/>
          <w:color w:val="auto"/>
          <w:highlight w:val="none"/>
          <w:lang w:val="zh-CN"/>
        </w:rPr>
        <w:t xml:space="preserve">                  </w:t>
      </w:r>
      <w:r>
        <w:rPr>
          <w:rFonts w:hint="eastAsia" w:ascii="仿宋" w:hAnsi="仿宋" w:eastAsia="仿宋"/>
          <w:iCs/>
          <w:color w:val="auto"/>
          <w:highlight w:val="none"/>
        </w:rPr>
        <w:t xml:space="preserve">  </w:t>
      </w:r>
      <w:r>
        <w:rPr>
          <w:rFonts w:hint="eastAsia" w:ascii="仿宋" w:hAnsi="仿宋" w:eastAsia="仿宋"/>
          <w:color w:val="auto"/>
          <w:highlight w:val="none"/>
        </w:rPr>
        <w:t>供应商：</w:t>
      </w:r>
      <w:r>
        <w:rPr>
          <w:rFonts w:hint="eastAsia" w:ascii="仿宋" w:hAnsi="仿宋" w:eastAsia="仿宋"/>
          <w:color w:val="auto"/>
          <w:highlight w:val="none"/>
          <w:u w:val="single"/>
        </w:rPr>
        <w:t xml:space="preserve">                      </w:t>
      </w:r>
      <w:r>
        <w:rPr>
          <w:rFonts w:hint="eastAsia" w:ascii="仿宋" w:hAnsi="仿宋" w:eastAsia="仿宋"/>
          <w:color w:val="auto"/>
          <w:highlight w:val="none"/>
        </w:rPr>
        <w:t>（单位公章）</w:t>
      </w:r>
    </w:p>
    <w:p w14:paraId="2D07A114">
      <w:pPr>
        <w:overflowPunct w:val="0"/>
        <w:topLinePunct/>
        <w:spacing w:line="560" w:lineRule="exact"/>
        <w:jc w:val="right"/>
        <w:rPr>
          <w:rFonts w:hint="eastAsia" w:ascii="仿宋" w:hAnsi="仿宋" w:eastAsia="仿宋"/>
          <w:iCs/>
          <w:color w:val="auto"/>
          <w:highlight w:val="none"/>
          <w:lang w:val="zh-CN"/>
        </w:rPr>
      </w:pPr>
      <w:r>
        <w:rPr>
          <w:rFonts w:hint="eastAsia" w:ascii="仿宋" w:hAnsi="仿宋" w:eastAsia="仿宋"/>
          <w:color w:val="auto"/>
          <w:highlight w:val="none"/>
        </w:rPr>
        <w:t>法定代表人或授权代表：</w:t>
      </w:r>
      <w:r>
        <w:rPr>
          <w:rFonts w:hint="eastAsia" w:ascii="仿宋" w:hAnsi="仿宋" w:eastAsia="仿宋"/>
          <w:color w:val="auto"/>
          <w:highlight w:val="none"/>
          <w:u w:val="single"/>
        </w:rPr>
        <w:t xml:space="preserve">          </w:t>
      </w:r>
      <w:r>
        <w:rPr>
          <w:rFonts w:hint="eastAsia" w:ascii="仿宋" w:hAnsi="仿宋" w:eastAsia="仿宋"/>
          <w:color w:val="auto"/>
          <w:highlight w:val="none"/>
        </w:rPr>
        <w:t>（签字或签章）</w:t>
      </w:r>
    </w:p>
    <w:p w14:paraId="5B522080">
      <w:pPr>
        <w:overflowPunct w:val="0"/>
        <w:topLinePunct/>
        <w:spacing w:line="560" w:lineRule="exact"/>
        <w:jc w:val="both"/>
        <w:rPr>
          <w:rFonts w:hint="eastAsia" w:ascii="仿宋" w:hAnsi="仿宋" w:eastAsia="仿宋"/>
          <w:iCs/>
          <w:color w:val="auto"/>
          <w:highlight w:val="none"/>
          <w:lang w:val="zh-CN"/>
        </w:rPr>
      </w:pPr>
      <w:r>
        <w:rPr>
          <w:rFonts w:hint="eastAsia" w:ascii="仿宋" w:hAnsi="仿宋" w:eastAsia="仿宋"/>
          <w:iCs/>
          <w:color w:val="auto"/>
          <w:highlight w:val="none"/>
        </w:rPr>
        <w:t xml:space="preserve">                    </w:t>
      </w:r>
      <w:r>
        <w:rPr>
          <w:rFonts w:hint="eastAsia" w:ascii="仿宋" w:hAnsi="仿宋" w:eastAsia="仿宋"/>
          <w:iCs/>
          <w:color w:val="auto"/>
          <w:highlight w:val="none"/>
          <w:lang w:val="zh-CN"/>
        </w:rPr>
        <w:t>日</w:t>
      </w:r>
      <w:r>
        <w:rPr>
          <w:rFonts w:hint="eastAsia" w:ascii="仿宋" w:hAnsi="仿宋" w:eastAsia="仿宋"/>
          <w:iCs/>
          <w:color w:val="auto"/>
          <w:highlight w:val="none"/>
        </w:rPr>
        <w:t xml:space="preserve">   </w:t>
      </w:r>
      <w:r>
        <w:rPr>
          <w:rFonts w:hint="eastAsia" w:ascii="仿宋" w:hAnsi="仿宋" w:eastAsia="仿宋"/>
          <w:iCs/>
          <w:color w:val="auto"/>
          <w:highlight w:val="none"/>
          <w:lang w:val="zh-CN"/>
        </w:rPr>
        <w:t>期：</w:t>
      </w:r>
      <w:r>
        <w:rPr>
          <w:rFonts w:hint="eastAsia" w:ascii="仿宋" w:hAnsi="仿宋" w:eastAsia="仿宋"/>
          <w:iCs/>
          <w:color w:val="auto"/>
          <w:highlight w:val="none"/>
          <w:u w:val="single"/>
          <w:lang w:val="zh-CN"/>
        </w:rPr>
        <w:t xml:space="preserve">      </w:t>
      </w:r>
      <w:r>
        <w:rPr>
          <w:rFonts w:hint="eastAsia" w:ascii="仿宋" w:hAnsi="仿宋" w:eastAsia="仿宋"/>
          <w:iCs/>
          <w:color w:val="auto"/>
          <w:highlight w:val="none"/>
          <w:lang w:val="zh-CN"/>
        </w:rPr>
        <w:t>年</w:t>
      </w:r>
      <w:r>
        <w:rPr>
          <w:rFonts w:hint="eastAsia" w:ascii="仿宋" w:hAnsi="仿宋" w:eastAsia="仿宋"/>
          <w:iCs/>
          <w:color w:val="auto"/>
          <w:highlight w:val="none"/>
          <w:u w:val="single"/>
          <w:lang w:val="zh-CN"/>
        </w:rPr>
        <w:t xml:space="preserve">    </w:t>
      </w:r>
      <w:r>
        <w:rPr>
          <w:rFonts w:hint="eastAsia" w:ascii="仿宋" w:hAnsi="仿宋" w:eastAsia="仿宋"/>
          <w:iCs/>
          <w:color w:val="auto"/>
          <w:highlight w:val="none"/>
          <w:lang w:val="zh-CN"/>
        </w:rPr>
        <w:t>月</w:t>
      </w:r>
      <w:r>
        <w:rPr>
          <w:rFonts w:hint="eastAsia" w:ascii="仿宋" w:hAnsi="仿宋" w:eastAsia="仿宋"/>
          <w:iCs/>
          <w:color w:val="auto"/>
          <w:highlight w:val="none"/>
          <w:u w:val="single"/>
          <w:lang w:val="zh-CN"/>
        </w:rPr>
        <w:t xml:space="preserve">    </w:t>
      </w:r>
      <w:r>
        <w:rPr>
          <w:rFonts w:hint="eastAsia" w:ascii="仿宋" w:hAnsi="仿宋" w:eastAsia="仿宋"/>
          <w:iCs/>
          <w:color w:val="auto"/>
          <w:highlight w:val="none"/>
          <w:lang w:val="zh-CN"/>
        </w:rPr>
        <w:t>日</w:t>
      </w:r>
    </w:p>
    <w:p w14:paraId="39F3CE66">
      <w:pPr>
        <w:rPr>
          <w:rFonts w:hint="eastAsia" w:ascii="仿宋" w:hAnsi="仿宋" w:eastAsia="仿宋" w:cs="宋体-18030"/>
          <w:bCs/>
          <w:color w:val="auto"/>
          <w:sz w:val="32"/>
          <w:szCs w:val="32"/>
          <w:highlight w:val="none"/>
        </w:rPr>
      </w:pPr>
      <w:r>
        <w:rPr>
          <w:rFonts w:hint="eastAsia" w:ascii="仿宋" w:hAnsi="仿宋" w:eastAsia="仿宋" w:cs="宋体-18030"/>
          <w:bCs/>
          <w:color w:val="auto"/>
          <w:sz w:val="32"/>
          <w:szCs w:val="32"/>
          <w:highlight w:val="none"/>
        </w:rPr>
        <w:br w:type="page"/>
      </w:r>
    </w:p>
    <w:p w14:paraId="57B9E9A1">
      <w:pPr>
        <w:widowControl/>
        <w:wordWrap w:val="0"/>
        <w:autoSpaceDE/>
        <w:autoSpaceDN/>
        <w:adjustRightInd/>
        <w:spacing w:line="560" w:lineRule="exact"/>
        <w:ind w:firstLine="560" w:firstLineChars="200"/>
        <w:rPr>
          <w:rFonts w:hint="eastAsia" w:ascii="仿宋" w:hAnsi="仿宋" w:eastAsia="仿宋"/>
          <w:color w:val="auto"/>
          <w:highlight w:val="none"/>
        </w:rPr>
      </w:pPr>
      <w:r>
        <w:rPr>
          <w:rFonts w:hint="eastAsia" w:ascii="仿宋" w:hAnsi="仿宋" w:eastAsia="仿宋"/>
          <w:color w:val="auto"/>
          <w:highlight w:val="none"/>
          <w:lang w:val="en-US" w:eastAsia="zh-CN"/>
        </w:rPr>
        <w:t>（7）法定代表人（主要负责人）委托授权书\身份证明：法定代表人（主要负责人）参与磋商时，提供法定代表人（主要负责人）身份证明；授权代表参与磋商时，提供法定代表人（主要负责人）委托授权书。</w:t>
      </w:r>
    </w:p>
    <w:p w14:paraId="661C761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val="0"/>
          <w:color w:val="auto"/>
          <w:sz w:val="28"/>
          <w:szCs w:val="28"/>
          <w:highlight w:val="none"/>
        </w:rPr>
      </w:pPr>
      <w:bookmarkStart w:id="24" w:name="_Toc12046"/>
      <w:r>
        <w:rPr>
          <w:rFonts w:hint="eastAsia" w:ascii="仿宋" w:hAnsi="仿宋" w:eastAsia="仿宋" w:cs="仿宋"/>
          <w:b w:val="0"/>
          <w:bCs w:val="0"/>
          <w:color w:val="auto"/>
          <w:sz w:val="28"/>
          <w:szCs w:val="28"/>
          <w:highlight w:val="none"/>
        </w:rPr>
        <w:t>法定代表人（主要负责人）身份证明（格式）</w:t>
      </w:r>
    </w:p>
    <w:p w14:paraId="3C1BBE40">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iCs/>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u w:val="single"/>
          <w:lang w:eastAsia="zh-CN"/>
        </w:rPr>
        <w:t>（采购代理机构）</w:t>
      </w:r>
      <w:r>
        <w:rPr>
          <w:rFonts w:hint="eastAsia" w:ascii="仿宋" w:hAnsi="仿宋" w:eastAsia="仿宋" w:cs="仿宋"/>
          <w:i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p>
    <w:p w14:paraId="2C35B668">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法定代表人（主要负责人）姓名</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供应商全称</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的法定代表人（主要负责人），特此证明。</w:t>
      </w:r>
    </w:p>
    <w:tbl>
      <w:tblPr>
        <w:tblStyle w:val="4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7CBBD8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308B48C1">
            <w:pPr>
              <w:keepNext w:val="0"/>
              <w:keepLines w:val="0"/>
              <w:pageBreakBefore w:val="0"/>
              <w:widowControl w:val="0"/>
              <w:kinsoku/>
              <w:wordWrap/>
              <w:overflowPunct/>
              <w:topLinePunct w:val="0"/>
              <w:autoSpaceDE w:val="0"/>
              <w:autoSpaceDN w:val="0"/>
              <w:bidi w:val="0"/>
              <w:adjustRightInd w:val="0"/>
              <w:snapToGrid/>
              <w:spacing w:line="560" w:lineRule="exact"/>
              <w:ind w:firstLine="8" w:firstLineChars="3"/>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法定代表人（主要负责人）</w:t>
            </w:r>
          </w:p>
          <w:p w14:paraId="6957FF4E">
            <w:pPr>
              <w:keepNext w:val="0"/>
              <w:keepLines w:val="0"/>
              <w:pageBreakBefore w:val="0"/>
              <w:widowControl w:val="0"/>
              <w:kinsoku/>
              <w:wordWrap/>
              <w:overflowPunct/>
              <w:topLinePunct w:val="0"/>
              <w:autoSpaceDE w:val="0"/>
              <w:autoSpaceDN w:val="0"/>
              <w:bidi w:val="0"/>
              <w:adjustRightInd w:val="0"/>
              <w:snapToGrid/>
              <w:spacing w:line="560" w:lineRule="exact"/>
              <w:ind w:firstLine="8" w:firstLineChars="3"/>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身份证正反面（扫描件）</w:t>
            </w:r>
          </w:p>
        </w:tc>
      </w:tr>
    </w:tbl>
    <w:p w14:paraId="4CB3A198">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供应商：（供应商全称并加盖公章）</w:t>
      </w:r>
    </w:p>
    <w:p w14:paraId="0609DEA5">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24ABBBBF">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85CDB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法定代表人（主要负责人）委托授权书（格式）</w:t>
      </w:r>
    </w:p>
    <w:p w14:paraId="4F37A21B">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iCs/>
          <w:color w:val="auto"/>
          <w:kern w:val="24"/>
          <w:sz w:val="28"/>
          <w:szCs w:val="28"/>
          <w:highlight w:val="none"/>
          <w:u w:val="single"/>
          <w:lang w:val="en-US" w:eastAsia="zh-CN" w:bidi="ar-SA"/>
        </w:rPr>
        <w:t xml:space="preserve"> (采购代理机构) </w:t>
      </w:r>
      <w:r>
        <w:rPr>
          <w:rFonts w:hint="eastAsia" w:ascii="仿宋" w:hAnsi="仿宋" w:eastAsia="仿宋" w:cs="仿宋"/>
          <w:color w:val="auto"/>
          <w:kern w:val="24"/>
          <w:sz w:val="28"/>
          <w:szCs w:val="28"/>
          <w:highlight w:val="none"/>
          <w:lang w:val="en-US" w:eastAsia="zh-CN" w:bidi="ar-SA"/>
        </w:rPr>
        <w:t>：</w:t>
      </w:r>
    </w:p>
    <w:p w14:paraId="66D839AE">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现委派</w:t>
      </w:r>
      <w:r>
        <w:rPr>
          <w:rFonts w:hint="eastAsia" w:ascii="仿宋" w:hAnsi="仿宋" w:eastAsia="仿宋" w:cs="仿宋"/>
          <w:color w:val="auto"/>
          <w:kern w:val="24"/>
          <w:sz w:val="28"/>
          <w:szCs w:val="28"/>
          <w:highlight w:val="none"/>
          <w:u w:val="single"/>
          <w:lang w:val="en-US" w:eastAsia="zh-CN" w:bidi="ar-SA"/>
        </w:rPr>
        <w:t xml:space="preserve"> （代理人姓名） </w:t>
      </w:r>
      <w:r>
        <w:rPr>
          <w:rFonts w:hint="eastAsia" w:ascii="仿宋" w:hAnsi="仿宋" w:eastAsia="仿宋" w:cs="仿宋"/>
          <w:color w:val="auto"/>
          <w:kern w:val="24"/>
          <w:sz w:val="28"/>
          <w:szCs w:val="28"/>
          <w:highlight w:val="none"/>
          <w:lang w:val="en-US" w:eastAsia="zh-CN" w:bidi="ar-SA"/>
        </w:rPr>
        <w:t>代表我方参加贵单位组织的</w:t>
      </w:r>
      <w:r>
        <w:rPr>
          <w:rFonts w:hint="eastAsia" w:ascii="仿宋" w:hAnsi="仿宋" w:eastAsia="仿宋" w:cs="仿宋"/>
          <w:color w:val="auto"/>
          <w:kern w:val="24"/>
          <w:sz w:val="28"/>
          <w:szCs w:val="28"/>
          <w:highlight w:val="none"/>
          <w:u w:val="single"/>
          <w:lang w:val="en-US" w:eastAsia="zh-CN" w:bidi="ar-SA"/>
        </w:rPr>
        <w:t xml:space="preserve"> （项目名称及项目编号）</w:t>
      </w:r>
      <w:r>
        <w:rPr>
          <w:rFonts w:hint="eastAsia" w:ascii="仿宋" w:hAnsi="仿宋" w:eastAsia="仿宋" w:cs="仿宋"/>
          <w:color w:val="auto"/>
          <w:kern w:val="24"/>
          <w:sz w:val="28"/>
          <w:szCs w:val="28"/>
          <w:highlight w:val="none"/>
          <w:lang w:val="en-US" w:eastAsia="zh-CN" w:bidi="ar-SA"/>
        </w:rPr>
        <w:t>政府采购活动，以我方名义签署、澄清、确认、递交、撤回、修改响应文件，签订合同和全权处理一切与之有关的事宜，其法律后果由我方承担。</w:t>
      </w:r>
    </w:p>
    <w:p w14:paraId="27B5D3F2">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本授权有效期与响应文件有效期一致。代理人无转委托权。</w:t>
      </w:r>
    </w:p>
    <w:p w14:paraId="69AC6227">
      <w:pPr>
        <w:keepNext w:val="0"/>
        <w:keepLines w:val="0"/>
        <w:pageBreakBefore w:val="0"/>
        <w:widowControl w:val="0"/>
        <w:tabs>
          <w:tab w:val="left" w:pos="5387"/>
        </w:tabs>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代理人姓名：</w:t>
      </w:r>
      <w:r>
        <w:rPr>
          <w:rFonts w:hint="eastAsia" w:ascii="仿宋" w:hAnsi="仿宋" w:eastAsia="仿宋" w:cs="仿宋"/>
          <w:color w:val="auto"/>
          <w:kern w:val="24"/>
          <w:sz w:val="28"/>
          <w:szCs w:val="28"/>
          <w:highlight w:val="none"/>
          <w:u w:val="single"/>
          <w:lang w:val="en-US" w:eastAsia="zh-CN" w:bidi="ar-SA"/>
        </w:rPr>
        <w:t xml:space="preserve">                         </w:t>
      </w:r>
      <w:r>
        <w:rPr>
          <w:rFonts w:hint="eastAsia" w:ascii="仿宋" w:hAnsi="仿宋" w:eastAsia="仿宋" w:cs="仿宋"/>
          <w:color w:val="auto"/>
          <w:kern w:val="24"/>
          <w:sz w:val="28"/>
          <w:szCs w:val="28"/>
          <w:highlight w:val="none"/>
          <w:lang w:val="en-US" w:eastAsia="zh-CN" w:bidi="ar-SA"/>
        </w:rPr>
        <w:t xml:space="preserve">    联系电话：</w:t>
      </w:r>
      <w:r>
        <w:rPr>
          <w:rFonts w:hint="eastAsia" w:ascii="仿宋" w:hAnsi="仿宋" w:eastAsia="仿宋" w:cs="仿宋"/>
          <w:color w:val="auto"/>
          <w:kern w:val="24"/>
          <w:sz w:val="28"/>
          <w:szCs w:val="28"/>
          <w:highlight w:val="none"/>
          <w:u w:val="single"/>
          <w:lang w:val="en-US" w:eastAsia="zh-CN" w:bidi="ar-SA"/>
        </w:rPr>
        <w:t xml:space="preserve">               </w:t>
      </w:r>
    </w:p>
    <w:p w14:paraId="2C425117">
      <w:pPr>
        <w:keepNext w:val="0"/>
        <w:keepLines w:val="0"/>
        <w:pageBreakBefore w:val="0"/>
        <w:widowControl w:val="0"/>
        <w:tabs>
          <w:tab w:val="left" w:pos="5387"/>
        </w:tabs>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身份证号码：</w:t>
      </w:r>
      <w:r>
        <w:rPr>
          <w:rFonts w:hint="eastAsia" w:ascii="仿宋" w:hAnsi="仿宋" w:eastAsia="仿宋" w:cs="仿宋"/>
          <w:color w:val="auto"/>
          <w:kern w:val="24"/>
          <w:sz w:val="28"/>
          <w:szCs w:val="28"/>
          <w:highlight w:val="none"/>
          <w:u w:val="single"/>
          <w:lang w:val="en-US" w:eastAsia="zh-CN" w:bidi="ar-SA"/>
        </w:rPr>
        <w:t xml:space="preserve">                         </w:t>
      </w:r>
      <w:r>
        <w:rPr>
          <w:rFonts w:hint="eastAsia" w:ascii="仿宋" w:hAnsi="仿宋" w:eastAsia="仿宋" w:cs="仿宋"/>
          <w:color w:val="auto"/>
          <w:kern w:val="24"/>
          <w:sz w:val="28"/>
          <w:szCs w:val="28"/>
          <w:highlight w:val="none"/>
          <w:lang w:val="en-US" w:eastAsia="zh-CN" w:bidi="ar-SA"/>
        </w:rPr>
        <w:t xml:space="preserve">    职    务：</w:t>
      </w:r>
      <w:r>
        <w:rPr>
          <w:rFonts w:hint="eastAsia" w:ascii="仿宋" w:hAnsi="仿宋" w:eastAsia="仿宋" w:cs="仿宋"/>
          <w:color w:val="auto"/>
          <w:kern w:val="24"/>
          <w:sz w:val="28"/>
          <w:szCs w:val="28"/>
          <w:highlight w:val="none"/>
          <w:u w:val="single"/>
          <w:lang w:val="en-US" w:eastAsia="zh-CN" w:bidi="ar-SA"/>
        </w:rPr>
        <w:t xml:space="preserve">               </w:t>
      </w:r>
    </w:p>
    <w:p w14:paraId="62F759FC">
      <w:pPr>
        <w:keepNext w:val="0"/>
        <w:keepLines w:val="0"/>
        <w:pageBreakBefore w:val="0"/>
        <w:widowControl w:val="0"/>
        <w:tabs>
          <w:tab w:val="left" w:pos="4395"/>
        </w:tabs>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通讯地址：</w:t>
      </w:r>
      <w:r>
        <w:rPr>
          <w:rFonts w:hint="eastAsia" w:ascii="仿宋" w:hAnsi="仿宋" w:eastAsia="仿宋" w:cs="仿宋"/>
          <w:color w:val="auto"/>
          <w:kern w:val="24"/>
          <w:sz w:val="28"/>
          <w:szCs w:val="28"/>
          <w:highlight w:val="none"/>
          <w:u w:val="single"/>
          <w:lang w:val="en-US" w:eastAsia="zh-CN" w:bidi="ar-SA"/>
        </w:rPr>
        <w:t xml:space="preserve">                                                        </w:t>
      </w:r>
    </w:p>
    <w:tbl>
      <w:tblPr>
        <w:tblStyle w:val="4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16CA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2E80E45B">
            <w:pPr>
              <w:keepNext w:val="0"/>
              <w:keepLines w:val="0"/>
              <w:pageBreakBefore w:val="0"/>
              <w:widowControl w:val="0"/>
              <w:kinsoku/>
              <w:wordWrap/>
              <w:overflowPunct/>
              <w:topLinePunct w:val="0"/>
              <w:autoSpaceDE w:val="0"/>
              <w:autoSpaceDN w:val="0"/>
              <w:bidi w:val="0"/>
              <w:adjustRightInd w:val="0"/>
              <w:snapToGrid/>
              <w:spacing w:line="560" w:lineRule="exact"/>
              <w:ind w:firstLine="8" w:firstLineChars="3"/>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法定代表人（主要负责人）</w:t>
            </w:r>
          </w:p>
        </w:tc>
        <w:tc>
          <w:tcPr>
            <w:tcW w:w="236" w:type="dxa"/>
            <w:tcBorders>
              <w:top w:val="nil"/>
              <w:left w:val="single" w:color="auto" w:sz="12" w:space="0"/>
              <w:bottom w:val="nil"/>
              <w:right w:val="single" w:color="auto" w:sz="12" w:space="0"/>
            </w:tcBorders>
          </w:tcPr>
          <w:p w14:paraId="08E85FC3">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color w:val="auto"/>
                <w:sz w:val="28"/>
                <w:szCs w:val="28"/>
                <w:highlight w:val="none"/>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2874E9D0">
            <w:pPr>
              <w:keepNext w:val="0"/>
              <w:keepLines w:val="0"/>
              <w:pageBreakBefore w:val="0"/>
              <w:widowControl w:val="0"/>
              <w:kinsoku/>
              <w:wordWrap/>
              <w:overflowPunct/>
              <w:topLinePunct w:val="0"/>
              <w:autoSpaceDE w:val="0"/>
              <w:autoSpaceDN w:val="0"/>
              <w:bidi w:val="0"/>
              <w:adjustRightInd w:val="0"/>
              <w:snapToGrid/>
              <w:spacing w:line="560" w:lineRule="exact"/>
              <w:ind w:firstLine="8" w:firstLineChars="3"/>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tc>
      </w:tr>
      <w:tr w14:paraId="7AC1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7C757EE9">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身份证正反面（扫描件）</w:t>
            </w:r>
          </w:p>
        </w:tc>
        <w:tc>
          <w:tcPr>
            <w:tcW w:w="236" w:type="dxa"/>
            <w:tcBorders>
              <w:top w:val="nil"/>
              <w:left w:val="single" w:color="auto" w:sz="12" w:space="0"/>
              <w:bottom w:val="nil"/>
              <w:right w:val="single" w:color="auto" w:sz="12" w:space="0"/>
            </w:tcBorders>
          </w:tcPr>
          <w:p w14:paraId="76823A21">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color w:val="auto"/>
                <w:sz w:val="28"/>
                <w:szCs w:val="28"/>
                <w:highlight w:val="none"/>
              </w:rPr>
            </w:pPr>
          </w:p>
        </w:tc>
        <w:tc>
          <w:tcPr>
            <w:tcW w:w="4686" w:type="dxa"/>
            <w:tcBorders>
              <w:top w:val="dashSmallGap" w:color="auto" w:sz="4" w:space="0"/>
              <w:left w:val="single" w:color="auto" w:sz="12" w:space="0"/>
              <w:bottom w:val="single" w:color="auto" w:sz="12" w:space="0"/>
              <w:right w:val="single" w:color="auto" w:sz="12" w:space="0"/>
            </w:tcBorders>
          </w:tcPr>
          <w:p w14:paraId="469440A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身份证正反面（扫描件）</w:t>
            </w:r>
          </w:p>
        </w:tc>
      </w:tr>
    </w:tbl>
    <w:p w14:paraId="40427C1D">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法定代表人（主要负责人）：（签字或盖章）</w:t>
      </w:r>
    </w:p>
    <w:p w14:paraId="6576BCFE">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供应商：（供应商全称并加盖公章）</w:t>
      </w:r>
    </w:p>
    <w:p w14:paraId="008DB7D9">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t>授权日期：　　　年　月　日</w:t>
      </w:r>
    </w:p>
    <w:p w14:paraId="7478B05E">
      <w:pPr>
        <w:rPr>
          <w:rFonts w:hint="eastAsia" w:ascii="仿宋" w:hAnsi="仿宋" w:eastAsia="仿宋" w:cs="仿宋"/>
          <w:color w:val="auto"/>
          <w:kern w:val="24"/>
          <w:sz w:val="28"/>
          <w:szCs w:val="28"/>
          <w:highlight w:val="none"/>
          <w:lang w:val="en-US" w:eastAsia="zh-CN" w:bidi="ar-SA"/>
        </w:rPr>
      </w:pPr>
      <w:r>
        <w:rPr>
          <w:rFonts w:hint="eastAsia" w:ascii="仿宋" w:hAnsi="仿宋" w:eastAsia="仿宋" w:cs="仿宋"/>
          <w:color w:val="auto"/>
          <w:kern w:val="24"/>
          <w:sz w:val="28"/>
          <w:szCs w:val="28"/>
          <w:highlight w:val="none"/>
          <w:lang w:val="en-US" w:eastAsia="zh-CN" w:bidi="ar-SA"/>
        </w:rPr>
        <w:br w:type="page"/>
      </w:r>
    </w:p>
    <w:p w14:paraId="453D4D7F">
      <w:pPr>
        <w:widowControl/>
        <w:wordWrap w:val="0"/>
        <w:autoSpaceDE/>
        <w:autoSpaceDN/>
        <w:adjustRightInd/>
        <w:spacing w:line="560" w:lineRule="exact"/>
        <w:ind w:firstLine="560" w:firstLineChars="200"/>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（8）企业资质：供应商须具备工程设计综合甲级资质或风景园林工程设计专项乙级及以上资质，并在人员、设备、资金等方面具备相应的能力。</w:t>
      </w:r>
    </w:p>
    <w:p w14:paraId="0AE96E9C">
      <w:pPr>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br w:type="page"/>
      </w:r>
    </w:p>
    <w:p w14:paraId="329055F3">
      <w:pPr>
        <w:widowControl/>
        <w:wordWrap w:val="0"/>
        <w:autoSpaceDE/>
        <w:autoSpaceDN/>
        <w:adjustRightInd/>
        <w:spacing w:line="560" w:lineRule="exact"/>
        <w:ind w:firstLine="560" w:firstLineChars="200"/>
        <w:rPr>
          <w:rFonts w:hint="eastAsia"/>
          <w:highlight w:val="none"/>
          <w:lang w:val="en-US" w:eastAsia="zh-CN"/>
        </w:rPr>
      </w:pPr>
      <w:r>
        <w:rPr>
          <w:rFonts w:hint="eastAsia" w:ascii="仿宋" w:hAnsi="仿宋" w:eastAsia="仿宋" w:cs="Times New Roman"/>
          <w:color w:val="auto"/>
          <w:highlight w:val="none"/>
          <w:lang w:val="en-US" w:eastAsia="zh-CN"/>
        </w:rPr>
        <w:t>（9）拟派项目负责人应具有相关专业二级注册建筑师及以上资格，并在本单位注册或中级工程师职称。</w:t>
      </w:r>
    </w:p>
    <w:p w14:paraId="35503202">
      <w:pPr>
        <w:pStyle w:val="43"/>
        <w:rPr>
          <w:rFonts w:hint="eastAsia"/>
          <w:highlight w:val="none"/>
          <w:lang w:val="en-US" w:eastAsia="zh-CN"/>
        </w:rPr>
      </w:pPr>
    </w:p>
    <w:p w14:paraId="65B2B569">
      <w:pP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pPr>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br w:type="page"/>
      </w:r>
    </w:p>
    <w:p w14:paraId="68AB4C8B">
      <w:pPr>
        <w:pStyle w:val="43"/>
        <w:keepNext w:val="0"/>
        <w:keepLines w:val="0"/>
        <w:pageBreakBefore w:val="0"/>
        <w:kinsoku/>
        <w:wordWrap/>
        <w:bidi w:val="0"/>
        <w:adjustRightInd w:val="0"/>
        <w:snapToGrid/>
        <w:spacing w:after="0" w:afterLines="0" w:line="560" w:lineRule="exact"/>
        <w:ind w:left="0" w:leftChars="0" w:firstLine="0" w:firstLineChars="0"/>
        <w:jc w:val="center"/>
        <w:textAlignment w:val="auto"/>
        <w:outlineLvl w:val="0"/>
        <w:rPr>
          <w:rFonts w:ascii="仿宋" w:hAnsi="仿宋" w:eastAsia="仿宋"/>
          <w:b/>
          <w:color w:val="auto"/>
          <w:sz w:val="36"/>
          <w:szCs w:val="36"/>
          <w:highlight w:val="none"/>
        </w:rPr>
      </w:pPr>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 xml:space="preserve">第四章 </w:t>
      </w:r>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 xml:space="preserve"> 拟签订的合同文本</w:t>
      </w:r>
      <w:bookmarkEnd w:id="24"/>
    </w:p>
    <w:p w14:paraId="68386B07">
      <w:pPr>
        <w:keepNext w:val="0"/>
        <w:keepLines w:val="0"/>
        <w:pageBreakBefore w:val="0"/>
        <w:widowControl w:val="0"/>
        <w:kinsoku/>
        <w:wordWrap/>
        <w:overflowPunct/>
        <w:topLinePunct w:val="0"/>
        <w:autoSpaceDE w:val="0"/>
        <w:autoSpaceDN w:val="0"/>
        <w:bidi w:val="0"/>
        <w:adjustRightInd w:val="0"/>
        <w:snapToGrid/>
        <w:spacing w:line="560" w:lineRule="exact"/>
        <w:ind w:firstLine="481"/>
        <w:textAlignment w:val="auto"/>
        <w:rPr>
          <w:rFonts w:hint="eastAsia" w:ascii="仿宋" w:hAnsi="仿宋" w:eastAsia="仿宋" w:cs="仿宋"/>
          <w:b/>
          <w:color w:val="auto"/>
          <w:highlight w:val="none"/>
        </w:rPr>
      </w:pPr>
      <w:bookmarkStart w:id="25" w:name="_Toc24356"/>
      <w:bookmarkStart w:id="26" w:name="_Toc5163"/>
      <w:bookmarkStart w:id="27" w:name="_Toc5692"/>
      <w:bookmarkStart w:id="28" w:name="_Toc32018"/>
      <w:bookmarkStart w:id="29" w:name="_Toc19026"/>
      <w:bookmarkStart w:id="30" w:name="_Toc30395"/>
      <w:r>
        <w:rPr>
          <w:rFonts w:hint="eastAsia" w:ascii="仿宋" w:hAnsi="仿宋" w:eastAsia="仿宋" w:cs="仿宋"/>
          <w:b/>
          <w:color w:val="auto"/>
          <w:highlight w:val="none"/>
          <w:u w:val="single"/>
        </w:rPr>
        <w:t>注：本合同仅为合同的参考文本，合同签订双方可根据项目的具体要求进行修订。</w:t>
      </w:r>
      <w:bookmarkEnd w:id="25"/>
      <w:bookmarkEnd w:id="26"/>
      <w:bookmarkEnd w:id="27"/>
      <w:bookmarkEnd w:id="28"/>
      <w:bookmarkEnd w:id="29"/>
    </w:p>
    <w:p w14:paraId="12457545">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b/>
          <w:color w:val="auto"/>
          <w:sz w:val="28"/>
          <w:szCs w:val="28"/>
          <w:highlight w:val="none"/>
        </w:rPr>
      </w:pPr>
    </w:p>
    <w:p w14:paraId="0D1E581D">
      <w:pPr>
        <w:jc w:val="center"/>
        <w:rPr>
          <w:rFonts w:hint="eastAsia" w:ascii="仿宋" w:hAnsi="仿宋" w:eastAsia="仿宋" w:cs="仿宋"/>
          <w:b/>
          <w:sz w:val="52"/>
          <w:highlight w:val="none"/>
        </w:rPr>
      </w:pPr>
      <w:r>
        <w:rPr>
          <w:rFonts w:hint="eastAsia" w:ascii="仿宋" w:hAnsi="仿宋" w:eastAsia="仿宋" w:cs="仿宋"/>
          <w:b/>
          <w:sz w:val="52"/>
          <w:highlight w:val="none"/>
        </w:rPr>
        <w:t>建设工程设计合同</w:t>
      </w:r>
    </w:p>
    <w:p w14:paraId="7DD432FA">
      <w:pPr>
        <w:rPr>
          <w:rFonts w:hint="eastAsia" w:ascii="仿宋" w:hAnsi="仿宋" w:eastAsia="仿宋" w:cs="仿宋"/>
          <w:highlight w:val="none"/>
        </w:rPr>
      </w:pPr>
    </w:p>
    <w:p w14:paraId="6593EA1C">
      <w:pPr>
        <w:rPr>
          <w:rFonts w:hint="eastAsia" w:ascii="仿宋" w:hAnsi="仿宋" w:eastAsia="仿宋" w:cs="仿宋"/>
          <w:highlight w:val="none"/>
        </w:rPr>
      </w:pPr>
    </w:p>
    <w:p w14:paraId="72903217">
      <w:pPr>
        <w:rPr>
          <w:rFonts w:hint="eastAsia" w:ascii="仿宋" w:hAnsi="仿宋" w:eastAsia="仿宋" w:cs="仿宋"/>
          <w:highlight w:val="none"/>
        </w:rPr>
      </w:pPr>
    </w:p>
    <w:p w14:paraId="696B30F9">
      <w:pPr>
        <w:spacing w:line="480" w:lineRule="auto"/>
        <w:ind w:left="2400" w:hanging="2400" w:hangingChars="800"/>
        <w:jc w:val="left"/>
        <w:rPr>
          <w:rFonts w:hint="eastAsia" w:ascii="仿宋" w:hAnsi="仿宋" w:eastAsia="仿宋" w:cs="仿宋"/>
          <w:sz w:val="30"/>
          <w:szCs w:val="30"/>
          <w:highlight w:val="none"/>
        </w:rPr>
      </w:pPr>
    </w:p>
    <w:p w14:paraId="6E130059">
      <w:pPr>
        <w:spacing w:line="480" w:lineRule="auto"/>
        <w:ind w:left="1878" w:hanging="1878" w:hangingChars="626"/>
        <w:jc w:val="left"/>
        <w:rPr>
          <w:rFonts w:hint="eastAsia" w:ascii="仿宋" w:hAnsi="仿宋" w:eastAsia="仿宋" w:cs="仿宋"/>
          <w:b/>
          <w:sz w:val="30"/>
          <w:szCs w:val="30"/>
          <w:highlight w:val="none"/>
          <w:u w:val="single"/>
          <w:lang w:val="en-US" w:eastAsia="zh-CN"/>
        </w:rPr>
      </w:pPr>
      <w:r>
        <w:rPr>
          <w:rFonts w:hint="eastAsia" w:ascii="仿宋" w:hAnsi="仿宋" w:eastAsia="仿宋" w:cs="仿宋"/>
          <w:sz w:val="30"/>
          <w:szCs w:val="30"/>
          <w:highlight w:val="none"/>
        </w:rPr>
        <w:t>项 目 名 称：</w:t>
      </w:r>
      <w:r>
        <w:rPr>
          <w:rFonts w:hint="eastAsia" w:ascii="仿宋" w:hAnsi="仿宋" w:eastAsia="仿宋" w:cs="仿宋"/>
          <w:b/>
          <w:bCs/>
          <w:sz w:val="30"/>
          <w:szCs w:val="30"/>
          <w:highlight w:val="none"/>
          <w:u w:val="single"/>
        </w:rPr>
        <w:t xml:space="preserve"> </w:t>
      </w:r>
      <w:r>
        <w:rPr>
          <w:rFonts w:hint="eastAsia" w:ascii="仿宋" w:hAnsi="仿宋" w:eastAsia="仿宋" w:cs="仿宋"/>
          <w:b/>
          <w:bCs/>
          <w:sz w:val="30"/>
          <w:szCs w:val="30"/>
          <w:highlight w:val="none"/>
          <w:u w:val="single"/>
          <w:lang w:val="en-US" w:eastAsia="zh-CN"/>
        </w:rPr>
        <w:t xml:space="preserve">                                </w:t>
      </w:r>
    </w:p>
    <w:p w14:paraId="626D2FD3">
      <w:pPr>
        <w:spacing w:line="480" w:lineRule="auto"/>
        <w:rPr>
          <w:rFonts w:hint="eastAsia" w:ascii="仿宋" w:hAnsi="仿宋" w:eastAsia="仿宋" w:cs="仿宋"/>
          <w:sz w:val="30"/>
          <w:szCs w:val="30"/>
          <w:highlight w:val="none"/>
          <w:lang w:val="en-US"/>
        </w:rPr>
      </w:pPr>
      <w:r>
        <w:rPr>
          <w:rFonts w:hint="eastAsia" w:ascii="仿宋" w:hAnsi="仿宋" w:eastAsia="仿宋" w:cs="仿宋"/>
          <w:sz w:val="30"/>
          <w:szCs w:val="30"/>
          <w:highlight w:val="none"/>
        </w:rPr>
        <w:t>项 目 地 点：</w:t>
      </w:r>
      <w:r>
        <w:rPr>
          <w:rFonts w:hint="eastAsia" w:ascii="仿宋" w:hAnsi="仿宋" w:eastAsia="仿宋" w:cs="仿宋"/>
          <w:b/>
          <w:sz w:val="30"/>
          <w:szCs w:val="30"/>
          <w:highlight w:val="none"/>
          <w:u w:val="single"/>
          <w:lang w:val="en-US" w:eastAsia="zh-CN"/>
        </w:rPr>
        <w:t xml:space="preserve">                                 </w:t>
      </w:r>
    </w:p>
    <w:p w14:paraId="16DD9E7D">
      <w:pPr>
        <w:spacing w:line="480" w:lineRule="auto"/>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合 同 编 号：</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w:t>
      </w:r>
    </w:p>
    <w:p w14:paraId="2663B625">
      <w:pPr>
        <w:widowControl/>
        <w:spacing w:line="480" w:lineRule="auto"/>
        <w:jc w:val="left"/>
        <w:rPr>
          <w:rFonts w:hint="eastAsia" w:ascii="仿宋" w:hAnsi="仿宋" w:eastAsia="仿宋" w:cs="仿宋"/>
          <w:b/>
          <w:sz w:val="30"/>
          <w:szCs w:val="30"/>
          <w:highlight w:val="none"/>
          <w:u w:val="single"/>
        </w:rPr>
      </w:pPr>
      <w:r>
        <w:rPr>
          <w:rFonts w:hint="eastAsia" w:ascii="仿宋" w:hAnsi="仿宋" w:eastAsia="仿宋" w:cs="仿宋"/>
          <w:sz w:val="30"/>
          <w:szCs w:val="30"/>
          <w:highlight w:val="none"/>
        </w:rPr>
        <w:t>委   托  方：</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p>
    <w:p w14:paraId="57941AEB">
      <w:pPr>
        <w:spacing w:line="48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承   接  方：</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none"/>
        </w:rPr>
        <w:t xml:space="preserve"> </w:t>
      </w:r>
    </w:p>
    <w:p w14:paraId="6172FAC9">
      <w:pPr>
        <w:spacing w:line="480" w:lineRule="auto"/>
        <w:rPr>
          <w:rFonts w:hint="eastAsia" w:ascii="仿宋" w:hAnsi="仿宋" w:eastAsia="仿宋" w:cs="仿宋"/>
          <w:sz w:val="28"/>
          <w:highlight w:val="none"/>
        </w:rPr>
      </w:pPr>
      <w:r>
        <w:rPr>
          <w:rFonts w:hint="eastAsia" w:ascii="仿宋" w:hAnsi="仿宋" w:eastAsia="仿宋" w:cs="仿宋"/>
          <w:sz w:val="30"/>
          <w:szCs w:val="30"/>
          <w:highlight w:val="none"/>
        </w:rPr>
        <w:t>签 订 日 期：</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年  </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月  </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u w:val="single"/>
        </w:rPr>
        <w:t xml:space="preserve"> 日</w:t>
      </w:r>
      <w:r>
        <w:rPr>
          <w:rFonts w:hint="eastAsia" w:ascii="仿宋" w:hAnsi="仿宋" w:eastAsia="仿宋" w:cs="仿宋"/>
          <w:b/>
          <w:sz w:val="30"/>
          <w:szCs w:val="30"/>
          <w:highlight w:val="none"/>
          <w:u w:val="single"/>
          <w:lang w:val="en-US" w:eastAsia="zh-CN"/>
        </w:rPr>
        <w:t xml:space="preserve">       </w:t>
      </w:r>
    </w:p>
    <w:p w14:paraId="33A06384">
      <w:pPr>
        <w:rPr>
          <w:rFonts w:hint="eastAsia" w:ascii="仿宋" w:hAnsi="仿宋" w:eastAsia="仿宋" w:cs="仿宋"/>
          <w:sz w:val="30"/>
          <w:szCs w:val="30"/>
          <w:highlight w:val="none"/>
        </w:rPr>
      </w:pPr>
    </w:p>
    <w:p w14:paraId="1D72703F">
      <w:pPr>
        <w:rPr>
          <w:rFonts w:hint="eastAsia" w:ascii="仿宋" w:hAnsi="仿宋" w:eastAsia="仿宋" w:cs="仿宋"/>
          <w:sz w:val="30"/>
          <w:szCs w:val="30"/>
          <w:highlight w:val="none"/>
        </w:rPr>
      </w:pPr>
    </w:p>
    <w:p w14:paraId="180B0043">
      <w:pPr>
        <w:pStyle w:val="2"/>
        <w:rPr>
          <w:rFonts w:hint="eastAsia" w:ascii="仿宋" w:hAnsi="仿宋" w:eastAsia="仿宋" w:cs="仿宋"/>
          <w:highlight w:val="none"/>
        </w:rPr>
      </w:pPr>
    </w:p>
    <w:p w14:paraId="1686C6A3">
      <w:pPr>
        <w:rPr>
          <w:rFonts w:hint="eastAsia" w:ascii="仿宋" w:hAnsi="仿宋" w:eastAsia="仿宋" w:cs="仿宋"/>
          <w:sz w:val="30"/>
          <w:szCs w:val="30"/>
          <w:highlight w:val="none"/>
        </w:rPr>
      </w:pPr>
    </w:p>
    <w:p w14:paraId="471149D0">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中华人民共和国建设部</w:t>
      </w:r>
    </w:p>
    <w:p w14:paraId="559C5ED7">
      <w:pP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监制</w:t>
      </w:r>
    </w:p>
    <w:p w14:paraId="3941551B">
      <w:pPr>
        <w:jc w:val="center"/>
        <w:rPr>
          <w:rFonts w:hint="eastAsia" w:ascii="仿宋" w:hAnsi="仿宋" w:eastAsia="仿宋" w:cs="仿宋"/>
          <w:spacing w:val="16"/>
          <w:sz w:val="30"/>
          <w:szCs w:val="30"/>
          <w:highlight w:val="none"/>
        </w:rPr>
      </w:pPr>
      <w:r>
        <w:rPr>
          <w:rFonts w:hint="eastAsia" w:ascii="仿宋" w:hAnsi="仿宋" w:eastAsia="仿宋" w:cs="仿宋"/>
          <w:spacing w:val="16"/>
          <w:sz w:val="30"/>
          <w:szCs w:val="30"/>
          <w:highlight w:val="none"/>
        </w:rPr>
        <w:t>国家工商行政管理局</w:t>
      </w:r>
    </w:p>
    <w:p w14:paraId="6A299524">
      <w:pPr>
        <w:ind w:firstLine="630"/>
        <w:rPr>
          <w:rFonts w:hint="eastAsia" w:ascii="仿宋" w:hAnsi="仿宋" w:eastAsia="仿宋" w:cs="仿宋"/>
          <w:sz w:val="28"/>
          <w:highlight w:val="none"/>
        </w:rPr>
      </w:pPr>
    </w:p>
    <w:p w14:paraId="63F2893D">
      <w:pPr>
        <w:ind w:firstLine="630"/>
        <w:rPr>
          <w:rFonts w:hint="eastAsia" w:ascii="仿宋" w:hAnsi="仿宋" w:eastAsia="仿宋" w:cs="仿宋"/>
          <w:sz w:val="28"/>
          <w:highlight w:val="none"/>
        </w:rPr>
        <w:sectPr>
          <w:headerReference r:id="rId11" w:type="default"/>
          <w:footerReference r:id="rId12" w:type="default"/>
          <w:pgSz w:w="11907" w:h="16840"/>
          <w:pgMar w:top="1440" w:right="1540" w:bottom="1440" w:left="1160" w:header="851" w:footer="992" w:gutter="567"/>
          <w:pgNumType w:fmt="decimal" w:start="1"/>
          <w:cols w:space="720" w:num="1"/>
          <w:docGrid w:linePitch="312" w:charSpace="0"/>
        </w:sectPr>
      </w:pPr>
    </w:p>
    <w:p w14:paraId="405C82BB">
      <w:pPr>
        <w:spacing w:line="360" w:lineRule="auto"/>
        <w:ind w:firstLine="630"/>
        <w:rPr>
          <w:rFonts w:hint="eastAsia" w:ascii="仿宋" w:hAnsi="仿宋" w:eastAsia="仿宋" w:cs="仿宋"/>
          <w:sz w:val="24"/>
          <w:szCs w:val="24"/>
          <w:highlight w:val="none"/>
        </w:rPr>
      </w:pPr>
    </w:p>
    <w:p w14:paraId="0C7424E3">
      <w:pPr>
        <w:spacing w:line="360" w:lineRule="auto"/>
        <w:ind w:firstLine="63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委托方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发包人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 xml:space="preserve"> </w:t>
      </w:r>
    </w:p>
    <w:p w14:paraId="18AB9B0B">
      <w:pPr>
        <w:spacing w:line="360" w:lineRule="auto"/>
        <w:ind w:firstLine="630"/>
        <w:rPr>
          <w:rFonts w:hint="default" w:ascii="仿宋" w:hAnsi="仿宋" w:eastAsia="仿宋" w:cs="仿宋"/>
          <w:b/>
          <w:bCs/>
          <w:color w:val="auto"/>
          <w:sz w:val="28"/>
          <w:szCs w:val="28"/>
          <w:highlight w:val="none"/>
          <w:u w:val="single"/>
          <w:lang w:val="en-US"/>
        </w:rPr>
      </w:pPr>
      <w:r>
        <w:rPr>
          <w:rFonts w:hint="eastAsia" w:ascii="仿宋" w:hAnsi="仿宋" w:eastAsia="仿宋" w:cs="仿宋"/>
          <w:color w:val="auto"/>
          <w:sz w:val="28"/>
          <w:szCs w:val="28"/>
          <w:highlight w:val="none"/>
        </w:rPr>
        <w:t>承接方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设计人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u w:val="single"/>
          <w:lang w:val="en-US" w:eastAsia="zh-CN"/>
        </w:rPr>
        <w:t xml:space="preserve">            </w:t>
      </w:r>
    </w:p>
    <w:p w14:paraId="5E59C935">
      <w:pPr>
        <w:spacing w:line="360" w:lineRule="auto"/>
        <w:ind w:firstLine="6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委托方委托承接方承担</w:t>
      </w:r>
      <w:bookmarkStart w:id="31" w:name="OLE_LINK9"/>
      <w:bookmarkStart w:id="32" w:name="OLE_LINK8"/>
      <w:r>
        <w:rPr>
          <w:rFonts w:hint="eastAsia" w:ascii="仿宋" w:hAnsi="仿宋" w:eastAsia="仿宋" w:cs="仿宋"/>
          <w:b w:val="0"/>
          <w:bCs w:val="0"/>
          <w:color w:val="auto"/>
          <w:sz w:val="28"/>
          <w:szCs w:val="28"/>
          <w:highlight w:val="none"/>
          <w:u w:val="single"/>
          <w:lang w:val="en-US" w:eastAsia="zh-CN"/>
        </w:rPr>
        <w:t>（项目名称）</w:t>
      </w:r>
      <w:r>
        <w:rPr>
          <w:rFonts w:hint="eastAsia" w:ascii="仿宋" w:hAnsi="仿宋" w:eastAsia="仿宋" w:cs="仿宋"/>
          <w:color w:val="auto"/>
          <w:sz w:val="28"/>
          <w:szCs w:val="28"/>
          <w:highlight w:val="none"/>
        </w:rPr>
        <w:t>设计</w:t>
      </w:r>
      <w:bookmarkEnd w:id="31"/>
      <w:bookmarkEnd w:id="32"/>
      <w:r>
        <w:rPr>
          <w:rFonts w:hint="eastAsia" w:ascii="仿宋" w:hAnsi="仿宋" w:eastAsia="仿宋" w:cs="仿宋"/>
          <w:color w:val="auto"/>
          <w:sz w:val="28"/>
          <w:szCs w:val="28"/>
          <w:highlight w:val="none"/>
        </w:rPr>
        <w:t>工作，工程地点为</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rPr>
        <w:t>，经双方协商一致，签订本合同，共同执行。</w:t>
      </w:r>
    </w:p>
    <w:p w14:paraId="03C1B1F3">
      <w:pPr>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第一条</w:t>
      </w:r>
      <w:r>
        <w:rPr>
          <w:rFonts w:hint="eastAsia" w:ascii="仿宋" w:hAnsi="仿宋" w:eastAsia="仿宋" w:cs="仿宋"/>
          <w:color w:val="auto"/>
          <w:sz w:val="28"/>
          <w:szCs w:val="28"/>
          <w:highlight w:val="none"/>
        </w:rPr>
        <w:t xml:space="preserve">  本合同签订依据</w:t>
      </w:r>
    </w:p>
    <w:p w14:paraId="15773290">
      <w:pPr>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1.1《中华人民共和国民法典》、《建设工程质量管理条例》。</w:t>
      </w:r>
    </w:p>
    <w:p w14:paraId="7E251A8A">
      <w:pPr>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1.2国家及地方有关建设工程勘察设计管理法规和规章。</w:t>
      </w:r>
    </w:p>
    <w:p w14:paraId="37DCB50F">
      <w:pPr>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1.3建设工程批准文件。</w:t>
      </w:r>
    </w:p>
    <w:p w14:paraId="31F1FA2B">
      <w:pPr>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第二条</w:t>
      </w:r>
      <w:r>
        <w:rPr>
          <w:rFonts w:hint="eastAsia" w:ascii="仿宋" w:hAnsi="仿宋" w:eastAsia="仿宋" w:cs="仿宋"/>
          <w:color w:val="auto"/>
          <w:sz w:val="28"/>
          <w:szCs w:val="28"/>
          <w:highlight w:val="none"/>
        </w:rPr>
        <w:t xml:space="preserve">  设计依据</w:t>
      </w:r>
    </w:p>
    <w:p w14:paraId="1CCE3C3C">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发包人给设计人的委托书或者设计中标文件</w:t>
      </w:r>
    </w:p>
    <w:p w14:paraId="78D1075A">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发包人提交的基础资料</w:t>
      </w:r>
    </w:p>
    <w:p w14:paraId="212C426E">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设计人采用的主要技术标准是：</w:t>
      </w:r>
    </w:p>
    <w:p w14:paraId="29EEE81A">
      <w:pPr>
        <w:spacing w:line="360" w:lineRule="auto"/>
        <w:ind w:firstLine="63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国家及相关部委颁发的规范及标准</w:t>
      </w:r>
    </w:p>
    <w:p w14:paraId="5787E1BA">
      <w:pPr>
        <w:spacing w:line="360" w:lineRule="auto"/>
        <w:ind w:left="526" w:leftChars="188"/>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第三条</w:t>
      </w:r>
      <w:r>
        <w:rPr>
          <w:rFonts w:hint="eastAsia" w:ascii="仿宋" w:hAnsi="仿宋" w:eastAsia="仿宋" w:cs="仿宋"/>
          <w:color w:val="auto"/>
          <w:sz w:val="28"/>
          <w:szCs w:val="28"/>
          <w:highlight w:val="none"/>
        </w:rPr>
        <w:t xml:space="preserve">  合同文件的优先次序</w:t>
      </w:r>
    </w:p>
    <w:p w14:paraId="77CDC1A2">
      <w:pPr>
        <w:pStyle w:val="2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构成本合同的文件可视为是能互相说明的，如果合同文件存在歧义或不一致，则根据如下优先次序来判断：</w:t>
      </w:r>
    </w:p>
    <w:p w14:paraId="1CD61ACB">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3.1合同书</w:t>
      </w:r>
    </w:p>
    <w:p w14:paraId="2A22C44F">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3.2中标</w:t>
      </w:r>
      <w:r>
        <w:rPr>
          <w:rFonts w:hint="eastAsia" w:ascii="仿宋" w:hAnsi="仿宋" w:eastAsia="仿宋" w:cs="仿宋"/>
          <w:color w:val="auto"/>
          <w:sz w:val="28"/>
          <w:szCs w:val="28"/>
          <w:highlight w:val="none"/>
          <w:lang w:val="en-US" w:eastAsia="zh-CN"/>
        </w:rPr>
        <w:t>/成交通知书</w:t>
      </w:r>
      <w:r>
        <w:rPr>
          <w:rFonts w:hint="eastAsia" w:ascii="仿宋" w:hAnsi="仿宋" w:eastAsia="仿宋" w:cs="仿宋"/>
          <w:color w:val="auto"/>
          <w:sz w:val="28"/>
          <w:szCs w:val="28"/>
          <w:highlight w:val="none"/>
        </w:rPr>
        <w:t>（文件）</w:t>
      </w:r>
    </w:p>
    <w:p w14:paraId="6B8C34C7">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3.3委托方要求及委托书</w:t>
      </w:r>
    </w:p>
    <w:p w14:paraId="04AB5E3D">
      <w:pPr>
        <w:spacing w:line="360" w:lineRule="auto"/>
        <w:ind w:firstLine="555"/>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lang w:val="en-US" w:eastAsia="zh-CN"/>
        </w:rPr>
        <w:t>响应文件</w:t>
      </w:r>
    </w:p>
    <w:p w14:paraId="7E4F463C">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3.5合同订立后双方认可的书面补充协议、来往的传真、电报、会议记要等。</w:t>
      </w:r>
    </w:p>
    <w:p w14:paraId="77BE7835">
      <w:pPr>
        <w:spacing w:line="360" w:lineRule="auto"/>
        <w:ind w:firstLine="63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第四条</w:t>
      </w:r>
      <w:r>
        <w:rPr>
          <w:rFonts w:hint="eastAsia" w:ascii="仿宋" w:hAnsi="仿宋" w:eastAsia="仿宋" w:cs="仿宋"/>
          <w:color w:val="auto"/>
          <w:sz w:val="28"/>
          <w:szCs w:val="28"/>
          <w:highlight w:val="none"/>
        </w:rPr>
        <w:t xml:space="preserve">  本合同项目的名称、规模、阶段及设计内容、投资。</w:t>
      </w:r>
    </w:p>
    <w:p w14:paraId="36D6C2D7">
      <w:pPr>
        <w:spacing w:line="360" w:lineRule="auto"/>
        <w:ind w:firstLine="562" w:firstLineChars="200"/>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rPr>
        <w:t>4.1名称：</w:t>
      </w:r>
      <w:r>
        <w:rPr>
          <w:rFonts w:hint="eastAsia" w:ascii="仿宋" w:hAnsi="仿宋" w:eastAsia="仿宋" w:cs="仿宋"/>
          <w:color w:val="auto"/>
          <w:sz w:val="28"/>
          <w:szCs w:val="28"/>
          <w:highlight w:val="none"/>
          <w:u w:val="single"/>
          <w:lang w:val="en-US" w:eastAsia="zh-CN"/>
        </w:rPr>
        <w:t xml:space="preserve">            </w:t>
      </w:r>
    </w:p>
    <w:p w14:paraId="349BE7D5">
      <w:pPr>
        <w:spacing w:line="360" w:lineRule="auto"/>
        <w:ind w:firstLine="562" w:firstLineChars="200"/>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rPr>
        <w:t>4.2规模：</w:t>
      </w:r>
      <w:r>
        <w:rPr>
          <w:rFonts w:hint="eastAsia" w:ascii="仿宋" w:hAnsi="仿宋" w:eastAsia="仿宋" w:cs="仿宋"/>
          <w:color w:val="auto"/>
          <w:sz w:val="28"/>
          <w:szCs w:val="28"/>
          <w:highlight w:val="none"/>
          <w:u w:val="single"/>
          <w:lang w:val="en-US" w:eastAsia="zh-CN"/>
        </w:rPr>
        <w:t xml:space="preserve">            </w:t>
      </w:r>
    </w:p>
    <w:p w14:paraId="048EC1B8">
      <w:pPr>
        <w:spacing w:line="360" w:lineRule="auto"/>
        <w:ind w:firstLine="562" w:firstLineChars="200"/>
        <w:rPr>
          <w:rFonts w:hint="default" w:ascii="仿宋" w:hAnsi="仿宋" w:eastAsia="仿宋" w:cs="仿宋"/>
          <w:color w:val="auto"/>
          <w:sz w:val="28"/>
          <w:szCs w:val="28"/>
          <w:highlight w:val="none"/>
          <w:u w:val="single"/>
          <w:lang w:val="en-US"/>
        </w:rPr>
      </w:pPr>
      <w:r>
        <w:rPr>
          <w:rFonts w:hint="eastAsia" w:ascii="仿宋" w:hAnsi="仿宋" w:eastAsia="仿宋" w:cs="仿宋"/>
          <w:b/>
          <w:bCs/>
          <w:color w:val="auto"/>
          <w:sz w:val="28"/>
          <w:szCs w:val="28"/>
          <w:highlight w:val="none"/>
        </w:rPr>
        <w:t>4.3阶段：</w:t>
      </w:r>
      <w:r>
        <w:rPr>
          <w:rFonts w:hint="eastAsia" w:ascii="仿宋" w:hAnsi="仿宋" w:eastAsia="仿宋" w:cs="仿宋"/>
          <w:b/>
          <w:bCs/>
          <w:color w:val="auto"/>
          <w:sz w:val="28"/>
          <w:szCs w:val="28"/>
          <w:highlight w:val="none"/>
          <w:u w:val="single"/>
          <w:lang w:val="en-US" w:eastAsia="zh-CN"/>
        </w:rPr>
        <w:t xml:space="preserve">               </w:t>
      </w:r>
    </w:p>
    <w:p w14:paraId="34891AE3">
      <w:pPr>
        <w:spacing w:line="360" w:lineRule="auto"/>
        <w:ind w:firstLine="562" w:firstLineChars="200"/>
        <w:rPr>
          <w:rFonts w:hint="default" w:ascii="仿宋" w:hAnsi="仿宋" w:eastAsia="仿宋" w:cs="仿宋"/>
          <w:color w:val="auto"/>
          <w:sz w:val="28"/>
          <w:szCs w:val="28"/>
          <w:highlight w:val="none"/>
          <w:u w:val="single"/>
          <w:lang w:val="en-US"/>
        </w:rPr>
      </w:pPr>
      <w:r>
        <w:rPr>
          <w:rFonts w:hint="eastAsia" w:ascii="仿宋" w:hAnsi="仿宋" w:eastAsia="仿宋" w:cs="仿宋"/>
          <w:b/>
          <w:bCs/>
          <w:color w:val="auto"/>
          <w:sz w:val="28"/>
          <w:szCs w:val="28"/>
          <w:highlight w:val="none"/>
        </w:rPr>
        <w:t>4.4服务内容：</w:t>
      </w:r>
      <w:r>
        <w:rPr>
          <w:rFonts w:hint="eastAsia" w:ascii="仿宋" w:hAnsi="仿宋" w:eastAsia="仿宋" w:cs="仿宋"/>
          <w:b/>
          <w:bCs/>
          <w:color w:val="auto"/>
          <w:sz w:val="28"/>
          <w:szCs w:val="28"/>
          <w:highlight w:val="none"/>
          <w:u w:val="single"/>
          <w:lang w:val="en-US" w:eastAsia="zh-CN"/>
        </w:rPr>
        <w:t xml:space="preserve">           </w:t>
      </w:r>
    </w:p>
    <w:p w14:paraId="5C21620F">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第五条</w:t>
      </w:r>
      <w:r>
        <w:rPr>
          <w:rFonts w:hint="eastAsia" w:ascii="仿宋" w:hAnsi="仿宋" w:eastAsia="仿宋" w:cs="仿宋"/>
          <w:color w:val="auto"/>
          <w:sz w:val="28"/>
          <w:szCs w:val="28"/>
          <w:highlight w:val="none"/>
        </w:rPr>
        <w:t xml:space="preserve">  委托方向承接方提交的有关资料、文件及时间：</w:t>
      </w:r>
      <w:r>
        <w:rPr>
          <w:rFonts w:hint="eastAsia" w:ascii="仿宋" w:hAnsi="仿宋" w:eastAsia="仿宋" w:cs="仿宋"/>
          <w:b/>
          <w:bCs/>
          <w:color w:val="auto"/>
          <w:sz w:val="28"/>
          <w:szCs w:val="28"/>
          <w:highlight w:val="none"/>
          <w:u w:val="single"/>
          <w:lang w:val="en-US" w:eastAsia="zh-CN"/>
        </w:rPr>
        <w:t xml:space="preserve">           </w:t>
      </w:r>
    </w:p>
    <w:p w14:paraId="58C3AA65">
      <w:pPr>
        <w:spacing w:line="360" w:lineRule="auto"/>
        <w:ind w:firstLine="555"/>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第六条  </w:t>
      </w:r>
      <w:r>
        <w:rPr>
          <w:rFonts w:hint="eastAsia" w:ascii="仿宋" w:hAnsi="仿宋" w:eastAsia="仿宋" w:cs="仿宋"/>
          <w:color w:val="auto"/>
          <w:sz w:val="28"/>
          <w:szCs w:val="28"/>
          <w:highlight w:val="none"/>
        </w:rPr>
        <w:t>承接方向委托方交付的设计文件、份数、地点及时间：</w:t>
      </w:r>
      <w:r>
        <w:rPr>
          <w:rFonts w:hint="eastAsia" w:ascii="仿宋" w:hAnsi="仿宋" w:eastAsia="仿宋" w:cs="仿宋"/>
          <w:color w:val="auto"/>
          <w:sz w:val="28"/>
          <w:szCs w:val="28"/>
          <w:highlight w:val="none"/>
          <w:u w:val="single"/>
          <w:lang w:val="en-US" w:eastAsia="zh-CN"/>
        </w:rPr>
        <w:t xml:space="preserve">     </w:t>
      </w:r>
    </w:p>
    <w:p w14:paraId="2FDE57EA">
      <w:pPr>
        <w:spacing w:line="360" w:lineRule="auto"/>
        <w:ind w:left="555"/>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第七条</w:t>
      </w:r>
      <w:r>
        <w:rPr>
          <w:rFonts w:hint="eastAsia" w:ascii="仿宋" w:hAnsi="仿宋" w:eastAsia="仿宋" w:cs="仿宋"/>
          <w:color w:val="auto"/>
          <w:sz w:val="28"/>
          <w:szCs w:val="28"/>
          <w:highlight w:val="none"/>
        </w:rPr>
        <w:t xml:space="preserve">  费用</w:t>
      </w:r>
    </w:p>
    <w:p w14:paraId="5550139F">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7.1本合同的总金额为人民币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不含税金额为：</w:t>
      </w:r>
      <w:bookmarkStart w:id="33" w:name="OLE_LINK3"/>
      <w:r>
        <w:rPr>
          <w:rFonts w:hint="eastAsia" w:ascii="仿宋" w:hAnsi="仿宋" w:eastAsia="仿宋" w:cs="仿宋"/>
          <w:color w:val="auto"/>
          <w:sz w:val="28"/>
          <w:szCs w:val="28"/>
          <w:highlight w:val="none"/>
        </w:rPr>
        <w:t>人民币</w:t>
      </w:r>
      <w:bookmarkEnd w:id="33"/>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税金为：人民币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w:t>
      </w:r>
    </w:p>
    <w:p w14:paraId="210F4535">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7.2本合同费用包含过程及最终图纸材料制作费、各阶段汇报、税费等相关费用。</w:t>
      </w:r>
    </w:p>
    <w:p w14:paraId="783BD093">
      <w:pPr>
        <w:numPr>
          <w:ilvl w:val="0"/>
          <w:numId w:val="5"/>
        </w:num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支付方式</w:t>
      </w:r>
    </w:p>
    <w:p w14:paraId="7B9C1A9D">
      <w:pPr>
        <w:pStyle w:val="17"/>
        <w:tabs>
          <w:tab w:val="left" w:pos="0"/>
        </w:tabs>
        <w:spacing w:line="360" w:lineRule="auto"/>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u w:val="single"/>
        </w:rPr>
        <w:t>8.1合同签订后五个工作日内，发包人支付总费用的</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%作为预付款；</w:t>
      </w:r>
    </w:p>
    <w:p w14:paraId="041D1079">
      <w:pPr>
        <w:pStyle w:val="17"/>
        <w:tabs>
          <w:tab w:val="left" w:pos="0"/>
        </w:tabs>
        <w:spacing w:line="360" w:lineRule="auto"/>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8.2</w:t>
      </w:r>
      <w:r>
        <w:rPr>
          <w:rFonts w:hint="eastAsia" w:ascii="仿宋" w:hAnsi="仿宋" w:eastAsia="仿宋" w:cs="仿宋"/>
          <w:b/>
          <w:color w:val="auto"/>
          <w:sz w:val="28"/>
          <w:szCs w:val="28"/>
          <w:highlight w:val="none"/>
          <w:u w:val="single"/>
        </w:rPr>
        <w:t>设计人完成施工图设计且成果文件经发包人接收后，发包人在十个工作日内支付总费用的</w:t>
      </w:r>
      <w:r>
        <w:rPr>
          <w:rFonts w:hint="eastAsia" w:ascii="仿宋" w:hAnsi="仿宋" w:eastAsia="仿宋" w:cs="仿宋"/>
          <w:b/>
          <w:color w:val="auto"/>
          <w:sz w:val="28"/>
          <w:szCs w:val="28"/>
          <w:highlight w:val="none"/>
          <w:u w:val="single"/>
          <w:lang w:val="en-US" w:eastAsia="zh-CN"/>
        </w:rPr>
        <w:t>65</w:t>
      </w:r>
      <w:r>
        <w:rPr>
          <w:rFonts w:hint="eastAsia" w:ascii="仿宋" w:hAnsi="仿宋" w:eastAsia="仿宋" w:cs="仿宋"/>
          <w:b/>
          <w:color w:val="auto"/>
          <w:sz w:val="28"/>
          <w:szCs w:val="28"/>
          <w:highlight w:val="none"/>
          <w:u w:val="single"/>
        </w:rPr>
        <w:t>％；</w:t>
      </w:r>
    </w:p>
    <w:p w14:paraId="4F2241FE">
      <w:pPr>
        <w:pStyle w:val="17"/>
        <w:widowControl/>
        <w:tabs>
          <w:tab w:val="left" w:pos="0"/>
        </w:tabs>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u w:val="single"/>
        </w:rPr>
        <w:t>工程竣验收后，发包人在十个工作日内支付总费用的</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w:t>
      </w:r>
    </w:p>
    <w:p w14:paraId="100A4C42">
      <w:pPr>
        <w:spacing w:line="360" w:lineRule="auto"/>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u w:val="single"/>
        </w:rPr>
        <w:t>8.</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支付费用前，设计人应向发包人提供相应的增值税发票，若设计人延迟提供的，发包人支付费用时间相应顺延。</w:t>
      </w:r>
    </w:p>
    <w:p w14:paraId="5F950571">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第九条</w:t>
      </w:r>
      <w:r>
        <w:rPr>
          <w:rFonts w:hint="eastAsia" w:ascii="仿宋" w:hAnsi="仿宋" w:eastAsia="仿宋" w:cs="仿宋"/>
          <w:color w:val="auto"/>
          <w:sz w:val="28"/>
          <w:szCs w:val="28"/>
          <w:highlight w:val="none"/>
        </w:rPr>
        <w:t xml:space="preserve">  双方责任</w:t>
      </w:r>
    </w:p>
    <w:p w14:paraId="7286D3A6">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9.1委托方责任</w:t>
      </w:r>
    </w:p>
    <w:p w14:paraId="43BB6FC5">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9.1.1委托方按本合同第五条规定的内容，在规定的时间内向承接方提交基础资料及文件，并对其完整性、正确性及时限负责。委托方不得要求承接方违反国家有关标准进行设计。</w:t>
      </w:r>
    </w:p>
    <w:p w14:paraId="45F1E0B7">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委托方提交上述资料及文件超过规定期限15天以内，承接方按本合同第六条规定的交付设计文件时间顺延；委托方交付上述资料及文件超过规定期限15天以上时，</w:t>
      </w:r>
      <w:r>
        <w:rPr>
          <w:rFonts w:hint="eastAsia" w:ascii="仿宋" w:hAnsi="仿宋" w:eastAsia="仿宋" w:cs="仿宋"/>
          <w:color w:val="auto"/>
          <w:sz w:val="28"/>
          <w:szCs w:val="28"/>
          <w:highlight w:val="none"/>
          <w:lang w:val="en-US" w:eastAsia="zh-CN"/>
        </w:rPr>
        <w:t>承接方有权决定继续履行合同或终止合同，若继续履行，</w:t>
      </w:r>
      <w:r>
        <w:rPr>
          <w:rFonts w:hint="eastAsia" w:ascii="仿宋" w:hAnsi="仿宋" w:eastAsia="仿宋" w:cs="仿宋"/>
          <w:color w:val="auto"/>
          <w:sz w:val="28"/>
          <w:szCs w:val="28"/>
          <w:highlight w:val="none"/>
        </w:rPr>
        <w:t>承接方有权重新确定提交设计文件的时间。</w:t>
      </w:r>
    </w:p>
    <w:p w14:paraId="606767F9">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9.1.2委托方变更委托设计项目、规模、条件或因提交的资料错误，或所提交资料作较大修改，以致造成承接方设计返工时，双方除另行协商签订补充协议（或另订合同）、重新明确有关条款外，委托方应按承接方所耗工作量向承接方支付返工费。</w:t>
      </w:r>
    </w:p>
    <w:p w14:paraId="57BA7DCA">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9.1.3在合同履行期间，委托方</w:t>
      </w:r>
      <w:r>
        <w:rPr>
          <w:rFonts w:hint="eastAsia" w:ascii="仿宋" w:hAnsi="仿宋" w:eastAsia="仿宋" w:cs="仿宋"/>
          <w:color w:val="auto"/>
          <w:sz w:val="28"/>
          <w:szCs w:val="28"/>
          <w:highlight w:val="none"/>
          <w:lang w:val="en-US" w:eastAsia="zh-CN"/>
        </w:rPr>
        <w:t>单方</w:t>
      </w:r>
      <w:r>
        <w:rPr>
          <w:rFonts w:hint="eastAsia" w:ascii="仿宋" w:hAnsi="仿宋" w:eastAsia="仿宋" w:cs="仿宋"/>
          <w:color w:val="auto"/>
          <w:sz w:val="28"/>
          <w:szCs w:val="28"/>
          <w:highlight w:val="none"/>
        </w:rPr>
        <w:t>要求终止或解除合同</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，委托方应根据承接方已进行的实际工作量支付</w:t>
      </w:r>
      <w:r>
        <w:rPr>
          <w:rFonts w:hint="eastAsia" w:ascii="仿宋" w:hAnsi="仿宋" w:eastAsia="仿宋" w:cs="仿宋"/>
          <w:color w:val="auto"/>
          <w:sz w:val="28"/>
          <w:szCs w:val="28"/>
          <w:highlight w:val="none"/>
          <w:lang w:val="en-US" w:eastAsia="zh-CN"/>
        </w:rPr>
        <w:t>相应费用，并按照本合同约定工程价款的30%支付违约金</w:t>
      </w:r>
      <w:r>
        <w:rPr>
          <w:rFonts w:hint="eastAsia" w:ascii="仿宋" w:hAnsi="仿宋" w:eastAsia="仿宋" w:cs="仿宋"/>
          <w:color w:val="auto"/>
          <w:sz w:val="28"/>
          <w:szCs w:val="28"/>
          <w:highlight w:val="none"/>
        </w:rPr>
        <w:t>。</w:t>
      </w:r>
    </w:p>
    <w:p w14:paraId="3645E64E">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9.1.4委托方必须按合同约定按期支付费用。 </w:t>
      </w:r>
    </w:p>
    <w:p w14:paraId="3FD51160">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9.1.5委托方应按本合同约定的金额和日期向承接方支付设计费，每逾期支付一天，应承担支付金额万分之二的逾期违约金，且承接方提交设计文件的时间顺延。逾期超过30天以上时，承接方有权暂停履行下阶段工作，并书面通知委托方。委托方的上级或设计审批部门对设计文件不审批或本合同项目停缓建，双方协商合同继续履约或解除合同，并根据承接方已开展工作量，双方协商己完成工作部分的费用。</w:t>
      </w:r>
    </w:p>
    <w:p w14:paraId="21BEC650">
      <w:pPr>
        <w:pStyle w:val="27"/>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9.1.6委托方要求承接方提前交付设计文件时，须征得承接方同意，不得严重背离合理设计周期。</w:t>
      </w:r>
    </w:p>
    <w:p w14:paraId="6495B70F">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9.1.7设计文件中选用的国家标准图、部标准图及地方标准图由委托方负责解决。</w:t>
      </w:r>
    </w:p>
    <w:p w14:paraId="709F228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9.1.8委托方</w:t>
      </w:r>
      <w:r>
        <w:rPr>
          <w:rFonts w:hint="eastAsia" w:ascii="仿宋" w:hAnsi="仿宋" w:eastAsia="仿宋" w:cs="仿宋"/>
          <w:color w:val="auto"/>
          <w:sz w:val="28"/>
          <w:szCs w:val="28"/>
          <w:highlight w:val="none"/>
        </w:rPr>
        <w:t>违约提前解除本合同或因</w:t>
      </w:r>
      <w:r>
        <w:rPr>
          <w:rFonts w:hint="eastAsia" w:ascii="仿宋" w:hAnsi="仿宋" w:eastAsia="仿宋" w:cs="仿宋"/>
          <w:color w:val="auto"/>
          <w:sz w:val="28"/>
          <w:szCs w:val="28"/>
          <w:highlight w:val="none"/>
          <w:lang w:val="en-US" w:eastAsia="zh-CN"/>
        </w:rPr>
        <w:t>委托方</w:t>
      </w:r>
      <w:r>
        <w:rPr>
          <w:rFonts w:hint="eastAsia" w:ascii="仿宋" w:hAnsi="仿宋" w:eastAsia="仿宋" w:cs="仿宋"/>
          <w:color w:val="auto"/>
          <w:sz w:val="28"/>
          <w:szCs w:val="28"/>
          <w:highlight w:val="none"/>
        </w:rPr>
        <w:t>违约导致</w:t>
      </w:r>
      <w:r>
        <w:rPr>
          <w:rFonts w:hint="eastAsia" w:ascii="仿宋" w:hAnsi="仿宋" w:eastAsia="仿宋" w:cs="仿宋"/>
          <w:color w:val="auto"/>
          <w:sz w:val="28"/>
          <w:szCs w:val="28"/>
          <w:highlight w:val="none"/>
          <w:lang w:val="en-US" w:eastAsia="zh-CN"/>
        </w:rPr>
        <w:t>承接方</w:t>
      </w:r>
      <w:r>
        <w:rPr>
          <w:rFonts w:hint="eastAsia" w:ascii="仿宋" w:hAnsi="仿宋" w:eastAsia="仿宋" w:cs="仿宋"/>
          <w:color w:val="auto"/>
          <w:sz w:val="28"/>
          <w:szCs w:val="28"/>
          <w:highlight w:val="none"/>
        </w:rPr>
        <w:t>解除本合同的，</w:t>
      </w:r>
      <w:r>
        <w:rPr>
          <w:rFonts w:hint="eastAsia" w:ascii="仿宋" w:hAnsi="仿宋" w:eastAsia="仿宋" w:cs="仿宋"/>
          <w:color w:val="auto"/>
          <w:sz w:val="28"/>
          <w:szCs w:val="28"/>
          <w:highlight w:val="none"/>
          <w:lang w:val="en-US" w:eastAsia="zh-CN"/>
        </w:rPr>
        <w:t>承接</w:t>
      </w:r>
      <w:r>
        <w:rPr>
          <w:rFonts w:hint="eastAsia" w:ascii="仿宋" w:hAnsi="仿宋" w:eastAsia="仿宋" w:cs="仿宋"/>
          <w:color w:val="auto"/>
          <w:sz w:val="28"/>
          <w:szCs w:val="28"/>
          <w:highlight w:val="none"/>
        </w:rPr>
        <w:t>方有权要求</w:t>
      </w:r>
      <w:r>
        <w:rPr>
          <w:rFonts w:hint="eastAsia" w:ascii="仿宋" w:hAnsi="仿宋" w:eastAsia="仿宋" w:cs="仿宋"/>
          <w:color w:val="auto"/>
          <w:sz w:val="28"/>
          <w:szCs w:val="28"/>
          <w:highlight w:val="none"/>
          <w:lang w:val="en-US" w:eastAsia="zh-CN"/>
        </w:rPr>
        <w:t>委托方</w:t>
      </w:r>
      <w:r>
        <w:rPr>
          <w:rFonts w:hint="eastAsia" w:ascii="仿宋" w:hAnsi="仿宋" w:eastAsia="仿宋" w:cs="仿宋"/>
          <w:color w:val="auto"/>
          <w:sz w:val="28"/>
          <w:szCs w:val="28"/>
          <w:highlight w:val="none"/>
        </w:rPr>
        <w:t>方同时承担如下责任：</w:t>
      </w:r>
    </w:p>
    <w:p w14:paraId="6C4ADAF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(1)</w:t>
      </w:r>
      <w:r>
        <w:rPr>
          <w:rFonts w:hint="eastAsia" w:ascii="仿宋" w:hAnsi="仿宋" w:eastAsia="仿宋" w:cs="仿宋"/>
          <w:color w:val="auto"/>
          <w:sz w:val="28"/>
          <w:szCs w:val="28"/>
          <w:highlight w:val="none"/>
        </w:rPr>
        <w:t>对于验收合格的工程，按照合同约定结算相应款项；</w:t>
      </w:r>
    </w:p>
    <w:p w14:paraId="710F479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(2)</w:t>
      </w:r>
      <w:r>
        <w:rPr>
          <w:rFonts w:hint="eastAsia" w:ascii="仿宋" w:hAnsi="仿宋" w:eastAsia="仿宋" w:cs="仿宋"/>
          <w:color w:val="auto"/>
          <w:sz w:val="28"/>
          <w:szCs w:val="28"/>
          <w:highlight w:val="none"/>
          <w:lang w:val="en-US" w:eastAsia="zh-CN"/>
        </w:rPr>
        <w:t>委托方</w:t>
      </w:r>
      <w:r>
        <w:rPr>
          <w:rFonts w:hint="eastAsia" w:ascii="仿宋" w:hAnsi="仿宋" w:eastAsia="仿宋" w:cs="仿宋"/>
          <w:color w:val="auto"/>
          <w:sz w:val="28"/>
          <w:szCs w:val="28"/>
          <w:highlight w:val="none"/>
        </w:rPr>
        <w:t>已经支付的款项不予退还；</w:t>
      </w:r>
    </w:p>
    <w:p w14:paraId="0023167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val="en-US" w:eastAsia="zh-CN"/>
        </w:rPr>
        <w:t>委托</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val="en-US" w:eastAsia="zh-CN"/>
        </w:rPr>
        <w:t>按照</w:t>
      </w:r>
      <w:r>
        <w:rPr>
          <w:rFonts w:hint="eastAsia" w:ascii="仿宋" w:hAnsi="仿宋" w:eastAsia="仿宋" w:cs="仿宋"/>
          <w:color w:val="auto"/>
          <w:sz w:val="28"/>
          <w:szCs w:val="28"/>
          <w:highlight w:val="none"/>
        </w:rPr>
        <w:t>合同总价款的20%向</w:t>
      </w:r>
      <w:r>
        <w:rPr>
          <w:rFonts w:hint="eastAsia" w:ascii="仿宋" w:hAnsi="仿宋" w:eastAsia="仿宋" w:cs="仿宋"/>
          <w:color w:val="auto"/>
          <w:sz w:val="28"/>
          <w:szCs w:val="28"/>
          <w:highlight w:val="none"/>
          <w:lang w:val="en-US" w:eastAsia="zh-CN"/>
        </w:rPr>
        <w:t>承接</w:t>
      </w:r>
      <w:r>
        <w:rPr>
          <w:rFonts w:hint="eastAsia" w:ascii="仿宋" w:hAnsi="仿宋" w:eastAsia="仿宋" w:cs="仿宋"/>
          <w:color w:val="auto"/>
          <w:sz w:val="28"/>
          <w:szCs w:val="28"/>
          <w:highlight w:val="none"/>
        </w:rPr>
        <w:t>方支付违约金。违约金不足以赔偿全部损失的，还应赔偿</w:t>
      </w:r>
      <w:r>
        <w:rPr>
          <w:rFonts w:hint="eastAsia" w:ascii="仿宋" w:hAnsi="仿宋" w:eastAsia="仿宋" w:cs="仿宋"/>
          <w:color w:val="auto"/>
          <w:sz w:val="28"/>
          <w:szCs w:val="28"/>
          <w:highlight w:val="none"/>
          <w:lang w:val="en-US" w:eastAsia="zh-CN"/>
        </w:rPr>
        <w:t>承接</w:t>
      </w:r>
      <w:r>
        <w:rPr>
          <w:rFonts w:hint="eastAsia" w:ascii="仿宋" w:hAnsi="仿宋" w:eastAsia="仿宋" w:cs="仿宋"/>
          <w:color w:val="auto"/>
          <w:sz w:val="28"/>
          <w:szCs w:val="28"/>
          <w:highlight w:val="none"/>
        </w:rPr>
        <w:t>方全部损失。</w:t>
      </w:r>
    </w:p>
    <w:p w14:paraId="743DE87B">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9.2承接方责任</w:t>
      </w:r>
    </w:p>
    <w:p w14:paraId="6A9D715B">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9.2.1承接方应按国家规定和合同约定的技术规范、标准进行设计，按本合同第六条规定的内容、时间及份数向委托方交付设计文件（出现9.1.1、9.1.2、9.1.4、9.1.5规定有关交付设计文件顺延的情况除外）。承接方应对提交的设计文件的质量负责，对提交文件出现的遗漏或错误负责修改或补充，若因承接方原因产生的设计问题造成工程质量事故或其他事故时，承接方除负责采取补救措施外，应当向委托方承担赔偿责任。</w:t>
      </w:r>
    </w:p>
    <w:p w14:paraId="5F84CBF3">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9.2.2由于承接方原因，延误了设计文件交付时间，每延误一天，应减收该项目应收设计费的</w:t>
      </w:r>
      <w:r>
        <w:rPr>
          <w:rFonts w:hint="eastAsia" w:ascii="仿宋" w:hAnsi="仿宋" w:eastAsia="仿宋" w:cs="仿宋"/>
          <w:color w:val="auto"/>
          <w:sz w:val="28"/>
          <w:szCs w:val="28"/>
          <w:highlight w:val="none"/>
          <w:lang w:val="en-US" w:eastAsia="zh-CN"/>
        </w:rPr>
        <w:t>万分之二</w:t>
      </w:r>
      <w:r>
        <w:rPr>
          <w:rFonts w:hint="eastAsia" w:ascii="仿宋" w:hAnsi="仿宋" w:eastAsia="仿宋" w:cs="仿宋"/>
          <w:color w:val="auto"/>
          <w:sz w:val="28"/>
          <w:szCs w:val="28"/>
          <w:highlight w:val="none"/>
        </w:rPr>
        <w:t>。</w:t>
      </w:r>
    </w:p>
    <w:p w14:paraId="2178A4A1">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9.2.3合同生效后，承接方</w:t>
      </w:r>
      <w:r>
        <w:rPr>
          <w:rFonts w:hint="eastAsia" w:ascii="仿宋" w:hAnsi="仿宋" w:eastAsia="仿宋" w:cs="仿宋"/>
          <w:color w:val="auto"/>
          <w:sz w:val="28"/>
          <w:szCs w:val="28"/>
          <w:highlight w:val="none"/>
          <w:lang w:val="en-US" w:eastAsia="zh-CN"/>
        </w:rPr>
        <w:t>单方</w:t>
      </w:r>
      <w:r>
        <w:rPr>
          <w:rFonts w:hint="eastAsia" w:ascii="仿宋" w:hAnsi="仿宋" w:eastAsia="仿宋" w:cs="仿宋"/>
          <w:color w:val="auto"/>
          <w:sz w:val="28"/>
          <w:szCs w:val="28"/>
          <w:highlight w:val="none"/>
        </w:rPr>
        <w:t>要求终止或解除合同，承接方应按合同总金额的30%向委托方支付违约金。</w:t>
      </w:r>
    </w:p>
    <w:p w14:paraId="45399FE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9.2.4承接方交付设计文件后，按规定参加有关上级的设计审查，并根据审查结论对不超出原定范围的内容做必要调整补充。承接方按合同规定时限交付设计的文件一年内项目开始施工，承接方负责向委托方及施工单位进行设计交底、处理有关设计问题和参加竣工验收。若一年内项目尚未开始施工，承接方仍负责上述工作，</w:t>
      </w:r>
      <w:r>
        <w:rPr>
          <w:rFonts w:hint="eastAsia" w:ascii="仿宋" w:hAnsi="仿宋" w:eastAsia="仿宋" w:cs="仿宋"/>
          <w:color w:val="auto"/>
          <w:sz w:val="28"/>
          <w:szCs w:val="28"/>
          <w:highlight w:val="none"/>
          <w:lang w:val="en-US" w:eastAsia="zh-CN"/>
        </w:rPr>
        <w:t>并有权</w:t>
      </w:r>
      <w:r>
        <w:rPr>
          <w:rFonts w:hint="eastAsia" w:ascii="仿宋" w:hAnsi="仿宋" w:eastAsia="仿宋" w:cs="仿宋"/>
          <w:color w:val="auto"/>
          <w:sz w:val="28"/>
          <w:szCs w:val="28"/>
          <w:highlight w:val="none"/>
        </w:rPr>
        <w:t>按所需工作量向委托方收取咨询服务费，收费额由双方商定。</w:t>
      </w:r>
    </w:p>
    <w:p w14:paraId="2D22E1FE">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第十条</w:t>
      </w:r>
      <w:r>
        <w:rPr>
          <w:rFonts w:hint="eastAsia" w:ascii="仿宋" w:hAnsi="仿宋" w:eastAsia="仿宋" w:cs="仿宋"/>
          <w:color w:val="auto"/>
          <w:sz w:val="28"/>
          <w:szCs w:val="28"/>
          <w:highlight w:val="none"/>
        </w:rPr>
        <w:t xml:space="preserve">  保密</w:t>
      </w:r>
    </w:p>
    <w:p w14:paraId="2F1A7C02">
      <w:pPr>
        <w:pStyle w:val="28"/>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9908496">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第十一条</w:t>
      </w:r>
      <w:r>
        <w:rPr>
          <w:rFonts w:hint="eastAsia" w:ascii="仿宋" w:hAnsi="仿宋" w:eastAsia="仿宋" w:cs="仿宋"/>
          <w:color w:val="auto"/>
          <w:sz w:val="28"/>
          <w:szCs w:val="28"/>
          <w:highlight w:val="none"/>
        </w:rPr>
        <w:t xml:space="preserve">  争议解决</w:t>
      </w:r>
    </w:p>
    <w:p w14:paraId="06ED7E0C">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本合同在履行过程中发生争议，委托方与承接方应及时协商解决。也可由当地建设行政主管部门调解，调解不成时，双方当事人可向</w:t>
      </w:r>
      <w:r>
        <w:rPr>
          <w:rFonts w:hint="eastAsia" w:ascii="仿宋" w:hAnsi="仿宋" w:eastAsia="仿宋" w:cs="仿宋"/>
          <w:color w:val="auto"/>
          <w:sz w:val="28"/>
          <w:szCs w:val="28"/>
          <w:highlight w:val="none"/>
          <w:u w:val="single"/>
        </w:rPr>
        <w:t>项目所在地</w:t>
      </w:r>
      <w:r>
        <w:rPr>
          <w:rFonts w:hint="eastAsia" w:ascii="仿宋" w:hAnsi="仿宋" w:eastAsia="仿宋" w:cs="仿宋"/>
          <w:color w:val="auto"/>
          <w:sz w:val="28"/>
          <w:szCs w:val="28"/>
          <w:highlight w:val="none"/>
        </w:rPr>
        <w:t>人民法院提起诉讼。</w:t>
      </w:r>
    </w:p>
    <w:p w14:paraId="2739F9D6">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第十二条</w:t>
      </w:r>
      <w:r>
        <w:rPr>
          <w:rFonts w:hint="eastAsia" w:ascii="仿宋" w:hAnsi="仿宋" w:eastAsia="仿宋" w:cs="仿宋"/>
          <w:color w:val="auto"/>
          <w:sz w:val="28"/>
          <w:szCs w:val="28"/>
          <w:highlight w:val="none"/>
        </w:rPr>
        <w:t xml:space="preserve">  合同生效及其他</w:t>
      </w:r>
    </w:p>
    <w:p w14:paraId="4CA756F0">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12.1本工程项目中，承接方不得指定建筑材料、设备的生产厂或供货商。委托方需要承接方配合建筑材料、设备的加工订货时，所需费用由委托方承担。</w:t>
      </w:r>
    </w:p>
    <w:p w14:paraId="42624B08">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委托方委托承接方承担本合同内容以外的工作服务，另行签订协议并支付费用。</w:t>
      </w:r>
    </w:p>
    <w:p w14:paraId="083D1C7A">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由于不可抗力因素致使合同无法履行时，双方应及时协商解决。</w:t>
      </w:r>
    </w:p>
    <w:p w14:paraId="07C8CAC6">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本合同双方签字盖章即生效，一式</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rPr>
        <w:t>份，委托方</w:t>
      </w:r>
      <w:r>
        <w:rPr>
          <w:rFonts w:hint="eastAsia" w:ascii="仿宋" w:hAnsi="仿宋" w:eastAsia="仿宋" w:cs="仿宋"/>
          <w:color w:val="auto"/>
          <w:sz w:val="28"/>
          <w:szCs w:val="28"/>
          <w:highlight w:val="none"/>
          <w:lang w:val="en-US" w:eastAsia="zh-CN"/>
        </w:rPr>
        <w:t>执</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rPr>
        <w:t>份，承接方</w:t>
      </w:r>
      <w:r>
        <w:rPr>
          <w:rFonts w:hint="eastAsia" w:ascii="仿宋" w:hAnsi="仿宋" w:eastAsia="仿宋" w:cs="仿宋"/>
          <w:color w:val="auto"/>
          <w:sz w:val="28"/>
          <w:szCs w:val="28"/>
          <w:highlight w:val="none"/>
          <w:lang w:val="en-US" w:eastAsia="zh-CN"/>
        </w:rPr>
        <w:t>执</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rPr>
        <w:t>份。</w:t>
      </w:r>
    </w:p>
    <w:p w14:paraId="1E4828AF">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双方认可的来往传真、电报、会议纪要等，均为合同的组成部分，与本合同具有同等法律效力。</w:t>
      </w:r>
    </w:p>
    <w:p w14:paraId="1504160F">
      <w:pPr>
        <w:spacing w:line="360" w:lineRule="auto"/>
        <w:ind w:firstLine="55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 未尽事宜，经双方协商一致，签订补充协议，补充协议与本合同具有同等效力。</w:t>
      </w:r>
    </w:p>
    <w:p w14:paraId="1422E62D">
      <w:pPr>
        <w:spacing w:line="360" w:lineRule="auto"/>
        <w:ind w:firstLine="555"/>
        <w:rPr>
          <w:rFonts w:hint="eastAsia" w:ascii="仿宋" w:hAnsi="仿宋" w:eastAsia="仿宋" w:cs="仿宋"/>
          <w:sz w:val="24"/>
          <w:szCs w:val="24"/>
          <w:highlight w:val="none"/>
        </w:rPr>
      </w:pPr>
    </w:p>
    <w:p w14:paraId="475AF6BA">
      <w:pPr>
        <w:spacing w:line="360" w:lineRule="auto"/>
        <w:ind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（以下无正文）</w:t>
      </w:r>
    </w:p>
    <w:p w14:paraId="6ED8E325">
      <w:pPr>
        <w:spacing w:line="360" w:lineRule="auto"/>
        <w:ind w:firstLine="555"/>
        <w:rPr>
          <w:rFonts w:hint="eastAsia" w:ascii="仿宋" w:hAnsi="仿宋" w:eastAsia="仿宋" w:cs="仿宋"/>
          <w:sz w:val="24"/>
          <w:szCs w:val="24"/>
          <w:highlight w:val="none"/>
        </w:rPr>
        <w:sectPr>
          <w:footerReference r:id="rId13" w:type="default"/>
          <w:pgSz w:w="11907" w:h="16840"/>
          <w:pgMar w:top="1440" w:right="1540" w:bottom="1440" w:left="1160" w:header="851" w:footer="992" w:gutter="567"/>
          <w:pgNumType w:fmt="decimal"/>
          <w:cols w:space="720" w:num="1"/>
          <w:docGrid w:linePitch="312" w:charSpace="0"/>
        </w:sectPr>
      </w:pPr>
    </w:p>
    <w:tbl>
      <w:tblPr>
        <w:tblStyle w:val="44"/>
        <w:tblW w:w="9284" w:type="dxa"/>
        <w:tblInd w:w="0" w:type="dxa"/>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Layout w:type="fixed"/>
        <w:tblCellMar>
          <w:top w:w="0" w:type="dxa"/>
          <w:left w:w="108" w:type="dxa"/>
          <w:bottom w:w="0" w:type="dxa"/>
          <w:right w:w="108" w:type="dxa"/>
        </w:tblCellMar>
      </w:tblPr>
      <w:tblGrid>
        <w:gridCol w:w="4604"/>
        <w:gridCol w:w="4680"/>
      </w:tblGrid>
      <w:tr w14:paraId="440D68EE">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831" w:hRule="atLeast"/>
        </w:trPr>
        <w:tc>
          <w:tcPr>
            <w:tcW w:w="4604" w:type="dxa"/>
            <w:noWrap w:val="0"/>
            <w:vAlign w:val="center"/>
          </w:tcPr>
          <w:p w14:paraId="4B7DEA2E">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发包人（甲方）名称：</w:t>
            </w:r>
          </w:p>
          <w:p w14:paraId="46559AD8">
            <w:pPr>
              <w:pStyle w:val="169"/>
              <w:spacing w:before="0" w:beforeLines="0" w:after="0" w:afterLines="0" w:line="240" w:lineRule="auto"/>
              <w:ind w:firstLine="0"/>
              <w:rPr>
                <w:rFonts w:hint="eastAsia" w:ascii="仿宋" w:hAnsi="仿宋" w:eastAsia="仿宋" w:cs="仿宋"/>
                <w:sz w:val="24"/>
                <w:szCs w:val="24"/>
                <w:highlight w:val="none"/>
                <w:lang w:val="en-US" w:eastAsia="zh-CN"/>
              </w:rPr>
            </w:pPr>
          </w:p>
        </w:tc>
        <w:tc>
          <w:tcPr>
            <w:tcW w:w="4680" w:type="dxa"/>
            <w:noWrap w:val="0"/>
            <w:vAlign w:val="center"/>
          </w:tcPr>
          <w:p w14:paraId="184A04B2">
            <w:pPr>
              <w:rPr>
                <w:rFonts w:hint="eastAsia" w:ascii="仿宋" w:hAnsi="仿宋" w:eastAsia="仿宋" w:cs="仿宋"/>
                <w:sz w:val="24"/>
                <w:szCs w:val="24"/>
                <w:highlight w:val="none"/>
              </w:rPr>
            </w:pPr>
            <w:r>
              <w:rPr>
                <w:rFonts w:hint="eastAsia" w:ascii="仿宋" w:hAnsi="仿宋" w:eastAsia="仿宋" w:cs="仿宋"/>
                <w:sz w:val="24"/>
                <w:szCs w:val="24"/>
                <w:highlight w:val="none"/>
              </w:rPr>
              <w:t>设计人（乙方）名称：</w:t>
            </w:r>
          </w:p>
          <w:p w14:paraId="7D73CA5D">
            <w:pPr>
              <w:rPr>
                <w:rFonts w:hint="eastAsia" w:ascii="仿宋" w:hAnsi="仿宋" w:eastAsia="仿宋" w:cs="仿宋"/>
                <w:sz w:val="24"/>
                <w:szCs w:val="24"/>
                <w:highlight w:val="none"/>
              </w:rPr>
            </w:pPr>
          </w:p>
        </w:tc>
      </w:tr>
      <w:tr w14:paraId="225A349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4D3289D0">
            <w:pP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法定代表人或代理人（签字或盖章）：</w:t>
            </w:r>
          </w:p>
        </w:tc>
        <w:tc>
          <w:tcPr>
            <w:tcW w:w="4680" w:type="dxa"/>
            <w:noWrap w:val="0"/>
            <w:vAlign w:val="center"/>
          </w:tcPr>
          <w:p w14:paraId="22FF873A">
            <w:pP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法定代表人或代理人（签字或盖章）：</w:t>
            </w:r>
          </w:p>
        </w:tc>
      </w:tr>
      <w:tr w14:paraId="0D8A7C17">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28C0B64D">
            <w:pP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4680" w:type="dxa"/>
            <w:noWrap w:val="0"/>
            <w:vAlign w:val="center"/>
          </w:tcPr>
          <w:p w14:paraId="259071F9">
            <w:pPr>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r>
      <w:tr w14:paraId="4FAFCD2B">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2B937449">
            <w:pPr>
              <w:pStyle w:val="169"/>
              <w:spacing w:before="0" w:beforeLines="0" w:after="0" w:afterLines="0" w:line="24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公文、函件指定通讯地址：</w:t>
            </w:r>
          </w:p>
        </w:tc>
        <w:tc>
          <w:tcPr>
            <w:tcW w:w="4680" w:type="dxa"/>
            <w:noWrap w:val="0"/>
            <w:vAlign w:val="center"/>
          </w:tcPr>
          <w:p w14:paraId="20C534D2">
            <w:pPr>
              <w:widowControl/>
              <w:rPr>
                <w:rFonts w:hint="eastAsia" w:ascii="仿宋" w:hAnsi="仿宋" w:eastAsia="仿宋" w:cs="仿宋"/>
                <w:sz w:val="24"/>
                <w:szCs w:val="24"/>
                <w:highlight w:val="none"/>
              </w:rPr>
            </w:pPr>
            <w:r>
              <w:rPr>
                <w:rFonts w:hint="eastAsia" w:ascii="仿宋" w:hAnsi="仿宋" w:eastAsia="仿宋" w:cs="仿宋"/>
                <w:sz w:val="24"/>
                <w:szCs w:val="24"/>
                <w:highlight w:val="none"/>
              </w:rPr>
              <w:t>公文、函件指定通讯地址：</w:t>
            </w:r>
          </w:p>
        </w:tc>
      </w:tr>
      <w:tr w14:paraId="4CBA16E9">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0A0D62B8">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邮编：</w:t>
            </w:r>
          </w:p>
        </w:tc>
        <w:tc>
          <w:tcPr>
            <w:tcW w:w="4680" w:type="dxa"/>
            <w:noWrap w:val="0"/>
            <w:vAlign w:val="center"/>
          </w:tcPr>
          <w:p w14:paraId="32A922A2">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邮编：</w:t>
            </w:r>
          </w:p>
        </w:tc>
      </w:tr>
      <w:tr w14:paraId="4AB2AF77">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376745B2">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4680" w:type="dxa"/>
            <w:noWrap w:val="0"/>
            <w:vAlign w:val="center"/>
          </w:tcPr>
          <w:p w14:paraId="2B2EB7D2">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r>
      <w:tr w14:paraId="0D6BD80A">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392E2BDD">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4680" w:type="dxa"/>
            <w:noWrap w:val="0"/>
            <w:vAlign w:val="center"/>
          </w:tcPr>
          <w:p w14:paraId="34040685">
            <w:pPr>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r>
      <w:tr w14:paraId="14BFDE34">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3C1AC54E">
            <w:pPr>
              <w:pStyle w:val="169"/>
              <w:spacing w:before="0" w:beforeLines="0" w:after="0" w:afterLines="0"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4680" w:type="dxa"/>
            <w:noWrap w:val="0"/>
            <w:vAlign w:val="center"/>
          </w:tcPr>
          <w:p w14:paraId="10A1C874">
            <w:pPr>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r>
      <w:tr w14:paraId="3D6B3966">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411C3083">
            <w:pP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680" w:type="dxa"/>
            <w:noWrap w:val="0"/>
            <w:vAlign w:val="center"/>
          </w:tcPr>
          <w:p w14:paraId="5B057A1B">
            <w:pPr>
              <w:widowControl/>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r>
      <w:tr w14:paraId="55107FFD">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tblCellMar>
            <w:top w:w="0" w:type="dxa"/>
            <w:left w:w="108" w:type="dxa"/>
            <w:bottom w:w="0" w:type="dxa"/>
            <w:right w:w="108" w:type="dxa"/>
          </w:tblCellMar>
        </w:tblPrEx>
        <w:trPr>
          <w:trHeight w:val="680" w:hRule="atLeast"/>
        </w:trPr>
        <w:tc>
          <w:tcPr>
            <w:tcW w:w="4604" w:type="dxa"/>
            <w:noWrap w:val="0"/>
            <w:vAlign w:val="center"/>
          </w:tcPr>
          <w:p w14:paraId="51939F87">
            <w:pPr>
              <w:rPr>
                <w:rFonts w:hint="eastAsia" w:ascii="仿宋" w:hAnsi="仿宋" w:eastAsia="仿宋" w:cs="仿宋"/>
                <w:sz w:val="24"/>
                <w:szCs w:val="24"/>
                <w:highlight w:val="none"/>
              </w:rPr>
            </w:pPr>
            <w:r>
              <w:rPr>
                <w:rFonts w:hint="eastAsia" w:ascii="仿宋" w:hAnsi="仿宋" w:eastAsia="仿宋" w:cs="仿宋"/>
                <w:sz w:val="24"/>
                <w:szCs w:val="24"/>
                <w:highlight w:val="none"/>
              </w:rPr>
              <w:t>银行账户：</w:t>
            </w:r>
          </w:p>
        </w:tc>
        <w:tc>
          <w:tcPr>
            <w:tcW w:w="4680" w:type="dxa"/>
            <w:noWrap w:val="0"/>
            <w:vAlign w:val="center"/>
          </w:tcPr>
          <w:p w14:paraId="03F25DA4">
            <w:pPr>
              <w:widowControl/>
              <w:rPr>
                <w:rFonts w:hint="eastAsia" w:ascii="仿宋" w:hAnsi="仿宋" w:eastAsia="仿宋" w:cs="仿宋"/>
                <w:sz w:val="24"/>
                <w:szCs w:val="24"/>
                <w:highlight w:val="none"/>
              </w:rPr>
            </w:pPr>
            <w:r>
              <w:rPr>
                <w:rFonts w:hint="eastAsia" w:ascii="仿宋" w:hAnsi="仿宋" w:eastAsia="仿宋" w:cs="仿宋"/>
                <w:sz w:val="24"/>
                <w:szCs w:val="24"/>
                <w:highlight w:val="none"/>
              </w:rPr>
              <w:t>银行账户：</w:t>
            </w:r>
          </w:p>
        </w:tc>
      </w:tr>
    </w:tbl>
    <w:p w14:paraId="07570139">
      <w:pPr>
        <w:spacing w:line="360" w:lineRule="auto"/>
        <w:ind w:right="456"/>
        <w:rPr>
          <w:rFonts w:hint="eastAsia" w:ascii="宋体" w:hAnsi="宋体" w:eastAsia="宋体" w:cs="宋体"/>
          <w:b/>
          <w:bCs/>
          <w:sz w:val="30"/>
          <w:szCs w:val="30"/>
          <w:highlight w:val="none"/>
        </w:rPr>
      </w:pPr>
    </w:p>
    <w:p w14:paraId="4A3CFA2F">
      <w:pPr>
        <w:spacing w:line="560" w:lineRule="exact"/>
        <w:rPr>
          <w:rFonts w:hint="eastAsia" w:ascii="仿宋" w:hAnsi="仿宋" w:eastAsia="仿宋" w:cs="仿宋"/>
          <w:b/>
          <w:color w:val="auto"/>
          <w:highlight w:val="none"/>
        </w:rPr>
      </w:pPr>
    </w:p>
    <w:p w14:paraId="294F03BB">
      <w:pPr>
        <w:spacing w:line="560" w:lineRule="exact"/>
        <w:jc w:val="center"/>
        <w:outlineLvl w:val="0"/>
        <w:rPr>
          <w:rStyle w:val="48"/>
          <w:rFonts w:hint="eastAsia" w:ascii="方正小标宋简体" w:hAnsi="方正小标宋简体" w:eastAsia="方正小标宋简体" w:cs="方正小标宋简体"/>
          <w:b w:val="0"/>
          <w:bCs w:val="0"/>
          <w:color w:val="auto"/>
          <w:sz w:val="36"/>
          <w:szCs w:val="36"/>
          <w:highlight w:val="none"/>
          <w:shd w:val="clear" w:color="auto" w:fill="FFFFFF"/>
        </w:rPr>
      </w:pPr>
      <w:r>
        <w:rPr>
          <w:rFonts w:hint="eastAsia" w:ascii="仿宋" w:hAnsi="仿宋" w:eastAsia="仿宋" w:cs="仿宋"/>
          <w:color w:val="auto"/>
          <w:highlight w:val="none"/>
        </w:rPr>
        <w:br w:type="page"/>
      </w:r>
      <w:bookmarkEnd w:id="30"/>
      <w:bookmarkStart w:id="34" w:name="_Toc18078"/>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第五章  评审办法</w:t>
      </w:r>
      <w:bookmarkEnd w:id="34"/>
    </w:p>
    <w:p w14:paraId="09738DCF">
      <w:pPr>
        <w:pStyle w:val="19"/>
        <w:spacing w:after="0" w:line="560" w:lineRule="exact"/>
        <w:ind w:firstLine="630" w:firstLineChars="225"/>
        <w:jc w:val="both"/>
        <w:rPr>
          <w:rFonts w:hint="eastAsia" w:ascii="仿宋" w:hAnsi="仿宋" w:eastAsia="仿宋" w:cs="仿宋"/>
          <w:color w:val="auto"/>
          <w:highlight w:val="none"/>
        </w:rPr>
      </w:pPr>
      <w:r>
        <w:rPr>
          <w:rFonts w:hint="eastAsia" w:ascii="仿宋" w:hAnsi="仿宋" w:eastAsia="仿宋" w:cs="仿宋"/>
          <w:color w:val="auto"/>
          <w:highlight w:val="none"/>
        </w:rPr>
        <w:t>采购代理机构负责组织评审工作。资格审查由采购人或者采购代理机构负责，评审工作由磋商小组负责。工作程序如下：</w:t>
      </w:r>
    </w:p>
    <w:p w14:paraId="3394144F">
      <w:pPr>
        <w:snapToGrid w:val="0"/>
        <w:spacing w:line="560" w:lineRule="exact"/>
        <w:ind w:firstLine="56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1.资格审查；</w:t>
      </w:r>
    </w:p>
    <w:p w14:paraId="39361FD5">
      <w:pPr>
        <w:snapToGrid w:val="0"/>
        <w:spacing w:line="560" w:lineRule="exact"/>
        <w:ind w:firstLine="56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2.符合性审查；</w:t>
      </w:r>
    </w:p>
    <w:p w14:paraId="38693AC9">
      <w:pPr>
        <w:snapToGrid w:val="0"/>
        <w:spacing w:line="560" w:lineRule="exact"/>
        <w:ind w:firstLine="56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3.必要时的响应文件澄清；</w:t>
      </w:r>
    </w:p>
    <w:p w14:paraId="5C339977">
      <w:pPr>
        <w:snapToGrid w:val="0"/>
        <w:spacing w:line="560" w:lineRule="exact"/>
        <w:ind w:firstLine="56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4.磋商；</w:t>
      </w:r>
    </w:p>
    <w:p w14:paraId="18FE01A9">
      <w:pPr>
        <w:snapToGrid w:val="0"/>
        <w:spacing w:line="560" w:lineRule="exact"/>
        <w:ind w:firstLine="56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5.响应文件的比较、评审；</w:t>
      </w:r>
    </w:p>
    <w:p w14:paraId="23AACC32">
      <w:pPr>
        <w:snapToGrid w:val="0"/>
        <w:spacing w:line="560" w:lineRule="exact"/>
        <w:ind w:firstLine="56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6.按照评审办法推荐</w:t>
      </w:r>
      <w:r>
        <w:rPr>
          <w:rFonts w:hint="eastAsia" w:ascii="仿宋" w:hAnsi="仿宋" w:eastAsia="仿宋"/>
          <w:b/>
          <w:bCs/>
          <w:color w:val="auto"/>
          <w:highlight w:val="none"/>
        </w:rPr>
        <w:t>成交</w:t>
      </w:r>
      <w:r>
        <w:rPr>
          <w:rFonts w:hint="eastAsia" w:ascii="仿宋" w:hAnsi="仿宋" w:eastAsia="仿宋" w:cs="仿宋"/>
          <w:b/>
          <w:bCs/>
          <w:color w:val="auto"/>
          <w:highlight w:val="none"/>
        </w:rPr>
        <w:t>候选人。</w:t>
      </w:r>
    </w:p>
    <w:p w14:paraId="646EB0F3">
      <w:pPr>
        <w:pStyle w:val="19"/>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firstLine="56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一、资格审查</w:t>
      </w:r>
    </w:p>
    <w:p w14:paraId="70624080">
      <w:pPr>
        <w:pStyle w:val="19"/>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磋商会议</w:t>
      </w:r>
      <w:r>
        <w:rPr>
          <w:rFonts w:hint="eastAsia" w:ascii="仿宋" w:hAnsi="仿宋" w:eastAsia="仿宋" w:cs="仿宋"/>
          <w:color w:val="auto"/>
          <w:sz w:val="28"/>
          <w:szCs w:val="28"/>
          <w:highlight w:val="none"/>
          <w:lang w:eastAsia="zh-CN"/>
        </w:rPr>
        <w:t>结束后，由采购人或者采购代理机构按照有关规定，对</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文件中的供应商资格证明文件进行审查，并对供应商信用记录进行核查。</w:t>
      </w:r>
    </w:p>
    <w:p w14:paraId="5CBCDD1A">
      <w:pPr>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firstLine="560"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供应商提供的资格证明文件缺少任何一项或有任何一项不满足，都将被视为无效响应。供应商所提供的资格证明文件应图文清晰、易于辨识，否则由此带来的不利后果由供应商自行承担。</w:t>
      </w:r>
    </w:p>
    <w:p w14:paraId="5EE9659D">
      <w:pPr>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firstLine="560"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资格审查结束后，资格审查小组成员应当对审查结果进行签字确认；对未通过资格审查的供应商，资格审查小组应当场告知其未通过的原因。</w:t>
      </w:r>
    </w:p>
    <w:p w14:paraId="66859221">
      <w:pPr>
        <w:keepNext w:val="0"/>
        <w:keepLines w:val="0"/>
        <w:pageBreakBefore w:val="0"/>
        <w:widowControl w:val="0"/>
        <w:kinsoku/>
        <w:wordWrap/>
        <w:overflowPunct/>
        <w:topLinePunct w:val="0"/>
        <w:autoSpaceDE w:val="0"/>
        <w:autoSpaceDN w:val="0"/>
        <w:bidi w:val="0"/>
        <w:adjustRightInd w:val="0"/>
        <w:snapToGrid/>
        <w:spacing w:after="0" w:afterLines="0" w:line="560" w:lineRule="exact"/>
        <w:ind w:left="0" w:leftChars="0" w:right="0" w:firstLine="560" w:firstLineChars="200"/>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合格供应商不足3家的，不得评标。</w:t>
      </w:r>
    </w:p>
    <w:p w14:paraId="059BBDFE">
      <w:pPr>
        <w:rPr>
          <w:rFonts w:hint="eastAsia"/>
          <w:color w:val="auto"/>
          <w:highlight w:val="none"/>
          <w:lang w:eastAsia="zh-CN"/>
        </w:rPr>
      </w:pPr>
    </w:p>
    <w:p w14:paraId="7CAAACF0">
      <w:pPr>
        <w:rPr>
          <w:rFonts w:hint="eastAsia" w:ascii="仿宋" w:hAnsi="仿宋" w:eastAsia="仿宋" w:cs="仿宋"/>
          <w:color w:val="auto"/>
          <w:highlight w:val="none"/>
        </w:rPr>
      </w:pPr>
    </w:p>
    <w:p w14:paraId="35B85684">
      <w:pPr>
        <w:keepNext/>
        <w:keepLines w:val="0"/>
        <w:pageBreakBefore w:val="0"/>
        <w:widowControl w:val="0"/>
        <w:kinsoku/>
        <w:wordWrap/>
        <w:overflowPunct/>
        <w:topLinePunct w:val="0"/>
        <w:bidi w:val="0"/>
        <w:snapToGrid/>
        <w:spacing w:line="560" w:lineRule="exact"/>
        <w:jc w:val="center"/>
        <w:textAlignment w:val="auto"/>
        <w:outlineLvl w:val="2"/>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资格性审查表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2427"/>
        <w:gridCol w:w="6319"/>
      </w:tblGrid>
      <w:tr w14:paraId="68F283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jc w:val="center"/>
        </w:trPr>
        <w:tc>
          <w:tcPr>
            <w:tcW w:w="795" w:type="dxa"/>
            <w:tcBorders>
              <w:top w:val="single" w:color="auto" w:sz="12" w:space="0"/>
              <w:bottom w:val="single" w:color="auto" w:sz="2" w:space="0"/>
            </w:tcBorders>
            <w:shd w:val="clear" w:color="auto" w:fill="F1F1F1"/>
            <w:noWrap w:val="0"/>
            <w:vAlign w:val="center"/>
          </w:tcPr>
          <w:p w14:paraId="61F24470">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427" w:type="dxa"/>
            <w:tcBorders>
              <w:top w:val="single" w:color="auto" w:sz="12" w:space="0"/>
              <w:bottom w:val="single" w:color="auto" w:sz="2" w:space="0"/>
            </w:tcBorders>
            <w:shd w:val="clear" w:color="auto" w:fill="F1F1F1"/>
            <w:noWrap w:val="0"/>
            <w:vAlign w:val="center"/>
          </w:tcPr>
          <w:p w14:paraId="6FD90ADE">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资格项</w:t>
            </w:r>
          </w:p>
        </w:tc>
        <w:tc>
          <w:tcPr>
            <w:tcW w:w="6319" w:type="dxa"/>
            <w:tcBorders>
              <w:top w:val="single" w:color="auto" w:sz="12" w:space="0"/>
              <w:bottom w:val="single" w:color="auto" w:sz="2" w:space="0"/>
            </w:tcBorders>
            <w:shd w:val="clear" w:color="auto" w:fill="F1F1F1"/>
            <w:noWrap w:val="0"/>
            <w:vAlign w:val="center"/>
          </w:tcPr>
          <w:p w14:paraId="13BC2F92">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评审标准</w:t>
            </w:r>
          </w:p>
        </w:tc>
      </w:tr>
      <w:tr w14:paraId="4F87DD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95" w:type="dxa"/>
            <w:noWrap w:val="0"/>
            <w:vAlign w:val="center"/>
          </w:tcPr>
          <w:p w14:paraId="246DB7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w:t>
            </w:r>
          </w:p>
        </w:tc>
        <w:tc>
          <w:tcPr>
            <w:tcW w:w="2427" w:type="dxa"/>
            <w:noWrap w:val="0"/>
            <w:vAlign w:val="center"/>
          </w:tcPr>
          <w:p w14:paraId="554BBF3B">
            <w:pPr>
              <w:keepNext w:val="0"/>
              <w:keepLines w:val="0"/>
              <w:pageBreakBefore w:val="0"/>
              <w:widowControl w:val="0"/>
              <w:kinsoku/>
              <w:wordWrap/>
              <w:bidi w:val="0"/>
              <w:snapToGrid/>
              <w:spacing w:line="480" w:lineRule="exact"/>
              <w:jc w:val="center"/>
              <w:textAlignment w:val="auto"/>
              <w:rPr>
                <w:rFonts w:hint="eastAsia" w:ascii="仿宋" w:hAnsi="仿宋" w:eastAsia="仿宋" w:cs="仿宋"/>
                <w:bCs/>
                <w:color w:val="auto"/>
                <w:sz w:val="28"/>
                <w:szCs w:val="40"/>
                <w:highlight w:val="none"/>
                <w:lang w:val="en-US" w:eastAsia="zh-CN" w:bidi="ar-SA"/>
              </w:rPr>
            </w:pPr>
            <w:r>
              <w:rPr>
                <w:rFonts w:hint="eastAsia" w:ascii="仿宋" w:hAnsi="仿宋" w:eastAsia="仿宋" w:cs="仿宋"/>
                <w:color w:val="auto"/>
                <w:sz w:val="28"/>
                <w:szCs w:val="28"/>
                <w:highlight w:val="none"/>
              </w:rPr>
              <w:t>具有独立承担民事责任的能力</w:t>
            </w:r>
          </w:p>
        </w:tc>
        <w:tc>
          <w:tcPr>
            <w:tcW w:w="6319" w:type="dxa"/>
            <w:noWrap w:val="0"/>
            <w:vAlign w:val="center"/>
          </w:tcPr>
          <w:p w14:paraId="41A602F0">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具有独立承担民事责任能力的法人、其他组织或自然人，并出具合法有效的营业执照或事业单位法人证书等国家规定的相关证明，自然人参与的提供其身份证明。</w:t>
            </w:r>
          </w:p>
          <w:p w14:paraId="671E0BE7">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评审依据：</w:t>
            </w:r>
            <w:r>
              <w:rPr>
                <w:rFonts w:hint="eastAsia" w:ascii="仿宋" w:hAnsi="仿宋" w:eastAsia="仿宋" w:cs="仿宋"/>
                <w:color w:val="auto"/>
                <w:sz w:val="28"/>
                <w:szCs w:val="28"/>
                <w:highlight w:val="none"/>
                <w:lang w:val="en-US" w:eastAsia="zh-CN"/>
              </w:rPr>
              <w:t>响应文件中</w:t>
            </w:r>
            <w:r>
              <w:rPr>
                <w:rFonts w:hint="eastAsia" w:ascii="仿宋" w:hAnsi="仿宋" w:eastAsia="仿宋" w:cs="仿宋"/>
                <w:color w:val="auto"/>
                <w:sz w:val="28"/>
                <w:szCs w:val="28"/>
                <w:highlight w:val="none"/>
              </w:rPr>
              <w:t>相关证明材料复印件加盖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tc>
      </w:tr>
      <w:tr w14:paraId="56B578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95" w:type="dxa"/>
            <w:noWrap w:val="0"/>
            <w:vAlign w:val="center"/>
          </w:tcPr>
          <w:p w14:paraId="6F228A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w:t>
            </w:r>
          </w:p>
        </w:tc>
        <w:tc>
          <w:tcPr>
            <w:tcW w:w="2427" w:type="dxa"/>
            <w:noWrap w:val="0"/>
            <w:vAlign w:val="center"/>
          </w:tcPr>
          <w:p w14:paraId="39235E4D">
            <w:pPr>
              <w:keepNext w:val="0"/>
              <w:keepLines w:val="0"/>
              <w:pageBreakBefore w:val="0"/>
              <w:widowControl w:val="0"/>
              <w:kinsoku/>
              <w:wordWrap/>
              <w:bidi w:val="0"/>
              <w:snapToGrid/>
              <w:spacing w:line="480" w:lineRule="exact"/>
              <w:jc w:val="center"/>
              <w:textAlignment w:val="auto"/>
              <w:rPr>
                <w:rFonts w:hint="eastAsia" w:ascii="仿宋" w:hAnsi="仿宋" w:eastAsia="仿宋" w:cs="仿宋"/>
                <w:bCs/>
                <w:color w:val="auto"/>
                <w:sz w:val="28"/>
                <w:szCs w:val="40"/>
                <w:highlight w:val="none"/>
                <w:lang w:val="en-US" w:eastAsia="zh-CN" w:bidi="ar-SA"/>
              </w:rPr>
            </w:pPr>
            <w:r>
              <w:rPr>
                <w:rFonts w:hint="eastAsia" w:ascii="仿宋" w:hAnsi="仿宋" w:eastAsia="仿宋" w:cs="仿宋"/>
                <w:color w:val="auto"/>
                <w:sz w:val="28"/>
                <w:szCs w:val="28"/>
                <w:highlight w:val="none"/>
              </w:rPr>
              <w:t>具有良好的商业信誉和健全的财务会计制度</w:t>
            </w:r>
          </w:p>
        </w:tc>
        <w:tc>
          <w:tcPr>
            <w:tcW w:w="6319" w:type="dxa"/>
            <w:noWrap w:val="0"/>
            <w:vAlign w:val="center"/>
          </w:tcPr>
          <w:p w14:paraId="63838614">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提供2023年或2024年完整的财务审计报告（审计报告需上传至注册会计师行业统一监管平台并申请赋码），或</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截止时间前六个月内公司基本账户开户银行出具的资信证明（附基本存款账户信息），其他组织和自然人提供银行出具的资信证明</w:t>
            </w:r>
            <w:r>
              <w:rPr>
                <w:rFonts w:hint="eastAsia" w:ascii="仿宋" w:hAnsi="仿宋" w:eastAsia="仿宋" w:cs="仿宋"/>
                <w:color w:val="auto"/>
                <w:sz w:val="28"/>
                <w:szCs w:val="28"/>
                <w:highlight w:val="none"/>
              </w:rPr>
              <w:t>。</w:t>
            </w:r>
          </w:p>
          <w:p w14:paraId="06F8CA0C">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评审依据：</w:t>
            </w:r>
            <w:r>
              <w:rPr>
                <w:rFonts w:hint="eastAsia" w:ascii="仿宋" w:hAnsi="仿宋" w:eastAsia="仿宋" w:cs="仿宋"/>
                <w:color w:val="auto"/>
                <w:sz w:val="28"/>
                <w:szCs w:val="28"/>
                <w:highlight w:val="none"/>
                <w:lang w:val="en-US" w:eastAsia="zh-CN"/>
              </w:rPr>
              <w:t>响应文件中</w:t>
            </w:r>
            <w:r>
              <w:rPr>
                <w:rFonts w:hint="eastAsia" w:ascii="仿宋" w:hAnsi="仿宋" w:eastAsia="仿宋" w:cs="仿宋"/>
                <w:color w:val="auto"/>
                <w:sz w:val="28"/>
                <w:szCs w:val="28"/>
                <w:highlight w:val="none"/>
              </w:rPr>
              <w:t>相关证明材料复印件加盖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tc>
      </w:tr>
      <w:tr w14:paraId="20882E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0" w:hRule="atLeast"/>
          <w:jc w:val="center"/>
        </w:trPr>
        <w:tc>
          <w:tcPr>
            <w:tcW w:w="795" w:type="dxa"/>
            <w:noWrap w:val="0"/>
            <w:vAlign w:val="center"/>
          </w:tcPr>
          <w:p w14:paraId="779D31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w:t>
            </w:r>
          </w:p>
        </w:tc>
        <w:tc>
          <w:tcPr>
            <w:tcW w:w="2427" w:type="dxa"/>
            <w:noWrap w:val="0"/>
            <w:vAlign w:val="center"/>
          </w:tcPr>
          <w:p w14:paraId="69EC1BA5">
            <w:pPr>
              <w:keepNext w:val="0"/>
              <w:keepLines w:val="0"/>
              <w:pageBreakBefore w:val="0"/>
              <w:widowControl w:val="0"/>
              <w:kinsoku/>
              <w:wordWrap/>
              <w:bidi w:val="0"/>
              <w:snapToGrid/>
              <w:spacing w:line="480" w:lineRule="exact"/>
              <w:jc w:val="center"/>
              <w:textAlignment w:val="auto"/>
              <w:rPr>
                <w:rFonts w:hint="eastAsia" w:ascii="仿宋" w:hAnsi="仿宋" w:eastAsia="仿宋" w:cs="仿宋"/>
                <w:bCs/>
                <w:color w:val="auto"/>
                <w:sz w:val="28"/>
                <w:szCs w:val="40"/>
                <w:highlight w:val="none"/>
                <w:lang w:val="en-US" w:eastAsia="zh-CN" w:bidi="ar-SA"/>
              </w:rPr>
            </w:pPr>
            <w:r>
              <w:rPr>
                <w:rFonts w:hint="eastAsia" w:ascii="仿宋" w:hAnsi="仿宋" w:eastAsia="仿宋" w:cs="仿宋"/>
                <w:color w:val="auto"/>
                <w:sz w:val="28"/>
                <w:szCs w:val="28"/>
                <w:highlight w:val="none"/>
              </w:rPr>
              <w:t>具有履行合同所必需的设备和专业技术能力</w:t>
            </w:r>
          </w:p>
        </w:tc>
        <w:tc>
          <w:tcPr>
            <w:tcW w:w="6319" w:type="dxa"/>
            <w:noWrap w:val="0"/>
            <w:vAlign w:val="center"/>
          </w:tcPr>
          <w:p w14:paraId="4343377D">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提供具有履行合同所必需的设备和专业技术能力的书面声明</w:t>
            </w:r>
            <w:r>
              <w:rPr>
                <w:rFonts w:hint="eastAsia" w:ascii="仿宋" w:hAnsi="仿宋" w:eastAsia="仿宋" w:cs="仿宋"/>
                <w:color w:val="auto"/>
                <w:sz w:val="28"/>
                <w:szCs w:val="28"/>
                <w:highlight w:val="none"/>
              </w:rPr>
              <w:t>。</w:t>
            </w:r>
          </w:p>
          <w:p w14:paraId="63078091">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评审依据：</w:t>
            </w:r>
            <w:r>
              <w:rPr>
                <w:rFonts w:hint="eastAsia" w:ascii="仿宋" w:hAnsi="仿宋" w:eastAsia="仿宋" w:cs="仿宋"/>
                <w:color w:val="auto"/>
                <w:sz w:val="28"/>
                <w:szCs w:val="28"/>
                <w:highlight w:val="none"/>
                <w:lang w:val="en-US" w:eastAsia="zh-CN"/>
              </w:rPr>
              <w:t>响应文件中所附书面声明</w:t>
            </w:r>
            <w:r>
              <w:rPr>
                <w:rFonts w:hint="eastAsia"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tc>
      </w:tr>
      <w:tr w14:paraId="4F50A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795" w:type="dxa"/>
            <w:noWrap w:val="0"/>
            <w:vAlign w:val="center"/>
          </w:tcPr>
          <w:p w14:paraId="077D3A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w:t>
            </w:r>
          </w:p>
        </w:tc>
        <w:tc>
          <w:tcPr>
            <w:tcW w:w="2427" w:type="dxa"/>
            <w:noWrap w:val="0"/>
            <w:vAlign w:val="center"/>
          </w:tcPr>
          <w:p w14:paraId="3BA9AE99">
            <w:pPr>
              <w:keepNext w:val="0"/>
              <w:keepLines w:val="0"/>
              <w:pageBreakBefore w:val="0"/>
              <w:widowControl w:val="0"/>
              <w:kinsoku/>
              <w:wordWrap/>
              <w:bidi w:val="0"/>
              <w:snapToGrid/>
              <w:spacing w:line="480" w:lineRule="exact"/>
              <w:jc w:val="center"/>
              <w:textAlignment w:val="auto"/>
              <w:rPr>
                <w:rFonts w:hint="eastAsia" w:ascii="仿宋" w:hAnsi="仿宋" w:eastAsia="仿宋" w:cs="仿宋"/>
                <w:bCs/>
                <w:color w:val="auto"/>
                <w:sz w:val="28"/>
                <w:szCs w:val="40"/>
                <w:highlight w:val="none"/>
                <w:lang w:val="en-US" w:eastAsia="zh-CN" w:bidi="ar-SA"/>
              </w:rPr>
            </w:pPr>
            <w:r>
              <w:rPr>
                <w:rFonts w:hint="eastAsia" w:ascii="仿宋" w:hAnsi="仿宋" w:eastAsia="仿宋" w:cs="仿宋"/>
                <w:color w:val="auto"/>
                <w:sz w:val="28"/>
                <w:szCs w:val="28"/>
                <w:highlight w:val="none"/>
                <w:lang w:eastAsia="zh-CN"/>
              </w:rPr>
              <w:t>有依法缴纳税收的良好记录</w:t>
            </w:r>
          </w:p>
        </w:tc>
        <w:tc>
          <w:tcPr>
            <w:tcW w:w="6319" w:type="dxa"/>
            <w:noWrap w:val="0"/>
            <w:vAlign w:val="center"/>
          </w:tcPr>
          <w:p w14:paraId="3860321C">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提供2024年06月至今已缴纳的至少一个月的纳税证明或完税证明，依法免税的单位应提供相关证明材料</w:t>
            </w:r>
            <w:r>
              <w:rPr>
                <w:rFonts w:hint="eastAsia" w:ascii="仿宋" w:hAnsi="仿宋" w:eastAsia="仿宋" w:cs="仿宋"/>
                <w:color w:val="auto"/>
                <w:sz w:val="28"/>
                <w:szCs w:val="28"/>
                <w:highlight w:val="none"/>
              </w:rPr>
              <w:t>。</w:t>
            </w:r>
          </w:p>
          <w:p w14:paraId="2A61A02A">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评审依据：响应文件中</w:t>
            </w:r>
            <w:r>
              <w:rPr>
                <w:rFonts w:hint="eastAsia" w:ascii="仿宋" w:hAnsi="仿宋" w:eastAsia="仿宋" w:cs="仿宋"/>
                <w:color w:val="auto"/>
                <w:sz w:val="28"/>
                <w:szCs w:val="28"/>
                <w:highlight w:val="none"/>
              </w:rPr>
              <w:t>相关证明材料复印件加盖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tc>
      </w:tr>
      <w:tr w14:paraId="66F8A0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35" w:hRule="atLeast"/>
          <w:jc w:val="center"/>
        </w:trPr>
        <w:tc>
          <w:tcPr>
            <w:tcW w:w="795" w:type="dxa"/>
            <w:noWrap w:val="0"/>
            <w:vAlign w:val="center"/>
          </w:tcPr>
          <w:p w14:paraId="7E7080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w:t>
            </w:r>
          </w:p>
        </w:tc>
        <w:tc>
          <w:tcPr>
            <w:tcW w:w="2427" w:type="dxa"/>
            <w:noWrap w:val="0"/>
            <w:vAlign w:val="center"/>
          </w:tcPr>
          <w:p w14:paraId="78987C60">
            <w:pPr>
              <w:keepNext w:val="0"/>
              <w:keepLines w:val="0"/>
              <w:pageBreakBefore w:val="0"/>
              <w:widowControl w:val="0"/>
              <w:kinsoku/>
              <w:wordWrap/>
              <w:bidi w:val="0"/>
              <w:snapToGrid/>
              <w:spacing w:line="480" w:lineRule="exact"/>
              <w:jc w:val="center"/>
              <w:textAlignment w:val="auto"/>
              <w:rPr>
                <w:rFonts w:hint="eastAsia" w:ascii="仿宋" w:hAnsi="仿宋" w:eastAsia="仿宋" w:cs="仿宋"/>
                <w:bCs/>
                <w:color w:val="auto"/>
                <w:sz w:val="28"/>
                <w:szCs w:val="40"/>
                <w:highlight w:val="none"/>
                <w:lang w:val="en-US" w:eastAsia="zh-CN" w:bidi="ar-SA"/>
              </w:rPr>
            </w:pPr>
            <w:r>
              <w:rPr>
                <w:rFonts w:hint="eastAsia" w:ascii="仿宋" w:hAnsi="仿宋" w:eastAsia="仿宋" w:cs="仿宋"/>
                <w:color w:val="auto"/>
                <w:sz w:val="28"/>
                <w:szCs w:val="28"/>
                <w:highlight w:val="none"/>
                <w:lang w:eastAsia="zh-CN"/>
              </w:rPr>
              <w:t>有依法缴纳社会保障资金的良好记录</w:t>
            </w:r>
          </w:p>
        </w:tc>
        <w:tc>
          <w:tcPr>
            <w:tcW w:w="6319" w:type="dxa"/>
            <w:noWrap w:val="0"/>
            <w:vAlign w:val="center"/>
          </w:tcPr>
          <w:p w14:paraId="23B1F14A">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提供2024年06月至今已缴存的至少一个月的社会保障资金缴存单据或社保机构开具的社会保险参保缴费情况证明，依法不需要缴纳社会保障资金的单位应提供相关证明材料</w:t>
            </w:r>
            <w:r>
              <w:rPr>
                <w:rFonts w:hint="eastAsia" w:ascii="仿宋" w:hAnsi="仿宋" w:eastAsia="仿宋" w:cs="仿宋"/>
                <w:color w:val="auto"/>
                <w:sz w:val="28"/>
                <w:szCs w:val="28"/>
                <w:highlight w:val="none"/>
              </w:rPr>
              <w:t>。</w:t>
            </w:r>
          </w:p>
          <w:p w14:paraId="3CB833E3">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评审依据：响应文件中</w:t>
            </w:r>
            <w:r>
              <w:rPr>
                <w:rFonts w:hint="eastAsia" w:ascii="仿宋" w:hAnsi="仿宋" w:eastAsia="仿宋" w:cs="仿宋"/>
                <w:color w:val="auto"/>
                <w:sz w:val="28"/>
                <w:szCs w:val="28"/>
                <w:highlight w:val="none"/>
              </w:rPr>
              <w:t>相关证明材料复印件加盖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tc>
      </w:tr>
      <w:tr w14:paraId="013E2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0" w:hRule="atLeast"/>
          <w:jc w:val="center"/>
        </w:trPr>
        <w:tc>
          <w:tcPr>
            <w:tcW w:w="795" w:type="dxa"/>
            <w:noWrap w:val="0"/>
            <w:vAlign w:val="center"/>
          </w:tcPr>
          <w:p w14:paraId="039E09E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w:t>
            </w:r>
          </w:p>
        </w:tc>
        <w:tc>
          <w:tcPr>
            <w:tcW w:w="2427" w:type="dxa"/>
            <w:noWrap w:val="0"/>
            <w:vAlign w:val="center"/>
          </w:tcPr>
          <w:p w14:paraId="2AB42602">
            <w:pPr>
              <w:keepNext w:val="0"/>
              <w:keepLines w:val="0"/>
              <w:pageBreakBefore w:val="0"/>
              <w:widowControl w:val="0"/>
              <w:kinsoku/>
              <w:wordWrap/>
              <w:bidi w:val="0"/>
              <w:snapToGrid/>
              <w:spacing w:line="48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参加政府采购活动前三年内，在经营活动中没有重大违法记录</w:t>
            </w:r>
          </w:p>
        </w:tc>
        <w:tc>
          <w:tcPr>
            <w:tcW w:w="6319" w:type="dxa"/>
            <w:noWrap w:val="0"/>
            <w:vAlign w:val="center"/>
          </w:tcPr>
          <w:p w14:paraId="64506B0D">
            <w:pPr>
              <w:keepNext w:val="0"/>
              <w:keepLines w:val="0"/>
              <w:pageBreakBefore w:val="0"/>
              <w:widowControl w:val="0"/>
              <w:kinsoku/>
              <w:wordWrap/>
              <w:overflowPunct w:val="0"/>
              <w:topLinePunct/>
              <w:autoSpaceDE/>
              <w:autoSpaceDN/>
              <w:bidi w:val="0"/>
              <w:snapToGrid/>
              <w:spacing w:line="480" w:lineRule="exact"/>
              <w:jc w:val="both"/>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lang w:eastAsia="zh-CN"/>
              </w:rPr>
              <w:t>参加本次政府采购活动前3年内在经营活动中没有重大违法记录，以及未被列入失信被执行人、重大税收违法失信主体、政府采购严重违法失信行为记录名单的书面声明；被列入【信用中国】网站（www.creditchina.gov.cn）“失信被执行人”、“重大税收违法失信主体”、“政府采购严重违法失信行为记录名单”以及【中国政府采购网】(www.ccgp.gov.cn)“政府采购严重违法失信行为记录名单”的供应商不得参加本次政府采购活动。</w:t>
            </w:r>
          </w:p>
          <w:p w14:paraId="64CEBF5A">
            <w:pPr>
              <w:keepNext w:val="0"/>
              <w:keepLines w:val="0"/>
              <w:pageBreakBefore w:val="0"/>
              <w:widowControl w:val="0"/>
              <w:kinsoku/>
              <w:wordWrap/>
              <w:autoSpaceDE w:val="0"/>
              <w:autoSpaceDN w:val="0"/>
              <w:bidi w:val="0"/>
              <w:adjustRightInd w:val="0"/>
              <w:snapToGrid/>
              <w:spacing w:after="0" w:afterLines="0" w:line="480" w:lineRule="exact"/>
              <w:ind w:left="0" w:leftChars="0" w:firstLine="0" w:firstLineChars="0"/>
              <w:jc w:val="lef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评审依据：响应文件中所附声明和现场网查信息。</w:t>
            </w:r>
          </w:p>
        </w:tc>
      </w:tr>
      <w:tr w14:paraId="16331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5" w:hRule="atLeast"/>
          <w:jc w:val="center"/>
        </w:trPr>
        <w:tc>
          <w:tcPr>
            <w:tcW w:w="795" w:type="dxa"/>
            <w:noWrap w:val="0"/>
            <w:vAlign w:val="center"/>
          </w:tcPr>
          <w:p w14:paraId="4D701E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7</w:t>
            </w:r>
          </w:p>
        </w:tc>
        <w:tc>
          <w:tcPr>
            <w:tcW w:w="2427" w:type="dxa"/>
            <w:noWrap w:val="0"/>
            <w:vAlign w:val="center"/>
          </w:tcPr>
          <w:p w14:paraId="63CD1C38">
            <w:pPr>
              <w:keepNext w:val="0"/>
              <w:keepLines w:val="0"/>
              <w:pageBreakBefore w:val="0"/>
              <w:widowControl w:val="0"/>
              <w:kinsoku/>
              <w:wordWrap/>
              <w:bidi w:val="0"/>
              <w:snapToGrid/>
              <w:spacing w:line="480" w:lineRule="exact"/>
              <w:jc w:val="center"/>
              <w:textAlignment w:val="auto"/>
              <w:rPr>
                <w:rFonts w:hint="eastAsia" w:ascii="仿宋" w:hAnsi="仿宋" w:eastAsia="仿宋" w:cs="仿宋"/>
                <w:bCs/>
                <w:color w:val="auto"/>
                <w:sz w:val="28"/>
                <w:szCs w:val="40"/>
                <w:highlight w:val="none"/>
                <w:lang w:val="en-US" w:eastAsia="zh-CN" w:bidi="ar-SA"/>
              </w:rPr>
            </w:pPr>
            <w:r>
              <w:rPr>
                <w:rFonts w:hint="eastAsia" w:ascii="仿宋" w:hAnsi="仿宋" w:eastAsia="仿宋" w:cs="仿宋"/>
                <w:color w:val="auto"/>
                <w:sz w:val="28"/>
                <w:szCs w:val="28"/>
                <w:highlight w:val="none"/>
                <w:lang w:eastAsia="zh-CN"/>
              </w:rPr>
              <w:t>法定代表人（主要负责人）委托授权书/身份证明</w:t>
            </w:r>
          </w:p>
        </w:tc>
        <w:tc>
          <w:tcPr>
            <w:tcW w:w="6319" w:type="dxa"/>
            <w:noWrap w:val="0"/>
            <w:vAlign w:val="center"/>
          </w:tcPr>
          <w:p w14:paraId="3488CF09">
            <w:pPr>
              <w:keepNext w:val="0"/>
              <w:keepLines w:val="0"/>
              <w:pageBreakBefore w:val="0"/>
              <w:widowControl w:val="0"/>
              <w:numPr>
                <w:ilvl w:val="0"/>
                <w:numId w:val="0"/>
              </w:numPr>
              <w:kinsoku/>
              <w:wordWrap/>
              <w:overflowPunct w:val="0"/>
              <w:topLinePunct/>
              <w:autoSpaceDE/>
              <w:autoSpaceDN/>
              <w:bidi w:val="0"/>
              <w:snapToGrid/>
              <w:spacing w:line="480" w:lineRule="exact"/>
              <w:ind w:left="0" w:leftChars="0" w:firstLine="0" w:firstLineChars="0"/>
              <w:jc w:val="both"/>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法定代表人参与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时，提供法定代表人身份证明；授权代表参与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时，提供法定代表人授权委托书。</w:t>
            </w:r>
          </w:p>
          <w:p w14:paraId="3642795B">
            <w:pPr>
              <w:keepNext w:val="0"/>
              <w:keepLines w:val="0"/>
              <w:pageBreakBefore w:val="0"/>
              <w:widowControl w:val="0"/>
              <w:numPr>
                <w:ilvl w:val="0"/>
                <w:numId w:val="0"/>
              </w:numPr>
              <w:kinsoku/>
              <w:wordWrap/>
              <w:overflowPunct w:val="0"/>
              <w:topLinePunct/>
              <w:autoSpaceDE/>
              <w:autoSpaceDN/>
              <w:bidi w:val="0"/>
              <w:snapToGrid/>
              <w:spacing w:line="480" w:lineRule="exact"/>
              <w:ind w:left="0" w:leftChars="0" w:firstLine="0" w:firstLineChars="0"/>
              <w:jc w:val="both"/>
              <w:textAlignment w:val="auto"/>
              <w:outlineLvl w:val="0"/>
              <w:rPr>
                <w:rFonts w:hint="eastAsia" w:ascii="仿宋" w:hAnsi="仿宋" w:eastAsia="仿宋" w:cs="仿宋"/>
                <w:bCs/>
                <w:color w:val="auto"/>
                <w:sz w:val="28"/>
                <w:szCs w:val="28"/>
                <w:highlight w:val="none"/>
                <w:lang w:val="en-US"/>
              </w:rPr>
            </w:pPr>
            <w:r>
              <w:rPr>
                <w:rFonts w:hint="eastAsia" w:ascii="仿宋" w:hAnsi="仿宋" w:eastAsia="仿宋" w:cs="仿宋"/>
                <w:color w:val="auto"/>
                <w:sz w:val="28"/>
                <w:szCs w:val="28"/>
                <w:highlight w:val="none"/>
                <w:lang w:val="en-US" w:eastAsia="zh-CN"/>
              </w:rPr>
              <w:t>评审依据：响应文件中</w:t>
            </w:r>
            <w:r>
              <w:rPr>
                <w:rFonts w:hint="eastAsia" w:ascii="仿宋" w:hAnsi="仿宋" w:eastAsia="仿宋" w:cs="仿宋"/>
                <w:color w:val="auto"/>
                <w:sz w:val="28"/>
                <w:szCs w:val="28"/>
                <w:highlight w:val="none"/>
              </w:rPr>
              <w:t>相关证明材料加盖</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公章。</w:t>
            </w:r>
          </w:p>
        </w:tc>
      </w:tr>
      <w:tr w14:paraId="600C6E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10" w:hRule="atLeast"/>
          <w:jc w:val="center"/>
        </w:trPr>
        <w:tc>
          <w:tcPr>
            <w:tcW w:w="795" w:type="dxa"/>
            <w:noWrap w:val="0"/>
            <w:vAlign w:val="center"/>
          </w:tcPr>
          <w:p w14:paraId="54B6C2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8</w:t>
            </w:r>
          </w:p>
        </w:tc>
        <w:tc>
          <w:tcPr>
            <w:tcW w:w="2427" w:type="dxa"/>
            <w:noWrap w:val="0"/>
            <w:vAlign w:val="center"/>
          </w:tcPr>
          <w:p w14:paraId="13C15E65">
            <w:pPr>
              <w:keepNext w:val="0"/>
              <w:keepLines w:val="0"/>
              <w:pageBreakBefore w:val="0"/>
              <w:widowControl w:val="0"/>
              <w:kinsoku/>
              <w:wordWrap/>
              <w:bidi w:val="0"/>
              <w:snapToGrid/>
              <w:spacing w:line="480" w:lineRule="exact"/>
              <w:jc w:val="center"/>
              <w:textAlignment w:val="auto"/>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企业资质</w:t>
            </w:r>
          </w:p>
        </w:tc>
        <w:tc>
          <w:tcPr>
            <w:tcW w:w="6319" w:type="dxa"/>
            <w:noWrap w:val="0"/>
            <w:vAlign w:val="center"/>
          </w:tcPr>
          <w:p w14:paraId="52452A06">
            <w:pPr>
              <w:keepNext w:val="0"/>
              <w:keepLines w:val="0"/>
              <w:pageBreakBefore w:val="0"/>
              <w:widowControl w:val="0"/>
              <w:numPr>
                <w:ilvl w:val="0"/>
                <w:numId w:val="0"/>
              </w:numPr>
              <w:kinsoku/>
              <w:wordWrap/>
              <w:overflowPunct w:val="0"/>
              <w:topLinePunct/>
              <w:autoSpaceDE/>
              <w:autoSpaceDN/>
              <w:bidi w:val="0"/>
              <w:snapToGrid/>
              <w:spacing w:line="480" w:lineRule="exact"/>
              <w:ind w:left="0" w:leftChars="0" w:firstLine="0" w:firstLineChars="0"/>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供应商须具备工程设计综合甲级资质或风景园林工程设计专项乙级及以上资质，并在人员、设备、资金等方面具备相应的能力。</w:t>
            </w:r>
          </w:p>
          <w:p w14:paraId="655C6193">
            <w:pPr>
              <w:keepNext w:val="0"/>
              <w:keepLines w:val="0"/>
              <w:pageBreakBefore w:val="0"/>
              <w:widowControl w:val="0"/>
              <w:numPr>
                <w:ilvl w:val="0"/>
                <w:numId w:val="0"/>
              </w:numPr>
              <w:kinsoku/>
              <w:wordWrap/>
              <w:overflowPunct w:val="0"/>
              <w:topLinePunct/>
              <w:autoSpaceDE/>
              <w:autoSpaceDN/>
              <w:bidi w:val="0"/>
              <w:snapToGrid/>
              <w:spacing w:line="480" w:lineRule="exact"/>
              <w:ind w:left="0" w:leftChars="0" w:firstLine="0" w:firstLineChars="0"/>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评审依据：</w:t>
            </w:r>
            <w:r>
              <w:rPr>
                <w:rFonts w:hint="eastAsia" w:ascii="仿宋" w:hAnsi="仿宋" w:eastAsia="仿宋" w:cs="仿宋"/>
                <w:color w:val="auto"/>
                <w:sz w:val="28"/>
                <w:szCs w:val="28"/>
                <w:highlight w:val="none"/>
                <w:lang w:val="en-US" w:eastAsia="zh-CN"/>
              </w:rPr>
              <w:t>提供企业相关资质证书复印件加盖公章。</w:t>
            </w:r>
          </w:p>
        </w:tc>
      </w:tr>
      <w:tr w14:paraId="59C7A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06" w:hRule="atLeast"/>
          <w:jc w:val="center"/>
        </w:trPr>
        <w:tc>
          <w:tcPr>
            <w:tcW w:w="795" w:type="dxa"/>
            <w:noWrap w:val="0"/>
            <w:vAlign w:val="center"/>
          </w:tcPr>
          <w:p w14:paraId="14E916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9</w:t>
            </w:r>
          </w:p>
        </w:tc>
        <w:tc>
          <w:tcPr>
            <w:tcW w:w="2427" w:type="dxa"/>
            <w:noWrap w:val="0"/>
            <w:vAlign w:val="center"/>
          </w:tcPr>
          <w:p w14:paraId="0B7729C4">
            <w:pPr>
              <w:keepNext w:val="0"/>
              <w:keepLines w:val="0"/>
              <w:pageBreakBefore w:val="0"/>
              <w:widowControl w:val="0"/>
              <w:kinsoku/>
              <w:wordWrap/>
              <w:bidi w:val="0"/>
              <w:snapToGrid/>
              <w:spacing w:line="48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拟派项目负责人</w:t>
            </w:r>
          </w:p>
        </w:tc>
        <w:tc>
          <w:tcPr>
            <w:tcW w:w="6319" w:type="dxa"/>
            <w:noWrap w:val="0"/>
            <w:vAlign w:val="center"/>
          </w:tcPr>
          <w:p w14:paraId="7EDFA94D">
            <w:pPr>
              <w:keepNext w:val="0"/>
              <w:keepLines w:val="0"/>
              <w:pageBreakBefore w:val="0"/>
              <w:widowControl w:val="0"/>
              <w:numPr>
                <w:ilvl w:val="0"/>
                <w:numId w:val="0"/>
              </w:numPr>
              <w:kinsoku/>
              <w:wordWrap/>
              <w:overflowPunct w:val="0"/>
              <w:topLinePunct/>
              <w:autoSpaceDE/>
              <w:autoSpaceDN/>
              <w:bidi w:val="0"/>
              <w:snapToGrid/>
              <w:spacing w:line="480" w:lineRule="exact"/>
              <w:ind w:left="0" w:leftChars="0" w:firstLine="0" w:firstLineChars="0"/>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拟派项目负责人应具有相关专业二级注册建筑师及以上资格，并在本单位注册或中级工程师职称。</w:t>
            </w:r>
          </w:p>
          <w:p w14:paraId="56398027">
            <w:pPr>
              <w:keepNext w:val="0"/>
              <w:keepLines w:val="0"/>
              <w:pageBreakBefore w:val="0"/>
              <w:widowControl w:val="0"/>
              <w:numPr>
                <w:ilvl w:val="0"/>
                <w:numId w:val="0"/>
              </w:numPr>
              <w:kinsoku/>
              <w:wordWrap/>
              <w:overflowPunct w:val="0"/>
              <w:topLinePunct/>
              <w:autoSpaceDE/>
              <w:autoSpaceDN/>
              <w:bidi w:val="0"/>
              <w:snapToGrid/>
              <w:spacing w:line="480" w:lineRule="exact"/>
              <w:ind w:left="0" w:leftChars="0" w:firstLine="0" w:firstLineChars="0"/>
              <w:jc w:val="both"/>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评审依据：提供项目负责人证明文件复印件加盖公章。</w:t>
            </w:r>
          </w:p>
        </w:tc>
      </w:tr>
    </w:tbl>
    <w:p w14:paraId="52B1CAD1">
      <w:pPr>
        <w:spacing w:before="156" w:beforeLines="50"/>
        <w:ind w:left="525" w:hanging="525" w:hangingChars="250"/>
        <w:rPr>
          <w:rFonts w:hint="eastAsia" w:ascii="仿宋" w:hAnsi="仿宋" w:eastAsia="仿宋" w:cs="仿宋"/>
          <w:szCs w:val="21"/>
          <w:highlight w:val="none"/>
        </w:rPr>
      </w:pPr>
      <w:r>
        <w:rPr>
          <w:rFonts w:hint="eastAsia" w:ascii="仿宋" w:hAnsi="仿宋" w:eastAsia="仿宋" w:cs="仿宋"/>
          <w:sz w:val="21"/>
          <w:szCs w:val="21"/>
          <w:highlight w:val="none"/>
        </w:rPr>
        <w:t>注：以上内容有一项不符合要求，则视为资格</w:t>
      </w:r>
      <w:r>
        <w:rPr>
          <w:rFonts w:hint="eastAsia" w:ascii="仿宋" w:hAnsi="仿宋" w:eastAsia="仿宋" w:cs="仿宋"/>
          <w:sz w:val="21"/>
          <w:szCs w:val="21"/>
          <w:highlight w:val="none"/>
          <w:lang w:val="zh-CN"/>
        </w:rPr>
        <w:t>审查</w:t>
      </w:r>
      <w:r>
        <w:rPr>
          <w:rFonts w:hint="eastAsia" w:ascii="仿宋" w:hAnsi="仿宋" w:eastAsia="仿宋" w:cs="仿宋"/>
          <w:sz w:val="21"/>
          <w:szCs w:val="21"/>
          <w:highlight w:val="none"/>
        </w:rPr>
        <w:t>不通过，不得进入下一步评审。</w:t>
      </w:r>
    </w:p>
    <w:p w14:paraId="63761A53">
      <w:pPr>
        <w:pStyle w:val="19"/>
        <w:spacing w:after="0" w:line="560" w:lineRule="exact"/>
        <w:ind w:firstLine="632" w:firstLineChars="225"/>
        <w:jc w:val="both"/>
        <w:rPr>
          <w:rFonts w:hint="eastAsia" w:ascii="仿宋" w:hAnsi="仿宋" w:eastAsia="仿宋" w:cs="仿宋"/>
          <w:b/>
          <w:bCs/>
          <w:color w:val="auto"/>
          <w:highlight w:val="none"/>
        </w:rPr>
      </w:pPr>
    </w:p>
    <w:p w14:paraId="73F570B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ECC0FDC">
      <w:pPr>
        <w:pStyle w:val="19"/>
        <w:spacing w:after="0" w:line="560" w:lineRule="exact"/>
        <w:ind w:firstLine="700" w:firstLineChars="250"/>
        <w:jc w:val="both"/>
        <w:rPr>
          <w:rFonts w:hint="eastAsia" w:ascii="仿宋" w:hAnsi="仿宋" w:eastAsia="仿宋" w:cs="仿宋"/>
          <w:color w:val="auto"/>
          <w:highlight w:val="none"/>
        </w:rPr>
      </w:pPr>
      <w:r>
        <w:rPr>
          <w:rFonts w:hint="eastAsia" w:ascii="仿宋" w:hAnsi="仿宋" w:eastAsia="仿宋" w:cs="仿宋"/>
          <w:color w:val="auto"/>
          <w:highlight w:val="none"/>
        </w:rPr>
        <w:t>二、符合性审查工作</w:t>
      </w:r>
    </w:p>
    <w:p w14:paraId="5CCF01B8">
      <w:pPr>
        <w:keepNext w:val="0"/>
        <w:keepLines w:val="0"/>
        <w:pageBreakBefore w:val="0"/>
        <w:widowControl w:val="0"/>
        <w:kinsoku/>
        <w:wordWrap/>
        <w:autoSpaceDE w:val="0"/>
        <w:autoSpaceDN w:val="0"/>
        <w:bidi w:val="0"/>
        <w:adjustRightInd w:val="0"/>
        <w:spacing w:after="0" w:afterLines="0" w:line="560" w:lineRule="exact"/>
        <w:ind w:left="0" w:leftChars="0" w:right="0" w:firstLine="630" w:firstLineChars="225"/>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供应商资格性审查通过后，磋商小组对符合资格的供应商的响应文件进行符合性审查，以确定其是否满足采购文件的实质性要求。</w:t>
      </w:r>
    </w:p>
    <w:p w14:paraId="27D029A2">
      <w:pPr>
        <w:keepNext w:val="0"/>
        <w:keepLines w:val="0"/>
        <w:pageBreakBefore w:val="0"/>
        <w:widowControl w:val="0"/>
        <w:kinsoku/>
        <w:wordWrap/>
        <w:autoSpaceDE w:val="0"/>
        <w:autoSpaceDN w:val="0"/>
        <w:bidi w:val="0"/>
        <w:adjustRightInd w:val="0"/>
        <w:spacing w:after="0" w:afterLines="0" w:line="560" w:lineRule="exact"/>
        <w:ind w:left="0" w:leftChars="0" w:right="0" w:firstLine="630" w:firstLineChars="225"/>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对于响应文件中含义不明确、同类问题表述不一致或者有明显文字和计算错误的内容，磋商小组应当以书面形式要求供应商作出必要的澄清、说明或者补正。</w:t>
      </w:r>
    </w:p>
    <w:p w14:paraId="6B51BB52">
      <w:pPr>
        <w:keepNext w:val="0"/>
        <w:keepLines w:val="0"/>
        <w:pageBreakBefore w:val="0"/>
        <w:widowControl w:val="0"/>
        <w:kinsoku/>
        <w:wordWrap/>
        <w:autoSpaceDE w:val="0"/>
        <w:autoSpaceDN w:val="0"/>
        <w:bidi w:val="0"/>
        <w:adjustRightInd w:val="0"/>
        <w:spacing w:after="0" w:afterLines="0" w:line="560" w:lineRule="exact"/>
        <w:ind w:left="0" w:leftChars="0" w:right="0" w:firstLine="630" w:firstLineChars="225"/>
        <w:jc w:val="both"/>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供应商的澄清、说明或者补正应当采用书面形式，并加盖公章，或者由法定代表人或其授权的代表签字。供应商的澄清、说明或者补正不得超出响应文件的范围或者改变响应文件的实质性内容。</w:t>
      </w:r>
    </w:p>
    <w:p w14:paraId="55B126AC">
      <w:pPr>
        <w:keepNext/>
        <w:keepLines w:val="0"/>
        <w:pageBreakBefore w:val="0"/>
        <w:widowControl w:val="0"/>
        <w:kinsoku/>
        <w:wordWrap/>
        <w:overflowPunct/>
        <w:topLinePunct w:val="0"/>
        <w:bidi w:val="0"/>
        <w:snapToGrid/>
        <w:spacing w:line="560" w:lineRule="exact"/>
        <w:jc w:val="center"/>
        <w:textAlignment w:val="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符合性审查表</w:t>
      </w:r>
    </w:p>
    <w:tbl>
      <w:tblPr>
        <w:tblStyle w:val="44"/>
        <w:tblW w:w="92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2"/>
        <w:gridCol w:w="2235"/>
        <w:gridCol w:w="6112"/>
      </w:tblGrid>
      <w:tr w14:paraId="5EB08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3" w:hRule="atLeast"/>
          <w:jc w:val="center"/>
        </w:trPr>
        <w:tc>
          <w:tcPr>
            <w:tcW w:w="892" w:type="dxa"/>
            <w:tcBorders>
              <w:top w:val="single" w:color="auto" w:sz="12" w:space="0"/>
              <w:bottom w:val="single" w:color="auto" w:sz="2" w:space="0"/>
            </w:tcBorders>
            <w:shd w:val="clear" w:color="auto" w:fill="F1F1F1"/>
            <w:noWrap w:val="0"/>
            <w:vAlign w:val="center"/>
          </w:tcPr>
          <w:p w14:paraId="65938E87">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235" w:type="dxa"/>
            <w:tcBorders>
              <w:top w:val="single" w:color="auto" w:sz="12" w:space="0"/>
              <w:bottom w:val="single" w:color="auto" w:sz="2" w:space="0"/>
            </w:tcBorders>
            <w:shd w:val="clear" w:color="auto" w:fill="F1F1F1"/>
            <w:noWrap w:val="0"/>
            <w:vAlign w:val="center"/>
          </w:tcPr>
          <w:p w14:paraId="43A97317">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符合性审查项</w:t>
            </w:r>
          </w:p>
        </w:tc>
        <w:tc>
          <w:tcPr>
            <w:tcW w:w="6112" w:type="dxa"/>
            <w:tcBorders>
              <w:top w:val="single" w:color="auto" w:sz="12" w:space="0"/>
              <w:bottom w:val="single" w:color="auto" w:sz="2" w:space="0"/>
            </w:tcBorders>
            <w:shd w:val="clear" w:color="auto" w:fill="F1F1F1"/>
            <w:noWrap w:val="0"/>
            <w:vAlign w:val="center"/>
          </w:tcPr>
          <w:p w14:paraId="4DB0EA53">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评审标准</w:t>
            </w:r>
          </w:p>
        </w:tc>
      </w:tr>
      <w:tr w14:paraId="292F1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08" w:hRule="atLeast"/>
          <w:jc w:val="center"/>
        </w:trPr>
        <w:tc>
          <w:tcPr>
            <w:tcW w:w="892" w:type="dxa"/>
            <w:tcBorders>
              <w:top w:val="single" w:color="auto" w:sz="2" w:space="0"/>
            </w:tcBorders>
            <w:noWrap w:val="0"/>
            <w:vAlign w:val="center"/>
          </w:tcPr>
          <w:p w14:paraId="63FF85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w:t>
            </w:r>
          </w:p>
        </w:tc>
        <w:tc>
          <w:tcPr>
            <w:tcW w:w="2235" w:type="dxa"/>
            <w:tcBorders>
              <w:top w:val="single" w:color="auto" w:sz="2" w:space="0"/>
            </w:tcBorders>
            <w:noWrap w:val="0"/>
            <w:vAlign w:val="center"/>
          </w:tcPr>
          <w:p w14:paraId="33CC2268">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与项目的一致性</w:t>
            </w:r>
          </w:p>
        </w:tc>
        <w:tc>
          <w:tcPr>
            <w:tcW w:w="6112" w:type="dxa"/>
            <w:tcBorders>
              <w:top w:val="single" w:color="auto" w:sz="2" w:space="0"/>
            </w:tcBorders>
            <w:noWrap w:val="0"/>
            <w:vAlign w:val="center"/>
          </w:tcPr>
          <w:p w14:paraId="2ABF1B34">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至少以下三处的项目名称、项目编号与本项目完全一致：</w:t>
            </w:r>
          </w:p>
          <w:p w14:paraId="47C6D2DC">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封面</w:t>
            </w:r>
          </w:p>
          <w:p w14:paraId="2F709B36">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响应</w:t>
            </w:r>
            <w:r>
              <w:rPr>
                <w:rFonts w:hint="eastAsia" w:ascii="仿宋" w:hAnsi="仿宋" w:eastAsia="仿宋" w:cs="仿宋"/>
                <w:bCs/>
                <w:color w:val="auto"/>
                <w:sz w:val="28"/>
                <w:szCs w:val="28"/>
                <w:highlight w:val="none"/>
              </w:rPr>
              <w:t>函</w:t>
            </w:r>
          </w:p>
          <w:p w14:paraId="196E4D27">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（3）法定代表人（主要负责人）身份证明</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法人授权委托书</w:t>
            </w:r>
          </w:p>
        </w:tc>
      </w:tr>
      <w:tr w14:paraId="64CB32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86" w:hRule="atLeast"/>
          <w:jc w:val="center"/>
        </w:trPr>
        <w:tc>
          <w:tcPr>
            <w:tcW w:w="892" w:type="dxa"/>
            <w:noWrap w:val="0"/>
            <w:vAlign w:val="center"/>
          </w:tcPr>
          <w:p w14:paraId="2F5C33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w:t>
            </w:r>
          </w:p>
        </w:tc>
        <w:tc>
          <w:tcPr>
            <w:tcW w:w="2235" w:type="dxa"/>
            <w:noWrap w:val="0"/>
            <w:vAlign w:val="center"/>
          </w:tcPr>
          <w:p w14:paraId="4C2FDB9B">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组成</w:t>
            </w:r>
          </w:p>
        </w:tc>
        <w:tc>
          <w:tcPr>
            <w:tcW w:w="6112" w:type="dxa"/>
            <w:noWrap w:val="0"/>
            <w:vAlign w:val="center"/>
          </w:tcPr>
          <w:p w14:paraId="624963A9">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应包含以下部分：</w:t>
            </w:r>
          </w:p>
          <w:p w14:paraId="1AB08F3F">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磋商响应</w:t>
            </w:r>
            <w:r>
              <w:rPr>
                <w:rFonts w:hint="eastAsia" w:ascii="仿宋" w:hAnsi="仿宋" w:eastAsia="仿宋" w:cs="仿宋"/>
                <w:bCs/>
                <w:color w:val="auto"/>
                <w:sz w:val="28"/>
                <w:szCs w:val="28"/>
                <w:highlight w:val="none"/>
              </w:rPr>
              <w:t>函</w:t>
            </w:r>
          </w:p>
          <w:p w14:paraId="7D859EAB">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lang w:val="en-AU"/>
              </w:rPr>
              <w:t>一览表</w:t>
            </w:r>
          </w:p>
          <w:p w14:paraId="4FDC2B23">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（3）供应商概况</w:t>
            </w:r>
            <w:r>
              <w:rPr>
                <w:rFonts w:hint="eastAsia" w:ascii="仿宋" w:hAnsi="仿宋" w:eastAsia="仿宋" w:cs="仿宋"/>
                <w:bCs/>
                <w:color w:val="auto"/>
                <w:sz w:val="28"/>
                <w:szCs w:val="28"/>
                <w:highlight w:val="none"/>
                <w:lang w:val="en-US" w:eastAsia="zh-CN"/>
              </w:rPr>
              <w:t>与承诺</w:t>
            </w:r>
          </w:p>
          <w:p w14:paraId="72D19B33">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val="en-US" w:eastAsia="zh-CN"/>
              </w:rPr>
              <w:t>其他声明函</w:t>
            </w:r>
          </w:p>
          <w:p w14:paraId="06F410CA">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（5）</w:t>
            </w:r>
            <w:r>
              <w:rPr>
                <w:rFonts w:hint="eastAsia" w:ascii="仿宋" w:hAnsi="仿宋" w:eastAsia="仿宋" w:cs="仿宋"/>
                <w:bCs/>
                <w:color w:val="auto"/>
                <w:sz w:val="28"/>
                <w:szCs w:val="28"/>
                <w:highlight w:val="none"/>
                <w:lang w:val="en-US" w:eastAsia="zh-CN"/>
              </w:rPr>
              <w:t>技术响应方案</w:t>
            </w:r>
          </w:p>
          <w:p w14:paraId="4D5E3EA4">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val="en-US" w:eastAsia="zh-CN"/>
              </w:rPr>
              <w:t>商务响应方案</w:t>
            </w:r>
          </w:p>
          <w:p w14:paraId="34020C23">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资格证明材料</w:t>
            </w:r>
          </w:p>
        </w:tc>
      </w:tr>
      <w:tr w14:paraId="052387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892" w:type="dxa"/>
            <w:noWrap w:val="0"/>
            <w:vAlign w:val="center"/>
          </w:tcPr>
          <w:p w14:paraId="15EA94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w:t>
            </w:r>
          </w:p>
        </w:tc>
        <w:tc>
          <w:tcPr>
            <w:tcW w:w="2235" w:type="dxa"/>
            <w:noWrap w:val="0"/>
            <w:vAlign w:val="center"/>
          </w:tcPr>
          <w:p w14:paraId="1D1758E0">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签字盖章</w:t>
            </w:r>
          </w:p>
        </w:tc>
        <w:tc>
          <w:tcPr>
            <w:tcW w:w="6112" w:type="dxa"/>
            <w:noWrap w:val="0"/>
            <w:vAlign w:val="center"/>
          </w:tcPr>
          <w:p w14:paraId="7CA30922">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签字盖</w:t>
            </w:r>
            <w:r>
              <w:rPr>
                <w:rFonts w:hint="eastAsia" w:ascii="仿宋" w:hAnsi="仿宋" w:eastAsia="仿宋" w:cs="仿宋"/>
                <w:color w:val="auto"/>
                <w:sz w:val="28"/>
                <w:szCs w:val="28"/>
                <w:highlight w:val="none"/>
              </w:rPr>
              <w:t>章均符合</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要求，且无遗漏。</w:t>
            </w:r>
          </w:p>
        </w:tc>
      </w:tr>
      <w:tr w14:paraId="65D34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7" w:hRule="atLeast"/>
          <w:jc w:val="center"/>
        </w:trPr>
        <w:tc>
          <w:tcPr>
            <w:tcW w:w="892" w:type="dxa"/>
            <w:noWrap w:val="0"/>
            <w:vAlign w:val="center"/>
          </w:tcPr>
          <w:p w14:paraId="740870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w:t>
            </w:r>
          </w:p>
        </w:tc>
        <w:tc>
          <w:tcPr>
            <w:tcW w:w="2235" w:type="dxa"/>
            <w:noWrap w:val="0"/>
            <w:vAlign w:val="center"/>
          </w:tcPr>
          <w:p w14:paraId="5086469E">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语言和计量单位</w:t>
            </w:r>
          </w:p>
        </w:tc>
        <w:tc>
          <w:tcPr>
            <w:tcW w:w="6112" w:type="dxa"/>
            <w:noWrap w:val="0"/>
            <w:vAlign w:val="center"/>
          </w:tcPr>
          <w:p w14:paraId="0ECCA8E1">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的要求</w:t>
            </w:r>
          </w:p>
        </w:tc>
      </w:tr>
      <w:tr w14:paraId="47D5D7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892" w:type="dxa"/>
            <w:noWrap w:val="0"/>
            <w:vAlign w:val="center"/>
          </w:tcPr>
          <w:p w14:paraId="600C50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w:t>
            </w:r>
          </w:p>
        </w:tc>
        <w:tc>
          <w:tcPr>
            <w:tcW w:w="2235" w:type="dxa"/>
            <w:noWrap w:val="0"/>
            <w:vAlign w:val="center"/>
          </w:tcPr>
          <w:p w14:paraId="7B6F852A">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有效期</w:t>
            </w:r>
          </w:p>
        </w:tc>
        <w:tc>
          <w:tcPr>
            <w:tcW w:w="6112" w:type="dxa"/>
            <w:noWrap w:val="0"/>
            <w:vAlign w:val="center"/>
          </w:tcPr>
          <w:p w14:paraId="073106AB">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的要求</w:t>
            </w:r>
          </w:p>
        </w:tc>
      </w:tr>
      <w:tr w14:paraId="65A332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08" w:hRule="atLeast"/>
          <w:jc w:val="center"/>
        </w:trPr>
        <w:tc>
          <w:tcPr>
            <w:tcW w:w="892" w:type="dxa"/>
            <w:noWrap w:val="0"/>
            <w:vAlign w:val="center"/>
          </w:tcPr>
          <w:p w14:paraId="157DCD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w:t>
            </w:r>
          </w:p>
        </w:tc>
        <w:tc>
          <w:tcPr>
            <w:tcW w:w="2235" w:type="dxa"/>
            <w:noWrap w:val="0"/>
            <w:vAlign w:val="center"/>
          </w:tcPr>
          <w:p w14:paraId="07673063">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rPr>
              <w:t>报价</w:t>
            </w:r>
          </w:p>
        </w:tc>
        <w:tc>
          <w:tcPr>
            <w:tcW w:w="6112" w:type="dxa"/>
            <w:noWrap w:val="0"/>
            <w:vAlign w:val="center"/>
          </w:tcPr>
          <w:p w14:paraId="7661EF82">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同时满足以下条款：</w:t>
            </w:r>
          </w:p>
          <w:p w14:paraId="65EBF7A3">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（1）货币单位符合</w:t>
            </w:r>
            <w:r>
              <w:rPr>
                <w:rFonts w:hint="eastAsia" w:ascii="仿宋" w:hAnsi="仿宋" w:eastAsia="仿宋" w:cs="仿宋"/>
                <w:bCs/>
                <w:color w:val="auto"/>
                <w:sz w:val="28"/>
                <w:szCs w:val="28"/>
                <w:highlight w:val="none"/>
                <w:lang w:eastAsia="zh-CN"/>
              </w:rPr>
              <w:t>采购文件</w:t>
            </w:r>
            <w:r>
              <w:rPr>
                <w:rFonts w:hint="eastAsia" w:ascii="仿宋" w:hAnsi="仿宋" w:eastAsia="仿宋" w:cs="仿宋"/>
                <w:bCs/>
                <w:color w:val="auto"/>
                <w:sz w:val="28"/>
                <w:szCs w:val="28"/>
                <w:highlight w:val="none"/>
              </w:rPr>
              <w:t>要求</w:t>
            </w:r>
          </w:p>
          <w:p w14:paraId="44D70FF0">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（2）报价符合唯一性要求</w:t>
            </w:r>
          </w:p>
          <w:p w14:paraId="3092B2AC">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（3）未超出采购预算或最高限价</w:t>
            </w:r>
          </w:p>
          <w:p w14:paraId="4A77120A">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（4）符合《</w:t>
            </w:r>
            <w:r>
              <w:rPr>
                <w:rFonts w:hint="eastAsia" w:ascii="仿宋" w:hAnsi="仿宋" w:eastAsia="仿宋" w:cs="仿宋"/>
                <w:bCs/>
                <w:color w:val="auto"/>
                <w:sz w:val="28"/>
                <w:szCs w:val="28"/>
                <w:highlight w:val="none"/>
                <w:lang w:val="en-US" w:eastAsia="zh-CN"/>
              </w:rPr>
              <w:t>磋商</w:t>
            </w:r>
            <w:r>
              <w:rPr>
                <w:rFonts w:hint="eastAsia" w:ascii="仿宋" w:hAnsi="仿宋" w:eastAsia="仿宋" w:cs="仿宋"/>
                <w:bCs/>
                <w:color w:val="auto"/>
                <w:sz w:val="28"/>
                <w:szCs w:val="28"/>
                <w:highlight w:val="none"/>
              </w:rPr>
              <w:t>一览表》的填报要求</w:t>
            </w:r>
          </w:p>
        </w:tc>
      </w:tr>
      <w:tr w14:paraId="5AF6E6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19" w:hRule="atLeast"/>
          <w:jc w:val="center"/>
        </w:trPr>
        <w:tc>
          <w:tcPr>
            <w:tcW w:w="892" w:type="dxa"/>
            <w:noWrap w:val="0"/>
            <w:vAlign w:val="center"/>
          </w:tcPr>
          <w:p w14:paraId="041618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7</w:t>
            </w:r>
          </w:p>
        </w:tc>
        <w:tc>
          <w:tcPr>
            <w:tcW w:w="2235" w:type="dxa"/>
            <w:noWrap w:val="0"/>
            <w:vAlign w:val="center"/>
          </w:tcPr>
          <w:p w14:paraId="3EE5935C">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实质性条款响</w:t>
            </w:r>
            <w:r>
              <w:rPr>
                <w:rFonts w:hint="eastAsia" w:ascii="仿宋" w:hAnsi="仿宋" w:eastAsia="仿宋" w:cs="仿宋"/>
                <w:bCs/>
                <w:color w:val="auto"/>
                <w:w w:val="1"/>
                <w:sz w:val="28"/>
                <w:szCs w:val="28"/>
                <w:highlight w:val="none"/>
              </w:rPr>
              <w:t xml:space="preserve"> </w:t>
            </w:r>
            <w:r>
              <w:rPr>
                <w:rFonts w:hint="eastAsia" w:ascii="仿宋" w:hAnsi="仿宋" w:eastAsia="仿宋" w:cs="仿宋"/>
                <w:bCs/>
                <w:color w:val="auto"/>
                <w:sz w:val="28"/>
                <w:szCs w:val="28"/>
                <w:highlight w:val="none"/>
              </w:rPr>
              <w:t>应</w:t>
            </w:r>
          </w:p>
        </w:tc>
        <w:tc>
          <w:tcPr>
            <w:tcW w:w="6112" w:type="dxa"/>
            <w:noWrap w:val="0"/>
            <w:vAlign w:val="center"/>
          </w:tcPr>
          <w:p w14:paraId="5FA60E52">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w:t>
            </w:r>
            <w:r>
              <w:rPr>
                <w:rFonts w:hint="eastAsia" w:ascii="仿宋" w:hAnsi="仿宋" w:eastAsia="仿宋" w:cs="仿宋"/>
                <w:color w:val="auto"/>
                <w:w w:val="1"/>
                <w:sz w:val="28"/>
                <w:szCs w:val="28"/>
                <w:highlight w:val="none"/>
              </w:rPr>
              <w:t xml:space="preserve"> </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要求的各项技术、商务实质性条款。</w:t>
            </w:r>
            <w:r>
              <w:rPr>
                <w:rFonts w:hint="eastAsia" w:ascii="仿宋" w:hAnsi="仿宋" w:eastAsia="仿宋" w:cs="仿宋"/>
                <w:bCs/>
                <w:color w:val="auto"/>
                <w:sz w:val="28"/>
                <w:szCs w:val="28"/>
                <w:highlight w:val="none"/>
              </w:rPr>
              <w:t>（见第</w:t>
            </w:r>
            <w:r>
              <w:rPr>
                <w:rFonts w:hint="eastAsia" w:ascii="仿宋" w:hAnsi="仿宋" w:eastAsia="仿宋" w:cs="仿宋"/>
                <w:bCs/>
                <w:color w:val="auto"/>
                <w:sz w:val="28"/>
                <w:szCs w:val="28"/>
                <w:highlight w:val="none"/>
                <w:lang w:val="en-US" w:eastAsia="zh-CN"/>
              </w:rPr>
              <w:t>六</w:t>
            </w:r>
            <w:r>
              <w:rPr>
                <w:rFonts w:hint="eastAsia" w:ascii="仿宋" w:hAnsi="仿宋" w:eastAsia="仿宋" w:cs="仿宋"/>
                <w:bCs/>
                <w:color w:val="auto"/>
                <w:sz w:val="28"/>
                <w:szCs w:val="28"/>
                <w:highlight w:val="none"/>
              </w:rPr>
              <w:t>章标注★的条款，未设置时请忽略此项）</w:t>
            </w:r>
          </w:p>
        </w:tc>
      </w:tr>
      <w:tr w14:paraId="271FB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5" w:hRule="atLeast"/>
          <w:jc w:val="center"/>
        </w:trPr>
        <w:tc>
          <w:tcPr>
            <w:tcW w:w="892" w:type="dxa"/>
            <w:noWrap w:val="0"/>
            <w:vAlign w:val="center"/>
          </w:tcPr>
          <w:p w14:paraId="65E752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w:t>
            </w:r>
          </w:p>
        </w:tc>
        <w:tc>
          <w:tcPr>
            <w:tcW w:w="2235" w:type="dxa"/>
            <w:noWrap w:val="0"/>
            <w:vAlign w:val="center"/>
          </w:tcPr>
          <w:p w14:paraId="73289F1D">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w:t>
            </w:r>
          </w:p>
        </w:tc>
        <w:tc>
          <w:tcPr>
            <w:tcW w:w="6112" w:type="dxa"/>
            <w:noWrap w:val="0"/>
            <w:vAlign w:val="center"/>
          </w:tcPr>
          <w:p w14:paraId="7F64A9D3">
            <w:pPr>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完全理解并接受法律法规和</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对供应商合法经营的各类规约和责任义务要求，没有出现法律法规或</w:t>
            </w:r>
            <w:r>
              <w:rPr>
                <w:rFonts w:hint="eastAsia" w:ascii="仿宋" w:hAnsi="仿宋" w:eastAsia="仿宋" w:cs="仿宋"/>
                <w:color w:val="auto"/>
                <w:sz w:val="28"/>
                <w:szCs w:val="28"/>
                <w:highlight w:val="none"/>
                <w:lang w:eastAsia="zh-CN"/>
              </w:rPr>
              <w:t>采购文件</w:t>
            </w:r>
            <w:r>
              <w:rPr>
                <w:rFonts w:hint="eastAsia" w:ascii="仿宋" w:hAnsi="仿宋" w:eastAsia="仿宋" w:cs="仿宋"/>
                <w:color w:val="auto"/>
                <w:sz w:val="28"/>
                <w:szCs w:val="28"/>
                <w:highlight w:val="none"/>
              </w:rPr>
              <w:t>规定的其他无效情形。</w:t>
            </w:r>
          </w:p>
        </w:tc>
      </w:tr>
    </w:tbl>
    <w:p w14:paraId="21E7B201">
      <w:pPr>
        <w:spacing w:before="156" w:beforeLines="50"/>
        <w:ind w:left="525" w:hanging="525" w:hangingChars="250"/>
        <w:rPr>
          <w:rFonts w:hint="eastAsia" w:ascii="仿宋" w:hAnsi="仿宋" w:eastAsia="仿宋" w:cs="仿宋"/>
          <w:szCs w:val="21"/>
          <w:highlight w:val="none"/>
        </w:rPr>
      </w:pPr>
      <w:r>
        <w:rPr>
          <w:rFonts w:hint="eastAsia" w:ascii="仿宋" w:hAnsi="仿宋" w:eastAsia="仿宋" w:cs="仿宋"/>
          <w:sz w:val="21"/>
          <w:szCs w:val="21"/>
          <w:highlight w:val="none"/>
        </w:rPr>
        <w:t>注：以上内容有一项不符合要求，则视为</w:t>
      </w:r>
      <w:r>
        <w:rPr>
          <w:rFonts w:hint="eastAsia" w:ascii="仿宋" w:hAnsi="仿宋" w:eastAsia="仿宋" w:cs="仿宋"/>
          <w:sz w:val="21"/>
          <w:szCs w:val="21"/>
          <w:highlight w:val="none"/>
          <w:lang w:val="en-US" w:eastAsia="zh-CN"/>
        </w:rPr>
        <w:t>符合性</w:t>
      </w:r>
      <w:r>
        <w:rPr>
          <w:rFonts w:hint="eastAsia" w:ascii="仿宋" w:hAnsi="仿宋" w:eastAsia="仿宋" w:cs="仿宋"/>
          <w:sz w:val="21"/>
          <w:szCs w:val="21"/>
          <w:highlight w:val="none"/>
          <w:lang w:val="zh-CN"/>
        </w:rPr>
        <w:t>审查</w:t>
      </w:r>
      <w:r>
        <w:rPr>
          <w:rFonts w:hint="eastAsia" w:ascii="仿宋" w:hAnsi="仿宋" w:eastAsia="仿宋" w:cs="仿宋"/>
          <w:sz w:val="21"/>
          <w:szCs w:val="21"/>
          <w:highlight w:val="none"/>
        </w:rPr>
        <w:t>不通过，不得进入下一步评审。</w:t>
      </w:r>
    </w:p>
    <w:p w14:paraId="72852ABD">
      <w:pPr>
        <w:pStyle w:val="19"/>
        <w:spacing w:after="0" w:line="560" w:lineRule="exact"/>
        <w:ind w:firstLine="56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三、要求供应商对响应文件有关事项作出书面澄清或者说明（如有）。</w:t>
      </w:r>
    </w:p>
    <w:p w14:paraId="295A22CB">
      <w:pPr>
        <w:pStyle w:val="19"/>
        <w:spacing w:after="0" w:line="560" w:lineRule="exact"/>
        <w:ind w:firstLine="56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四、磋商</w:t>
      </w:r>
    </w:p>
    <w:p w14:paraId="396B2089">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经符合性审查合格的响应文件，磋商小组与供应商分别进行一轮或多轮的磋商。磋商小组调整或修改采购需求内容时，应取得磋商小组的一致同意，并以书面形式通知所有参加磋商的供应商。但任何形式的决定须以符合公平、公正原则和有利于项目的顺利实施为前提。</w:t>
      </w:r>
    </w:p>
    <w:p w14:paraId="015D8553">
      <w:pPr>
        <w:overflowPunct w:val="0"/>
        <w:topLinePunct/>
        <w:autoSpaceDE/>
        <w:autoSpaceDN/>
        <w:spacing w:line="560" w:lineRule="exact"/>
        <w:ind w:firstLine="523" w:firstLineChars="187"/>
        <w:jc w:val="both"/>
        <w:rPr>
          <w:rFonts w:hint="eastAsia" w:ascii="仿宋" w:hAnsi="仿宋" w:eastAsia="仿宋" w:cs="仿宋"/>
          <w:color w:val="auto"/>
          <w:highlight w:val="none"/>
        </w:rPr>
      </w:pPr>
      <w:r>
        <w:rPr>
          <w:rFonts w:hint="eastAsia" w:ascii="仿宋" w:hAnsi="仿宋" w:eastAsia="仿宋"/>
          <w:color w:val="auto"/>
          <w:highlight w:val="none"/>
        </w:rPr>
        <w:t>磋商小组邀请所有合格供应商统一进行二次报价(最终报价)；对未调整或修改采购需求内容</w:t>
      </w:r>
      <w:r>
        <w:rPr>
          <w:rFonts w:hint="eastAsia" w:ascii="仿宋" w:hAnsi="仿宋" w:eastAsia="仿宋"/>
          <w:color w:val="auto"/>
          <w:highlight w:val="none"/>
          <w:lang w:eastAsia="zh-CN"/>
        </w:rPr>
        <w:t>的</w:t>
      </w:r>
      <w:r>
        <w:rPr>
          <w:rFonts w:hint="eastAsia" w:ascii="仿宋" w:hAnsi="仿宋" w:eastAsia="仿宋"/>
          <w:color w:val="auto"/>
          <w:highlight w:val="none"/>
        </w:rPr>
        <w:t>，供应商二次报价（最终报价）不得高于首次报价。调整或修改采购需求内容</w:t>
      </w:r>
      <w:r>
        <w:rPr>
          <w:rFonts w:hint="eastAsia" w:ascii="仿宋" w:hAnsi="仿宋" w:eastAsia="仿宋"/>
          <w:color w:val="auto"/>
          <w:highlight w:val="none"/>
          <w:lang w:eastAsia="zh-CN"/>
        </w:rPr>
        <w:t>的</w:t>
      </w:r>
      <w:r>
        <w:rPr>
          <w:rFonts w:hint="eastAsia" w:ascii="仿宋" w:hAnsi="仿宋" w:eastAsia="仿宋"/>
          <w:color w:val="auto"/>
          <w:highlight w:val="none"/>
        </w:rPr>
        <w:t>，所有供应商均应按照磋商小组调整或修改的采购需求内容进行报价。</w:t>
      </w:r>
    </w:p>
    <w:p w14:paraId="510D411A">
      <w:pPr>
        <w:pStyle w:val="19"/>
        <w:numPr>
          <w:ilvl w:val="0"/>
          <w:numId w:val="6"/>
        </w:numPr>
        <w:spacing w:after="0" w:line="560" w:lineRule="exact"/>
        <w:ind w:firstLine="56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对响应文件进行比较和评价</w:t>
      </w:r>
    </w:p>
    <w:p w14:paraId="7EE76A71">
      <w:pPr>
        <w:pStyle w:val="19"/>
        <w:spacing w:after="0" w:line="560" w:lineRule="exact"/>
        <w:ind w:firstLine="56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本项目评审方法为</w:t>
      </w:r>
      <w:r>
        <w:rPr>
          <w:rFonts w:hint="eastAsia" w:ascii="仿宋" w:hAnsi="仿宋" w:eastAsia="仿宋" w:cs="仿宋"/>
          <w:b/>
          <w:bCs/>
          <w:color w:val="auto"/>
          <w:highlight w:val="none"/>
        </w:rPr>
        <w:t>综合评分法</w:t>
      </w:r>
      <w:r>
        <w:rPr>
          <w:rFonts w:hint="eastAsia" w:ascii="仿宋" w:hAnsi="仿宋" w:eastAsia="仿宋" w:cs="仿宋"/>
          <w:color w:val="auto"/>
          <w:highlight w:val="none"/>
        </w:rPr>
        <w:t>，磋商小组对满足采购文件全部实质性要求的响应文件，按照采购文件规定的评审因素的量化指标进行评审打分，以评审得分从高到低顺序确定成交候选人。</w:t>
      </w:r>
    </w:p>
    <w:p w14:paraId="3A2865AF">
      <w:pPr>
        <w:pStyle w:val="19"/>
        <w:spacing w:after="0" w:line="560" w:lineRule="exact"/>
        <w:ind w:firstLine="630" w:firstLineChars="225"/>
        <w:jc w:val="both"/>
        <w:rPr>
          <w:rFonts w:hint="eastAsia"/>
          <w:color w:val="auto"/>
          <w:highlight w:val="none"/>
        </w:rPr>
      </w:pPr>
      <w:r>
        <w:rPr>
          <w:rFonts w:hint="eastAsia" w:ascii="仿宋" w:hAnsi="仿宋" w:eastAsia="仿宋" w:cs="仿宋"/>
          <w:color w:val="auto"/>
          <w:highlight w:val="none"/>
        </w:rPr>
        <w:t>磋商小组每位成员独立对每个有效供应商的响应文件进行评价、打分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然后汇总每个供应商的得分，计算得分平均值，以平均值由高到低进行排序，按排序顺序推荐</w:t>
      </w:r>
      <w:r>
        <w:rPr>
          <w:rFonts w:hint="eastAsia" w:ascii="仿宋" w:hAnsi="仿宋" w:eastAsia="仿宋"/>
          <w:color w:val="auto"/>
          <w:highlight w:val="none"/>
        </w:rPr>
        <w:t>成交</w:t>
      </w:r>
      <w:r>
        <w:rPr>
          <w:rFonts w:hint="eastAsia" w:ascii="仿宋" w:hAnsi="仿宋" w:eastAsia="仿宋" w:cs="仿宋"/>
          <w:color w:val="auto"/>
          <w:highlight w:val="none"/>
        </w:rPr>
        <w:t>候选人。分值计算保留小数点后两位。</w:t>
      </w:r>
    </w:p>
    <w:p w14:paraId="255F90D8">
      <w:pPr>
        <w:pStyle w:val="19"/>
        <w:spacing w:after="0" w:line="560" w:lineRule="exact"/>
        <w:ind w:firstLine="560" w:firstLineChars="20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六、推荐</w:t>
      </w:r>
      <w:r>
        <w:rPr>
          <w:rFonts w:hint="eastAsia" w:ascii="仿宋" w:hAnsi="仿宋" w:eastAsia="仿宋"/>
          <w:color w:val="auto"/>
          <w:highlight w:val="none"/>
        </w:rPr>
        <w:t>成交</w:t>
      </w:r>
      <w:r>
        <w:rPr>
          <w:rFonts w:hint="eastAsia" w:ascii="仿宋" w:hAnsi="仿宋" w:eastAsia="仿宋" w:cs="仿宋"/>
          <w:color w:val="auto"/>
          <w:highlight w:val="none"/>
        </w:rPr>
        <w:t>候选人名单，或者根据采购人委托直接确定成交供应商</w:t>
      </w:r>
      <w:r>
        <w:rPr>
          <w:rFonts w:hint="eastAsia" w:ascii="仿宋" w:hAnsi="仿宋" w:eastAsia="仿宋" w:cs="仿宋"/>
          <w:color w:val="auto"/>
          <w:highlight w:val="none"/>
          <w:lang w:eastAsia="zh-CN"/>
        </w:rPr>
        <w:t>。</w:t>
      </w:r>
    </w:p>
    <w:p w14:paraId="02FAC2F5">
      <w:pPr>
        <w:overflowPunct w:val="0"/>
        <w:topLinePunct/>
        <w:autoSpaceDE/>
        <w:autoSpaceDN/>
        <w:spacing w:line="560" w:lineRule="exact"/>
        <w:ind w:firstLine="560" w:firstLineChars="200"/>
        <w:jc w:val="both"/>
        <w:rPr>
          <w:rFonts w:hint="eastAsia" w:ascii="仿宋" w:hAnsi="仿宋" w:eastAsia="仿宋"/>
          <w:color w:val="auto"/>
          <w:highlight w:val="none"/>
        </w:rPr>
      </w:pPr>
      <w:r>
        <w:rPr>
          <w:rFonts w:hint="eastAsia" w:ascii="仿宋" w:hAnsi="仿宋" w:eastAsia="仿宋"/>
          <w:color w:val="auto"/>
          <w:highlight w:val="none"/>
        </w:rPr>
        <w:t>七、磋商小组成员有下列情形之一的，应当回避：</w:t>
      </w:r>
    </w:p>
    <w:p w14:paraId="6274B56F">
      <w:pPr>
        <w:overflowPunct w:val="0"/>
        <w:topLinePunct/>
        <w:autoSpaceDE/>
        <w:autoSpaceDN/>
        <w:spacing w:line="560" w:lineRule="exact"/>
        <w:ind w:firstLine="523" w:firstLineChars="187"/>
        <w:jc w:val="both"/>
        <w:rPr>
          <w:rFonts w:hint="eastAsia" w:ascii="仿宋" w:hAnsi="仿宋" w:eastAsia="仿宋"/>
          <w:color w:val="auto"/>
          <w:highlight w:val="none"/>
          <w:lang w:eastAsia="zh-CN"/>
        </w:rPr>
      </w:pPr>
      <w:r>
        <w:rPr>
          <w:rFonts w:hint="eastAsia" w:ascii="仿宋" w:hAnsi="仿宋" w:eastAsia="仿宋"/>
          <w:color w:val="auto"/>
          <w:highlight w:val="none"/>
        </w:rPr>
        <w:t>1、采购人或供应商的主要负责人的近亲属</w:t>
      </w:r>
      <w:r>
        <w:rPr>
          <w:rFonts w:hint="eastAsia" w:ascii="仿宋" w:hAnsi="仿宋" w:eastAsia="仿宋"/>
          <w:color w:val="auto"/>
          <w:highlight w:val="none"/>
          <w:lang w:eastAsia="zh-CN"/>
        </w:rPr>
        <w:t>；</w:t>
      </w:r>
    </w:p>
    <w:p w14:paraId="3AEEEA8E">
      <w:pPr>
        <w:overflowPunct w:val="0"/>
        <w:topLinePunct/>
        <w:autoSpaceDE/>
        <w:autoSpaceDN/>
        <w:spacing w:line="560" w:lineRule="exact"/>
        <w:ind w:firstLine="523" w:firstLineChars="187"/>
        <w:jc w:val="both"/>
        <w:rPr>
          <w:rFonts w:hint="eastAsia" w:ascii="仿宋" w:hAnsi="仿宋" w:eastAsia="仿宋"/>
          <w:color w:val="auto"/>
          <w:highlight w:val="none"/>
          <w:lang w:eastAsia="zh-CN"/>
        </w:rPr>
      </w:pPr>
      <w:r>
        <w:rPr>
          <w:rFonts w:hint="eastAsia" w:ascii="仿宋" w:hAnsi="仿宋" w:eastAsia="仿宋"/>
          <w:color w:val="auto"/>
          <w:highlight w:val="none"/>
        </w:rPr>
        <w:t>2、项目主管部门或者行政监督部门的人员</w:t>
      </w:r>
      <w:r>
        <w:rPr>
          <w:rFonts w:hint="eastAsia" w:ascii="仿宋" w:hAnsi="仿宋" w:eastAsia="仿宋"/>
          <w:color w:val="auto"/>
          <w:highlight w:val="none"/>
          <w:lang w:eastAsia="zh-CN"/>
        </w:rPr>
        <w:t>；</w:t>
      </w:r>
    </w:p>
    <w:p w14:paraId="4C3E0E46">
      <w:pPr>
        <w:overflowPunct w:val="0"/>
        <w:topLinePunct/>
        <w:autoSpaceDE/>
        <w:autoSpaceDN/>
        <w:spacing w:line="560" w:lineRule="exact"/>
        <w:ind w:firstLine="523" w:firstLineChars="187"/>
        <w:jc w:val="both"/>
        <w:rPr>
          <w:rFonts w:hint="eastAsia" w:ascii="仿宋" w:hAnsi="仿宋" w:eastAsia="仿宋"/>
          <w:color w:val="auto"/>
          <w:highlight w:val="none"/>
          <w:lang w:eastAsia="zh-CN"/>
        </w:rPr>
      </w:pPr>
      <w:r>
        <w:rPr>
          <w:rFonts w:hint="eastAsia" w:ascii="仿宋" w:hAnsi="仿宋" w:eastAsia="仿宋"/>
          <w:color w:val="auto"/>
          <w:highlight w:val="none"/>
        </w:rPr>
        <w:t>3、与供应商有经济利益关系，可能影响对采购公正评审的</w:t>
      </w:r>
      <w:r>
        <w:rPr>
          <w:rFonts w:hint="eastAsia" w:ascii="仿宋" w:hAnsi="仿宋" w:eastAsia="仿宋"/>
          <w:color w:val="auto"/>
          <w:highlight w:val="none"/>
          <w:lang w:eastAsia="zh-CN"/>
        </w:rPr>
        <w:t>；</w:t>
      </w:r>
    </w:p>
    <w:p w14:paraId="16B6E073">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4、曾因在招标、评标以及其他与招标投标有关活动中从事违法行为而受过行政处罚或刑事处罚的。</w:t>
      </w:r>
    </w:p>
    <w:p w14:paraId="4FB1FB78">
      <w:pPr>
        <w:pStyle w:val="19"/>
        <w:spacing w:after="0" w:line="560" w:lineRule="exact"/>
        <w:ind w:firstLine="632" w:firstLineChars="225"/>
        <w:jc w:val="both"/>
        <w:rPr>
          <w:rFonts w:hint="eastAsia" w:ascii="仿宋" w:hAnsi="仿宋" w:eastAsia="仿宋" w:cs="仿宋"/>
          <w:color w:val="auto"/>
          <w:highlight w:val="none"/>
        </w:rPr>
      </w:pPr>
      <w:r>
        <w:rPr>
          <w:rFonts w:hint="eastAsia" w:ascii="仿宋" w:hAnsi="仿宋" w:eastAsia="仿宋" w:cs="仿宋"/>
          <w:b/>
          <w:bCs/>
          <w:color w:val="auto"/>
          <w:highlight w:val="none"/>
        </w:rPr>
        <w:t>评审标准中应考虑下列因素：</w:t>
      </w:r>
    </w:p>
    <w:p w14:paraId="02D81D88">
      <w:pPr>
        <w:tabs>
          <w:tab w:val="left" w:pos="1080"/>
          <w:tab w:val="left" w:pos="1155"/>
        </w:tabs>
        <w:overflowPunct w:val="0"/>
        <w:topLinePunct/>
        <w:autoSpaceDE/>
        <w:autoSpaceDN/>
        <w:spacing w:line="560" w:lineRule="exact"/>
        <w:ind w:firstLine="554" w:firstLineChars="198"/>
        <w:jc w:val="both"/>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pacing w:val="-6"/>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司法部关于政府采购支持监狱企业发展有关问题的通知》（财库〔2014〕68号）和《三部门联合发布关于促进残疾人就业政府采购政策的通知》（财库〔2017〕141号）的规定，</w:t>
      </w:r>
      <w:r>
        <w:rPr>
          <w:rFonts w:hint="eastAsia" w:ascii="仿宋" w:hAnsi="仿宋" w:eastAsia="仿宋"/>
          <w:color w:val="auto"/>
          <w:highlight w:val="none"/>
        </w:rPr>
        <w:t>对于非专门面向</w:t>
      </w:r>
      <w:r>
        <w:rPr>
          <w:rFonts w:hint="eastAsia" w:ascii="仿宋" w:hAnsi="仿宋" w:eastAsia="仿宋"/>
          <w:color w:val="auto"/>
          <w:highlight w:val="none"/>
          <w:lang w:val="en-US" w:eastAsia="zh-CN"/>
        </w:rPr>
        <w:t>中小</w:t>
      </w:r>
      <w:r>
        <w:rPr>
          <w:rFonts w:hint="eastAsia" w:ascii="仿宋" w:hAnsi="仿宋" w:eastAsia="仿宋"/>
          <w:color w:val="auto"/>
          <w:highlight w:val="none"/>
        </w:rPr>
        <w:t>企业的采购项目</w:t>
      </w:r>
      <w:r>
        <w:rPr>
          <w:rFonts w:hint="eastAsia" w:ascii="仿宋" w:hAnsi="仿宋" w:eastAsia="仿宋"/>
          <w:color w:val="auto"/>
          <w:highlight w:val="none"/>
          <w:lang w:eastAsia="zh-CN"/>
        </w:rPr>
        <w:t>，</w:t>
      </w:r>
      <w:r>
        <w:rPr>
          <w:rFonts w:hint="eastAsia" w:ascii="仿宋" w:hAnsi="仿宋" w:eastAsia="仿宋" w:cs="仿宋"/>
          <w:color w:val="auto"/>
          <w:spacing w:val="-6"/>
          <w:highlight w:val="none"/>
        </w:rPr>
        <w:t>对满足价格扣除条件且在响应文件中提交了《中小企业声明函》、《残疾人福利性单位声明函》、《</w:t>
      </w:r>
      <w:r>
        <w:rPr>
          <w:rFonts w:hint="eastAsia" w:ascii="仿宋" w:hAnsi="仿宋" w:eastAsia="仿宋" w:cs="仿宋"/>
          <w:color w:val="auto"/>
          <w:spacing w:val="-6"/>
          <w:highlight w:val="none"/>
          <w:lang w:val="zh-CN"/>
        </w:rPr>
        <w:t>监狱、戒毒企业声明函》</w:t>
      </w:r>
      <w:r>
        <w:rPr>
          <w:rFonts w:hint="eastAsia" w:ascii="仿宋" w:hAnsi="仿宋" w:eastAsia="仿宋" w:cs="仿宋"/>
          <w:color w:val="auto"/>
          <w:spacing w:val="-6"/>
          <w:highlight w:val="none"/>
        </w:rPr>
        <w:t>的供应商，其磋商报价扣除10%后参与评审</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rPr>
        <w:t>对于同时属于小微企业、监狱企业、残疾人福利性单位的，不重复进行报价扣除。</w:t>
      </w:r>
    </w:p>
    <w:p w14:paraId="12AA42E5">
      <w:pPr>
        <w:tabs>
          <w:tab w:val="left" w:pos="1080"/>
          <w:tab w:val="left" w:pos="1155"/>
        </w:tabs>
        <w:overflowPunct w:val="0"/>
        <w:topLinePunct/>
        <w:autoSpaceDE/>
        <w:autoSpaceDN/>
        <w:spacing w:line="560" w:lineRule="exact"/>
        <w:ind w:firstLine="554" w:firstLineChars="198"/>
        <w:jc w:val="both"/>
        <w:rPr>
          <w:rFonts w:hint="eastAsia" w:ascii="仿宋" w:hAnsi="仿宋" w:eastAsia="仿宋" w:cs="仿宋"/>
          <w:color w:val="auto"/>
          <w:highlight w:val="none"/>
        </w:rPr>
      </w:pPr>
      <w:r>
        <w:rPr>
          <w:rFonts w:hint="eastAsia" w:ascii="仿宋" w:hAnsi="仿宋" w:eastAsia="仿宋" w:cs="仿宋"/>
          <w:color w:val="auto"/>
          <w:highlight w:val="none"/>
        </w:rPr>
        <w:t>2.联合协议中约定，小型、微型企业(残疾人福利单位、监狱企业)的协议合同金额占到联合体协议合同总金额30%以上的，可给予联合体4%的价格扣除。</w:t>
      </w:r>
    </w:p>
    <w:p w14:paraId="2856497C">
      <w:pPr>
        <w:tabs>
          <w:tab w:val="left" w:pos="1080"/>
          <w:tab w:val="left" w:pos="1155"/>
        </w:tabs>
        <w:overflowPunct w:val="0"/>
        <w:topLinePunct/>
        <w:autoSpaceDE/>
        <w:autoSpaceDN/>
        <w:spacing w:line="560" w:lineRule="exact"/>
        <w:ind w:firstLine="554" w:firstLineChars="198"/>
        <w:jc w:val="both"/>
        <w:rPr>
          <w:rFonts w:hint="eastAsia" w:ascii="仿宋" w:hAnsi="仿宋" w:eastAsia="仿宋"/>
          <w:color w:val="auto"/>
          <w:highlight w:val="none"/>
        </w:rPr>
      </w:pPr>
      <w:r>
        <w:rPr>
          <w:rFonts w:hint="eastAsia" w:ascii="仿宋" w:hAnsi="仿宋" w:eastAsia="仿宋" w:cs="仿宋"/>
          <w:color w:val="auto"/>
          <w:highlight w:val="none"/>
        </w:rPr>
        <w:t>联合体各方均为小型、微型企业(残疾人福利单位、监狱企业)的，联合体视同为小型、微型企业(残疾人福利单位、监狱企业)。</w:t>
      </w:r>
    </w:p>
    <w:p w14:paraId="0B7CB83A">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3.</w:t>
      </w:r>
      <w:r>
        <w:rPr>
          <w:rFonts w:hint="eastAsia" w:ascii="仿宋" w:hAnsi="仿宋" w:eastAsia="仿宋" w:cs="仿宋"/>
          <w:color w:val="auto"/>
          <w:highlight w:val="none"/>
        </w:rPr>
        <w:t>磋商小组</w:t>
      </w:r>
      <w:r>
        <w:rPr>
          <w:rFonts w:hint="eastAsia" w:ascii="仿宋" w:hAnsi="仿宋" w:eastAsia="仿宋"/>
          <w:color w:val="auto"/>
          <w:highlight w:val="none"/>
        </w:rPr>
        <w:t>成员有下列情形之一的，应当回避：</w:t>
      </w:r>
    </w:p>
    <w:p w14:paraId="723EDA86">
      <w:pPr>
        <w:overflowPunct w:val="0"/>
        <w:topLinePunct/>
        <w:autoSpaceDE/>
        <w:autoSpaceDN/>
        <w:spacing w:line="560" w:lineRule="exact"/>
        <w:ind w:firstLine="523" w:firstLineChars="187"/>
        <w:jc w:val="both"/>
        <w:rPr>
          <w:rFonts w:hint="eastAsia" w:ascii="仿宋" w:hAnsi="仿宋" w:eastAsia="仿宋"/>
          <w:color w:val="auto"/>
          <w:highlight w:val="none"/>
          <w:lang w:eastAsia="zh-CN"/>
        </w:rPr>
      </w:pPr>
      <w:r>
        <w:rPr>
          <w:rFonts w:hint="eastAsia" w:ascii="仿宋" w:hAnsi="仿宋" w:eastAsia="仿宋"/>
          <w:color w:val="auto"/>
          <w:highlight w:val="none"/>
        </w:rPr>
        <w:t>A.采购人或供应商的主要负责人的近亲属</w:t>
      </w:r>
      <w:r>
        <w:rPr>
          <w:rFonts w:hint="eastAsia" w:ascii="仿宋" w:hAnsi="仿宋" w:eastAsia="仿宋"/>
          <w:color w:val="auto"/>
          <w:highlight w:val="none"/>
          <w:lang w:eastAsia="zh-CN"/>
        </w:rPr>
        <w:t>；</w:t>
      </w:r>
    </w:p>
    <w:p w14:paraId="29EB2E4A">
      <w:pPr>
        <w:overflowPunct w:val="0"/>
        <w:topLinePunct/>
        <w:autoSpaceDE/>
        <w:autoSpaceDN/>
        <w:spacing w:line="560" w:lineRule="exact"/>
        <w:ind w:firstLine="523" w:firstLineChars="187"/>
        <w:jc w:val="both"/>
        <w:rPr>
          <w:rFonts w:hint="eastAsia" w:ascii="仿宋" w:hAnsi="仿宋" w:eastAsia="仿宋"/>
          <w:color w:val="auto"/>
          <w:highlight w:val="none"/>
          <w:lang w:eastAsia="zh-CN"/>
        </w:rPr>
      </w:pPr>
      <w:r>
        <w:rPr>
          <w:rFonts w:hint="eastAsia" w:ascii="仿宋" w:hAnsi="仿宋" w:eastAsia="仿宋"/>
          <w:color w:val="auto"/>
          <w:highlight w:val="none"/>
        </w:rPr>
        <w:t>B.项目主管部门或者行政监督部门的人员</w:t>
      </w:r>
      <w:r>
        <w:rPr>
          <w:rFonts w:hint="eastAsia" w:ascii="仿宋" w:hAnsi="仿宋" w:eastAsia="仿宋"/>
          <w:color w:val="auto"/>
          <w:highlight w:val="none"/>
          <w:lang w:eastAsia="zh-CN"/>
        </w:rPr>
        <w:t>；</w:t>
      </w:r>
    </w:p>
    <w:p w14:paraId="3F3EF55D">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C.与供应商有经济利益关系，可能影响对采购公正评审的</w:t>
      </w:r>
      <w:r>
        <w:rPr>
          <w:rFonts w:hint="eastAsia" w:ascii="仿宋" w:hAnsi="仿宋" w:eastAsia="仿宋"/>
          <w:color w:val="auto"/>
          <w:highlight w:val="none"/>
          <w:lang w:eastAsia="zh-CN"/>
        </w:rPr>
        <w:t>；</w:t>
      </w:r>
    </w:p>
    <w:p w14:paraId="03DA6DDE">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D.曾因在招标、评标以及其他与招标投标有关活动中从事违法行为而受过行政处罚或刑事处罚的。</w:t>
      </w:r>
    </w:p>
    <w:p w14:paraId="7684FD3E">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4.</w:t>
      </w:r>
      <w:r>
        <w:rPr>
          <w:rFonts w:hint="eastAsia" w:ascii="仿宋" w:hAnsi="仿宋" w:eastAsia="仿宋" w:cs="仿宋"/>
          <w:color w:val="auto"/>
          <w:highlight w:val="none"/>
        </w:rPr>
        <w:t>磋商小组</w:t>
      </w:r>
      <w:r>
        <w:rPr>
          <w:rFonts w:hint="eastAsia" w:ascii="仿宋" w:hAnsi="仿宋" w:eastAsia="仿宋"/>
          <w:color w:val="auto"/>
          <w:highlight w:val="none"/>
        </w:rPr>
        <w:t>独立履行下列职责和义务：</w:t>
      </w:r>
    </w:p>
    <w:p w14:paraId="34D2AFB2">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A.职责：审查响应文件是否符合采购文件要求，并作出评价；要求供应商对响应文件有关事项作出解释或者澄清；推荐成交候选人名单，或者受采购人委托按照事先确定的办法直接确定成交供应商；向采购人、采购代理机构或者有关部门报告非法干预评审工作的行为。</w:t>
      </w:r>
    </w:p>
    <w:p w14:paraId="3038C697">
      <w:pPr>
        <w:overflowPunct w:val="0"/>
        <w:topLinePunct/>
        <w:autoSpaceDE/>
        <w:autoSpaceDN/>
        <w:spacing w:line="560" w:lineRule="exact"/>
        <w:ind w:firstLine="523" w:firstLineChars="187"/>
        <w:jc w:val="both"/>
        <w:rPr>
          <w:rFonts w:hint="eastAsia" w:ascii="仿宋" w:hAnsi="仿宋" w:eastAsia="仿宋"/>
          <w:color w:val="auto"/>
          <w:highlight w:val="none"/>
        </w:rPr>
      </w:pPr>
      <w:r>
        <w:rPr>
          <w:rFonts w:hint="eastAsia" w:ascii="仿宋" w:hAnsi="仿宋" w:eastAsia="仿宋"/>
          <w:color w:val="auto"/>
          <w:highlight w:val="none"/>
        </w:rPr>
        <w:t>B.义务：遵纪守法，客观、公正、廉洁地履行职责；按照采购文件规定的评审方法和评审标准进行评审，对评审意见承担个人责任；对评审过程和结果，以及供应商的商业秘密保密；参与评审报告的起草；配合财政部门的投诉处理工作；配合采购人、采购代理机构答复供应商提出的质疑；配合财政部门处理投诉工作。</w:t>
      </w:r>
    </w:p>
    <w:p w14:paraId="7E6D7C7E">
      <w:pPr>
        <w:spacing w:line="560" w:lineRule="exact"/>
        <w:jc w:val="center"/>
        <w:outlineLvl w:val="1"/>
        <w:rPr>
          <w:rFonts w:ascii="仿宋" w:hAnsi="仿宋" w:eastAsia="仿宋"/>
          <w:color w:val="auto"/>
          <w:highlight w:val="none"/>
        </w:rPr>
      </w:pPr>
      <w:r>
        <w:rPr>
          <w:rFonts w:hint="eastAsia"/>
          <w:color w:val="auto"/>
          <w:highlight w:val="none"/>
        </w:rPr>
        <w:br w:type="page"/>
      </w:r>
      <w:r>
        <w:rPr>
          <w:rFonts w:hint="eastAsia" w:ascii="黑体" w:hAnsi="黑体" w:eastAsia="黑体" w:cs="黑体"/>
          <w:color w:val="auto"/>
          <w:szCs w:val="36"/>
          <w:highlight w:val="none"/>
        </w:rPr>
        <w:t>表1   评审要素一览表</w:t>
      </w: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368"/>
        <w:gridCol w:w="6481"/>
      </w:tblGrid>
      <w:tr w14:paraId="2174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287" w:type="dxa"/>
            <w:gridSpan w:val="3"/>
            <w:noWrap w:val="0"/>
            <w:vAlign w:val="center"/>
          </w:tcPr>
          <w:p w14:paraId="67715DA1">
            <w:pPr>
              <w:keepNext w:val="0"/>
              <w:keepLines w:val="0"/>
              <w:pageBreakBefore w:val="0"/>
              <w:widowControl/>
              <w:kinsoku/>
              <w:wordWrap/>
              <w:topLinePunct w:val="0"/>
              <w:autoSpaceDE/>
              <w:autoSpaceDN/>
              <w:bidi w:val="0"/>
              <w:adjustRightInd/>
              <w:spacing w:line="440" w:lineRule="exact"/>
              <w:ind w:left="0" w:leftChars="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1.本项目</w:t>
            </w:r>
            <w:r>
              <w:rPr>
                <w:rFonts w:hint="eastAsia" w:ascii="仿宋" w:hAnsi="仿宋" w:eastAsia="仿宋" w:cs="仿宋"/>
                <w:color w:val="auto"/>
                <w:sz w:val="28"/>
                <w:szCs w:val="28"/>
                <w:highlight w:val="none"/>
              </w:rPr>
              <w:t>采用综合评分法：按照</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文件中规定的各项因素进行综合评审后，评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结果按评审后得分由高到低顺序排列。得分相同的，按</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报价由低到高顺序排列。</w:t>
            </w:r>
          </w:p>
        </w:tc>
      </w:tr>
      <w:tr w14:paraId="645C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287" w:type="dxa"/>
            <w:gridSpan w:val="3"/>
            <w:noWrap w:val="0"/>
            <w:vAlign w:val="center"/>
          </w:tcPr>
          <w:p w14:paraId="1199EEAA">
            <w:pPr>
              <w:keepNext w:val="0"/>
              <w:keepLines w:val="0"/>
              <w:pageBreakBefore w:val="0"/>
              <w:widowControl/>
              <w:kinsoku/>
              <w:wordWrap/>
              <w:topLinePunct w:val="0"/>
              <w:autoSpaceDE/>
              <w:autoSpaceDN/>
              <w:bidi w:val="0"/>
              <w:adjustRightInd/>
              <w:spacing w:line="440" w:lineRule="exact"/>
              <w:ind w:left="0" w:leftChars="0" w:righ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2、评审内容：</w:t>
            </w:r>
          </w:p>
        </w:tc>
      </w:tr>
      <w:tr w14:paraId="7E98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38" w:type="dxa"/>
            <w:noWrap w:val="0"/>
            <w:vAlign w:val="center"/>
          </w:tcPr>
          <w:p w14:paraId="76D535F5">
            <w:pPr>
              <w:keepNext w:val="0"/>
              <w:keepLines w:val="0"/>
              <w:pageBreakBefore w:val="0"/>
              <w:widowControl/>
              <w:kinsoku/>
              <w:wordWrap/>
              <w:topLinePunct w:val="0"/>
              <w:bidi w:val="0"/>
              <w:spacing w:line="440" w:lineRule="exact"/>
              <w:ind w:left="0" w:leftChars="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评审项</w:t>
            </w:r>
          </w:p>
        </w:tc>
        <w:tc>
          <w:tcPr>
            <w:tcW w:w="1368" w:type="dxa"/>
            <w:noWrap w:val="0"/>
            <w:vAlign w:val="center"/>
          </w:tcPr>
          <w:p w14:paraId="762DCC9E">
            <w:pPr>
              <w:keepNext w:val="0"/>
              <w:keepLines w:val="0"/>
              <w:pageBreakBefore w:val="0"/>
              <w:widowControl/>
              <w:kinsoku/>
              <w:wordWrap/>
              <w:topLinePunct w:val="0"/>
              <w:bidi w:val="0"/>
              <w:spacing w:line="440" w:lineRule="exact"/>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p w14:paraId="4B3811BB">
            <w:pPr>
              <w:keepNext w:val="0"/>
              <w:keepLines w:val="0"/>
              <w:pageBreakBefore w:val="0"/>
              <w:widowControl/>
              <w:kinsoku/>
              <w:wordWrap/>
              <w:topLinePunct w:val="0"/>
              <w:bidi w:val="0"/>
              <w:spacing w:line="440" w:lineRule="exact"/>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设置</w:t>
            </w:r>
          </w:p>
          <w:p w14:paraId="729F9592">
            <w:pPr>
              <w:keepNext w:val="0"/>
              <w:keepLines w:val="0"/>
              <w:pageBreakBefore w:val="0"/>
              <w:kinsoku/>
              <w:wordWrap/>
              <w:topLinePunct w:val="0"/>
              <w:bidi w:val="0"/>
              <w:spacing w:line="440" w:lineRule="exact"/>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100分</w:t>
            </w:r>
            <w:r>
              <w:rPr>
                <w:rFonts w:hint="eastAsia" w:ascii="仿宋" w:hAnsi="仿宋" w:eastAsia="仿宋" w:cs="仿宋"/>
                <w:color w:val="auto"/>
                <w:sz w:val="28"/>
                <w:szCs w:val="28"/>
                <w:highlight w:val="none"/>
                <w:lang w:eastAsia="zh-CN"/>
              </w:rPr>
              <w:t>）</w:t>
            </w:r>
          </w:p>
        </w:tc>
        <w:tc>
          <w:tcPr>
            <w:tcW w:w="6481" w:type="dxa"/>
            <w:noWrap w:val="0"/>
            <w:vAlign w:val="center"/>
          </w:tcPr>
          <w:p w14:paraId="5C4BE5B6">
            <w:pPr>
              <w:keepNext w:val="0"/>
              <w:keepLines w:val="0"/>
              <w:pageBreakBefore w:val="0"/>
              <w:widowControl/>
              <w:kinsoku/>
              <w:wordWrap/>
              <w:topLinePunct w:val="0"/>
              <w:bidi w:val="0"/>
              <w:spacing w:line="440" w:lineRule="exact"/>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评审要素</w:t>
            </w:r>
          </w:p>
        </w:tc>
      </w:tr>
      <w:tr w14:paraId="6315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38" w:type="dxa"/>
            <w:noWrap w:val="0"/>
            <w:vAlign w:val="center"/>
          </w:tcPr>
          <w:p w14:paraId="65CA77FB">
            <w:pPr>
              <w:keepNext w:val="0"/>
              <w:keepLines w:val="0"/>
              <w:pageBreakBefore w:val="0"/>
              <w:widowControl/>
              <w:kinsoku/>
              <w:wordWrap/>
              <w:topLinePunct w:val="0"/>
              <w:bidi w:val="0"/>
              <w:spacing w:line="440" w:lineRule="exact"/>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w:t>
            </w:r>
          </w:p>
        </w:tc>
        <w:tc>
          <w:tcPr>
            <w:tcW w:w="1368" w:type="dxa"/>
            <w:noWrap w:val="0"/>
            <w:vAlign w:val="center"/>
          </w:tcPr>
          <w:p w14:paraId="6E3E5CF2">
            <w:pPr>
              <w:keepNext w:val="0"/>
              <w:keepLines w:val="0"/>
              <w:pageBreakBefore w:val="0"/>
              <w:widowControl/>
              <w:kinsoku/>
              <w:wordWrap/>
              <w:topLinePunct w:val="0"/>
              <w:bidi w:val="0"/>
              <w:spacing w:line="440" w:lineRule="exact"/>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c>
          <w:tcPr>
            <w:tcW w:w="6481" w:type="dxa"/>
            <w:noWrap w:val="0"/>
            <w:vAlign w:val="center"/>
          </w:tcPr>
          <w:p w14:paraId="09FCF2A5">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磋商报价分：以按照磋商文件规定修正后的所有合格供应商的评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价的最低价作为评分基准价。磋商报价的价格分按下式计算：价格分=（评分基准价/评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价）×基准分值</w:t>
            </w:r>
          </w:p>
        </w:tc>
      </w:tr>
      <w:tr w14:paraId="7D41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noWrap w:val="0"/>
            <w:vAlign w:val="center"/>
          </w:tcPr>
          <w:p w14:paraId="46F6492F">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总体设计方案及说明</w:t>
            </w:r>
          </w:p>
        </w:tc>
        <w:tc>
          <w:tcPr>
            <w:tcW w:w="1368" w:type="dxa"/>
            <w:noWrap w:val="0"/>
            <w:vAlign w:val="center"/>
          </w:tcPr>
          <w:p w14:paraId="3DEBC420">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15分</w:t>
            </w:r>
          </w:p>
        </w:tc>
        <w:tc>
          <w:tcPr>
            <w:tcW w:w="6481" w:type="dxa"/>
            <w:noWrap w:val="0"/>
            <w:vAlign w:val="center"/>
          </w:tcPr>
          <w:p w14:paraId="0479CBDC">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①总体设计方案及说明完善、详实程度和设计方案思想先进、技术具有前瞻性、内容全面得（10-15]分；</w:t>
            </w:r>
          </w:p>
          <w:p w14:paraId="2CF1B996">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②总体设计方案及说明较完善、详实程度和设计方案考虑全面、技术具有前瞻性，内容较全面得（4-10]分；</w:t>
            </w:r>
          </w:p>
          <w:p w14:paraId="41ED527A">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③总体设计方案及说明一般、详实程度和设计方案不全面、技术一般、内容不全面得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0-4]分。</w:t>
            </w:r>
          </w:p>
        </w:tc>
      </w:tr>
      <w:tr w14:paraId="5C80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38" w:type="dxa"/>
            <w:noWrap w:val="0"/>
            <w:vAlign w:val="center"/>
          </w:tcPr>
          <w:p w14:paraId="62D48B30">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设计机构人员配置和岗位说明</w:t>
            </w:r>
          </w:p>
        </w:tc>
        <w:tc>
          <w:tcPr>
            <w:tcW w:w="1368" w:type="dxa"/>
            <w:noWrap w:val="0"/>
            <w:vAlign w:val="center"/>
          </w:tcPr>
          <w:p w14:paraId="60E9981C">
            <w:pPr>
              <w:keepNext w:val="0"/>
              <w:keepLines w:val="0"/>
              <w:pageBreakBefore w:val="0"/>
              <w:widowControl/>
              <w:kinsoku/>
              <w:wordWrap/>
              <w:overflowPunct/>
              <w:topLinePunct w:val="0"/>
              <w:bidi w:val="0"/>
              <w:snapToGrid/>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7分</w:t>
            </w:r>
          </w:p>
        </w:tc>
        <w:tc>
          <w:tcPr>
            <w:tcW w:w="6481" w:type="dxa"/>
            <w:noWrap w:val="0"/>
            <w:vAlign w:val="center"/>
          </w:tcPr>
          <w:p w14:paraId="346F4099">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项目组成人员：从人员数量、素质、专业搭配等方面对比评审。</w:t>
            </w:r>
          </w:p>
          <w:p w14:paraId="21EE2521">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①人员数量充足，专业配备合理齐全，人员资历、素质较高，得</w:t>
            </w:r>
            <w:r>
              <w:rPr>
                <w:rFonts w:hint="eastAsia" w:ascii="仿宋" w:hAnsi="仿宋" w:eastAsia="仿宋" w:cs="仿宋"/>
                <w:color w:val="auto"/>
                <w:sz w:val="28"/>
                <w:szCs w:val="28"/>
                <w:highlight w:val="none"/>
                <w:lang w:val="en-US" w:eastAsia="zh-CN"/>
              </w:rPr>
              <w:t>（5-7]分</w:t>
            </w:r>
            <w:r>
              <w:rPr>
                <w:rFonts w:hint="eastAsia" w:ascii="仿宋" w:hAnsi="仿宋" w:eastAsia="仿宋" w:cs="仿宋"/>
                <w:color w:val="auto"/>
                <w:sz w:val="28"/>
                <w:szCs w:val="28"/>
                <w:highlight w:val="none"/>
              </w:rPr>
              <w:t>；</w:t>
            </w:r>
          </w:p>
          <w:p w14:paraId="2A8A731E">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②人员数量满足项目要求，专业配备一般，人员资历、素质符合项目要求，得（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w:t>
            </w:r>
          </w:p>
          <w:p w14:paraId="1FCECDC6">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③人员数量较少，专业配备、人员资历、素质一般，得[</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w:t>
            </w:r>
          </w:p>
        </w:tc>
      </w:tr>
      <w:tr w14:paraId="53FE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438" w:type="dxa"/>
            <w:noWrap w:val="0"/>
            <w:vAlign w:val="center"/>
          </w:tcPr>
          <w:p w14:paraId="1F5832E2">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ascii="仿宋_GB2312" w:hAnsi="仿宋_GB2312" w:eastAsia="仿宋_GB2312" w:cs="仿宋_GB2312"/>
                <w:highlight w:val="none"/>
              </w:rPr>
              <w:t>设计阶段工程造价控制措施</w:t>
            </w:r>
          </w:p>
        </w:tc>
        <w:tc>
          <w:tcPr>
            <w:tcW w:w="1368" w:type="dxa"/>
            <w:noWrap w:val="0"/>
            <w:vAlign w:val="center"/>
          </w:tcPr>
          <w:p w14:paraId="5A0B72A9">
            <w:pPr>
              <w:keepNext w:val="0"/>
              <w:keepLines w:val="0"/>
              <w:pageBreakBefore w:val="0"/>
              <w:widowControl/>
              <w:kinsoku/>
              <w:wordWrap/>
              <w:overflowPunct/>
              <w:topLinePunct w:val="0"/>
              <w:bidi w:val="0"/>
              <w:snapToGrid/>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c>
          <w:tcPr>
            <w:tcW w:w="6481" w:type="dxa"/>
            <w:noWrap w:val="0"/>
            <w:vAlign w:val="center"/>
          </w:tcPr>
          <w:p w14:paraId="1316E997">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①</w:t>
            </w:r>
            <w:r>
              <w:rPr>
                <w:rFonts w:ascii="仿宋_GB2312" w:hAnsi="仿宋_GB2312" w:eastAsia="仿宋_GB2312" w:cs="仿宋_GB2312"/>
                <w:highlight w:val="none"/>
              </w:rPr>
              <w:t>控制措施内容完整，描述详尽，针对性、可行性强得</w:t>
            </w:r>
            <w:r>
              <w:rPr>
                <w:rFonts w:hint="eastAsia" w:ascii="仿宋_GB2312" w:hAnsi="仿宋_GB2312" w:eastAsia="仿宋_GB2312" w:cs="仿宋_GB2312"/>
                <w:highlight w:val="none"/>
              </w:rPr>
              <w:t>（7-10]分</w:t>
            </w:r>
            <w:r>
              <w:rPr>
                <w:rFonts w:ascii="仿宋_GB2312" w:hAnsi="仿宋_GB2312" w:eastAsia="仿宋_GB2312" w:cs="仿宋_GB2312"/>
                <w:highlight w:val="none"/>
              </w:rPr>
              <w:t>；</w:t>
            </w:r>
            <w:r>
              <w:rPr>
                <w:rFonts w:hint="eastAsia" w:ascii="仿宋" w:hAnsi="仿宋" w:eastAsia="仿宋" w:cs="仿宋"/>
                <w:color w:val="auto"/>
                <w:sz w:val="28"/>
                <w:szCs w:val="28"/>
                <w:highlight w:val="none"/>
                <w:lang w:val="en-US" w:eastAsia="zh-CN"/>
              </w:rPr>
              <w:t>②</w:t>
            </w:r>
            <w:r>
              <w:rPr>
                <w:rFonts w:ascii="仿宋_GB2312" w:hAnsi="仿宋_GB2312" w:eastAsia="仿宋_GB2312" w:cs="仿宋_GB2312"/>
                <w:highlight w:val="none"/>
              </w:rPr>
              <w:t>控制措施描述清晰但不够完整，基本合理，针对性、可行性一般得</w:t>
            </w:r>
            <w:r>
              <w:rPr>
                <w:rFonts w:hint="eastAsia" w:ascii="仿宋_GB2312" w:hAnsi="仿宋_GB2312" w:eastAsia="仿宋_GB2312" w:cs="仿宋_GB2312"/>
                <w:highlight w:val="none"/>
              </w:rPr>
              <w:t>（3-7]分</w:t>
            </w:r>
            <w:r>
              <w:rPr>
                <w:rFonts w:ascii="仿宋_GB2312" w:hAnsi="仿宋_GB2312" w:eastAsia="仿宋_GB2312" w:cs="仿宋_GB2312"/>
                <w:highlight w:val="none"/>
              </w:rPr>
              <w:t>；</w:t>
            </w:r>
            <w:r>
              <w:rPr>
                <w:rFonts w:hint="eastAsia" w:ascii="仿宋" w:hAnsi="仿宋" w:eastAsia="仿宋" w:cs="仿宋"/>
                <w:color w:val="auto"/>
                <w:sz w:val="28"/>
                <w:szCs w:val="28"/>
                <w:highlight w:val="none"/>
              </w:rPr>
              <w:t>③</w:t>
            </w:r>
            <w:r>
              <w:rPr>
                <w:rFonts w:ascii="仿宋_GB2312" w:hAnsi="仿宋_GB2312" w:eastAsia="仿宋_GB2312" w:cs="仿宋_GB2312"/>
                <w:highlight w:val="none"/>
              </w:rPr>
              <w:t>控制措施描述简单，合理性、严谨度一般，针对性、可行性一般，得</w:t>
            </w:r>
            <w:r>
              <w:rPr>
                <w:rFonts w:hint="eastAsia" w:ascii="仿宋" w:hAnsi="仿宋" w:eastAsia="仿宋" w:cs="仿宋"/>
                <w:color w:val="auto"/>
                <w:sz w:val="28"/>
                <w:szCs w:val="28"/>
                <w:highlight w:val="none"/>
              </w:rPr>
              <w:t>[</w:t>
            </w:r>
            <w:r>
              <w:rPr>
                <w:rFonts w:hint="eastAsia" w:ascii="仿宋_GB2312" w:hAnsi="仿宋_GB2312" w:eastAsia="仿宋_GB2312" w:cs="仿宋_GB2312"/>
                <w:highlight w:val="none"/>
              </w:rPr>
              <w:t>0-3]分</w:t>
            </w:r>
            <w:r>
              <w:rPr>
                <w:rFonts w:ascii="仿宋_GB2312" w:hAnsi="仿宋_GB2312" w:eastAsia="仿宋_GB2312" w:cs="仿宋_GB2312"/>
                <w:highlight w:val="none"/>
              </w:rPr>
              <w:t>；</w:t>
            </w:r>
          </w:p>
        </w:tc>
      </w:tr>
      <w:tr w14:paraId="4299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438" w:type="dxa"/>
            <w:noWrap w:val="0"/>
            <w:vAlign w:val="center"/>
          </w:tcPr>
          <w:p w14:paraId="0A26375D">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进度计划及进度保证措施</w:t>
            </w:r>
          </w:p>
        </w:tc>
        <w:tc>
          <w:tcPr>
            <w:tcW w:w="1368" w:type="dxa"/>
            <w:noWrap w:val="0"/>
            <w:vAlign w:val="center"/>
          </w:tcPr>
          <w:p w14:paraId="730CC783">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c>
          <w:tcPr>
            <w:tcW w:w="6481" w:type="dxa"/>
            <w:shd w:val="clear" w:color="auto" w:fill="auto"/>
            <w:noWrap w:val="0"/>
            <w:vAlign w:val="center"/>
          </w:tcPr>
          <w:p w14:paraId="3F4E5082">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①设计进度安排、进度保障、人员管理、耽误工作进度处罚措施、工作进度监督与沟通措施合理，</w:t>
            </w:r>
            <w:r>
              <w:rPr>
                <w:rFonts w:hint="eastAsia" w:ascii="仿宋" w:hAnsi="仿宋" w:eastAsia="仿宋" w:cs="仿宋"/>
                <w:color w:val="auto"/>
                <w:sz w:val="28"/>
                <w:szCs w:val="28"/>
                <w:highlight w:val="none"/>
              </w:rPr>
              <w:t>得（7-10]分；</w:t>
            </w:r>
          </w:p>
          <w:p w14:paraId="6A2F6EB2">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设计进度安排、进度保障、人员管理、耽误工作进度处罚措施、工作进度监督与沟通措施</w:t>
            </w:r>
            <w:r>
              <w:rPr>
                <w:rFonts w:hint="eastAsia" w:ascii="仿宋" w:hAnsi="仿宋" w:eastAsia="仿宋" w:cs="仿宋"/>
                <w:color w:val="auto"/>
                <w:sz w:val="28"/>
                <w:szCs w:val="28"/>
                <w:highlight w:val="none"/>
              </w:rPr>
              <w:t>一般，得（3-7]分；</w:t>
            </w:r>
          </w:p>
          <w:p w14:paraId="0AB457E3">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设计进度安排、进度保障、人员管理、耽误工作进度处罚措施、工作进度监督与沟通措施</w:t>
            </w:r>
            <w:r>
              <w:rPr>
                <w:rFonts w:hint="eastAsia" w:ascii="仿宋" w:hAnsi="仿宋" w:eastAsia="仿宋" w:cs="仿宋"/>
                <w:color w:val="auto"/>
                <w:sz w:val="28"/>
                <w:szCs w:val="28"/>
                <w:highlight w:val="none"/>
              </w:rPr>
              <w:t>较差，得[0-3]分</w:t>
            </w:r>
            <w:r>
              <w:rPr>
                <w:rFonts w:hint="eastAsia" w:ascii="仿宋" w:hAnsi="仿宋" w:eastAsia="仿宋" w:cs="仿宋"/>
                <w:color w:val="auto"/>
                <w:sz w:val="28"/>
                <w:szCs w:val="28"/>
                <w:highlight w:val="none"/>
                <w:lang w:eastAsia="zh-CN"/>
              </w:rPr>
              <w:t>。</w:t>
            </w:r>
          </w:p>
        </w:tc>
      </w:tr>
      <w:tr w14:paraId="058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438" w:type="dxa"/>
            <w:noWrap w:val="0"/>
            <w:vAlign w:val="center"/>
          </w:tcPr>
          <w:p w14:paraId="6B4FF52B">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设计质量保证措施</w:t>
            </w:r>
          </w:p>
        </w:tc>
        <w:tc>
          <w:tcPr>
            <w:tcW w:w="1368" w:type="dxa"/>
            <w:noWrap w:val="0"/>
            <w:vAlign w:val="center"/>
          </w:tcPr>
          <w:p w14:paraId="3CA4D27F">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c>
          <w:tcPr>
            <w:tcW w:w="6481" w:type="dxa"/>
            <w:noWrap w:val="0"/>
            <w:vAlign w:val="center"/>
          </w:tcPr>
          <w:p w14:paraId="3806C2E8">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质量保证</w:t>
            </w:r>
            <w:r>
              <w:rPr>
                <w:rFonts w:hint="eastAsia" w:ascii="仿宋" w:hAnsi="仿宋" w:eastAsia="仿宋" w:cs="仿宋"/>
                <w:color w:val="auto"/>
                <w:sz w:val="28"/>
                <w:szCs w:val="28"/>
                <w:highlight w:val="none"/>
              </w:rPr>
              <w:t>措施科学、合理、可行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得</w:t>
            </w:r>
            <w:r>
              <w:rPr>
                <w:rFonts w:hint="eastAsia" w:ascii="仿宋" w:hAnsi="仿宋" w:eastAsia="仿宋" w:cs="仿宋"/>
                <w:color w:val="auto"/>
                <w:sz w:val="28"/>
                <w:szCs w:val="28"/>
                <w:highlight w:val="none"/>
              </w:rPr>
              <w:t>（7-10]分；</w:t>
            </w:r>
          </w:p>
          <w:p w14:paraId="54D24313">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质量保证</w:t>
            </w:r>
            <w:r>
              <w:rPr>
                <w:rFonts w:hint="eastAsia" w:ascii="仿宋" w:hAnsi="仿宋" w:eastAsia="仿宋" w:cs="仿宋"/>
                <w:color w:val="auto"/>
                <w:sz w:val="28"/>
                <w:szCs w:val="28"/>
                <w:highlight w:val="none"/>
              </w:rPr>
              <w:t>措施科学、合理、可行</w:t>
            </w:r>
            <w:r>
              <w:rPr>
                <w:rFonts w:hint="eastAsia" w:ascii="仿宋" w:hAnsi="仿宋" w:eastAsia="仿宋" w:cs="仿宋"/>
                <w:color w:val="auto"/>
                <w:sz w:val="28"/>
                <w:szCs w:val="28"/>
                <w:highlight w:val="none"/>
                <w:lang w:val="en-US" w:eastAsia="zh-CN"/>
              </w:rPr>
              <w:t>性一般</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得</w:t>
            </w:r>
            <w:r>
              <w:rPr>
                <w:rFonts w:hint="eastAsia" w:ascii="仿宋" w:hAnsi="仿宋" w:eastAsia="仿宋" w:cs="仿宋"/>
                <w:color w:val="auto"/>
                <w:sz w:val="28"/>
                <w:szCs w:val="28"/>
                <w:highlight w:val="none"/>
              </w:rPr>
              <w:t>（3-7]分</w:t>
            </w:r>
            <w:r>
              <w:rPr>
                <w:rFonts w:hint="eastAsia" w:ascii="仿宋" w:hAnsi="仿宋" w:eastAsia="仿宋" w:cs="仿宋"/>
                <w:color w:val="auto"/>
                <w:sz w:val="28"/>
                <w:szCs w:val="28"/>
                <w:highlight w:val="none"/>
                <w:lang w:eastAsia="zh-CN"/>
              </w:rPr>
              <w:t>；</w:t>
            </w:r>
          </w:p>
          <w:p w14:paraId="56E6F7B3">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质量保证</w:t>
            </w:r>
            <w:r>
              <w:rPr>
                <w:rFonts w:hint="eastAsia" w:ascii="仿宋" w:hAnsi="仿宋" w:eastAsia="仿宋" w:cs="仿宋"/>
                <w:color w:val="auto"/>
                <w:sz w:val="28"/>
                <w:szCs w:val="28"/>
                <w:highlight w:val="none"/>
              </w:rPr>
              <w:t>措施</w:t>
            </w:r>
            <w:r>
              <w:rPr>
                <w:rFonts w:hint="eastAsia" w:ascii="仿宋" w:hAnsi="仿宋" w:eastAsia="仿宋" w:cs="仿宋"/>
                <w:color w:val="auto"/>
                <w:sz w:val="28"/>
                <w:szCs w:val="28"/>
                <w:highlight w:val="none"/>
                <w:lang w:val="en-US" w:eastAsia="zh-CN"/>
              </w:rPr>
              <w:t>合理性差、可行性小，得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0-3]分</w:t>
            </w:r>
            <w:r>
              <w:rPr>
                <w:rFonts w:hint="eastAsia" w:ascii="仿宋" w:hAnsi="仿宋" w:eastAsia="仿宋" w:cs="仿宋"/>
                <w:color w:val="auto"/>
                <w:sz w:val="28"/>
                <w:szCs w:val="28"/>
                <w:highlight w:val="none"/>
                <w:lang w:eastAsia="zh-CN"/>
              </w:rPr>
              <w:t>。</w:t>
            </w:r>
          </w:p>
        </w:tc>
      </w:tr>
      <w:tr w14:paraId="510A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38" w:type="dxa"/>
            <w:noWrap w:val="0"/>
            <w:vAlign w:val="center"/>
          </w:tcPr>
          <w:p w14:paraId="57919B65">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设计工作重点、难点分析</w:t>
            </w:r>
          </w:p>
          <w:p w14:paraId="2D246FDC">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p>
        </w:tc>
        <w:tc>
          <w:tcPr>
            <w:tcW w:w="1368" w:type="dxa"/>
            <w:noWrap w:val="0"/>
            <w:vAlign w:val="center"/>
          </w:tcPr>
          <w:p w14:paraId="45473217">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8分</w:t>
            </w:r>
          </w:p>
        </w:tc>
        <w:tc>
          <w:tcPr>
            <w:tcW w:w="6481" w:type="dxa"/>
            <w:noWrap w:val="0"/>
            <w:vAlign w:val="center"/>
          </w:tcPr>
          <w:p w14:paraId="2610DDF8">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根据本项目工作的重点和难点理解分析情况。</w:t>
            </w:r>
          </w:p>
          <w:p w14:paraId="572CE777">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理解分析的全面、透彻，得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w:t>
            </w:r>
          </w:p>
          <w:p w14:paraId="72564A32">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理解分析的有缺漏、浅薄，得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w:t>
            </w:r>
          </w:p>
          <w:p w14:paraId="6913517C">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理解分析的模糊、较差，得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w:t>
            </w:r>
          </w:p>
        </w:tc>
      </w:tr>
      <w:tr w14:paraId="44CF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438" w:type="dxa"/>
            <w:noWrap w:val="0"/>
            <w:vAlign w:val="center"/>
          </w:tcPr>
          <w:p w14:paraId="120C39ED">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配合施工服务计划及保证措施</w:t>
            </w:r>
          </w:p>
          <w:p w14:paraId="5EB53825">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p>
        </w:tc>
        <w:tc>
          <w:tcPr>
            <w:tcW w:w="1368" w:type="dxa"/>
            <w:noWrap w:val="0"/>
            <w:vAlign w:val="center"/>
          </w:tcPr>
          <w:p w14:paraId="60F0AE20">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c>
          <w:tcPr>
            <w:tcW w:w="6481" w:type="dxa"/>
            <w:noWrap w:val="0"/>
            <w:vAlign w:val="center"/>
          </w:tcPr>
          <w:p w14:paraId="2429FD9A">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配合施工服务工作大纲及后续配合服务计划</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保证措施科学、合理、可行，得（7-10]分</w:t>
            </w:r>
            <w:r>
              <w:rPr>
                <w:rFonts w:hint="eastAsia" w:ascii="仿宋" w:hAnsi="仿宋" w:eastAsia="仿宋" w:cs="仿宋"/>
                <w:color w:val="auto"/>
                <w:sz w:val="28"/>
                <w:szCs w:val="28"/>
                <w:highlight w:val="none"/>
                <w:lang w:val="en-US" w:eastAsia="zh-CN"/>
              </w:rPr>
              <w:t>；</w:t>
            </w:r>
          </w:p>
          <w:p w14:paraId="7912482F">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配合施工服务工作大纲及后续配合服务计划</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保证措施</w:t>
            </w:r>
            <w:r>
              <w:rPr>
                <w:rFonts w:hint="eastAsia" w:ascii="仿宋" w:hAnsi="仿宋" w:eastAsia="仿宋" w:cs="仿宋"/>
                <w:color w:val="auto"/>
                <w:sz w:val="28"/>
                <w:szCs w:val="28"/>
                <w:highlight w:val="none"/>
                <w:lang w:eastAsia="zh-CN"/>
              </w:rPr>
              <w:t>较</w:t>
            </w:r>
            <w:r>
              <w:rPr>
                <w:rFonts w:hint="eastAsia" w:ascii="仿宋" w:hAnsi="仿宋" w:eastAsia="仿宋" w:cs="仿宋"/>
                <w:color w:val="auto"/>
                <w:sz w:val="28"/>
                <w:szCs w:val="28"/>
                <w:highlight w:val="none"/>
              </w:rPr>
              <w:t>科学、</w:t>
            </w:r>
            <w:r>
              <w:rPr>
                <w:rFonts w:hint="eastAsia" w:ascii="仿宋" w:hAnsi="仿宋" w:eastAsia="仿宋" w:cs="仿宋"/>
                <w:color w:val="auto"/>
                <w:sz w:val="28"/>
                <w:szCs w:val="28"/>
                <w:highlight w:val="none"/>
                <w:lang w:eastAsia="zh-CN"/>
              </w:rPr>
              <w:t>较</w:t>
            </w:r>
            <w:r>
              <w:rPr>
                <w:rFonts w:hint="eastAsia" w:ascii="仿宋" w:hAnsi="仿宋" w:eastAsia="仿宋" w:cs="仿宋"/>
                <w:color w:val="auto"/>
                <w:sz w:val="28"/>
                <w:szCs w:val="28"/>
                <w:highlight w:val="none"/>
              </w:rPr>
              <w:t>合理、可行</w:t>
            </w:r>
            <w:r>
              <w:rPr>
                <w:rFonts w:hint="eastAsia" w:ascii="仿宋" w:hAnsi="仿宋" w:eastAsia="仿宋" w:cs="仿宋"/>
                <w:color w:val="auto"/>
                <w:sz w:val="28"/>
                <w:szCs w:val="28"/>
                <w:highlight w:val="none"/>
                <w:lang w:val="en-US" w:eastAsia="zh-CN"/>
              </w:rPr>
              <w:t>性</w:t>
            </w:r>
            <w:r>
              <w:rPr>
                <w:rFonts w:hint="eastAsia" w:ascii="仿宋" w:hAnsi="仿宋" w:eastAsia="仿宋" w:cs="仿宋"/>
                <w:color w:val="auto"/>
                <w:sz w:val="28"/>
                <w:szCs w:val="28"/>
                <w:highlight w:val="none"/>
                <w:lang w:eastAsia="zh-CN"/>
              </w:rPr>
              <w:t>一般</w:t>
            </w:r>
            <w:r>
              <w:rPr>
                <w:rFonts w:hint="eastAsia" w:ascii="仿宋" w:hAnsi="仿宋" w:eastAsia="仿宋" w:cs="仿宋"/>
                <w:color w:val="auto"/>
                <w:sz w:val="28"/>
                <w:szCs w:val="28"/>
                <w:highlight w:val="none"/>
              </w:rPr>
              <w:t>，得（3-7]分；</w:t>
            </w:r>
          </w:p>
          <w:p w14:paraId="54D002B9">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配合施工服务工作大纲及后续配合服务计划</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保证措施科学</w:t>
            </w:r>
            <w:r>
              <w:rPr>
                <w:rFonts w:hint="eastAsia" w:ascii="仿宋" w:hAnsi="仿宋" w:eastAsia="仿宋" w:cs="仿宋"/>
                <w:color w:val="auto"/>
                <w:sz w:val="28"/>
                <w:szCs w:val="28"/>
                <w:highlight w:val="none"/>
                <w:lang w:eastAsia="zh-CN"/>
              </w:rPr>
              <w:t>性</w:t>
            </w:r>
            <w:r>
              <w:rPr>
                <w:rFonts w:hint="eastAsia" w:ascii="仿宋" w:hAnsi="仿宋" w:eastAsia="仿宋" w:cs="仿宋"/>
                <w:color w:val="auto"/>
                <w:sz w:val="28"/>
                <w:szCs w:val="28"/>
                <w:highlight w:val="none"/>
              </w:rPr>
              <w:t>、合理</w:t>
            </w:r>
            <w:r>
              <w:rPr>
                <w:rFonts w:hint="eastAsia" w:ascii="仿宋" w:hAnsi="仿宋" w:eastAsia="仿宋" w:cs="仿宋"/>
                <w:color w:val="auto"/>
                <w:sz w:val="28"/>
                <w:szCs w:val="28"/>
                <w:highlight w:val="none"/>
                <w:lang w:eastAsia="zh-CN"/>
              </w:rPr>
              <w:t>性</w:t>
            </w:r>
            <w:r>
              <w:rPr>
                <w:rFonts w:hint="eastAsia" w:ascii="仿宋" w:hAnsi="仿宋" w:eastAsia="仿宋" w:cs="仿宋"/>
                <w:color w:val="auto"/>
                <w:sz w:val="28"/>
                <w:szCs w:val="28"/>
                <w:highlight w:val="none"/>
              </w:rPr>
              <w:t>、可行</w:t>
            </w:r>
            <w:r>
              <w:rPr>
                <w:rFonts w:hint="eastAsia" w:ascii="仿宋" w:hAnsi="仿宋" w:eastAsia="仿宋" w:cs="仿宋"/>
                <w:color w:val="auto"/>
                <w:sz w:val="28"/>
                <w:szCs w:val="28"/>
                <w:highlight w:val="none"/>
                <w:lang w:eastAsia="zh-CN"/>
              </w:rPr>
              <w:t>性较差</w:t>
            </w:r>
            <w:r>
              <w:rPr>
                <w:rFonts w:hint="eastAsia" w:ascii="仿宋" w:hAnsi="仿宋" w:eastAsia="仿宋" w:cs="仿宋"/>
                <w:color w:val="auto"/>
                <w:sz w:val="28"/>
                <w:szCs w:val="28"/>
                <w:highlight w:val="none"/>
              </w:rPr>
              <w:t>，得 [0-3]分</w:t>
            </w:r>
            <w:r>
              <w:rPr>
                <w:rFonts w:hint="eastAsia" w:ascii="仿宋" w:hAnsi="仿宋" w:eastAsia="仿宋" w:cs="仿宋"/>
                <w:color w:val="auto"/>
                <w:sz w:val="28"/>
                <w:szCs w:val="28"/>
                <w:highlight w:val="none"/>
                <w:lang w:eastAsia="zh-CN"/>
              </w:rPr>
              <w:t>。</w:t>
            </w:r>
          </w:p>
        </w:tc>
      </w:tr>
      <w:tr w14:paraId="69ED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438" w:type="dxa"/>
            <w:noWrap w:val="0"/>
            <w:vAlign w:val="center"/>
          </w:tcPr>
          <w:p w14:paraId="00059490">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服务承诺</w:t>
            </w:r>
          </w:p>
          <w:p w14:paraId="32B109A8">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p>
        </w:tc>
        <w:tc>
          <w:tcPr>
            <w:tcW w:w="1368" w:type="dxa"/>
            <w:noWrap w:val="0"/>
            <w:vAlign w:val="center"/>
          </w:tcPr>
          <w:p w14:paraId="23135922">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5分</w:t>
            </w:r>
          </w:p>
        </w:tc>
        <w:tc>
          <w:tcPr>
            <w:tcW w:w="6481" w:type="dxa"/>
            <w:shd w:val="clear" w:color="auto" w:fill="auto"/>
            <w:noWrap w:val="0"/>
            <w:vAlign w:val="center"/>
          </w:tcPr>
          <w:p w14:paraId="1AAA9C5B">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供应商根据本项目特点，提供对本项目的后续服务承诺及后续服务人员安排。</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eastAsia="zh-CN"/>
              </w:rPr>
              <w:t>。</w:t>
            </w:r>
          </w:p>
        </w:tc>
      </w:tr>
      <w:tr w14:paraId="7DB1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38" w:type="dxa"/>
            <w:noWrap w:val="0"/>
            <w:vAlign w:val="center"/>
          </w:tcPr>
          <w:p w14:paraId="4304CF55">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合理化建议</w:t>
            </w:r>
          </w:p>
          <w:p w14:paraId="6F77C274">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p>
        </w:tc>
        <w:tc>
          <w:tcPr>
            <w:tcW w:w="1368" w:type="dxa"/>
            <w:noWrap w:val="0"/>
            <w:vAlign w:val="center"/>
          </w:tcPr>
          <w:p w14:paraId="49FCFABB">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5分</w:t>
            </w:r>
          </w:p>
        </w:tc>
        <w:tc>
          <w:tcPr>
            <w:tcW w:w="6481" w:type="dxa"/>
            <w:noWrap w:val="0"/>
            <w:vAlign w:val="center"/>
          </w:tcPr>
          <w:p w14:paraId="0E7CD2DB">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①对项目理解度高，</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lang w:val="en-US" w:eastAsia="zh-CN"/>
              </w:rPr>
              <w:t>项目工作进度建议、对项目的其他优化建议</w:t>
            </w:r>
            <w:r>
              <w:rPr>
                <w:rFonts w:hint="eastAsia" w:ascii="仿宋" w:hAnsi="仿宋" w:eastAsia="仿宋" w:cs="仿宋"/>
                <w:color w:val="auto"/>
                <w:sz w:val="28"/>
                <w:szCs w:val="28"/>
                <w:highlight w:val="none"/>
              </w:rPr>
              <w:t>合理，得（</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p>
          <w:p w14:paraId="7A9E6CA1">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②对项目理解一般，</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lang w:val="en-US" w:eastAsia="zh-CN"/>
              </w:rPr>
              <w:t>项目工作进度建议、对项目的其他优化建议</w:t>
            </w:r>
            <w:r>
              <w:rPr>
                <w:rFonts w:hint="eastAsia" w:ascii="仿宋" w:hAnsi="仿宋" w:eastAsia="仿宋" w:cs="仿宋"/>
                <w:color w:val="auto"/>
                <w:sz w:val="28"/>
                <w:szCs w:val="28"/>
                <w:highlight w:val="none"/>
              </w:rPr>
              <w:t>一般，得（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p w14:paraId="267E1B5C">
            <w:pPr>
              <w:keepNext w:val="0"/>
              <w:keepLines w:val="0"/>
              <w:pageBreakBefore w:val="0"/>
              <w:widowControl/>
              <w:kinsoku/>
              <w:wordWrap/>
              <w:overflowPunct/>
              <w:topLinePunct w:val="0"/>
              <w:bidi w:val="0"/>
              <w:snapToGrid/>
              <w:spacing w:line="44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③对项目理解较差，</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lang w:val="en-US" w:eastAsia="zh-CN"/>
              </w:rPr>
              <w:t>项目工作进度建议、对项目的其他优化建议较差</w:t>
            </w:r>
            <w:r>
              <w:rPr>
                <w:rFonts w:hint="eastAsia" w:ascii="仿宋" w:hAnsi="仿宋" w:eastAsia="仿宋" w:cs="仿宋"/>
                <w:color w:val="auto"/>
                <w:sz w:val="28"/>
                <w:szCs w:val="28"/>
                <w:highlight w:val="none"/>
              </w:rPr>
              <w:t>，得[</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p>
        </w:tc>
      </w:tr>
      <w:tr w14:paraId="0F89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38" w:type="dxa"/>
            <w:noWrap w:val="0"/>
            <w:vAlign w:val="center"/>
          </w:tcPr>
          <w:p w14:paraId="7A11654B">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企业类似项目业绩</w:t>
            </w:r>
          </w:p>
        </w:tc>
        <w:tc>
          <w:tcPr>
            <w:tcW w:w="1368" w:type="dxa"/>
            <w:noWrap w:val="0"/>
            <w:vAlign w:val="center"/>
          </w:tcPr>
          <w:p w14:paraId="388F3484">
            <w:pPr>
              <w:keepNext w:val="0"/>
              <w:keepLines w:val="0"/>
              <w:pageBreakBefore w:val="0"/>
              <w:widowControl/>
              <w:kinsoku/>
              <w:wordWrap/>
              <w:overflowPunct/>
              <w:topLinePunct w:val="0"/>
              <w:bidi w:val="0"/>
              <w:snapToGrid/>
              <w:spacing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c>
          <w:tcPr>
            <w:tcW w:w="6481" w:type="dxa"/>
            <w:noWrap w:val="0"/>
            <w:vAlign w:val="center"/>
          </w:tcPr>
          <w:p w14:paraId="7D797BAD">
            <w:pPr>
              <w:keepNext w:val="0"/>
              <w:keepLines w:val="0"/>
              <w:pageBreakBefore w:val="0"/>
              <w:widowControl/>
              <w:kinsoku/>
              <w:wordWrap/>
              <w:overflowPunct/>
              <w:topLinePunct w:val="0"/>
              <w:bidi w:val="0"/>
              <w:snapToGrid/>
              <w:spacing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供应商提供</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日至今</w:t>
            </w:r>
            <w:r>
              <w:rPr>
                <w:rFonts w:hint="eastAsia" w:ascii="仿宋" w:hAnsi="仿宋" w:eastAsia="仿宋" w:cs="仿宋"/>
                <w:color w:val="auto"/>
                <w:sz w:val="28"/>
                <w:szCs w:val="28"/>
                <w:highlight w:val="none"/>
                <w:lang w:val="zh-CN"/>
              </w:rPr>
              <w:t>类似项目业绩（以合同</w:t>
            </w:r>
            <w:r>
              <w:rPr>
                <w:rFonts w:hint="eastAsia" w:ascii="仿宋" w:hAnsi="仿宋" w:eastAsia="仿宋" w:cs="仿宋"/>
                <w:color w:val="auto"/>
                <w:sz w:val="28"/>
                <w:szCs w:val="28"/>
                <w:highlight w:val="none"/>
                <w:lang w:val="en-US" w:eastAsia="zh-CN"/>
              </w:rPr>
              <w:t>或中标/成交通知书</w:t>
            </w:r>
            <w:r>
              <w:rPr>
                <w:rFonts w:hint="eastAsia" w:ascii="仿宋" w:hAnsi="仿宋" w:eastAsia="仿宋" w:cs="仿宋"/>
                <w:color w:val="auto"/>
                <w:sz w:val="28"/>
                <w:szCs w:val="28"/>
                <w:highlight w:val="none"/>
                <w:lang w:val="zh-CN"/>
              </w:rPr>
              <w:t>为准，</w:t>
            </w:r>
            <w:r>
              <w:rPr>
                <w:rFonts w:hint="eastAsia" w:ascii="仿宋" w:hAnsi="仿宋" w:eastAsia="仿宋" w:cs="仿宋"/>
                <w:color w:val="auto"/>
                <w:sz w:val="28"/>
                <w:szCs w:val="28"/>
                <w:highlight w:val="none"/>
                <w:lang w:val="en-US" w:eastAsia="zh-CN"/>
              </w:rPr>
              <w:t>时间以中标/成交通知书时间或合同签订时间为准</w:t>
            </w:r>
            <w:r>
              <w:rPr>
                <w:rFonts w:hint="eastAsia" w:ascii="仿宋" w:hAnsi="仿宋" w:eastAsia="仿宋" w:cs="仿宋"/>
                <w:color w:val="auto"/>
                <w:sz w:val="28"/>
                <w:szCs w:val="28"/>
                <w:highlight w:val="none"/>
                <w:lang w:val="zh-CN"/>
              </w:rPr>
              <w:t>）。每提供1份</w:t>
            </w:r>
            <w:r>
              <w:rPr>
                <w:rFonts w:hint="eastAsia" w:ascii="仿宋" w:hAnsi="仿宋" w:eastAsia="仿宋" w:cs="仿宋"/>
                <w:color w:val="auto"/>
                <w:sz w:val="28"/>
                <w:szCs w:val="28"/>
                <w:highlight w:val="none"/>
              </w:rPr>
              <w:t>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分，本项最高得</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分。</w:t>
            </w:r>
          </w:p>
        </w:tc>
      </w:tr>
    </w:tbl>
    <w:p w14:paraId="5EA5021B">
      <w:pPr>
        <w:overflowPunct w:val="0"/>
        <w:topLinePunct/>
        <w:autoSpaceDE/>
        <w:autoSpaceDN/>
        <w:spacing w:line="560" w:lineRule="exact"/>
        <w:jc w:val="center"/>
        <w:outlineLvl w:val="0"/>
        <w:rPr>
          <w:rStyle w:val="48"/>
          <w:rFonts w:ascii="方正小标宋简体" w:hAnsi="方正小标宋简体" w:eastAsia="方正小标宋简体" w:cs="方正小标宋简体"/>
          <w:b w:val="0"/>
          <w:bCs w:val="0"/>
          <w:color w:val="auto"/>
          <w:sz w:val="40"/>
          <w:szCs w:val="40"/>
          <w:highlight w:val="none"/>
          <w:shd w:val="clear" w:color="auto" w:fill="FFFFFF"/>
        </w:rPr>
      </w:pPr>
      <w:r>
        <w:rPr>
          <w:rFonts w:hint="eastAsia" w:ascii="仿宋" w:hAnsi="仿宋" w:eastAsia="仿宋"/>
          <w:color w:val="auto"/>
          <w:highlight w:val="none"/>
        </w:rPr>
        <w:br w:type="page"/>
      </w:r>
      <w:bookmarkStart w:id="35" w:name="_Toc407987837"/>
      <w:bookmarkStart w:id="36" w:name="_Toc434179188"/>
      <w:bookmarkStart w:id="37" w:name="_Toc409383361"/>
      <w:bookmarkStart w:id="38" w:name="_Toc19187"/>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 xml:space="preserve">第六章 </w:t>
      </w:r>
      <w:bookmarkEnd w:id="35"/>
      <w:bookmarkEnd w:id="36"/>
      <w:bookmarkEnd w:id="37"/>
      <w:r>
        <w:rPr>
          <w:rStyle w:val="48"/>
          <w:rFonts w:hint="eastAsia" w:ascii="方正小标宋简体" w:hAnsi="方正小标宋简体" w:eastAsia="方正小标宋简体" w:cs="方正小标宋简体"/>
          <w:b w:val="0"/>
          <w:bCs w:val="0"/>
          <w:color w:val="auto"/>
          <w:sz w:val="36"/>
          <w:szCs w:val="36"/>
          <w:highlight w:val="none"/>
          <w:shd w:val="clear" w:color="auto" w:fill="FFFFFF"/>
        </w:rPr>
        <w:t xml:space="preserve"> 采购需求及要求</w:t>
      </w:r>
      <w:bookmarkEnd w:id="38"/>
    </w:p>
    <w:p w14:paraId="704BC94F">
      <w:pPr>
        <w:pStyle w:val="143"/>
        <w:keepLines w:val="0"/>
        <w:pageBreakBefore w:val="0"/>
        <w:bidi w:val="0"/>
        <w:spacing w:line="560" w:lineRule="exact"/>
        <w:ind w:left="0" w:leftChars="0" w:right="0" w:firstLine="0" w:firstLineChars="0"/>
        <w:textAlignment w:val="auto"/>
        <w:rPr>
          <w:rFonts w:hint="default" w:ascii="黑体" w:hAnsi="黑体" w:eastAsia="黑体" w:cs="黑体"/>
          <w:b w:val="0"/>
          <w:bCs/>
          <w:color w:val="auto"/>
          <w:sz w:val="28"/>
          <w:szCs w:val="36"/>
          <w:highlight w:val="none"/>
          <w:lang w:val="en-US" w:eastAsia="zh-CN" w:bidi="ar-SA"/>
        </w:rPr>
      </w:pPr>
      <w:r>
        <w:rPr>
          <w:rFonts w:hint="eastAsia" w:ascii="黑体" w:hAnsi="黑体" w:eastAsia="黑体" w:cs="黑体"/>
          <w:b w:val="0"/>
          <w:bCs/>
          <w:color w:val="auto"/>
          <w:sz w:val="28"/>
          <w:szCs w:val="36"/>
          <w:highlight w:val="none"/>
          <w:lang w:val="en-US" w:eastAsia="zh-CN" w:bidi="ar-SA"/>
        </w:rPr>
        <w:t>一、采购内容及要求</w:t>
      </w:r>
    </w:p>
    <w:p w14:paraId="4508510F">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color w:val="auto"/>
          <w:sz w:val="28"/>
          <w:szCs w:val="28"/>
          <w:highlight w:val="none"/>
          <w:lang w:val="en-US" w:eastAsia="zh-CN"/>
        </w:rPr>
      </w:pPr>
      <w:bookmarkStart w:id="39" w:name="OLE_LINK1"/>
      <w:bookmarkStart w:id="40" w:name="OLE_LINK2"/>
      <w:r>
        <w:rPr>
          <w:rFonts w:hint="eastAsia" w:ascii="仿宋" w:hAnsi="仿宋" w:eastAsia="仿宋" w:cs="仿宋"/>
          <w:b/>
          <w:bCs/>
          <w:color w:val="auto"/>
          <w:sz w:val="28"/>
          <w:szCs w:val="28"/>
          <w:highlight w:val="none"/>
          <w:lang w:val="en-US" w:eastAsia="zh-CN"/>
        </w:rPr>
        <w:t>1.项目概况和规模</w:t>
      </w:r>
    </w:p>
    <w:bookmarkEnd w:id="39"/>
    <w:bookmarkEnd w:id="40"/>
    <w:p w14:paraId="461CB180">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长乐公园西北角原文化展馆台基大部分被渣土覆盖，台基上现状花坛内植被密集，苗木老化严重。西门外广场现为停车区，停车位上无遮阴植物。根据以上存在问题，对现状进行改造设计，主要涉及西门西北角原文化展馆台基及花坛拆除、现存植被移栽、西门旧路面面层铲除及翻新等内容，具体如下：</w:t>
      </w:r>
    </w:p>
    <w:p w14:paraId="7EC66CF6">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（1）拆除花坛及原文化展馆钢筋混凝土灌注桩、承台、地梁、柱子等，面积约1200平方米；</w:t>
      </w:r>
    </w:p>
    <w:p w14:paraId="54E9F5C1">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（2）移栽现状植被乔、灌木等约70株，绿篱地被约550㎡；</w:t>
      </w:r>
    </w:p>
    <w:p w14:paraId="59BC2914">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（3）翻新公园西入口旧路面以及铺设停车区1100㎡沥青路面，建成林荫停车位约60个；</w:t>
      </w:r>
    </w:p>
    <w:p w14:paraId="3D99EADD">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（4）调拨栽植国槐约80余株；栽植乔木、灌木、花卉等配套植被；</w:t>
      </w:r>
    </w:p>
    <w:p w14:paraId="201E86C1">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（5）安装停车场内监控系统、车挡设备。</w:t>
      </w:r>
    </w:p>
    <w:p w14:paraId="4BA4C422">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2.项目目的</w:t>
      </w:r>
    </w:p>
    <w:p w14:paraId="1203E466">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（1）结合现状，拆除现有桩基以及花坛，提升景观效果，整合城市公园面貌。</w:t>
      </w:r>
    </w:p>
    <w:p w14:paraId="6D1BBAB9">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（2）加强西安市城市生态建设，提高便民服务设施，建设生态型林荫停车位。</w:t>
      </w:r>
    </w:p>
    <w:p w14:paraId="6425BB9C">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3.服务内容</w:t>
      </w:r>
    </w:p>
    <w:p w14:paraId="7E16C28D">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根据采购人需要进行初步设计及施工图设计。</w:t>
      </w:r>
    </w:p>
    <w:p w14:paraId="114B1EB5">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4.设计质量及周期要求</w:t>
      </w:r>
    </w:p>
    <w:p w14:paraId="392E64D4">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4.1执行国家现行建筑工程设计规范及地方标准，施工图质量能完全满足采购人施工招标的需要：并须同时满足具体设计作法说明、设计变更、技术变更、设计要求、招标单位其它书面要求。</w:t>
      </w:r>
    </w:p>
    <w:p w14:paraId="6D005DE7">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4.2项目设计过程中供应商所完成的设计成果版权归采购人所有，未经采购人同意，供应商不得再将该设计成果另作他用。</w:t>
      </w:r>
    </w:p>
    <w:p w14:paraId="5A52C4DB">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设计周期要求：设计时间自供应商收悉本项目基础资料并书面通知之日起计算，采购人的研讨和评审时间不计入每轮的设计周期。如采购人未及时书面确认上阶段设计成果，则供应商有权自动顺延设计周期。若采购人对设计提出重大修改意见或采购人原因导致供应商不能按时完成计划，则双方协商顺延有关工作时间。如因特殊原因须调整时间，必须经双方共同讨论确定，以会议纪要形式约定时间</w:t>
      </w:r>
    </w:p>
    <w:p w14:paraId="7F27F3C8">
      <w:pPr>
        <w:pStyle w:val="143"/>
        <w:keepLines w:val="0"/>
        <w:pageBreakBefore w:val="0"/>
        <w:bidi w:val="0"/>
        <w:spacing w:line="560" w:lineRule="exact"/>
        <w:ind w:left="0" w:leftChars="0" w:right="0" w:firstLine="0" w:firstLineChars="0"/>
        <w:textAlignment w:val="auto"/>
        <w:rPr>
          <w:rFonts w:hint="eastAsia" w:ascii="黑体" w:hAnsi="黑体" w:eastAsia="黑体" w:cs="黑体"/>
          <w:b w:val="0"/>
          <w:bCs/>
          <w:color w:val="auto"/>
          <w:sz w:val="28"/>
          <w:szCs w:val="36"/>
          <w:highlight w:val="none"/>
          <w:lang w:val="en-US" w:eastAsia="zh-CN" w:bidi="ar-SA"/>
        </w:rPr>
      </w:pPr>
      <w:r>
        <w:rPr>
          <w:rFonts w:hint="eastAsia" w:ascii="黑体" w:hAnsi="黑体" w:eastAsia="黑体" w:cs="黑体"/>
          <w:b w:val="0"/>
          <w:bCs/>
          <w:color w:val="auto"/>
          <w:sz w:val="28"/>
          <w:szCs w:val="36"/>
          <w:highlight w:val="none"/>
          <w:lang w:val="en-US" w:eastAsia="zh-CN" w:bidi="ar-SA"/>
        </w:rPr>
        <w:t>二、商务要求</w:t>
      </w:r>
    </w:p>
    <w:p w14:paraId="4FD01BDA">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服务期限</w:t>
      </w:r>
      <w:r>
        <w:rPr>
          <w:rFonts w:hint="eastAsia" w:ascii="仿宋" w:hAnsi="仿宋" w:eastAsia="仿宋" w:cs="仿宋"/>
          <w:color w:val="auto"/>
          <w:sz w:val="28"/>
          <w:szCs w:val="28"/>
          <w:highlight w:val="none"/>
          <w:lang w:eastAsia="zh-CN"/>
        </w:rPr>
        <w:t>：15日历天（初步设计5日历天，施工图设计10日历天）。</w:t>
      </w:r>
    </w:p>
    <w:p w14:paraId="794FD31E">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服务地点</w:t>
      </w:r>
      <w:r>
        <w:rPr>
          <w:rFonts w:hint="eastAsia" w:ascii="仿宋" w:hAnsi="仿宋" w:eastAsia="仿宋" w:cs="仿宋"/>
          <w:color w:val="auto"/>
          <w:sz w:val="28"/>
          <w:szCs w:val="28"/>
          <w:highlight w:val="none"/>
          <w:lang w:eastAsia="zh-CN"/>
        </w:rPr>
        <w:t>：</w:t>
      </w:r>
      <w:r>
        <w:rPr>
          <w:rStyle w:val="167"/>
          <w:rFonts w:hint="eastAsia" w:ascii="仿宋" w:hAnsi="仿宋" w:eastAsia="仿宋" w:cs="仿宋"/>
          <w:sz w:val="28"/>
          <w:szCs w:val="28"/>
          <w:highlight w:val="none"/>
          <w:lang w:val="en-US" w:eastAsia="zh-CN" w:bidi="ar"/>
        </w:rPr>
        <w:t>西安市碑林区金花北路35号</w:t>
      </w:r>
      <w:r>
        <w:rPr>
          <w:rFonts w:hint="eastAsia" w:ascii="仿宋" w:hAnsi="仿宋" w:eastAsia="仿宋" w:cs="仿宋"/>
          <w:color w:val="auto"/>
          <w:sz w:val="28"/>
          <w:szCs w:val="28"/>
          <w:highlight w:val="none"/>
        </w:rPr>
        <w:t>。</w:t>
      </w:r>
    </w:p>
    <w:p w14:paraId="702DE16F">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3、结算方式：</w:t>
      </w:r>
    </w:p>
    <w:p w14:paraId="1A20F33D">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3.1合同签订后五个工作日内，采购人支付总费用的30%作为预付款；</w:t>
      </w:r>
    </w:p>
    <w:p w14:paraId="375F11FA">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3.2供应商完成施工图设计且成果文件经采购人接收后，采购人在十个工作日内支付总费用的65％；</w:t>
      </w:r>
    </w:p>
    <w:p w14:paraId="1D1C0BB2">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3.3工程竣验收后，采购人在十个工作日内支付总费用的5％；</w:t>
      </w:r>
    </w:p>
    <w:p w14:paraId="6FA9483B">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3.4支付费用前，供应商应向采购人提供相应的增值税专用发票，若供应商延迟提供的，采购人支付费用时间相应顺延。</w:t>
      </w:r>
    </w:p>
    <w:p w14:paraId="3992E099">
      <w:pPr>
        <w:spacing w:line="560" w:lineRule="exact"/>
        <w:rPr>
          <w:rFonts w:hint="eastAsia" w:ascii="宋体" w:hAnsi="宋体"/>
          <w:color w:val="auto"/>
          <w:sz w:val="30"/>
          <w:szCs w:val="30"/>
          <w:highlight w:val="none"/>
        </w:rPr>
      </w:pPr>
    </w:p>
    <w:p w14:paraId="20713C9C">
      <w:pPr>
        <w:pStyle w:val="19"/>
        <w:rPr>
          <w:rFonts w:hint="eastAsia"/>
          <w:color w:val="auto"/>
          <w:highlight w:val="none"/>
        </w:rPr>
      </w:pPr>
    </w:p>
    <w:p w14:paraId="2B508F52">
      <w:pPr>
        <w:spacing w:line="560" w:lineRule="exact"/>
        <w:ind w:firstLine="150" w:firstLineChars="50"/>
        <w:rPr>
          <w:rFonts w:hint="eastAsia" w:ascii="宋体" w:hAnsi="宋体"/>
          <w:color w:val="auto"/>
          <w:sz w:val="30"/>
          <w:szCs w:val="30"/>
          <w:highlight w:val="none"/>
        </w:rPr>
      </w:pPr>
    </w:p>
    <w:p w14:paraId="1A1E1EA7">
      <w:pPr>
        <w:spacing w:line="560" w:lineRule="exact"/>
        <w:ind w:firstLine="150" w:firstLineChars="50"/>
        <w:rPr>
          <w:rFonts w:hint="eastAsia" w:ascii="宋体" w:hAnsi="宋体"/>
          <w:color w:val="auto"/>
          <w:sz w:val="30"/>
          <w:szCs w:val="30"/>
          <w:highlight w:val="none"/>
        </w:rPr>
      </w:pPr>
    </w:p>
    <w:p w14:paraId="45B7815B">
      <w:pPr>
        <w:spacing w:line="560" w:lineRule="exact"/>
        <w:ind w:firstLine="150" w:firstLineChars="50"/>
        <w:rPr>
          <w:rFonts w:hint="eastAsia" w:ascii="宋体" w:hAnsi="宋体"/>
          <w:color w:val="auto"/>
          <w:sz w:val="30"/>
          <w:szCs w:val="30"/>
          <w:highlight w:val="none"/>
        </w:rPr>
      </w:pPr>
    </w:p>
    <w:p w14:paraId="7C40FCF4">
      <w:pPr>
        <w:spacing w:line="560" w:lineRule="exact"/>
        <w:ind w:firstLine="150" w:firstLineChars="50"/>
        <w:rPr>
          <w:rFonts w:hint="eastAsia" w:ascii="宋体" w:hAnsi="宋体"/>
          <w:color w:val="auto"/>
          <w:sz w:val="30"/>
          <w:szCs w:val="30"/>
          <w:highlight w:val="none"/>
        </w:rPr>
      </w:pPr>
    </w:p>
    <w:p w14:paraId="763217BA">
      <w:pPr>
        <w:spacing w:line="560" w:lineRule="exact"/>
        <w:ind w:firstLine="150" w:firstLineChars="50"/>
        <w:rPr>
          <w:rFonts w:hint="eastAsia" w:ascii="宋体" w:hAnsi="宋体"/>
          <w:color w:val="auto"/>
          <w:sz w:val="30"/>
          <w:szCs w:val="30"/>
          <w:highlight w:val="none"/>
        </w:rPr>
      </w:pPr>
    </w:p>
    <w:p w14:paraId="63527D4E">
      <w:pPr>
        <w:spacing w:line="560" w:lineRule="exact"/>
        <w:ind w:firstLine="150" w:firstLineChars="50"/>
        <w:rPr>
          <w:rFonts w:hint="eastAsia" w:ascii="宋体" w:hAnsi="宋体"/>
          <w:color w:val="auto"/>
          <w:sz w:val="30"/>
          <w:szCs w:val="30"/>
          <w:highlight w:val="none"/>
        </w:rPr>
      </w:pPr>
    </w:p>
    <w:p w14:paraId="4A5BDCA2">
      <w:pPr>
        <w:spacing w:line="560" w:lineRule="exact"/>
        <w:ind w:firstLine="150" w:firstLineChars="50"/>
        <w:rPr>
          <w:rFonts w:hint="eastAsia" w:ascii="宋体" w:hAnsi="宋体"/>
          <w:color w:val="auto"/>
          <w:sz w:val="30"/>
          <w:szCs w:val="30"/>
          <w:highlight w:val="none"/>
        </w:rPr>
      </w:pPr>
    </w:p>
    <w:p w14:paraId="2A0F0EE6">
      <w:pPr>
        <w:spacing w:line="560" w:lineRule="exact"/>
        <w:ind w:firstLine="150" w:firstLineChars="50"/>
        <w:rPr>
          <w:rFonts w:hint="eastAsia" w:ascii="宋体" w:hAnsi="宋体"/>
          <w:color w:val="auto"/>
          <w:sz w:val="30"/>
          <w:szCs w:val="30"/>
          <w:highlight w:val="none"/>
        </w:rPr>
      </w:pPr>
    </w:p>
    <w:p w14:paraId="2D0FDF94">
      <w:pPr>
        <w:spacing w:line="560" w:lineRule="exact"/>
        <w:ind w:firstLine="150" w:firstLineChars="50"/>
        <w:rPr>
          <w:rFonts w:hint="eastAsia" w:ascii="宋体" w:hAnsi="宋体"/>
          <w:color w:val="auto"/>
          <w:sz w:val="30"/>
          <w:szCs w:val="30"/>
          <w:highlight w:val="none"/>
        </w:rPr>
      </w:pPr>
    </w:p>
    <w:p w14:paraId="4062DA4B">
      <w:pPr>
        <w:pStyle w:val="19"/>
        <w:rPr>
          <w:rFonts w:hint="eastAsia"/>
          <w:color w:val="auto"/>
          <w:highlight w:val="none"/>
        </w:rPr>
      </w:pPr>
    </w:p>
    <w:p w14:paraId="5550F43D">
      <w:pPr>
        <w:spacing w:line="560" w:lineRule="exact"/>
        <w:rPr>
          <w:rFonts w:hint="eastAsia" w:ascii="宋体" w:hAnsi="宋体"/>
          <w:color w:val="auto"/>
          <w:sz w:val="30"/>
          <w:szCs w:val="30"/>
          <w:highlight w:val="none"/>
        </w:rPr>
      </w:pPr>
      <w:r>
        <w:rPr>
          <w:rFonts w:hint="eastAsia" w:ascii="仿宋" w:hAnsi="仿宋" w:eastAsia="仿宋" w:cs="仿宋"/>
          <w:color w:val="auto"/>
          <w:highlight w:val="none"/>
        </w:rPr>
        <w:drawing>
          <wp:anchor distT="0" distB="0" distL="114300" distR="114300" simplePos="0" relativeHeight="251663360" behindDoc="0" locked="0" layoutInCell="1" allowOverlap="1">
            <wp:simplePos x="0" y="0"/>
            <wp:positionH relativeFrom="column">
              <wp:posOffset>121285</wp:posOffset>
            </wp:positionH>
            <wp:positionV relativeFrom="paragraph">
              <wp:posOffset>238760</wp:posOffset>
            </wp:positionV>
            <wp:extent cx="462915" cy="464185"/>
            <wp:effectExtent l="0" t="0" r="13335" b="12065"/>
            <wp:wrapNone/>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pic:cNvPicPr>
                      <a:picLocks noChangeAspect="1"/>
                    </pic:cNvPicPr>
                  </pic:nvPicPr>
                  <pic:blipFill>
                    <a:blip r:embed="rId18"/>
                    <a:srcRect l="35310" t="25969" r="27931" b="26251"/>
                    <a:stretch>
                      <a:fillRect/>
                    </a:stretch>
                  </pic:blipFill>
                  <pic:spPr>
                    <a:xfrm>
                      <a:off x="0" y="0"/>
                      <a:ext cx="462915" cy="464185"/>
                    </a:xfrm>
                    <a:prstGeom prst="rect">
                      <a:avLst/>
                    </a:prstGeom>
                    <a:noFill/>
                    <a:ln>
                      <a:noFill/>
                    </a:ln>
                  </pic:spPr>
                </pic:pic>
              </a:graphicData>
            </a:graphic>
          </wp:anchor>
        </w:drawing>
      </w:r>
    </w:p>
    <w:p w14:paraId="2C557CF4">
      <w:pPr>
        <w:spacing w:line="560" w:lineRule="exact"/>
        <w:ind w:firstLine="1124" w:firstLineChars="400"/>
        <w:rPr>
          <w:rFonts w:hint="eastAsia" w:ascii="仿宋" w:hAnsi="仿宋" w:eastAsia="仿宋" w:cs="仿宋"/>
          <w:color w:val="auto"/>
          <w:sz w:val="32"/>
          <w:szCs w:val="32"/>
          <w:highlight w:val="none"/>
        </w:rPr>
      </w:pPr>
      <w:r>
        <w:rPr>
          <w:rFonts w:hint="eastAsia" w:ascii="仿宋" w:hAnsi="仿宋" w:eastAsia="仿宋" w:cs="仿宋"/>
          <w:b/>
          <w:bCs/>
          <w:color w:val="auto"/>
          <w:highlight w:val="none"/>
        </w:rPr>
        <w:t>陕西中信项目咨询有限公司</w:t>
      </w:r>
    </w:p>
    <w:p w14:paraId="7ECED600">
      <w:pPr>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3" name="直线 2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5h82XoAQAA3QMAAA4AAABkcnMvZTJvRG9jLnhtbK1TS27bMBDd&#10;F+gdCO5jyQ7Sj2A5i7jppmgNtD3AmKQkAvyBQ1v2WXqNrrrpcXKNDinHadONF9GCGnKGb+a9GS5v&#10;D9awvYqovWv5fFZzppzwUru+5d+/3V+94wwTOAnGO9Xyo0J+u3r9ajmGRi384I1UkRGIw2YMLR9S&#10;Ck1VoRiUBZz5oBw5Ox8tJNrGvpIRRkK3plrU9Ztq9FGG6IVCpNP15OQnxHgJoO86LdTai51VLk2o&#10;URlIRAkHHZCvSrVdp0T60nWoEjMtJ6aprJSE7G1eq9USmj5CGLQ4lQCXlPCMkwXtKOkZag0J2C7q&#10;/6CsFtGj79JMeFtNRIoixGJeP9Pm6wBBFS4kNYaz6PhysOLzfhOZli2/5syBpYY//Pj58Os3W8yz&#10;OGPAhmLu3Caedhg2MTM9dNHmP3FghyLo8SyoOiQm6PDm+u1iXpPW4tFXPV0MEdNH5S3LRsuNdpkr&#10;NLD/hImSUehjSD42jo00r+/rm4wHNHkddZxMG6h6dH25jN5oea+NyVcw9ts7E9kecvfLlzkR8D9h&#10;OcsacJjiimuai0GB/OAkS8dAujh6DjzXYJXkzCh6PdkiQGgSaHNJJKU2jirIsk5CZmvr5ZG6sAtR&#10;9wNJUZQvMdT1Uu9pQvNY/b0vSE+vcv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wqn2NMAAAAG&#10;AQAADwAAAAAAAAABACAAAAAiAAAAZHJzL2Rvd25yZXYueG1sUEsBAhQAFAAAAAgAh07iQK5h82Xo&#10;AQAA3QMAAA4AAAAAAAAAAQAgAAAAIgEAAGRycy9lMm9Eb2MueG1sUEsFBgAAAAAGAAYAWQEAAHwF&#10;AAAAAA==&#10;">
                <v:fill on="f" focussize="0,0"/>
                <v:stroke weight="1.5pt" color="#000000" joinstyle="round"/>
                <v:imagedata o:title=""/>
                <o:lock v:ext="edit" aspectratio="f"/>
              </v:line>
            </w:pict>
          </mc:Fallback>
        </mc:AlternateContent>
      </w:r>
    </w:p>
    <w:p w14:paraId="6EED16E5">
      <w:pPr>
        <w:spacing w:line="560" w:lineRule="exact"/>
        <w:ind w:firstLine="140" w:firstLineChars="5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spacing w:val="-6"/>
          <w:highlight w:val="none"/>
        </w:rPr>
        <w:t>：西安市碑林区和平路71号</w:t>
      </w:r>
    </w:p>
    <w:p w14:paraId="44385980">
      <w:pPr>
        <w:spacing w:line="560" w:lineRule="exact"/>
        <w:ind w:firstLine="140" w:firstLineChars="50"/>
        <w:rPr>
          <w:rFonts w:ascii="仿宋" w:hAnsi="仿宋" w:eastAsia="仿宋" w:cs="仿宋"/>
          <w:color w:val="auto"/>
          <w:highlight w:val="none"/>
        </w:rPr>
      </w:pPr>
      <w:r>
        <w:rPr>
          <w:rFonts w:hint="eastAsia" w:ascii="仿宋" w:hAnsi="仿宋" w:eastAsia="仿宋" w:cs="仿宋"/>
          <w:color w:val="auto"/>
          <w:highlight w:val="none"/>
        </w:rPr>
        <w:t>电    话：029-89877198</w:t>
      </w:r>
    </w:p>
    <w:p w14:paraId="6355FC87">
      <w:pPr>
        <w:spacing w:line="560" w:lineRule="exact"/>
        <w:ind w:firstLine="140" w:firstLineChars="50"/>
        <w:rPr>
          <w:rFonts w:hint="eastAsia" w:ascii="仿宋" w:hAnsi="仿宋" w:eastAsia="仿宋" w:cs="仿宋"/>
          <w:color w:val="auto"/>
          <w:highlight w:val="none"/>
        </w:rPr>
      </w:pPr>
      <w:r>
        <w:rPr>
          <w:rFonts w:hint="eastAsia" w:ascii="仿宋" w:hAnsi="仿宋" w:eastAsia="仿宋" w:cs="仿宋"/>
          <w:color w:val="auto"/>
          <w:highlight w:val="none"/>
        </w:rPr>
        <w:t>电子邮箱：798433694@qq.com</w:t>
      </w:r>
    </w:p>
    <w:p w14:paraId="187867B4">
      <w:pPr>
        <w:spacing w:line="560" w:lineRule="exact"/>
        <w:ind w:firstLine="140" w:firstLineChars="50"/>
        <w:rPr>
          <w:rFonts w:hint="eastAsia" w:ascii="仿宋" w:hAnsi="仿宋" w:eastAsia="仿宋" w:cs="仿宋"/>
          <w:color w:val="auto"/>
          <w:highlight w:val="none"/>
        </w:rPr>
      </w:pPr>
      <w:r>
        <w:rPr>
          <w:rFonts w:hint="eastAsia" w:ascii="仿宋" w:hAnsi="仿宋" w:eastAsia="仿宋" w:cs="仿宋"/>
          <w:color w:val="auto"/>
          <w:highlight w:val="none"/>
        </w:rPr>
        <w:t>开户银行：农业银行西安新欧亚商城支行</w:t>
      </w:r>
    </w:p>
    <w:p w14:paraId="6DED6BA0">
      <w:pPr>
        <w:spacing w:line="560" w:lineRule="exact"/>
        <w:ind w:firstLine="140" w:firstLineChars="50"/>
        <w:rPr>
          <w:rFonts w:hint="eastAsia"/>
          <w:color w:val="auto"/>
          <w:highlight w:val="none"/>
        </w:rPr>
      </w:pPr>
      <w:r>
        <w:rPr>
          <w:rFonts w:hint="eastAsia" w:ascii="仿宋" w:hAnsi="仿宋" w:eastAsia="仿宋" w:cs="仿宋"/>
          <w:color w:val="auto"/>
          <w:highlight w:val="none"/>
        </w:rPr>
        <w:t xml:space="preserve">账    号：2613 5301 0400 10159 </w:t>
      </w:r>
    </w:p>
    <w:p w14:paraId="0F59FB22">
      <w:pPr>
        <w:spacing w:line="560" w:lineRule="exact"/>
        <w:ind w:firstLine="160" w:firstLineChars="50"/>
        <w:rPr>
          <w:rFonts w:hint="eastAsia"/>
          <w:color w:val="auto"/>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284480</wp:posOffset>
                </wp:positionV>
                <wp:extent cx="5372100" cy="0"/>
                <wp:effectExtent l="0" t="9525" r="0" b="9525"/>
                <wp:wrapNone/>
                <wp:docPr id="5" name="直线 22"/>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2pt;margin-top:22.4pt;height:0pt;width:423pt;z-index:251664384;mso-width-relative:page;mso-height-relative:page;" filled="f" stroked="t" coordsize="21600,21600" o:gfxdata="UEsDBAoAAAAAAIdO4kAAAAAAAAAAAAAAAAAEAAAAZHJzL1BLAwQUAAAACACHTuJAgIwfcNQAAAAI&#10;AQAADwAAAGRycy9kb3ducmV2LnhtbE2PwU7DMBBE70j8g7VI3KjdKkBI41SiEpfeCBVw3MZuEmGv&#10;o9hNm79nEQc47sxodl65uXgnJjvGPpCG5UKBsNQE01OrYf/2cpeDiAnJoAtkNcw2wqa6viqxMOFM&#10;r3aqUyu4hGKBGrqUhkLK2HTWY1yEwRJ7xzB6THyOrTQjnrncO7lS6kF67Ik/dDjYbWebr/rkueX+&#10;I3/eYb6fZ1d/PmXb991EXuvbm6Vag0j2kv7C8DOfp0PFmw7hRCYKp2GVMUrSkGVMwH7+qFg4/Aqy&#10;KuV/gOobUEsDBBQAAAAIAIdO4kDT4H+X6AEAAN0DAAAOAAAAZHJzL2Uyb0RvYy54bWytU0uO2zAM&#10;3RfoHQTtGzsp0o8RZxaTTjdFG6DTAzCSbAvQD6ISJ2fpNbrqpseZa5SSM5l2usmiXsiUSD3yPVKr&#10;m6M17KAiau9aPp/VnCknvNSub/m3+7tX7zjDBE6C8U61/KSQ36xfvliNoVELP3gjVWQE4rAZQ8uH&#10;lEJTVSgGZQFnPihHzs5HC4m2sa9khJHQrakWdf2mGn2UIXqhEOl0Mzn5GTFeA+i7Tgu18WJvlUsT&#10;alQGElHCQQfk61Jt1ymRvnQdqsRMy4lpKislIXuX12q9gqaPEAYtziXANSU842RBO0p6gdpAAraP&#10;+h8oq0X06Ls0E95WE5GiCLGY18+0+TpAUIULSY3hIjr+P1jx+bCNTMuWLzlzYKnhD99/PPz8xRaL&#10;LM4YsKGYW7eN5x2GbcxMj120+U8c2LEIeroIqo6JCTpcvn67mNektXj0VU8XQ8T0UXnLstFyo13m&#10;Cg0cPmGiZBT6GJKPjWMjzev7epnxgCavo46TaQNVj64vl9EbLe+0MfkKxn53ayI7QO5++TInAv4r&#10;LGfZAA5TXHFNczEokB+cZOkUSBdHz4HnGqySnBlFrydbBAhNAm2uiaTUxlEFWdZJyGztvDxRF/Yh&#10;6n4gKealyuyhrpd6zxOax+rPfUF6ep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CMH3DUAAAA&#10;CAEAAA8AAAAAAAAAAQAgAAAAIgAAAGRycy9kb3ducmV2LnhtbFBLAQIUABQAAAAIAIdO4kDT4H+X&#10;6AEAAN0DAAAOAAAAAAAAAAEAIAAAACMBAABkcnMvZTJvRG9jLnhtbFBLBQYAAAAABgAGAFkBAAB9&#10;BQAAAAA=&#10;">
                <v:fill on="f" focussize="0,0"/>
                <v:stroke weight="1.5pt" color="#000000" joinstyle="round"/>
                <v:imagedata o:title=""/>
                <o:lock v:ext="edit" aspectratio="f"/>
              </v:line>
            </w:pict>
          </mc:Fallback>
        </mc:AlternateContent>
      </w:r>
    </w:p>
    <w:sectPr>
      <w:headerReference r:id="rId14" w:type="first"/>
      <w:footerReference r:id="rId16" w:type="first"/>
      <w:footerReference r:id="rId15" w:type="default"/>
      <w:pgSz w:w="11906" w:h="16838"/>
      <w:pgMar w:top="2098" w:right="1474" w:bottom="1984" w:left="1587" w:header="1474" w:footer="1474" w:gutter="0"/>
      <w:pgBorders>
        <w:top w:val="none" w:sz="0" w:space="0"/>
        <w:left w:val="none" w:sz="0" w:space="0"/>
        <w:bottom w:val="none" w:sz="0" w:space="0"/>
        <w:right w:val="none" w:sz="0" w:space="0"/>
      </w:pgBorders>
      <w:pgNumType w:fmt="decimal"/>
      <w:cols w:space="720" w:num="1"/>
      <w:titlePg/>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E07C">
    <w:pPr>
      <w:pStyle w:val="30"/>
      <w:framePr w:wrap="around" w:vAnchor="text" w:hAnchor="margin" w:xAlign="center" w:y="1"/>
      <w:rPr>
        <w:rStyle w:val="49"/>
      </w:rPr>
    </w:pPr>
    <w:r>
      <w:fldChar w:fldCharType="begin"/>
    </w:r>
    <w:r>
      <w:rPr>
        <w:rStyle w:val="49"/>
      </w:rPr>
      <w:instrText xml:space="preserve">PAGE  </w:instrText>
    </w:r>
    <w:r>
      <w:fldChar w:fldCharType="end"/>
    </w:r>
  </w:p>
  <w:p w14:paraId="1E10845F">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9DDF">
    <w:pPr>
      <w:pStyle w:val="30"/>
      <w:ind w:firstLine="90" w:firstLineChars="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F5F14">
                          <w:pPr>
                            <w:snapToGrid w:val="0"/>
                            <w:rPr>
                              <w:rFonts w:hint="eastAsia" w:ascii="宋体" w:hAnsi="宋体" w:cs="宋体"/>
                              <w:sz w:val="18"/>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fill on="f" focussize="0,0"/>
              <v:stroke on="f"/>
              <v:imagedata o:title=""/>
              <o:lock v:ext="edit" aspectratio="f"/>
              <v:textbox inset="0mm,0mm,0mm,0mm" style="mso-fit-shape-to-text:t;">
                <w:txbxContent>
                  <w:p w14:paraId="0EDF5F14">
                    <w:pPr>
                      <w:snapToGrid w:val="0"/>
                      <w:rPr>
                        <w:rFonts w:hint="eastAsia" w:ascii="宋体" w:hAnsi="宋体" w:cs="宋体"/>
                        <w:sz w:val="18"/>
                      </w:rPr>
                    </w:pPr>
                  </w:p>
                </w:txbxContent>
              </v:textbox>
            </v:shape>
          </w:pict>
        </mc:Fallback>
      </mc:AlternateContent>
    </w:r>
    <w:r>
      <w:rPr>
        <w:rFonts w:hint="eastAsia" w:ascii="仿宋" w:hAnsi="仿宋" w:eastAsia="仿宋" w:cs="宋体"/>
        <w:bCs/>
        <w:color w:val="000000"/>
      </w:rPr>
      <w:t xml:space="preserve">陕西中信项目咨询有限公司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C167">
    <w:pPr>
      <w:pStyle w:val="30"/>
      <w:ind w:firstLine="90" w:firstLineChars="50"/>
      <w:rPr>
        <w:rFonts w:hint="default" w:eastAsia="仿宋"/>
        <w:lang w:val="en-US" w:eastAsia="zh-CN"/>
      </w:rPr>
    </w:pPr>
    <w:r>
      <w:rPr>
        <w:rFonts w:hint="eastAsia" w:ascii="仿宋" w:hAnsi="仿宋" w:eastAsia="仿宋"/>
        <w:color w:val="000000"/>
      </w:rPr>
      <w:t>陕西中信项目咨询有限公司</w:t>
    </w:r>
    <w:r>
      <w:rPr>
        <w:rFonts w:hint="eastAsia" w:ascii="仿宋" w:hAnsi="仿宋" w:eastAsia="仿宋"/>
        <w:color w:val="000000"/>
        <w:lang w:val="en-US" w:eastAsia="zh-CN"/>
      </w:rPr>
      <w:t xml:space="preserve">                                                            029-87216602</w:t>
    </w:r>
  </w:p>
  <w:p w14:paraId="116CD702">
    <w:pPr>
      <w:pStyle w:val="30"/>
      <w:ind w:firstLine="90" w:firstLineChars="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D83B">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5AAD5">
                          <w:pPr>
                            <w:pStyle w:val="30"/>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125AAD5">
                    <w:pPr>
                      <w:pStyle w:val="30"/>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4807">
    <w:pPr>
      <w:pStyle w:val="3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BAF7D">
                          <w:pPr>
                            <w:pStyle w:val="30"/>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5BAF7D">
                    <w:pPr>
                      <w:pStyle w:val="30"/>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D0AB">
    <w:pPr>
      <w:pStyle w:val="30"/>
      <w:ind w:firstLine="90" w:firstLineChars="5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74D3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7374D36">
                    <w:pPr>
                      <w:pStyle w:val="3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9ED7A">
                          <w:pPr>
                            <w:snapToGrid w:val="0"/>
                            <w:rPr>
                              <w:rFonts w:hint="eastAsia" w:ascii="宋体" w:hAnsi="宋体" w:cs="宋体"/>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409ED7A">
                    <w:pPr>
                      <w:snapToGrid w:val="0"/>
                      <w:rPr>
                        <w:rFonts w:hint="eastAsia" w:ascii="宋体" w:hAnsi="宋体" w:cs="宋体"/>
                        <w:sz w:val="18"/>
                      </w:rPr>
                    </w:pPr>
                  </w:p>
                </w:txbxContent>
              </v:textbox>
            </v:shape>
          </w:pict>
        </mc:Fallback>
      </mc:AlternateContent>
    </w:r>
    <w:r>
      <w:rPr>
        <w:rFonts w:hint="eastAsia" w:ascii="仿宋" w:hAnsi="仿宋" w:eastAsia="仿宋" w:cs="宋体"/>
        <w:bCs/>
        <w:color w:val="000000"/>
      </w:rPr>
      <w:t xml:space="preserve">陕西中信项目咨询有限公司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778D">
    <w:pPr>
      <w:pStyle w:val="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F993D">
                          <w:pPr>
                            <w:pStyle w:val="30"/>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87</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1F993D">
                    <w:pPr>
                      <w:pStyle w:val="30"/>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87</w:t>
                    </w:r>
                    <w:r>
                      <w:rPr>
                        <w:rFonts w:hint="eastAsia" w:ascii="仿宋" w:hAnsi="仿宋" w:eastAsia="仿宋" w:cs="仿宋"/>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E249">
    <w:pPr>
      <w:pStyle w:val="31"/>
      <w:pBdr>
        <w:bottom w:val="none" w:color="auto" w:sz="0" w:space="1"/>
      </w:pBdr>
      <w:rPr>
        <w:rFonts w:hint="eastAsia" w:eastAsia="仿宋"/>
        <w:color w:val="FF0000"/>
        <w:lang w:eastAsia="zh-CN"/>
      </w:rPr>
    </w:pPr>
    <w:r>
      <w:rPr>
        <w:rFonts w:hint="eastAsia" w:ascii="仿宋" w:hAnsi="仿宋" w:eastAsia="仿宋" w:cs="宋体"/>
        <w:color w:val="FF0000"/>
        <w:u w:val="single"/>
        <w:lang w:eastAsia="zh-CN"/>
      </w:rPr>
      <w:t>陕西省市场监督管理局系列访谈视频节目制作</w:t>
    </w:r>
    <w:r>
      <w:rPr>
        <w:rFonts w:hint="eastAsia" w:ascii="仿宋" w:hAnsi="仿宋" w:eastAsia="仿宋" w:cs="宋体"/>
        <w:color w:val="FF0000"/>
        <w:u w:val="single"/>
      </w:rPr>
      <w:t xml:space="preserve">                                                                       </w:t>
    </w:r>
    <w:r>
      <w:rPr>
        <w:rFonts w:hint="eastAsia" w:ascii="仿宋" w:hAnsi="仿宋" w:eastAsia="仿宋" w:cs="宋体"/>
        <w:color w:val="FF0000"/>
        <w:u w:val="single"/>
        <w:lang w:eastAsia="zh-CN"/>
      </w:rPr>
      <w:t>ZXZB-XH2024-150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957D">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4639">
    <w:pPr>
      <w:pStyle w:val="31"/>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9796">
    <w:pPr>
      <w:pStyle w:val="31"/>
      <w:pBdr>
        <w:bottom w:val="none" w:color="auto" w:sz="0" w:space="1"/>
      </w:pBdr>
      <w:ind w:left="180" w:hanging="180" w:hangingChars="100"/>
      <w:jc w:val="left"/>
      <w:rPr>
        <w:rFonts w:hint="eastAsia" w:eastAsia="仿宋"/>
        <w:lang w:eastAsia="zh-CN"/>
      </w:rPr>
    </w:pPr>
    <w:r>
      <w:rPr>
        <w:rFonts w:hint="eastAsia" w:ascii="仿宋" w:hAnsi="仿宋" w:eastAsia="仿宋" w:cs="宋体"/>
        <w:color w:val="auto"/>
        <w:u w:val="single"/>
        <w:lang w:eastAsia="zh-CN"/>
      </w:rPr>
      <w:t>长乐公园西门基础设施建设工程设计</w:t>
    </w:r>
    <w:r>
      <w:rPr>
        <w:rFonts w:hint="eastAsia" w:ascii="仿宋" w:hAnsi="仿宋" w:eastAsia="仿宋" w:cs="宋体"/>
        <w:color w:val="auto"/>
        <w:u w:val="single"/>
      </w:rPr>
      <w:t xml:space="preserve">  </w:t>
    </w:r>
    <w:r>
      <w:rPr>
        <w:rFonts w:hint="eastAsia" w:ascii="仿宋" w:hAnsi="仿宋" w:eastAsia="仿宋" w:cs="宋体"/>
        <w:color w:val="auto"/>
        <w:u w:val="single"/>
        <w:lang w:val="en-US" w:eastAsia="zh-CN"/>
      </w:rPr>
      <w:t xml:space="preserve">               </w:t>
    </w:r>
    <w:r>
      <w:rPr>
        <w:rFonts w:hint="eastAsia" w:ascii="仿宋" w:hAnsi="仿宋" w:eastAsia="仿宋" w:cs="宋体"/>
        <w:color w:val="auto"/>
        <w:u w:val="single"/>
      </w:rPr>
      <w:t xml:space="preserve">     </w:t>
    </w:r>
    <w:r>
      <w:rPr>
        <w:rFonts w:hint="eastAsia" w:ascii="仿宋" w:hAnsi="仿宋" w:eastAsia="仿宋" w:cs="宋体"/>
        <w:color w:val="auto"/>
        <w:u w:val="single"/>
        <w:lang w:eastAsia="zh-CN"/>
      </w:rPr>
      <w:t>ZXZB-CG2025-187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46E1">
    <w:pPr>
      <w:pStyle w:val="31"/>
      <w:pBdr>
        <w:bottom w:val="none" w:color="auto" w:sz="0" w:space="1"/>
      </w:pBdr>
      <w:ind w:left="180" w:hanging="180" w:hangingChars="100"/>
      <w:jc w:val="left"/>
      <w:rPr>
        <w:rFonts w:hint="eastAsia" w:eastAsia="仿宋"/>
        <w:color w:val="auto"/>
        <w:highlight w:val="yellow"/>
        <w:lang w:val="en-US" w:eastAsia="zh-CN"/>
      </w:rPr>
    </w:pPr>
    <w:r>
      <w:rPr>
        <w:rFonts w:hint="eastAsia" w:ascii="仿宋" w:hAnsi="仿宋" w:eastAsia="仿宋" w:cs="宋体"/>
        <w:color w:val="auto"/>
        <w:u w:val="single"/>
        <w:lang w:eastAsia="zh-CN"/>
      </w:rPr>
      <w:t>长乐公园西门基础设施建设工程设计</w:t>
    </w:r>
    <w:r>
      <w:rPr>
        <w:rFonts w:hint="eastAsia" w:ascii="仿宋" w:hAnsi="仿宋" w:eastAsia="仿宋" w:cs="宋体"/>
        <w:color w:val="auto"/>
        <w:u w:val="single"/>
      </w:rPr>
      <w:t xml:space="preserve">    </w:t>
    </w:r>
    <w:r>
      <w:rPr>
        <w:rFonts w:hint="eastAsia" w:ascii="仿宋" w:hAnsi="仿宋" w:eastAsia="仿宋" w:cs="宋体"/>
        <w:color w:val="auto"/>
        <w:u w:val="single"/>
        <w:lang w:val="en-US" w:eastAsia="zh-CN"/>
      </w:rPr>
      <w:t xml:space="preserve">                                         </w:t>
    </w:r>
    <w:r>
      <w:rPr>
        <w:rFonts w:hint="eastAsia" w:ascii="仿宋" w:hAnsi="仿宋" w:eastAsia="仿宋" w:cs="宋体"/>
        <w:color w:val="auto"/>
        <w:u w:val="single"/>
      </w:rPr>
      <w:t xml:space="preserve">     </w:t>
    </w:r>
    <w:r>
      <w:rPr>
        <w:rFonts w:hint="eastAsia" w:ascii="仿宋" w:hAnsi="仿宋" w:eastAsia="仿宋" w:cs="宋体"/>
        <w:color w:val="auto"/>
        <w:u w:val="single"/>
        <w:lang w:eastAsia="zh-CN"/>
      </w:rPr>
      <w:t>ZXZB-CG2025-187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769C">
    <w:pPr>
      <w:autoSpaceDE w:val="0"/>
      <w:spacing w:line="480" w:lineRule="exact"/>
      <w:rPr>
        <w:rFonts w:hint="eastAsia"/>
        <w:b/>
        <w:i/>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A2A3">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6ED8D"/>
    <w:multiLevelType w:val="singleLevel"/>
    <w:tmpl w:val="B7E6ED8D"/>
    <w:lvl w:ilvl="0" w:tentative="0">
      <w:start w:val="1"/>
      <w:numFmt w:val="decimal"/>
      <w:suff w:val="nothing"/>
      <w:lvlText w:val="（%1）"/>
      <w:lvlJc w:val="left"/>
    </w:lvl>
  </w:abstractNum>
  <w:abstractNum w:abstractNumId="1">
    <w:nsid w:val="13AB4AAE"/>
    <w:multiLevelType w:val="multilevel"/>
    <w:tmpl w:val="13AB4AAE"/>
    <w:lvl w:ilvl="0" w:tentative="0">
      <w:start w:val="1"/>
      <w:numFmt w:val="bullet"/>
      <w:pStyle w:val="12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87F0793"/>
    <w:multiLevelType w:val="singleLevel"/>
    <w:tmpl w:val="287F0793"/>
    <w:lvl w:ilvl="0" w:tentative="0">
      <w:start w:val="1"/>
      <w:numFmt w:val="decimal"/>
      <w:suff w:val="nothing"/>
      <w:lvlText w:val="（%1）"/>
      <w:lvlJc w:val="left"/>
    </w:lvl>
  </w:abstractNum>
  <w:abstractNum w:abstractNumId="3">
    <w:nsid w:val="3F6B22CC"/>
    <w:multiLevelType w:val="multilevel"/>
    <w:tmpl w:val="3F6B22CC"/>
    <w:lvl w:ilvl="0" w:tentative="0">
      <w:start w:val="1"/>
      <w:numFmt w:val="bullet"/>
      <w:pStyle w:val="7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6EFB9C6"/>
    <w:multiLevelType w:val="singleLevel"/>
    <w:tmpl w:val="56EFB9C6"/>
    <w:lvl w:ilvl="0" w:tentative="0">
      <w:start w:val="8"/>
      <w:numFmt w:val="chineseCounting"/>
      <w:suff w:val="space"/>
      <w:lvlText w:val="第%1条"/>
      <w:lvlJc w:val="left"/>
      <w:rPr>
        <w:rFonts w:hint="eastAsia"/>
        <w:b/>
        <w:bCs/>
      </w:rPr>
    </w:lvl>
  </w:abstractNum>
  <w:abstractNum w:abstractNumId="5">
    <w:nsid w:val="7F8EBC6C"/>
    <w:multiLevelType w:val="singleLevel"/>
    <w:tmpl w:val="7F8EBC6C"/>
    <w:lvl w:ilvl="0" w:tentative="0">
      <w:start w:val="5"/>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9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k5ZWE4M2M4Y2YxM2FkZmM4NWNhZGE2ZDZmMmYifQ=="/>
  </w:docVars>
  <w:rsids>
    <w:rsidRoot w:val="00172A27"/>
    <w:rsid w:val="00000214"/>
    <w:rsid w:val="00000D29"/>
    <w:rsid w:val="000016AF"/>
    <w:rsid w:val="0000227A"/>
    <w:rsid w:val="00003114"/>
    <w:rsid w:val="000048A4"/>
    <w:rsid w:val="00004B11"/>
    <w:rsid w:val="000079DC"/>
    <w:rsid w:val="00013892"/>
    <w:rsid w:val="00013E85"/>
    <w:rsid w:val="00017139"/>
    <w:rsid w:val="000206C1"/>
    <w:rsid w:val="0002138B"/>
    <w:rsid w:val="00022687"/>
    <w:rsid w:val="00022F79"/>
    <w:rsid w:val="000231D8"/>
    <w:rsid w:val="00023215"/>
    <w:rsid w:val="000258F7"/>
    <w:rsid w:val="0003260E"/>
    <w:rsid w:val="0003395B"/>
    <w:rsid w:val="00034C31"/>
    <w:rsid w:val="00041B19"/>
    <w:rsid w:val="00047E88"/>
    <w:rsid w:val="0005317C"/>
    <w:rsid w:val="00057C19"/>
    <w:rsid w:val="00061151"/>
    <w:rsid w:val="000667B1"/>
    <w:rsid w:val="00070B9B"/>
    <w:rsid w:val="00073082"/>
    <w:rsid w:val="00075371"/>
    <w:rsid w:val="00075DB1"/>
    <w:rsid w:val="0008366E"/>
    <w:rsid w:val="0008434C"/>
    <w:rsid w:val="00085F93"/>
    <w:rsid w:val="00087682"/>
    <w:rsid w:val="00091A45"/>
    <w:rsid w:val="00091E4B"/>
    <w:rsid w:val="000A0C11"/>
    <w:rsid w:val="000A3F07"/>
    <w:rsid w:val="000A6C03"/>
    <w:rsid w:val="000B1269"/>
    <w:rsid w:val="000B2233"/>
    <w:rsid w:val="000B4517"/>
    <w:rsid w:val="000B70A6"/>
    <w:rsid w:val="000B7AA2"/>
    <w:rsid w:val="000C409C"/>
    <w:rsid w:val="000C655D"/>
    <w:rsid w:val="000C743D"/>
    <w:rsid w:val="000D3B12"/>
    <w:rsid w:val="000D3DB4"/>
    <w:rsid w:val="000D649E"/>
    <w:rsid w:val="000D7BEC"/>
    <w:rsid w:val="000E1B31"/>
    <w:rsid w:val="000E20D0"/>
    <w:rsid w:val="000E2A34"/>
    <w:rsid w:val="000E61AD"/>
    <w:rsid w:val="000E7FEA"/>
    <w:rsid w:val="000F1229"/>
    <w:rsid w:val="000F26A7"/>
    <w:rsid w:val="000F2CD6"/>
    <w:rsid w:val="00101B35"/>
    <w:rsid w:val="0010417C"/>
    <w:rsid w:val="001054EE"/>
    <w:rsid w:val="00105DE6"/>
    <w:rsid w:val="00106706"/>
    <w:rsid w:val="00106F09"/>
    <w:rsid w:val="0011126D"/>
    <w:rsid w:val="00115CD4"/>
    <w:rsid w:val="00116CFA"/>
    <w:rsid w:val="00116D03"/>
    <w:rsid w:val="001173E5"/>
    <w:rsid w:val="0012361E"/>
    <w:rsid w:val="0012603C"/>
    <w:rsid w:val="00127227"/>
    <w:rsid w:val="00127786"/>
    <w:rsid w:val="00127815"/>
    <w:rsid w:val="00127AAA"/>
    <w:rsid w:val="00130D79"/>
    <w:rsid w:val="0013570B"/>
    <w:rsid w:val="00137399"/>
    <w:rsid w:val="00137736"/>
    <w:rsid w:val="00141F63"/>
    <w:rsid w:val="001423F4"/>
    <w:rsid w:val="0014307A"/>
    <w:rsid w:val="001430CC"/>
    <w:rsid w:val="00145F5C"/>
    <w:rsid w:val="001506B1"/>
    <w:rsid w:val="00152AD7"/>
    <w:rsid w:val="00152C7D"/>
    <w:rsid w:val="00154C54"/>
    <w:rsid w:val="00155007"/>
    <w:rsid w:val="001553B4"/>
    <w:rsid w:val="00157750"/>
    <w:rsid w:val="0016043B"/>
    <w:rsid w:val="00161D45"/>
    <w:rsid w:val="00162ABA"/>
    <w:rsid w:val="00165CED"/>
    <w:rsid w:val="001667EE"/>
    <w:rsid w:val="00167D0B"/>
    <w:rsid w:val="00167E10"/>
    <w:rsid w:val="001757D7"/>
    <w:rsid w:val="00175BDF"/>
    <w:rsid w:val="001803A1"/>
    <w:rsid w:val="00180C0B"/>
    <w:rsid w:val="00181D8E"/>
    <w:rsid w:val="00186F34"/>
    <w:rsid w:val="00190A04"/>
    <w:rsid w:val="0019200C"/>
    <w:rsid w:val="001A14F5"/>
    <w:rsid w:val="001A3DA5"/>
    <w:rsid w:val="001B0FF3"/>
    <w:rsid w:val="001B3694"/>
    <w:rsid w:val="001B4374"/>
    <w:rsid w:val="001B7396"/>
    <w:rsid w:val="001B7D94"/>
    <w:rsid w:val="001B7E8E"/>
    <w:rsid w:val="001C2394"/>
    <w:rsid w:val="001C26E5"/>
    <w:rsid w:val="001C424D"/>
    <w:rsid w:val="001C753A"/>
    <w:rsid w:val="001C7C0E"/>
    <w:rsid w:val="001D1637"/>
    <w:rsid w:val="001D34D7"/>
    <w:rsid w:val="001D3DDE"/>
    <w:rsid w:val="001E3688"/>
    <w:rsid w:val="001F1190"/>
    <w:rsid w:val="001F3472"/>
    <w:rsid w:val="001F5A2D"/>
    <w:rsid w:val="001F5D92"/>
    <w:rsid w:val="0020123C"/>
    <w:rsid w:val="0020771E"/>
    <w:rsid w:val="00210BD2"/>
    <w:rsid w:val="00211D04"/>
    <w:rsid w:val="00215F70"/>
    <w:rsid w:val="0022069E"/>
    <w:rsid w:val="00222F3F"/>
    <w:rsid w:val="00223AF6"/>
    <w:rsid w:val="002254BC"/>
    <w:rsid w:val="00226F7B"/>
    <w:rsid w:val="002275A3"/>
    <w:rsid w:val="00227A0D"/>
    <w:rsid w:val="00230D45"/>
    <w:rsid w:val="0023779D"/>
    <w:rsid w:val="002419F1"/>
    <w:rsid w:val="00241B55"/>
    <w:rsid w:val="00246665"/>
    <w:rsid w:val="00247550"/>
    <w:rsid w:val="00247699"/>
    <w:rsid w:val="002530BB"/>
    <w:rsid w:val="002542E6"/>
    <w:rsid w:val="00255AE8"/>
    <w:rsid w:val="00257740"/>
    <w:rsid w:val="00260FAE"/>
    <w:rsid w:val="00261F6D"/>
    <w:rsid w:val="00266E4E"/>
    <w:rsid w:val="00270D00"/>
    <w:rsid w:val="002730D5"/>
    <w:rsid w:val="00273958"/>
    <w:rsid w:val="0027487B"/>
    <w:rsid w:val="002754C5"/>
    <w:rsid w:val="0027628D"/>
    <w:rsid w:val="00277A0A"/>
    <w:rsid w:val="00281503"/>
    <w:rsid w:val="002820C6"/>
    <w:rsid w:val="00283C57"/>
    <w:rsid w:val="00283E2A"/>
    <w:rsid w:val="0028447C"/>
    <w:rsid w:val="00285885"/>
    <w:rsid w:val="00293E46"/>
    <w:rsid w:val="002A36E2"/>
    <w:rsid w:val="002A67DA"/>
    <w:rsid w:val="002B13E5"/>
    <w:rsid w:val="002B4AD7"/>
    <w:rsid w:val="002B50D8"/>
    <w:rsid w:val="002B68FF"/>
    <w:rsid w:val="002B701E"/>
    <w:rsid w:val="002C1A46"/>
    <w:rsid w:val="002C4D72"/>
    <w:rsid w:val="002C57A3"/>
    <w:rsid w:val="002D08A9"/>
    <w:rsid w:val="002D411F"/>
    <w:rsid w:val="002D41C6"/>
    <w:rsid w:val="002D4F05"/>
    <w:rsid w:val="002D7672"/>
    <w:rsid w:val="002E05AD"/>
    <w:rsid w:val="002E5E6B"/>
    <w:rsid w:val="002F0A36"/>
    <w:rsid w:val="002F16A8"/>
    <w:rsid w:val="002F5B9D"/>
    <w:rsid w:val="003004C2"/>
    <w:rsid w:val="00300517"/>
    <w:rsid w:val="00301D8A"/>
    <w:rsid w:val="00302A92"/>
    <w:rsid w:val="0030372D"/>
    <w:rsid w:val="003061CD"/>
    <w:rsid w:val="003074EB"/>
    <w:rsid w:val="00307D7F"/>
    <w:rsid w:val="003124ED"/>
    <w:rsid w:val="00312504"/>
    <w:rsid w:val="00324BF8"/>
    <w:rsid w:val="003250F5"/>
    <w:rsid w:val="00325715"/>
    <w:rsid w:val="00330611"/>
    <w:rsid w:val="00331BE5"/>
    <w:rsid w:val="003331E2"/>
    <w:rsid w:val="003351A5"/>
    <w:rsid w:val="003368BB"/>
    <w:rsid w:val="00345066"/>
    <w:rsid w:val="003465A4"/>
    <w:rsid w:val="00346EC6"/>
    <w:rsid w:val="00350D0A"/>
    <w:rsid w:val="00351044"/>
    <w:rsid w:val="00353D53"/>
    <w:rsid w:val="00356068"/>
    <w:rsid w:val="00362A27"/>
    <w:rsid w:val="00366138"/>
    <w:rsid w:val="003704F0"/>
    <w:rsid w:val="00371246"/>
    <w:rsid w:val="003719CB"/>
    <w:rsid w:val="00372CE5"/>
    <w:rsid w:val="00382A18"/>
    <w:rsid w:val="00384180"/>
    <w:rsid w:val="00384388"/>
    <w:rsid w:val="003869E0"/>
    <w:rsid w:val="00395CD6"/>
    <w:rsid w:val="003A749C"/>
    <w:rsid w:val="003B0005"/>
    <w:rsid w:val="003B0DFA"/>
    <w:rsid w:val="003B1512"/>
    <w:rsid w:val="003B2F45"/>
    <w:rsid w:val="003B7821"/>
    <w:rsid w:val="003C5352"/>
    <w:rsid w:val="003D0B7C"/>
    <w:rsid w:val="003D7163"/>
    <w:rsid w:val="003E4718"/>
    <w:rsid w:val="003E51B3"/>
    <w:rsid w:val="003E5544"/>
    <w:rsid w:val="003E5A9E"/>
    <w:rsid w:val="003E623F"/>
    <w:rsid w:val="003E7776"/>
    <w:rsid w:val="003F26C0"/>
    <w:rsid w:val="003F6071"/>
    <w:rsid w:val="003F785E"/>
    <w:rsid w:val="004000BA"/>
    <w:rsid w:val="00400105"/>
    <w:rsid w:val="0041012E"/>
    <w:rsid w:val="00410319"/>
    <w:rsid w:val="00411C0D"/>
    <w:rsid w:val="00411E11"/>
    <w:rsid w:val="004161A0"/>
    <w:rsid w:val="004167A9"/>
    <w:rsid w:val="00420C35"/>
    <w:rsid w:val="00421029"/>
    <w:rsid w:val="00423107"/>
    <w:rsid w:val="00423657"/>
    <w:rsid w:val="00426FD7"/>
    <w:rsid w:val="00427A0D"/>
    <w:rsid w:val="00427D0B"/>
    <w:rsid w:val="00437794"/>
    <w:rsid w:val="004379D1"/>
    <w:rsid w:val="00441B11"/>
    <w:rsid w:val="0044549E"/>
    <w:rsid w:val="004460A9"/>
    <w:rsid w:val="00451096"/>
    <w:rsid w:val="004519BA"/>
    <w:rsid w:val="00455139"/>
    <w:rsid w:val="00456092"/>
    <w:rsid w:val="004562D3"/>
    <w:rsid w:val="0046071C"/>
    <w:rsid w:val="00461971"/>
    <w:rsid w:val="0046327A"/>
    <w:rsid w:val="00470A32"/>
    <w:rsid w:val="00470EDA"/>
    <w:rsid w:val="0047108C"/>
    <w:rsid w:val="00471194"/>
    <w:rsid w:val="0047179F"/>
    <w:rsid w:val="0047305E"/>
    <w:rsid w:val="00473E48"/>
    <w:rsid w:val="00477259"/>
    <w:rsid w:val="00480CB5"/>
    <w:rsid w:val="00482BB7"/>
    <w:rsid w:val="004935C5"/>
    <w:rsid w:val="00497E23"/>
    <w:rsid w:val="00497E6A"/>
    <w:rsid w:val="004A06BE"/>
    <w:rsid w:val="004A0CDB"/>
    <w:rsid w:val="004A0F71"/>
    <w:rsid w:val="004A2622"/>
    <w:rsid w:val="004A329A"/>
    <w:rsid w:val="004A38D7"/>
    <w:rsid w:val="004A74CC"/>
    <w:rsid w:val="004B1C0D"/>
    <w:rsid w:val="004B36D7"/>
    <w:rsid w:val="004B3C47"/>
    <w:rsid w:val="004B537A"/>
    <w:rsid w:val="004B56EA"/>
    <w:rsid w:val="004C0248"/>
    <w:rsid w:val="004C315D"/>
    <w:rsid w:val="004C52D9"/>
    <w:rsid w:val="004C615D"/>
    <w:rsid w:val="004C6863"/>
    <w:rsid w:val="004C7D08"/>
    <w:rsid w:val="004C7EFF"/>
    <w:rsid w:val="004D05DF"/>
    <w:rsid w:val="004D0DE1"/>
    <w:rsid w:val="004D17F4"/>
    <w:rsid w:val="004D20CF"/>
    <w:rsid w:val="004D23BA"/>
    <w:rsid w:val="004D3081"/>
    <w:rsid w:val="004D3B2D"/>
    <w:rsid w:val="004D7DA9"/>
    <w:rsid w:val="004E0036"/>
    <w:rsid w:val="004E18B1"/>
    <w:rsid w:val="004E2859"/>
    <w:rsid w:val="004E4589"/>
    <w:rsid w:val="004E5595"/>
    <w:rsid w:val="004E66AD"/>
    <w:rsid w:val="004F0C3A"/>
    <w:rsid w:val="004F2485"/>
    <w:rsid w:val="004F2DC1"/>
    <w:rsid w:val="004F3E0F"/>
    <w:rsid w:val="00500193"/>
    <w:rsid w:val="00500754"/>
    <w:rsid w:val="00500EED"/>
    <w:rsid w:val="005012B9"/>
    <w:rsid w:val="005028DF"/>
    <w:rsid w:val="00504E40"/>
    <w:rsid w:val="005058F7"/>
    <w:rsid w:val="0050794B"/>
    <w:rsid w:val="0051094B"/>
    <w:rsid w:val="00513453"/>
    <w:rsid w:val="005139CA"/>
    <w:rsid w:val="00513F52"/>
    <w:rsid w:val="00514D50"/>
    <w:rsid w:val="00515319"/>
    <w:rsid w:val="00516103"/>
    <w:rsid w:val="005161E2"/>
    <w:rsid w:val="0052242D"/>
    <w:rsid w:val="005229AC"/>
    <w:rsid w:val="0052314A"/>
    <w:rsid w:val="005254BE"/>
    <w:rsid w:val="00525EC0"/>
    <w:rsid w:val="00537D35"/>
    <w:rsid w:val="00542349"/>
    <w:rsid w:val="00544A5C"/>
    <w:rsid w:val="00545A6D"/>
    <w:rsid w:val="00547625"/>
    <w:rsid w:val="00552B42"/>
    <w:rsid w:val="0056065B"/>
    <w:rsid w:val="005661C8"/>
    <w:rsid w:val="005708B7"/>
    <w:rsid w:val="00573CA4"/>
    <w:rsid w:val="005869D1"/>
    <w:rsid w:val="00590AC0"/>
    <w:rsid w:val="005972F9"/>
    <w:rsid w:val="005A28D0"/>
    <w:rsid w:val="005A56C0"/>
    <w:rsid w:val="005A763A"/>
    <w:rsid w:val="005B28E5"/>
    <w:rsid w:val="005B4768"/>
    <w:rsid w:val="005B4CB5"/>
    <w:rsid w:val="005B717C"/>
    <w:rsid w:val="005B7D61"/>
    <w:rsid w:val="005C3CA6"/>
    <w:rsid w:val="005C70EF"/>
    <w:rsid w:val="005D1B10"/>
    <w:rsid w:val="005D6043"/>
    <w:rsid w:val="005D678C"/>
    <w:rsid w:val="005D686F"/>
    <w:rsid w:val="005E001C"/>
    <w:rsid w:val="005E02B1"/>
    <w:rsid w:val="005E19A8"/>
    <w:rsid w:val="005E6D00"/>
    <w:rsid w:val="005E70E9"/>
    <w:rsid w:val="005E74A4"/>
    <w:rsid w:val="005F1DD4"/>
    <w:rsid w:val="005F3073"/>
    <w:rsid w:val="005F5361"/>
    <w:rsid w:val="005F66FF"/>
    <w:rsid w:val="006016E0"/>
    <w:rsid w:val="006074D3"/>
    <w:rsid w:val="00610BEB"/>
    <w:rsid w:val="00612CF5"/>
    <w:rsid w:val="006152AE"/>
    <w:rsid w:val="006164FC"/>
    <w:rsid w:val="00616FCC"/>
    <w:rsid w:val="0062263D"/>
    <w:rsid w:val="00622A08"/>
    <w:rsid w:val="006259C8"/>
    <w:rsid w:val="006343BD"/>
    <w:rsid w:val="006366DB"/>
    <w:rsid w:val="00645729"/>
    <w:rsid w:val="00647D4F"/>
    <w:rsid w:val="00650914"/>
    <w:rsid w:val="00650ED3"/>
    <w:rsid w:val="0065542C"/>
    <w:rsid w:val="00656C32"/>
    <w:rsid w:val="0065784D"/>
    <w:rsid w:val="00665BCC"/>
    <w:rsid w:val="0066631E"/>
    <w:rsid w:val="00667498"/>
    <w:rsid w:val="00667ED3"/>
    <w:rsid w:val="006750B7"/>
    <w:rsid w:val="006855D4"/>
    <w:rsid w:val="00690399"/>
    <w:rsid w:val="00695A07"/>
    <w:rsid w:val="00696948"/>
    <w:rsid w:val="00697245"/>
    <w:rsid w:val="006A32C7"/>
    <w:rsid w:val="006B0C82"/>
    <w:rsid w:val="006B12E1"/>
    <w:rsid w:val="006B1F08"/>
    <w:rsid w:val="006B22B5"/>
    <w:rsid w:val="006C0135"/>
    <w:rsid w:val="006C28F6"/>
    <w:rsid w:val="006C2DC7"/>
    <w:rsid w:val="006C5E2B"/>
    <w:rsid w:val="006C5F25"/>
    <w:rsid w:val="006C6360"/>
    <w:rsid w:val="006D2894"/>
    <w:rsid w:val="006D31E0"/>
    <w:rsid w:val="006D34A8"/>
    <w:rsid w:val="006D42EA"/>
    <w:rsid w:val="006D4858"/>
    <w:rsid w:val="006D49F1"/>
    <w:rsid w:val="006D6035"/>
    <w:rsid w:val="006D6ACE"/>
    <w:rsid w:val="006E3C89"/>
    <w:rsid w:val="006E3E16"/>
    <w:rsid w:val="006E45C2"/>
    <w:rsid w:val="006E6DFA"/>
    <w:rsid w:val="006E7231"/>
    <w:rsid w:val="006F16AC"/>
    <w:rsid w:val="006F2472"/>
    <w:rsid w:val="006F2B47"/>
    <w:rsid w:val="006F3872"/>
    <w:rsid w:val="006F5EB6"/>
    <w:rsid w:val="00701DD3"/>
    <w:rsid w:val="00705745"/>
    <w:rsid w:val="00710557"/>
    <w:rsid w:val="00711FA7"/>
    <w:rsid w:val="00712E8B"/>
    <w:rsid w:val="00717AA2"/>
    <w:rsid w:val="00721892"/>
    <w:rsid w:val="0072199E"/>
    <w:rsid w:val="007239CE"/>
    <w:rsid w:val="00724C98"/>
    <w:rsid w:val="00730815"/>
    <w:rsid w:val="00730907"/>
    <w:rsid w:val="007312C5"/>
    <w:rsid w:val="00733DF7"/>
    <w:rsid w:val="007416D3"/>
    <w:rsid w:val="00751023"/>
    <w:rsid w:val="007561E2"/>
    <w:rsid w:val="00761CDA"/>
    <w:rsid w:val="0076314A"/>
    <w:rsid w:val="007641CE"/>
    <w:rsid w:val="007722EB"/>
    <w:rsid w:val="00773D80"/>
    <w:rsid w:val="00773DB3"/>
    <w:rsid w:val="00774BBD"/>
    <w:rsid w:val="00774BC7"/>
    <w:rsid w:val="00777F0B"/>
    <w:rsid w:val="007832CE"/>
    <w:rsid w:val="007917EC"/>
    <w:rsid w:val="00793132"/>
    <w:rsid w:val="0079345A"/>
    <w:rsid w:val="007A14DE"/>
    <w:rsid w:val="007A41CA"/>
    <w:rsid w:val="007A4B45"/>
    <w:rsid w:val="007A53D8"/>
    <w:rsid w:val="007A655B"/>
    <w:rsid w:val="007A7987"/>
    <w:rsid w:val="007B1D0D"/>
    <w:rsid w:val="007C06FD"/>
    <w:rsid w:val="007C1640"/>
    <w:rsid w:val="007C2E62"/>
    <w:rsid w:val="007C4D03"/>
    <w:rsid w:val="007E2199"/>
    <w:rsid w:val="007E3E06"/>
    <w:rsid w:val="007F0605"/>
    <w:rsid w:val="007F3769"/>
    <w:rsid w:val="007F40F8"/>
    <w:rsid w:val="007F4629"/>
    <w:rsid w:val="007F54E2"/>
    <w:rsid w:val="007F7469"/>
    <w:rsid w:val="00807821"/>
    <w:rsid w:val="008124A7"/>
    <w:rsid w:val="008203B4"/>
    <w:rsid w:val="00823780"/>
    <w:rsid w:val="008255B0"/>
    <w:rsid w:val="008257CC"/>
    <w:rsid w:val="00825A7E"/>
    <w:rsid w:val="008265FA"/>
    <w:rsid w:val="008272F3"/>
    <w:rsid w:val="00835E66"/>
    <w:rsid w:val="00836633"/>
    <w:rsid w:val="008371E2"/>
    <w:rsid w:val="0083773A"/>
    <w:rsid w:val="00837D3B"/>
    <w:rsid w:val="00843D99"/>
    <w:rsid w:val="00845CE8"/>
    <w:rsid w:val="00845E43"/>
    <w:rsid w:val="0085016F"/>
    <w:rsid w:val="00850745"/>
    <w:rsid w:val="00853241"/>
    <w:rsid w:val="00853E0D"/>
    <w:rsid w:val="008604E3"/>
    <w:rsid w:val="008633DA"/>
    <w:rsid w:val="00865B44"/>
    <w:rsid w:val="008713F7"/>
    <w:rsid w:val="00874FC7"/>
    <w:rsid w:val="00885EF1"/>
    <w:rsid w:val="008867DC"/>
    <w:rsid w:val="00886BBA"/>
    <w:rsid w:val="008925C4"/>
    <w:rsid w:val="0089480E"/>
    <w:rsid w:val="00894938"/>
    <w:rsid w:val="008A0695"/>
    <w:rsid w:val="008A212A"/>
    <w:rsid w:val="008A2F5C"/>
    <w:rsid w:val="008A406A"/>
    <w:rsid w:val="008A7F17"/>
    <w:rsid w:val="008B24D5"/>
    <w:rsid w:val="008B44D9"/>
    <w:rsid w:val="008B5E16"/>
    <w:rsid w:val="008B6B75"/>
    <w:rsid w:val="008C35A5"/>
    <w:rsid w:val="008C3E4D"/>
    <w:rsid w:val="008C513C"/>
    <w:rsid w:val="008C70BA"/>
    <w:rsid w:val="008C79D9"/>
    <w:rsid w:val="008D2B75"/>
    <w:rsid w:val="008D4C0E"/>
    <w:rsid w:val="008E4EF7"/>
    <w:rsid w:val="008F3035"/>
    <w:rsid w:val="008F3CA3"/>
    <w:rsid w:val="008F642E"/>
    <w:rsid w:val="008F7E7F"/>
    <w:rsid w:val="008F7EF8"/>
    <w:rsid w:val="0090316B"/>
    <w:rsid w:val="00904BD0"/>
    <w:rsid w:val="00906078"/>
    <w:rsid w:val="0090647A"/>
    <w:rsid w:val="009075A1"/>
    <w:rsid w:val="0090787F"/>
    <w:rsid w:val="0091177D"/>
    <w:rsid w:val="00912033"/>
    <w:rsid w:val="00913358"/>
    <w:rsid w:val="00916846"/>
    <w:rsid w:val="00916EE2"/>
    <w:rsid w:val="00920165"/>
    <w:rsid w:val="00920C3D"/>
    <w:rsid w:val="00921346"/>
    <w:rsid w:val="0092217D"/>
    <w:rsid w:val="00925C2A"/>
    <w:rsid w:val="00926515"/>
    <w:rsid w:val="00926C1D"/>
    <w:rsid w:val="0093292D"/>
    <w:rsid w:val="00933150"/>
    <w:rsid w:val="00934F07"/>
    <w:rsid w:val="00936878"/>
    <w:rsid w:val="00936CEF"/>
    <w:rsid w:val="00943720"/>
    <w:rsid w:val="009468FF"/>
    <w:rsid w:val="00950291"/>
    <w:rsid w:val="00950A85"/>
    <w:rsid w:val="00954723"/>
    <w:rsid w:val="00956E2A"/>
    <w:rsid w:val="0096188E"/>
    <w:rsid w:val="00962076"/>
    <w:rsid w:val="00965566"/>
    <w:rsid w:val="0096566B"/>
    <w:rsid w:val="00966435"/>
    <w:rsid w:val="009666E2"/>
    <w:rsid w:val="00967B38"/>
    <w:rsid w:val="00977BFD"/>
    <w:rsid w:val="009802DC"/>
    <w:rsid w:val="00984318"/>
    <w:rsid w:val="009846F9"/>
    <w:rsid w:val="0098648D"/>
    <w:rsid w:val="009872DA"/>
    <w:rsid w:val="0099100D"/>
    <w:rsid w:val="009915B7"/>
    <w:rsid w:val="00991B75"/>
    <w:rsid w:val="009922EA"/>
    <w:rsid w:val="0099261C"/>
    <w:rsid w:val="00996CF6"/>
    <w:rsid w:val="00996ED3"/>
    <w:rsid w:val="009A0604"/>
    <w:rsid w:val="009A1D15"/>
    <w:rsid w:val="009A1F3B"/>
    <w:rsid w:val="009A4929"/>
    <w:rsid w:val="009B0344"/>
    <w:rsid w:val="009B3305"/>
    <w:rsid w:val="009B4FAE"/>
    <w:rsid w:val="009B5923"/>
    <w:rsid w:val="009B68C6"/>
    <w:rsid w:val="009C58D7"/>
    <w:rsid w:val="009D26CD"/>
    <w:rsid w:val="009D740E"/>
    <w:rsid w:val="009E0283"/>
    <w:rsid w:val="009E073C"/>
    <w:rsid w:val="009E1303"/>
    <w:rsid w:val="009E3CE9"/>
    <w:rsid w:val="009E4CA1"/>
    <w:rsid w:val="009E4F68"/>
    <w:rsid w:val="009E5038"/>
    <w:rsid w:val="009E6A07"/>
    <w:rsid w:val="009E7528"/>
    <w:rsid w:val="009F040E"/>
    <w:rsid w:val="009F2E17"/>
    <w:rsid w:val="009F7F7C"/>
    <w:rsid w:val="00A00CA3"/>
    <w:rsid w:val="00A03768"/>
    <w:rsid w:val="00A074EE"/>
    <w:rsid w:val="00A079A7"/>
    <w:rsid w:val="00A07EDE"/>
    <w:rsid w:val="00A10BF2"/>
    <w:rsid w:val="00A13F89"/>
    <w:rsid w:val="00A15911"/>
    <w:rsid w:val="00A15AD5"/>
    <w:rsid w:val="00A162C3"/>
    <w:rsid w:val="00A16BB2"/>
    <w:rsid w:val="00A176B4"/>
    <w:rsid w:val="00A21208"/>
    <w:rsid w:val="00A22767"/>
    <w:rsid w:val="00A233D4"/>
    <w:rsid w:val="00A25864"/>
    <w:rsid w:val="00A31BDD"/>
    <w:rsid w:val="00A31D85"/>
    <w:rsid w:val="00A32BD6"/>
    <w:rsid w:val="00A36829"/>
    <w:rsid w:val="00A370F3"/>
    <w:rsid w:val="00A37ED7"/>
    <w:rsid w:val="00A43BF0"/>
    <w:rsid w:val="00A454EF"/>
    <w:rsid w:val="00A57569"/>
    <w:rsid w:val="00A57C1C"/>
    <w:rsid w:val="00A661C0"/>
    <w:rsid w:val="00A708EE"/>
    <w:rsid w:val="00A72116"/>
    <w:rsid w:val="00A76594"/>
    <w:rsid w:val="00A77A2C"/>
    <w:rsid w:val="00A77BF9"/>
    <w:rsid w:val="00A77FDB"/>
    <w:rsid w:val="00A82F6B"/>
    <w:rsid w:val="00A83EFA"/>
    <w:rsid w:val="00A86211"/>
    <w:rsid w:val="00A87C53"/>
    <w:rsid w:val="00A90F28"/>
    <w:rsid w:val="00A93EF3"/>
    <w:rsid w:val="00A94BBF"/>
    <w:rsid w:val="00A96AF6"/>
    <w:rsid w:val="00A97A0A"/>
    <w:rsid w:val="00AA05D1"/>
    <w:rsid w:val="00AA190A"/>
    <w:rsid w:val="00AA422E"/>
    <w:rsid w:val="00AA67CF"/>
    <w:rsid w:val="00AA67E1"/>
    <w:rsid w:val="00AB1807"/>
    <w:rsid w:val="00AB2995"/>
    <w:rsid w:val="00AB30BC"/>
    <w:rsid w:val="00AB4D6A"/>
    <w:rsid w:val="00AC6022"/>
    <w:rsid w:val="00AD1D00"/>
    <w:rsid w:val="00AE467E"/>
    <w:rsid w:val="00AE50BE"/>
    <w:rsid w:val="00AE7541"/>
    <w:rsid w:val="00AE7713"/>
    <w:rsid w:val="00AF33A2"/>
    <w:rsid w:val="00AF36C9"/>
    <w:rsid w:val="00AF509F"/>
    <w:rsid w:val="00AF7090"/>
    <w:rsid w:val="00B03117"/>
    <w:rsid w:val="00B055BA"/>
    <w:rsid w:val="00B10EA7"/>
    <w:rsid w:val="00B13AB1"/>
    <w:rsid w:val="00B13BE1"/>
    <w:rsid w:val="00B1405E"/>
    <w:rsid w:val="00B15FDA"/>
    <w:rsid w:val="00B166DD"/>
    <w:rsid w:val="00B17FA2"/>
    <w:rsid w:val="00B20D5B"/>
    <w:rsid w:val="00B223BA"/>
    <w:rsid w:val="00B230B5"/>
    <w:rsid w:val="00B2489B"/>
    <w:rsid w:val="00B27F20"/>
    <w:rsid w:val="00B33EE4"/>
    <w:rsid w:val="00B42B24"/>
    <w:rsid w:val="00B43BF3"/>
    <w:rsid w:val="00B4707C"/>
    <w:rsid w:val="00B5575E"/>
    <w:rsid w:val="00B5584E"/>
    <w:rsid w:val="00B60726"/>
    <w:rsid w:val="00B61632"/>
    <w:rsid w:val="00B653BB"/>
    <w:rsid w:val="00B65F03"/>
    <w:rsid w:val="00B66FF6"/>
    <w:rsid w:val="00B6735E"/>
    <w:rsid w:val="00B679D9"/>
    <w:rsid w:val="00B67EF4"/>
    <w:rsid w:val="00B67FBF"/>
    <w:rsid w:val="00B7060E"/>
    <w:rsid w:val="00B716A9"/>
    <w:rsid w:val="00B72053"/>
    <w:rsid w:val="00B73DB8"/>
    <w:rsid w:val="00B81BAC"/>
    <w:rsid w:val="00B8255C"/>
    <w:rsid w:val="00B849B6"/>
    <w:rsid w:val="00B85DEE"/>
    <w:rsid w:val="00B90C84"/>
    <w:rsid w:val="00B91ACA"/>
    <w:rsid w:val="00B93280"/>
    <w:rsid w:val="00B978A4"/>
    <w:rsid w:val="00B979F6"/>
    <w:rsid w:val="00BA2E5C"/>
    <w:rsid w:val="00BB0298"/>
    <w:rsid w:val="00BB0B82"/>
    <w:rsid w:val="00BB199F"/>
    <w:rsid w:val="00BB2AB6"/>
    <w:rsid w:val="00BB2B8F"/>
    <w:rsid w:val="00BB4E64"/>
    <w:rsid w:val="00BC1E58"/>
    <w:rsid w:val="00BC3CD1"/>
    <w:rsid w:val="00BC573D"/>
    <w:rsid w:val="00BC6ADB"/>
    <w:rsid w:val="00BD0BCA"/>
    <w:rsid w:val="00BD10B0"/>
    <w:rsid w:val="00BD28B4"/>
    <w:rsid w:val="00BD6A12"/>
    <w:rsid w:val="00BD6BFB"/>
    <w:rsid w:val="00BD7F50"/>
    <w:rsid w:val="00BD7F7D"/>
    <w:rsid w:val="00BE2B1A"/>
    <w:rsid w:val="00BE3C72"/>
    <w:rsid w:val="00BE490B"/>
    <w:rsid w:val="00BE5740"/>
    <w:rsid w:val="00BF5B33"/>
    <w:rsid w:val="00BF7980"/>
    <w:rsid w:val="00C004F6"/>
    <w:rsid w:val="00C04847"/>
    <w:rsid w:val="00C05B17"/>
    <w:rsid w:val="00C05C24"/>
    <w:rsid w:val="00C11771"/>
    <w:rsid w:val="00C12FA9"/>
    <w:rsid w:val="00C143A7"/>
    <w:rsid w:val="00C15A2F"/>
    <w:rsid w:val="00C20ACD"/>
    <w:rsid w:val="00C22AA0"/>
    <w:rsid w:val="00C22F07"/>
    <w:rsid w:val="00C27634"/>
    <w:rsid w:val="00C27E1B"/>
    <w:rsid w:val="00C311A3"/>
    <w:rsid w:val="00C3240B"/>
    <w:rsid w:val="00C339A2"/>
    <w:rsid w:val="00C350FD"/>
    <w:rsid w:val="00C3663B"/>
    <w:rsid w:val="00C4034A"/>
    <w:rsid w:val="00C4368C"/>
    <w:rsid w:val="00C44829"/>
    <w:rsid w:val="00C45F04"/>
    <w:rsid w:val="00C46834"/>
    <w:rsid w:val="00C5216E"/>
    <w:rsid w:val="00C531DE"/>
    <w:rsid w:val="00C54C5E"/>
    <w:rsid w:val="00C56C7B"/>
    <w:rsid w:val="00C57E37"/>
    <w:rsid w:val="00C62BD6"/>
    <w:rsid w:val="00C63A7C"/>
    <w:rsid w:val="00C65065"/>
    <w:rsid w:val="00C66450"/>
    <w:rsid w:val="00C66766"/>
    <w:rsid w:val="00C71D1A"/>
    <w:rsid w:val="00C72AB1"/>
    <w:rsid w:val="00C83391"/>
    <w:rsid w:val="00C84059"/>
    <w:rsid w:val="00C87760"/>
    <w:rsid w:val="00C91E43"/>
    <w:rsid w:val="00C935E8"/>
    <w:rsid w:val="00C956F7"/>
    <w:rsid w:val="00C960B9"/>
    <w:rsid w:val="00CA009D"/>
    <w:rsid w:val="00CA1090"/>
    <w:rsid w:val="00CA290E"/>
    <w:rsid w:val="00CA4827"/>
    <w:rsid w:val="00CA604A"/>
    <w:rsid w:val="00CB16BE"/>
    <w:rsid w:val="00CB47EF"/>
    <w:rsid w:val="00CC03AB"/>
    <w:rsid w:val="00CC5570"/>
    <w:rsid w:val="00CC7FF3"/>
    <w:rsid w:val="00CD5D58"/>
    <w:rsid w:val="00CD646C"/>
    <w:rsid w:val="00CD7481"/>
    <w:rsid w:val="00CE032C"/>
    <w:rsid w:val="00CE0BC4"/>
    <w:rsid w:val="00CE3613"/>
    <w:rsid w:val="00CE606F"/>
    <w:rsid w:val="00CF0368"/>
    <w:rsid w:val="00CF0B08"/>
    <w:rsid w:val="00CF28E5"/>
    <w:rsid w:val="00CF30AE"/>
    <w:rsid w:val="00CF6358"/>
    <w:rsid w:val="00D04B65"/>
    <w:rsid w:val="00D05965"/>
    <w:rsid w:val="00D12D27"/>
    <w:rsid w:val="00D16641"/>
    <w:rsid w:val="00D17E14"/>
    <w:rsid w:val="00D2298D"/>
    <w:rsid w:val="00D24711"/>
    <w:rsid w:val="00D24A74"/>
    <w:rsid w:val="00D301AD"/>
    <w:rsid w:val="00D30EF4"/>
    <w:rsid w:val="00D3521E"/>
    <w:rsid w:val="00D40832"/>
    <w:rsid w:val="00D40F70"/>
    <w:rsid w:val="00D42CC3"/>
    <w:rsid w:val="00D45863"/>
    <w:rsid w:val="00D50CA8"/>
    <w:rsid w:val="00D53B3D"/>
    <w:rsid w:val="00D56054"/>
    <w:rsid w:val="00D60D06"/>
    <w:rsid w:val="00D60EB1"/>
    <w:rsid w:val="00D62A12"/>
    <w:rsid w:val="00D66FA3"/>
    <w:rsid w:val="00D72B36"/>
    <w:rsid w:val="00D753FF"/>
    <w:rsid w:val="00D75B7F"/>
    <w:rsid w:val="00D75E21"/>
    <w:rsid w:val="00D81D52"/>
    <w:rsid w:val="00D85976"/>
    <w:rsid w:val="00D866AA"/>
    <w:rsid w:val="00D93CEA"/>
    <w:rsid w:val="00D9477B"/>
    <w:rsid w:val="00D9550F"/>
    <w:rsid w:val="00D9740D"/>
    <w:rsid w:val="00DA05BF"/>
    <w:rsid w:val="00DA1FA8"/>
    <w:rsid w:val="00DA3579"/>
    <w:rsid w:val="00DA3F21"/>
    <w:rsid w:val="00DA6CAE"/>
    <w:rsid w:val="00DB17D3"/>
    <w:rsid w:val="00DB4340"/>
    <w:rsid w:val="00DC1486"/>
    <w:rsid w:val="00DC5B00"/>
    <w:rsid w:val="00DC72C8"/>
    <w:rsid w:val="00DC7A66"/>
    <w:rsid w:val="00DD6543"/>
    <w:rsid w:val="00DE219C"/>
    <w:rsid w:val="00DF14AE"/>
    <w:rsid w:val="00DF4EA7"/>
    <w:rsid w:val="00DF77BE"/>
    <w:rsid w:val="00E0142A"/>
    <w:rsid w:val="00E02926"/>
    <w:rsid w:val="00E038A3"/>
    <w:rsid w:val="00E04959"/>
    <w:rsid w:val="00E101DB"/>
    <w:rsid w:val="00E13BC9"/>
    <w:rsid w:val="00E147AF"/>
    <w:rsid w:val="00E16E4B"/>
    <w:rsid w:val="00E253AF"/>
    <w:rsid w:val="00E267DA"/>
    <w:rsid w:val="00E26C74"/>
    <w:rsid w:val="00E2717C"/>
    <w:rsid w:val="00E277BF"/>
    <w:rsid w:val="00E33473"/>
    <w:rsid w:val="00E34D1A"/>
    <w:rsid w:val="00E35B9E"/>
    <w:rsid w:val="00E364B5"/>
    <w:rsid w:val="00E3650D"/>
    <w:rsid w:val="00E40B4F"/>
    <w:rsid w:val="00E418A0"/>
    <w:rsid w:val="00E41E9B"/>
    <w:rsid w:val="00E47A06"/>
    <w:rsid w:val="00E50C63"/>
    <w:rsid w:val="00E55F81"/>
    <w:rsid w:val="00E73FD9"/>
    <w:rsid w:val="00E760A5"/>
    <w:rsid w:val="00E7786B"/>
    <w:rsid w:val="00E81C5F"/>
    <w:rsid w:val="00E82CBD"/>
    <w:rsid w:val="00E831E7"/>
    <w:rsid w:val="00E83C59"/>
    <w:rsid w:val="00E92E3B"/>
    <w:rsid w:val="00EA1B31"/>
    <w:rsid w:val="00EA715B"/>
    <w:rsid w:val="00EA7721"/>
    <w:rsid w:val="00EA7ED8"/>
    <w:rsid w:val="00EB21B7"/>
    <w:rsid w:val="00EB29BE"/>
    <w:rsid w:val="00EB421D"/>
    <w:rsid w:val="00EB4D56"/>
    <w:rsid w:val="00EB7133"/>
    <w:rsid w:val="00EB7993"/>
    <w:rsid w:val="00EC2775"/>
    <w:rsid w:val="00ED28D8"/>
    <w:rsid w:val="00ED336C"/>
    <w:rsid w:val="00ED3D8A"/>
    <w:rsid w:val="00EE08B0"/>
    <w:rsid w:val="00EE0EAA"/>
    <w:rsid w:val="00EE2808"/>
    <w:rsid w:val="00EE5E4D"/>
    <w:rsid w:val="00EE6545"/>
    <w:rsid w:val="00EF5773"/>
    <w:rsid w:val="00EF6BF7"/>
    <w:rsid w:val="00EF7A0A"/>
    <w:rsid w:val="00F02DC2"/>
    <w:rsid w:val="00F1026F"/>
    <w:rsid w:val="00F10CD3"/>
    <w:rsid w:val="00F11D1E"/>
    <w:rsid w:val="00F133B1"/>
    <w:rsid w:val="00F157E6"/>
    <w:rsid w:val="00F20CF1"/>
    <w:rsid w:val="00F2136A"/>
    <w:rsid w:val="00F213C7"/>
    <w:rsid w:val="00F2236C"/>
    <w:rsid w:val="00F25F05"/>
    <w:rsid w:val="00F27552"/>
    <w:rsid w:val="00F3115A"/>
    <w:rsid w:val="00F31B31"/>
    <w:rsid w:val="00F31FBE"/>
    <w:rsid w:val="00F324C6"/>
    <w:rsid w:val="00F41CBC"/>
    <w:rsid w:val="00F42D61"/>
    <w:rsid w:val="00F42DAC"/>
    <w:rsid w:val="00F43D3D"/>
    <w:rsid w:val="00F5546F"/>
    <w:rsid w:val="00F57BC8"/>
    <w:rsid w:val="00F57FBE"/>
    <w:rsid w:val="00F602F0"/>
    <w:rsid w:val="00F7065A"/>
    <w:rsid w:val="00F70750"/>
    <w:rsid w:val="00F712B6"/>
    <w:rsid w:val="00F72423"/>
    <w:rsid w:val="00F77300"/>
    <w:rsid w:val="00F800F5"/>
    <w:rsid w:val="00F83AA1"/>
    <w:rsid w:val="00F83B9F"/>
    <w:rsid w:val="00F84999"/>
    <w:rsid w:val="00F84E4B"/>
    <w:rsid w:val="00F91FFE"/>
    <w:rsid w:val="00F94745"/>
    <w:rsid w:val="00F94748"/>
    <w:rsid w:val="00FA21FC"/>
    <w:rsid w:val="00FA669C"/>
    <w:rsid w:val="00FA7A8D"/>
    <w:rsid w:val="00FA7ADD"/>
    <w:rsid w:val="00FB1BCB"/>
    <w:rsid w:val="00FB2F29"/>
    <w:rsid w:val="00FB5BD1"/>
    <w:rsid w:val="00FB688D"/>
    <w:rsid w:val="00FC07E7"/>
    <w:rsid w:val="00FC3747"/>
    <w:rsid w:val="00FC6BE5"/>
    <w:rsid w:val="00FD4257"/>
    <w:rsid w:val="00FE1891"/>
    <w:rsid w:val="00FE27F6"/>
    <w:rsid w:val="00FE3B74"/>
    <w:rsid w:val="00FE40E1"/>
    <w:rsid w:val="00FE45D9"/>
    <w:rsid w:val="00FE56F4"/>
    <w:rsid w:val="00FF16AC"/>
    <w:rsid w:val="00FF4244"/>
    <w:rsid w:val="00FF4636"/>
    <w:rsid w:val="01063CA7"/>
    <w:rsid w:val="01A111C6"/>
    <w:rsid w:val="01D628BE"/>
    <w:rsid w:val="01EE7E87"/>
    <w:rsid w:val="0256118D"/>
    <w:rsid w:val="02704001"/>
    <w:rsid w:val="02775763"/>
    <w:rsid w:val="02BF77F6"/>
    <w:rsid w:val="02DC7AAE"/>
    <w:rsid w:val="02E334E5"/>
    <w:rsid w:val="03013CD7"/>
    <w:rsid w:val="032F648C"/>
    <w:rsid w:val="033A1C66"/>
    <w:rsid w:val="03B629A7"/>
    <w:rsid w:val="03B81830"/>
    <w:rsid w:val="042A3BEB"/>
    <w:rsid w:val="04437DE0"/>
    <w:rsid w:val="045E4B3E"/>
    <w:rsid w:val="05263BCA"/>
    <w:rsid w:val="054220CC"/>
    <w:rsid w:val="05857008"/>
    <w:rsid w:val="05917775"/>
    <w:rsid w:val="05CB6632"/>
    <w:rsid w:val="05F72B50"/>
    <w:rsid w:val="06316AE9"/>
    <w:rsid w:val="06483588"/>
    <w:rsid w:val="06927152"/>
    <w:rsid w:val="06AA0656"/>
    <w:rsid w:val="06DD1625"/>
    <w:rsid w:val="070774BC"/>
    <w:rsid w:val="071446D3"/>
    <w:rsid w:val="071A498D"/>
    <w:rsid w:val="074E461D"/>
    <w:rsid w:val="0754718D"/>
    <w:rsid w:val="07A448E9"/>
    <w:rsid w:val="07C04F30"/>
    <w:rsid w:val="07E45E9F"/>
    <w:rsid w:val="08112D9A"/>
    <w:rsid w:val="086C2C0B"/>
    <w:rsid w:val="08A963B3"/>
    <w:rsid w:val="08D51B22"/>
    <w:rsid w:val="08F576D0"/>
    <w:rsid w:val="09205CFF"/>
    <w:rsid w:val="092D370C"/>
    <w:rsid w:val="09300547"/>
    <w:rsid w:val="098F0C97"/>
    <w:rsid w:val="099845E2"/>
    <w:rsid w:val="099F07CA"/>
    <w:rsid w:val="0A104129"/>
    <w:rsid w:val="0A127E09"/>
    <w:rsid w:val="0A751517"/>
    <w:rsid w:val="0A927E67"/>
    <w:rsid w:val="0AC517C1"/>
    <w:rsid w:val="0AF63CEC"/>
    <w:rsid w:val="0B065562"/>
    <w:rsid w:val="0B477C05"/>
    <w:rsid w:val="0B6E5AC7"/>
    <w:rsid w:val="0C0E0494"/>
    <w:rsid w:val="0C144AEB"/>
    <w:rsid w:val="0C2030B4"/>
    <w:rsid w:val="0C2D741A"/>
    <w:rsid w:val="0C334733"/>
    <w:rsid w:val="0C77231C"/>
    <w:rsid w:val="0CA63D31"/>
    <w:rsid w:val="0CBE6016"/>
    <w:rsid w:val="0CE52F14"/>
    <w:rsid w:val="0D1166B7"/>
    <w:rsid w:val="0D4224D6"/>
    <w:rsid w:val="0DB126E6"/>
    <w:rsid w:val="0DE17A54"/>
    <w:rsid w:val="0DFF6738"/>
    <w:rsid w:val="0E375F51"/>
    <w:rsid w:val="0E7F40D6"/>
    <w:rsid w:val="0E86618F"/>
    <w:rsid w:val="0E981627"/>
    <w:rsid w:val="0EF83E74"/>
    <w:rsid w:val="0F000EA4"/>
    <w:rsid w:val="0F2C6214"/>
    <w:rsid w:val="0F35017D"/>
    <w:rsid w:val="0F413F8F"/>
    <w:rsid w:val="0F883068"/>
    <w:rsid w:val="0F8D3ABD"/>
    <w:rsid w:val="0F9405BA"/>
    <w:rsid w:val="0FA24B34"/>
    <w:rsid w:val="0FA57496"/>
    <w:rsid w:val="0FDA6895"/>
    <w:rsid w:val="0FF45E4F"/>
    <w:rsid w:val="100C2D98"/>
    <w:rsid w:val="102274A9"/>
    <w:rsid w:val="103510F8"/>
    <w:rsid w:val="103975DE"/>
    <w:rsid w:val="103B32E3"/>
    <w:rsid w:val="104027AA"/>
    <w:rsid w:val="106C55E6"/>
    <w:rsid w:val="107514F4"/>
    <w:rsid w:val="108D660F"/>
    <w:rsid w:val="10AA5642"/>
    <w:rsid w:val="10B300A8"/>
    <w:rsid w:val="10D957B3"/>
    <w:rsid w:val="116A0F4D"/>
    <w:rsid w:val="119F1973"/>
    <w:rsid w:val="11AB6D87"/>
    <w:rsid w:val="11B429A9"/>
    <w:rsid w:val="11F7489A"/>
    <w:rsid w:val="11FA4ABB"/>
    <w:rsid w:val="11FF103C"/>
    <w:rsid w:val="12B00583"/>
    <w:rsid w:val="12D82A7F"/>
    <w:rsid w:val="13227D43"/>
    <w:rsid w:val="132F391C"/>
    <w:rsid w:val="13B10A95"/>
    <w:rsid w:val="13B529C5"/>
    <w:rsid w:val="13D573BD"/>
    <w:rsid w:val="13D749A0"/>
    <w:rsid w:val="13F364B2"/>
    <w:rsid w:val="14030FE7"/>
    <w:rsid w:val="142C0F81"/>
    <w:rsid w:val="145C6DD3"/>
    <w:rsid w:val="147C72F5"/>
    <w:rsid w:val="149B7CEB"/>
    <w:rsid w:val="14D21D44"/>
    <w:rsid w:val="157A04EB"/>
    <w:rsid w:val="1583478F"/>
    <w:rsid w:val="159B37AB"/>
    <w:rsid w:val="15BE2DE4"/>
    <w:rsid w:val="15C3788B"/>
    <w:rsid w:val="15D70FCE"/>
    <w:rsid w:val="15F66C34"/>
    <w:rsid w:val="16106B19"/>
    <w:rsid w:val="161669C4"/>
    <w:rsid w:val="166D70CB"/>
    <w:rsid w:val="168506C4"/>
    <w:rsid w:val="16F07FFA"/>
    <w:rsid w:val="16FF7137"/>
    <w:rsid w:val="174F3E0E"/>
    <w:rsid w:val="1778154F"/>
    <w:rsid w:val="17876D1D"/>
    <w:rsid w:val="17A70B2D"/>
    <w:rsid w:val="17B87B2D"/>
    <w:rsid w:val="17C5557B"/>
    <w:rsid w:val="180044FA"/>
    <w:rsid w:val="180C5876"/>
    <w:rsid w:val="188E10BE"/>
    <w:rsid w:val="1978453E"/>
    <w:rsid w:val="19A45CF5"/>
    <w:rsid w:val="19EA2F53"/>
    <w:rsid w:val="1A323E82"/>
    <w:rsid w:val="1AFE4ADD"/>
    <w:rsid w:val="1B594416"/>
    <w:rsid w:val="1B6603B7"/>
    <w:rsid w:val="1BA62723"/>
    <w:rsid w:val="1BA76DBB"/>
    <w:rsid w:val="1BAC5466"/>
    <w:rsid w:val="1BCE3069"/>
    <w:rsid w:val="1BE745BA"/>
    <w:rsid w:val="1C161DDD"/>
    <w:rsid w:val="1C647C1D"/>
    <w:rsid w:val="1C7D47B8"/>
    <w:rsid w:val="1CD23133"/>
    <w:rsid w:val="1CDE71F2"/>
    <w:rsid w:val="1D0205B4"/>
    <w:rsid w:val="1D6A45EC"/>
    <w:rsid w:val="1D890B16"/>
    <w:rsid w:val="1DD12110"/>
    <w:rsid w:val="1DDE692B"/>
    <w:rsid w:val="1E0A51B2"/>
    <w:rsid w:val="1E1A7535"/>
    <w:rsid w:val="1E202CF3"/>
    <w:rsid w:val="1E695435"/>
    <w:rsid w:val="1E85653D"/>
    <w:rsid w:val="1EE5460D"/>
    <w:rsid w:val="1EF755F0"/>
    <w:rsid w:val="1F2F6E9A"/>
    <w:rsid w:val="1F4A3E5D"/>
    <w:rsid w:val="1F4A7E9D"/>
    <w:rsid w:val="1F862129"/>
    <w:rsid w:val="20222433"/>
    <w:rsid w:val="20807792"/>
    <w:rsid w:val="208A39DF"/>
    <w:rsid w:val="20B4124C"/>
    <w:rsid w:val="210948E2"/>
    <w:rsid w:val="213936B7"/>
    <w:rsid w:val="213D605E"/>
    <w:rsid w:val="21410506"/>
    <w:rsid w:val="21582E98"/>
    <w:rsid w:val="21725B6A"/>
    <w:rsid w:val="21D77666"/>
    <w:rsid w:val="21F07E11"/>
    <w:rsid w:val="22056DE1"/>
    <w:rsid w:val="22975120"/>
    <w:rsid w:val="22B12212"/>
    <w:rsid w:val="22B76A7B"/>
    <w:rsid w:val="22CE0A45"/>
    <w:rsid w:val="22E449E3"/>
    <w:rsid w:val="2332613B"/>
    <w:rsid w:val="236773C3"/>
    <w:rsid w:val="236E23B5"/>
    <w:rsid w:val="236F2C38"/>
    <w:rsid w:val="23811BE6"/>
    <w:rsid w:val="23894EA8"/>
    <w:rsid w:val="23B86DCF"/>
    <w:rsid w:val="23F3466C"/>
    <w:rsid w:val="241952AC"/>
    <w:rsid w:val="247C6E9E"/>
    <w:rsid w:val="24B52D25"/>
    <w:rsid w:val="24B8466F"/>
    <w:rsid w:val="24BC36B2"/>
    <w:rsid w:val="2531646F"/>
    <w:rsid w:val="25705E37"/>
    <w:rsid w:val="25FD6BDA"/>
    <w:rsid w:val="268A58A2"/>
    <w:rsid w:val="26997034"/>
    <w:rsid w:val="26D4146D"/>
    <w:rsid w:val="27177C44"/>
    <w:rsid w:val="271A6AD9"/>
    <w:rsid w:val="27483BBC"/>
    <w:rsid w:val="27800291"/>
    <w:rsid w:val="27F4193C"/>
    <w:rsid w:val="281159E1"/>
    <w:rsid w:val="28946DFB"/>
    <w:rsid w:val="28D7382F"/>
    <w:rsid w:val="28DD19BF"/>
    <w:rsid w:val="28DF7A58"/>
    <w:rsid w:val="28F413A1"/>
    <w:rsid w:val="2918044D"/>
    <w:rsid w:val="291D353D"/>
    <w:rsid w:val="298D69FB"/>
    <w:rsid w:val="29A93A5B"/>
    <w:rsid w:val="29D10082"/>
    <w:rsid w:val="29F9429B"/>
    <w:rsid w:val="2A5644EE"/>
    <w:rsid w:val="2A5A56F5"/>
    <w:rsid w:val="2A824AC9"/>
    <w:rsid w:val="2A825F5D"/>
    <w:rsid w:val="2AC21A16"/>
    <w:rsid w:val="2ACE323E"/>
    <w:rsid w:val="2AD51E76"/>
    <w:rsid w:val="2B3673C1"/>
    <w:rsid w:val="2B536F21"/>
    <w:rsid w:val="2B7731F1"/>
    <w:rsid w:val="2B7C1296"/>
    <w:rsid w:val="2BA74423"/>
    <w:rsid w:val="2BBA681E"/>
    <w:rsid w:val="2BDA4D37"/>
    <w:rsid w:val="2BEF4126"/>
    <w:rsid w:val="2C026682"/>
    <w:rsid w:val="2C027C88"/>
    <w:rsid w:val="2C46226B"/>
    <w:rsid w:val="2C580332"/>
    <w:rsid w:val="2C6343AD"/>
    <w:rsid w:val="2C8A338F"/>
    <w:rsid w:val="2C926DFC"/>
    <w:rsid w:val="2CAE6AFA"/>
    <w:rsid w:val="2CD71A76"/>
    <w:rsid w:val="2CED1241"/>
    <w:rsid w:val="2D3A16A4"/>
    <w:rsid w:val="2D8E62A4"/>
    <w:rsid w:val="2DA5670E"/>
    <w:rsid w:val="2DB96A6D"/>
    <w:rsid w:val="2DBB2603"/>
    <w:rsid w:val="2E010738"/>
    <w:rsid w:val="2E1649E8"/>
    <w:rsid w:val="2E2D4DC9"/>
    <w:rsid w:val="2E7E6FC7"/>
    <w:rsid w:val="2E817F74"/>
    <w:rsid w:val="2EAE2B92"/>
    <w:rsid w:val="2EB5363D"/>
    <w:rsid w:val="2F1A79DF"/>
    <w:rsid w:val="2F3601BA"/>
    <w:rsid w:val="2F9B4B89"/>
    <w:rsid w:val="2FEF34B0"/>
    <w:rsid w:val="3005243D"/>
    <w:rsid w:val="300D7CBA"/>
    <w:rsid w:val="30152147"/>
    <w:rsid w:val="303C11AA"/>
    <w:rsid w:val="30AD558A"/>
    <w:rsid w:val="30F50CCA"/>
    <w:rsid w:val="310A041F"/>
    <w:rsid w:val="31101DDA"/>
    <w:rsid w:val="31126111"/>
    <w:rsid w:val="3145764B"/>
    <w:rsid w:val="31643A37"/>
    <w:rsid w:val="316769D9"/>
    <w:rsid w:val="31A76FEC"/>
    <w:rsid w:val="31AC6F64"/>
    <w:rsid w:val="31EC27A9"/>
    <w:rsid w:val="31F52A85"/>
    <w:rsid w:val="32051E1D"/>
    <w:rsid w:val="32157CE1"/>
    <w:rsid w:val="321B6A38"/>
    <w:rsid w:val="32527273"/>
    <w:rsid w:val="329514A1"/>
    <w:rsid w:val="32BB5035"/>
    <w:rsid w:val="330872A5"/>
    <w:rsid w:val="330B7D6A"/>
    <w:rsid w:val="33274580"/>
    <w:rsid w:val="332826CA"/>
    <w:rsid w:val="339872BD"/>
    <w:rsid w:val="33A876E8"/>
    <w:rsid w:val="33D00196"/>
    <w:rsid w:val="3437009C"/>
    <w:rsid w:val="34605501"/>
    <w:rsid w:val="346E1C27"/>
    <w:rsid w:val="346E3C29"/>
    <w:rsid w:val="34797A1A"/>
    <w:rsid w:val="34C82A5F"/>
    <w:rsid w:val="35171FD1"/>
    <w:rsid w:val="35883947"/>
    <w:rsid w:val="35DB0403"/>
    <w:rsid w:val="35FC0129"/>
    <w:rsid w:val="361D77A8"/>
    <w:rsid w:val="36257F22"/>
    <w:rsid w:val="36AD452D"/>
    <w:rsid w:val="36E517CF"/>
    <w:rsid w:val="371D1793"/>
    <w:rsid w:val="374146E2"/>
    <w:rsid w:val="37577DD5"/>
    <w:rsid w:val="37B138A4"/>
    <w:rsid w:val="37DB599C"/>
    <w:rsid w:val="37EC49C4"/>
    <w:rsid w:val="381E409C"/>
    <w:rsid w:val="383B5660"/>
    <w:rsid w:val="38743CBC"/>
    <w:rsid w:val="387B27B4"/>
    <w:rsid w:val="38B247E4"/>
    <w:rsid w:val="38D46E50"/>
    <w:rsid w:val="38FF368A"/>
    <w:rsid w:val="39116183"/>
    <w:rsid w:val="394D25F3"/>
    <w:rsid w:val="39646B8E"/>
    <w:rsid w:val="39D72754"/>
    <w:rsid w:val="39EB7867"/>
    <w:rsid w:val="39FF0699"/>
    <w:rsid w:val="3A050CC5"/>
    <w:rsid w:val="3A8C12A2"/>
    <w:rsid w:val="3AC60BDB"/>
    <w:rsid w:val="3AC7155E"/>
    <w:rsid w:val="3B015A41"/>
    <w:rsid w:val="3B1C4E01"/>
    <w:rsid w:val="3BB0325D"/>
    <w:rsid w:val="3BD1662C"/>
    <w:rsid w:val="3C212F73"/>
    <w:rsid w:val="3C402B00"/>
    <w:rsid w:val="3C9A1B13"/>
    <w:rsid w:val="3CEF7C0D"/>
    <w:rsid w:val="3CF54921"/>
    <w:rsid w:val="3D465A52"/>
    <w:rsid w:val="3D9B4726"/>
    <w:rsid w:val="3D9D4239"/>
    <w:rsid w:val="3DFB1002"/>
    <w:rsid w:val="3E0B6099"/>
    <w:rsid w:val="3E1C4901"/>
    <w:rsid w:val="3EF126CA"/>
    <w:rsid w:val="3F2F19EE"/>
    <w:rsid w:val="3F68735D"/>
    <w:rsid w:val="3FAF2B40"/>
    <w:rsid w:val="40621B84"/>
    <w:rsid w:val="40891050"/>
    <w:rsid w:val="40AB263C"/>
    <w:rsid w:val="40AE2B78"/>
    <w:rsid w:val="40F402D6"/>
    <w:rsid w:val="40F71712"/>
    <w:rsid w:val="41013179"/>
    <w:rsid w:val="411F2C43"/>
    <w:rsid w:val="41326E0A"/>
    <w:rsid w:val="41621445"/>
    <w:rsid w:val="417F4F58"/>
    <w:rsid w:val="41CB47FD"/>
    <w:rsid w:val="41DF7F6A"/>
    <w:rsid w:val="41E060F1"/>
    <w:rsid w:val="4201517B"/>
    <w:rsid w:val="42BA7B77"/>
    <w:rsid w:val="42BF57A2"/>
    <w:rsid w:val="430F5007"/>
    <w:rsid w:val="431D2DEE"/>
    <w:rsid w:val="43382752"/>
    <w:rsid w:val="435412BA"/>
    <w:rsid w:val="436F2C5F"/>
    <w:rsid w:val="43AA0EDA"/>
    <w:rsid w:val="43AF68E2"/>
    <w:rsid w:val="43BE455B"/>
    <w:rsid w:val="43F839F3"/>
    <w:rsid w:val="440B306C"/>
    <w:rsid w:val="44366261"/>
    <w:rsid w:val="444B3730"/>
    <w:rsid w:val="447B43F9"/>
    <w:rsid w:val="44A114AD"/>
    <w:rsid w:val="45533A70"/>
    <w:rsid w:val="456256F3"/>
    <w:rsid w:val="458757B9"/>
    <w:rsid w:val="45B44292"/>
    <w:rsid w:val="45E5397D"/>
    <w:rsid w:val="46474267"/>
    <w:rsid w:val="468772B0"/>
    <w:rsid w:val="46A75BA4"/>
    <w:rsid w:val="46BA14C2"/>
    <w:rsid w:val="46BF6A4A"/>
    <w:rsid w:val="46CB53EF"/>
    <w:rsid w:val="46E44A47"/>
    <w:rsid w:val="47704ED3"/>
    <w:rsid w:val="477D7B68"/>
    <w:rsid w:val="47942EBD"/>
    <w:rsid w:val="47C74FC0"/>
    <w:rsid w:val="4819260E"/>
    <w:rsid w:val="484273DF"/>
    <w:rsid w:val="4843280C"/>
    <w:rsid w:val="48475336"/>
    <w:rsid w:val="487E5F39"/>
    <w:rsid w:val="4881798A"/>
    <w:rsid w:val="489329E2"/>
    <w:rsid w:val="48D2141B"/>
    <w:rsid w:val="48D900F6"/>
    <w:rsid w:val="48ED08D1"/>
    <w:rsid w:val="490D5822"/>
    <w:rsid w:val="497A41E6"/>
    <w:rsid w:val="49E81240"/>
    <w:rsid w:val="4A034C09"/>
    <w:rsid w:val="4A2D4613"/>
    <w:rsid w:val="4A7905E3"/>
    <w:rsid w:val="4A9A20B1"/>
    <w:rsid w:val="4AB37AC7"/>
    <w:rsid w:val="4B1A1D59"/>
    <w:rsid w:val="4B296C08"/>
    <w:rsid w:val="4BA206E8"/>
    <w:rsid w:val="4BC961AA"/>
    <w:rsid w:val="4C653CF8"/>
    <w:rsid w:val="4C996CEC"/>
    <w:rsid w:val="4CD85053"/>
    <w:rsid w:val="4CDF04FA"/>
    <w:rsid w:val="4D000FAC"/>
    <w:rsid w:val="4D4638C4"/>
    <w:rsid w:val="4DDB007A"/>
    <w:rsid w:val="4DE85C7D"/>
    <w:rsid w:val="4E773080"/>
    <w:rsid w:val="4E950123"/>
    <w:rsid w:val="4EE96A28"/>
    <w:rsid w:val="4EEB32D7"/>
    <w:rsid w:val="4F3B431E"/>
    <w:rsid w:val="4F724590"/>
    <w:rsid w:val="4F853762"/>
    <w:rsid w:val="4F9316EC"/>
    <w:rsid w:val="50325647"/>
    <w:rsid w:val="50575F45"/>
    <w:rsid w:val="506B7C43"/>
    <w:rsid w:val="509A7472"/>
    <w:rsid w:val="50A6417D"/>
    <w:rsid w:val="50D13F4A"/>
    <w:rsid w:val="50E12454"/>
    <w:rsid w:val="50EB36F2"/>
    <w:rsid w:val="50F81D86"/>
    <w:rsid w:val="519A258E"/>
    <w:rsid w:val="51EE3E7D"/>
    <w:rsid w:val="521B1D39"/>
    <w:rsid w:val="52A03BD4"/>
    <w:rsid w:val="53004672"/>
    <w:rsid w:val="53F53234"/>
    <w:rsid w:val="5421610F"/>
    <w:rsid w:val="54220EC6"/>
    <w:rsid w:val="54792DF7"/>
    <w:rsid w:val="548051E6"/>
    <w:rsid w:val="54C53DC5"/>
    <w:rsid w:val="54F1036F"/>
    <w:rsid w:val="551519A3"/>
    <w:rsid w:val="552A59D6"/>
    <w:rsid w:val="555360A8"/>
    <w:rsid w:val="5558213E"/>
    <w:rsid w:val="55AC0AE1"/>
    <w:rsid w:val="55DB349B"/>
    <w:rsid w:val="564B43CE"/>
    <w:rsid w:val="569C39B1"/>
    <w:rsid w:val="56E16569"/>
    <w:rsid w:val="56FC3D61"/>
    <w:rsid w:val="572F150A"/>
    <w:rsid w:val="573E7E5F"/>
    <w:rsid w:val="574C3C45"/>
    <w:rsid w:val="57683CD1"/>
    <w:rsid w:val="57A33DC2"/>
    <w:rsid w:val="57AE6D93"/>
    <w:rsid w:val="57B679F5"/>
    <w:rsid w:val="57B95737"/>
    <w:rsid w:val="57DA279E"/>
    <w:rsid w:val="57FC2484"/>
    <w:rsid w:val="582F3869"/>
    <w:rsid w:val="58404EBE"/>
    <w:rsid w:val="589359C7"/>
    <w:rsid w:val="58C53464"/>
    <w:rsid w:val="591470C9"/>
    <w:rsid w:val="597B241F"/>
    <w:rsid w:val="598A6C8D"/>
    <w:rsid w:val="59BA62C4"/>
    <w:rsid w:val="5A0D31CD"/>
    <w:rsid w:val="5A1B6C8B"/>
    <w:rsid w:val="5A5E4C52"/>
    <w:rsid w:val="5A6E3FE9"/>
    <w:rsid w:val="5A751D2D"/>
    <w:rsid w:val="5A9C52ED"/>
    <w:rsid w:val="5B006291"/>
    <w:rsid w:val="5B2033CC"/>
    <w:rsid w:val="5B655175"/>
    <w:rsid w:val="5B8B6467"/>
    <w:rsid w:val="5BA2113E"/>
    <w:rsid w:val="5C036210"/>
    <w:rsid w:val="5C1F72F5"/>
    <w:rsid w:val="5C256A2E"/>
    <w:rsid w:val="5C2A2760"/>
    <w:rsid w:val="5C3435DF"/>
    <w:rsid w:val="5C3A317A"/>
    <w:rsid w:val="5C714315"/>
    <w:rsid w:val="5C7F525F"/>
    <w:rsid w:val="5CBF559E"/>
    <w:rsid w:val="5CC351D4"/>
    <w:rsid w:val="5CCD5843"/>
    <w:rsid w:val="5CD66444"/>
    <w:rsid w:val="5CDA3A9F"/>
    <w:rsid w:val="5CDE5ADB"/>
    <w:rsid w:val="5CE44947"/>
    <w:rsid w:val="5CEE6538"/>
    <w:rsid w:val="5CFA596F"/>
    <w:rsid w:val="5CFE6927"/>
    <w:rsid w:val="5D1A27F4"/>
    <w:rsid w:val="5D8C3178"/>
    <w:rsid w:val="5D9756C0"/>
    <w:rsid w:val="5DAE15E7"/>
    <w:rsid w:val="5DB25F7C"/>
    <w:rsid w:val="5DE965DA"/>
    <w:rsid w:val="5E375AE6"/>
    <w:rsid w:val="5EA20D56"/>
    <w:rsid w:val="5EC8699E"/>
    <w:rsid w:val="5EDB41E5"/>
    <w:rsid w:val="5EE11414"/>
    <w:rsid w:val="5EF51113"/>
    <w:rsid w:val="5F4342DD"/>
    <w:rsid w:val="5FB02F22"/>
    <w:rsid w:val="5FED0FC2"/>
    <w:rsid w:val="60264D22"/>
    <w:rsid w:val="604B7C87"/>
    <w:rsid w:val="607E4A5A"/>
    <w:rsid w:val="60947597"/>
    <w:rsid w:val="60BF3035"/>
    <w:rsid w:val="611B187D"/>
    <w:rsid w:val="616C2C52"/>
    <w:rsid w:val="61884DD6"/>
    <w:rsid w:val="619A5953"/>
    <w:rsid w:val="61A828D8"/>
    <w:rsid w:val="61B439B6"/>
    <w:rsid w:val="61CE1DDF"/>
    <w:rsid w:val="62021384"/>
    <w:rsid w:val="62314C2E"/>
    <w:rsid w:val="6249780E"/>
    <w:rsid w:val="625C644C"/>
    <w:rsid w:val="629F3535"/>
    <w:rsid w:val="62B81D10"/>
    <w:rsid w:val="62DF24F0"/>
    <w:rsid w:val="62E2442E"/>
    <w:rsid w:val="63D775BD"/>
    <w:rsid w:val="63DD3123"/>
    <w:rsid w:val="64141D4A"/>
    <w:rsid w:val="641D00AF"/>
    <w:rsid w:val="64933FA3"/>
    <w:rsid w:val="64AA0BEB"/>
    <w:rsid w:val="64E50B4F"/>
    <w:rsid w:val="64EF4547"/>
    <w:rsid w:val="64F40911"/>
    <w:rsid w:val="653F79E9"/>
    <w:rsid w:val="65445CDC"/>
    <w:rsid w:val="657819B0"/>
    <w:rsid w:val="659018FC"/>
    <w:rsid w:val="65E54CE9"/>
    <w:rsid w:val="66723681"/>
    <w:rsid w:val="667B06DD"/>
    <w:rsid w:val="66B75538"/>
    <w:rsid w:val="66EC5716"/>
    <w:rsid w:val="676F196F"/>
    <w:rsid w:val="677A3FD6"/>
    <w:rsid w:val="677D171E"/>
    <w:rsid w:val="67AC4791"/>
    <w:rsid w:val="67C2308B"/>
    <w:rsid w:val="67F004E4"/>
    <w:rsid w:val="684B1151"/>
    <w:rsid w:val="68725BBA"/>
    <w:rsid w:val="68986C17"/>
    <w:rsid w:val="68C87DB6"/>
    <w:rsid w:val="690C16D0"/>
    <w:rsid w:val="697B72D3"/>
    <w:rsid w:val="6985748C"/>
    <w:rsid w:val="699F32FE"/>
    <w:rsid w:val="69C84A1B"/>
    <w:rsid w:val="6A1D70FA"/>
    <w:rsid w:val="6A2E20DF"/>
    <w:rsid w:val="6A53650D"/>
    <w:rsid w:val="6A806406"/>
    <w:rsid w:val="6A956053"/>
    <w:rsid w:val="6B0804BD"/>
    <w:rsid w:val="6B083608"/>
    <w:rsid w:val="6B560E7C"/>
    <w:rsid w:val="6B933032"/>
    <w:rsid w:val="6BB0589C"/>
    <w:rsid w:val="6BC97AD5"/>
    <w:rsid w:val="6BD83F86"/>
    <w:rsid w:val="6BE11855"/>
    <w:rsid w:val="6BEC3326"/>
    <w:rsid w:val="6BFF29DD"/>
    <w:rsid w:val="6C3E2962"/>
    <w:rsid w:val="6C4037F3"/>
    <w:rsid w:val="6C830396"/>
    <w:rsid w:val="6C923038"/>
    <w:rsid w:val="6CA52AD8"/>
    <w:rsid w:val="6CF2175D"/>
    <w:rsid w:val="6D2E60F1"/>
    <w:rsid w:val="6D42037F"/>
    <w:rsid w:val="6D9D0BA0"/>
    <w:rsid w:val="6E0B0B4E"/>
    <w:rsid w:val="6E1555BE"/>
    <w:rsid w:val="6E3A4A84"/>
    <w:rsid w:val="6E4964C7"/>
    <w:rsid w:val="6E532282"/>
    <w:rsid w:val="6E8B3532"/>
    <w:rsid w:val="6EEB1DE2"/>
    <w:rsid w:val="6FAF620B"/>
    <w:rsid w:val="700E3176"/>
    <w:rsid w:val="70404EB6"/>
    <w:rsid w:val="70427265"/>
    <w:rsid w:val="70704D19"/>
    <w:rsid w:val="70987550"/>
    <w:rsid w:val="7109496E"/>
    <w:rsid w:val="710F373E"/>
    <w:rsid w:val="711813DE"/>
    <w:rsid w:val="714207BF"/>
    <w:rsid w:val="716C31D2"/>
    <w:rsid w:val="717831D5"/>
    <w:rsid w:val="71E76CD1"/>
    <w:rsid w:val="71EB152B"/>
    <w:rsid w:val="71F469A6"/>
    <w:rsid w:val="722B5DE1"/>
    <w:rsid w:val="72580DA1"/>
    <w:rsid w:val="725956F5"/>
    <w:rsid w:val="726D231C"/>
    <w:rsid w:val="72822E9E"/>
    <w:rsid w:val="72841DBA"/>
    <w:rsid w:val="729B2805"/>
    <w:rsid w:val="730515C8"/>
    <w:rsid w:val="73474974"/>
    <w:rsid w:val="734B5044"/>
    <w:rsid w:val="73B54BAD"/>
    <w:rsid w:val="73E51876"/>
    <w:rsid w:val="73EB077B"/>
    <w:rsid w:val="74646384"/>
    <w:rsid w:val="74757D36"/>
    <w:rsid w:val="74771861"/>
    <w:rsid w:val="7480340D"/>
    <w:rsid w:val="74A5176F"/>
    <w:rsid w:val="74AD221F"/>
    <w:rsid w:val="74E407BA"/>
    <w:rsid w:val="74E84024"/>
    <w:rsid w:val="750A2CD7"/>
    <w:rsid w:val="756E3266"/>
    <w:rsid w:val="7576427D"/>
    <w:rsid w:val="75D94865"/>
    <w:rsid w:val="75DC631B"/>
    <w:rsid w:val="76126817"/>
    <w:rsid w:val="766658ED"/>
    <w:rsid w:val="767B5E77"/>
    <w:rsid w:val="76E36F8E"/>
    <w:rsid w:val="76F75EBB"/>
    <w:rsid w:val="77207451"/>
    <w:rsid w:val="773A1D0C"/>
    <w:rsid w:val="77695C7C"/>
    <w:rsid w:val="777E63D5"/>
    <w:rsid w:val="77D558AA"/>
    <w:rsid w:val="78306A7A"/>
    <w:rsid w:val="78C22C82"/>
    <w:rsid w:val="78D41F79"/>
    <w:rsid w:val="78E02FC2"/>
    <w:rsid w:val="78E22937"/>
    <w:rsid w:val="79083F04"/>
    <w:rsid w:val="79B237F4"/>
    <w:rsid w:val="79BA3397"/>
    <w:rsid w:val="79E02953"/>
    <w:rsid w:val="7A4C1845"/>
    <w:rsid w:val="7A854BBF"/>
    <w:rsid w:val="7AA63E47"/>
    <w:rsid w:val="7ABF777E"/>
    <w:rsid w:val="7AD46261"/>
    <w:rsid w:val="7AEE06B5"/>
    <w:rsid w:val="7AEF34C9"/>
    <w:rsid w:val="7B05641A"/>
    <w:rsid w:val="7B0A5DCA"/>
    <w:rsid w:val="7B1D19B6"/>
    <w:rsid w:val="7BBA0FB3"/>
    <w:rsid w:val="7BE01CE4"/>
    <w:rsid w:val="7BE44282"/>
    <w:rsid w:val="7BFE56D8"/>
    <w:rsid w:val="7C855A65"/>
    <w:rsid w:val="7C865339"/>
    <w:rsid w:val="7C9738DB"/>
    <w:rsid w:val="7CD6006E"/>
    <w:rsid w:val="7CD95DB0"/>
    <w:rsid w:val="7CF86A7C"/>
    <w:rsid w:val="7D120AD1"/>
    <w:rsid w:val="7D1251E7"/>
    <w:rsid w:val="7D1E4727"/>
    <w:rsid w:val="7D5C05BC"/>
    <w:rsid w:val="7D6D6BD9"/>
    <w:rsid w:val="7DB07BE8"/>
    <w:rsid w:val="7DC21C9B"/>
    <w:rsid w:val="7E3343ED"/>
    <w:rsid w:val="7E562D89"/>
    <w:rsid w:val="7EBD5E2F"/>
    <w:rsid w:val="7EC052CF"/>
    <w:rsid w:val="7F047EA4"/>
    <w:rsid w:val="7F250E39"/>
    <w:rsid w:val="7F3315DC"/>
    <w:rsid w:val="7F4C6B12"/>
    <w:rsid w:val="7F585C2C"/>
    <w:rsid w:val="7F6B7856"/>
    <w:rsid w:val="7F6C630F"/>
    <w:rsid w:val="7F840255"/>
    <w:rsid w:val="7FA84855"/>
    <w:rsid w:val="7FCD20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link w:val="59"/>
    <w:qFormat/>
    <w:uiPriority w:val="9"/>
    <w:pPr>
      <w:keepNext/>
      <w:jc w:val="center"/>
      <w:outlineLvl w:val="0"/>
    </w:pPr>
    <w:rPr>
      <w:rFonts w:ascii="黑体" w:hAnsi="Times New Roman" w:eastAsia="黑体"/>
    </w:rPr>
  </w:style>
  <w:style w:type="paragraph" w:styleId="4">
    <w:name w:val="heading 2"/>
    <w:basedOn w:val="1"/>
    <w:next w:val="1"/>
    <w:link w:val="60"/>
    <w:qFormat/>
    <w:uiPriority w:val="0"/>
    <w:pPr>
      <w:keepNext/>
      <w:spacing w:line="720" w:lineRule="exact"/>
      <w:jc w:val="both"/>
      <w:outlineLvl w:val="1"/>
    </w:pPr>
    <w:rPr>
      <w:rFonts w:ascii="黑体" w:hAnsi="Times New Roman" w:eastAsia="黑体"/>
    </w:rPr>
  </w:style>
  <w:style w:type="paragraph" w:styleId="5">
    <w:name w:val="heading 3"/>
    <w:basedOn w:val="1"/>
    <w:next w:val="2"/>
    <w:link w:val="61"/>
    <w:qFormat/>
    <w:uiPriority w:val="9"/>
    <w:pPr>
      <w:keepNext/>
      <w:spacing w:line="320" w:lineRule="exact"/>
      <w:jc w:val="both"/>
      <w:outlineLvl w:val="2"/>
    </w:pPr>
    <w:rPr>
      <w:rFonts w:ascii="楷体_GB2312" w:hAnsi="Times New Roman" w:eastAsia="楷体_GB2312"/>
      <w:sz w:val="32"/>
      <w:szCs w:val="32"/>
    </w:rPr>
  </w:style>
  <w:style w:type="paragraph" w:styleId="6">
    <w:name w:val="heading 4"/>
    <w:basedOn w:val="1"/>
    <w:next w:val="1"/>
    <w:link w:val="58"/>
    <w:qFormat/>
    <w:uiPriority w:val="9"/>
    <w:pPr>
      <w:keepNext/>
      <w:spacing w:line="600" w:lineRule="exact"/>
      <w:jc w:val="center"/>
      <w:outlineLvl w:val="3"/>
    </w:pPr>
    <w:rPr>
      <w:rFonts w:ascii="楷体_GB2312" w:hAnsi="Times New Roman" w:eastAsia="楷体_GB2312"/>
      <w:sz w:val="32"/>
      <w:szCs w:val="32"/>
    </w:rPr>
  </w:style>
  <w:style w:type="paragraph" w:styleId="7">
    <w:name w:val="heading 5"/>
    <w:basedOn w:val="1"/>
    <w:next w:val="1"/>
    <w:link w:val="63"/>
    <w:qFormat/>
    <w:uiPriority w:val="9"/>
    <w:pPr>
      <w:keepNext/>
      <w:keepLines/>
      <w:spacing w:before="280" w:after="290" w:line="376" w:lineRule="auto"/>
      <w:outlineLvl w:val="4"/>
    </w:pPr>
    <w:rPr>
      <w:b/>
      <w:bCs/>
    </w:rPr>
  </w:style>
  <w:style w:type="paragraph" w:styleId="8">
    <w:name w:val="heading 6"/>
    <w:basedOn w:val="1"/>
    <w:next w:val="1"/>
    <w:link w:val="64"/>
    <w:qFormat/>
    <w:uiPriority w:val="9"/>
    <w:pPr>
      <w:keepNext/>
      <w:keepLines/>
      <w:spacing w:before="240" w:beforeLines="0" w:after="64" w:afterLines="0" w:line="320" w:lineRule="atLeast"/>
      <w:outlineLvl w:val="5"/>
    </w:pPr>
    <w:rPr>
      <w:rFonts w:ascii="Arial" w:hAnsi="Arial"/>
      <w:b/>
      <w:bCs/>
      <w:szCs w:val="24"/>
    </w:rPr>
  </w:style>
  <w:style w:type="paragraph" w:styleId="9">
    <w:name w:val="heading 7"/>
    <w:basedOn w:val="1"/>
    <w:next w:val="1"/>
    <w:link w:val="65"/>
    <w:qFormat/>
    <w:uiPriority w:val="0"/>
    <w:pPr>
      <w:keepNext/>
      <w:keepLines/>
      <w:spacing w:before="240" w:beforeLines="0" w:after="64" w:afterLines="0" w:line="320" w:lineRule="atLeast"/>
      <w:outlineLvl w:val="6"/>
    </w:pPr>
    <w:rPr>
      <w:rFonts w:ascii="Times New Roman" w:hAnsi="Times New Roman"/>
      <w:b/>
      <w:bCs/>
      <w:sz w:val="20"/>
      <w:szCs w:val="24"/>
    </w:rPr>
  </w:style>
  <w:style w:type="paragraph" w:styleId="10">
    <w:name w:val="heading 8"/>
    <w:basedOn w:val="1"/>
    <w:next w:val="1"/>
    <w:qFormat/>
    <w:uiPriority w:val="0"/>
    <w:pPr>
      <w:keepNext/>
      <w:keepLines/>
      <w:spacing w:before="240" w:beforeLines="0" w:after="64" w:afterLines="0" w:line="320" w:lineRule="atLeast"/>
      <w:outlineLvl w:val="7"/>
    </w:pPr>
    <w:rPr>
      <w:rFonts w:ascii="Arial" w:hAnsi="Arial" w:cs="Arial"/>
      <w:szCs w:val="24"/>
    </w:rPr>
  </w:style>
  <w:style w:type="paragraph" w:styleId="11">
    <w:name w:val="heading 9"/>
    <w:basedOn w:val="1"/>
    <w:next w:val="1"/>
    <w:link w:val="66"/>
    <w:qFormat/>
    <w:uiPriority w:val="0"/>
    <w:pPr>
      <w:keepNext/>
      <w:keepLines/>
      <w:spacing w:before="240" w:beforeLines="0" w:after="64" w:afterLines="0" w:line="320" w:lineRule="atLeast"/>
      <w:outlineLvl w:val="8"/>
    </w:pPr>
    <w:rPr>
      <w:rFonts w:ascii="Arial" w:hAnsi="Arial"/>
      <w:sz w:val="21"/>
      <w:szCs w:val="21"/>
    </w:rPr>
  </w:style>
  <w:style w:type="character" w:default="1" w:styleId="47">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62"/>
    <w:qFormat/>
    <w:uiPriority w:val="0"/>
    <w:pPr>
      <w:ind w:firstLine="420"/>
      <w:jc w:val="both"/>
    </w:pPr>
    <w:rPr>
      <w:rFonts w:ascii="Times New Roman" w:hAnsi="Times New Roman"/>
      <w:sz w:val="21"/>
      <w:szCs w:val="21"/>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autoSpaceDE/>
      <w:autoSpaceDN/>
      <w:adjustRightInd/>
      <w:spacing w:line="360" w:lineRule="auto"/>
      <w:ind w:left="1440" w:firstLine="200" w:firstLineChars="200"/>
    </w:pPr>
    <w:rPr>
      <w:rFonts w:ascii="等线" w:hAnsi="等线" w:eastAsia="等线" w:cs="Times New Roman"/>
      <w:kern w:val="2"/>
      <w:sz w:val="18"/>
      <w:szCs w:val="18"/>
    </w:rPr>
  </w:style>
  <w:style w:type="paragraph" w:styleId="14">
    <w:name w:val="Note Heading"/>
    <w:basedOn w:val="1"/>
    <w:next w:val="1"/>
    <w:qFormat/>
    <w:uiPriority w:val="0"/>
    <w:pPr>
      <w:jc w:val="center"/>
    </w:pPr>
  </w:style>
  <w:style w:type="paragraph" w:styleId="15">
    <w:name w:val="caption"/>
    <w:basedOn w:val="1"/>
    <w:next w:val="1"/>
    <w:link w:val="67"/>
    <w:qFormat/>
    <w:uiPriority w:val="0"/>
    <w:pPr>
      <w:autoSpaceDE/>
      <w:autoSpaceDN/>
      <w:adjustRightInd/>
      <w:spacing w:line="360" w:lineRule="auto"/>
      <w:ind w:firstLine="200" w:firstLineChars="200"/>
      <w:jc w:val="both"/>
    </w:pPr>
    <w:rPr>
      <w:rFonts w:ascii="Cambria" w:hAnsi="Cambria" w:eastAsia="黑体"/>
      <w:kern w:val="2"/>
      <w:sz w:val="20"/>
      <w:szCs w:val="20"/>
    </w:rPr>
  </w:style>
  <w:style w:type="paragraph" w:styleId="16">
    <w:name w:val="Document Map"/>
    <w:basedOn w:val="1"/>
    <w:link w:val="68"/>
    <w:qFormat/>
    <w:uiPriority w:val="0"/>
    <w:rPr>
      <w:rFonts w:ascii="宋体"/>
      <w:sz w:val="18"/>
      <w:szCs w:val="18"/>
    </w:rPr>
  </w:style>
  <w:style w:type="paragraph" w:styleId="17">
    <w:name w:val="annotation text"/>
    <w:basedOn w:val="1"/>
    <w:link w:val="69"/>
    <w:qFormat/>
    <w:uiPriority w:val="99"/>
  </w:style>
  <w:style w:type="paragraph" w:styleId="18">
    <w:name w:val="Salutation"/>
    <w:basedOn w:val="1"/>
    <w:next w:val="1"/>
    <w:qFormat/>
    <w:uiPriority w:val="0"/>
    <w:pPr>
      <w:autoSpaceDE/>
      <w:autoSpaceDN/>
      <w:adjustRightInd/>
      <w:jc w:val="both"/>
    </w:pPr>
    <w:rPr>
      <w:rFonts w:ascii="Times New Roman" w:hAnsi="Times New Roman"/>
      <w:kern w:val="2"/>
      <w:sz w:val="24"/>
      <w:szCs w:val="20"/>
    </w:rPr>
  </w:style>
  <w:style w:type="paragraph" w:styleId="19">
    <w:name w:val="Body Text"/>
    <w:basedOn w:val="1"/>
    <w:qFormat/>
    <w:uiPriority w:val="0"/>
    <w:pPr>
      <w:spacing w:after="120" w:afterLines="0"/>
    </w:pPr>
  </w:style>
  <w:style w:type="paragraph" w:styleId="20">
    <w:name w:val="Body Text Indent"/>
    <w:basedOn w:val="1"/>
    <w:qFormat/>
    <w:uiPriority w:val="0"/>
    <w:pPr>
      <w:spacing w:line="600" w:lineRule="exact"/>
      <w:ind w:firstLine="560"/>
      <w:jc w:val="both"/>
    </w:pPr>
    <w:rPr>
      <w:rFonts w:ascii="方正书宋简体" w:hAnsi="Times New Roman" w:eastAsia="方正书宋简体"/>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spacing w:after="120"/>
      <w:ind w:left="1440" w:leftChars="700" w:right="1440" w:rightChars="700"/>
    </w:pPr>
  </w:style>
  <w:style w:type="paragraph" w:styleId="23">
    <w:name w:val="toc 5"/>
    <w:basedOn w:val="1"/>
    <w:next w:val="1"/>
    <w:unhideWhenUsed/>
    <w:qFormat/>
    <w:uiPriority w:val="39"/>
    <w:pPr>
      <w:autoSpaceDE/>
      <w:autoSpaceDN/>
      <w:adjustRightInd/>
      <w:spacing w:line="360" w:lineRule="auto"/>
      <w:ind w:left="960" w:firstLine="200" w:firstLineChars="200"/>
    </w:pPr>
    <w:rPr>
      <w:rFonts w:ascii="等线" w:hAnsi="等线" w:eastAsia="等线" w:cs="Times New Roman"/>
      <w:kern w:val="2"/>
      <w:sz w:val="18"/>
      <w:szCs w:val="18"/>
    </w:rPr>
  </w:style>
  <w:style w:type="paragraph" w:styleId="24">
    <w:name w:val="toc 3"/>
    <w:basedOn w:val="1"/>
    <w:next w:val="1"/>
    <w:qFormat/>
    <w:uiPriority w:val="39"/>
    <w:pPr>
      <w:autoSpaceDE/>
      <w:autoSpaceDN/>
      <w:adjustRightInd/>
      <w:spacing w:line="360" w:lineRule="auto"/>
      <w:ind w:left="560" w:firstLine="200" w:firstLineChars="200"/>
    </w:pPr>
    <w:rPr>
      <w:rFonts w:ascii="Calibri" w:hAnsi="Calibri" w:eastAsia="仿宋"/>
      <w:kern w:val="2"/>
      <w:sz w:val="24"/>
      <w:szCs w:val="20"/>
    </w:rPr>
  </w:style>
  <w:style w:type="paragraph" w:styleId="25">
    <w:name w:val="Plain Text"/>
    <w:basedOn w:val="1"/>
    <w:link w:val="70"/>
    <w:qFormat/>
    <w:uiPriority w:val="0"/>
    <w:pPr>
      <w:jc w:val="both"/>
    </w:pPr>
    <w:rPr>
      <w:rFonts w:ascii="宋体" w:hAnsi="Times New Roman"/>
      <w:sz w:val="21"/>
      <w:szCs w:val="21"/>
    </w:rPr>
  </w:style>
  <w:style w:type="paragraph" w:styleId="26">
    <w:name w:val="toc 8"/>
    <w:basedOn w:val="1"/>
    <w:next w:val="1"/>
    <w:unhideWhenUsed/>
    <w:qFormat/>
    <w:uiPriority w:val="39"/>
    <w:pPr>
      <w:autoSpaceDE/>
      <w:autoSpaceDN/>
      <w:adjustRightInd/>
      <w:spacing w:line="360" w:lineRule="auto"/>
      <w:ind w:left="1680" w:firstLine="200" w:firstLineChars="200"/>
    </w:pPr>
    <w:rPr>
      <w:rFonts w:ascii="等线" w:hAnsi="等线" w:eastAsia="等线" w:cs="Times New Roman"/>
      <w:kern w:val="2"/>
      <w:sz w:val="18"/>
      <w:szCs w:val="18"/>
    </w:rPr>
  </w:style>
  <w:style w:type="paragraph" w:styleId="27">
    <w:name w:val="Date"/>
    <w:basedOn w:val="1"/>
    <w:next w:val="1"/>
    <w:link w:val="71"/>
    <w:qFormat/>
    <w:uiPriority w:val="99"/>
    <w:pPr>
      <w:jc w:val="both"/>
    </w:pPr>
    <w:rPr>
      <w:sz w:val="32"/>
      <w:szCs w:val="32"/>
    </w:rPr>
  </w:style>
  <w:style w:type="paragraph" w:styleId="28">
    <w:name w:val="Body Text Indent 2"/>
    <w:basedOn w:val="1"/>
    <w:qFormat/>
    <w:uiPriority w:val="0"/>
    <w:pPr>
      <w:spacing w:line="640" w:lineRule="exact"/>
      <w:ind w:firstLine="645"/>
      <w:jc w:val="both"/>
    </w:pPr>
    <w:rPr>
      <w:rFonts w:ascii="楷体_GB2312" w:hAnsi="Times New Roman" w:eastAsia="楷体_GB2312"/>
      <w:sz w:val="32"/>
      <w:szCs w:val="32"/>
    </w:rPr>
  </w:style>
  <w:style w:type="paragraph" w:styleId="29">
    <w:name w:val="Balloon Text"/>
    <w:basedOn w:val="1"/>
    <w:link w:val="72"/>
    <w:semiHidden/>
    <w:qFormat/>
    <w:uiPriority w:val="99"/>
    <w:rPr>
      <w:sz w:val="18"/>
      <w:szCs w:val="18"/>
    </w:rPr>
  </w:style>
  <w:style w:type="paragraph" w:styleId="30">
    <w:name w:val="footer"/>
    <w:basedOn w:val="1"/>
    <w:link w:val="73"/>
    <w:qFormat/>
    <w:uiPriority w:val="99"/>
    <w:pPr>
      <w:tabs>
        <w:tab w:val="center" w:pos="4153"/>
        <w:tab w:val="right" w:pos="8306"/>
      </w:tabs>
      <w:snapToGrid w:val="0"/>
      <w:jc w:val="left"/>
    </w:pPr>
    <w:rPr>
      <w:sz w:val="18"/>
      <w:szCs w:val="18"/>
    </w:rPr>
  </w:style>
  <w:style w:type="paragraph" w:styleId="31">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autoSpaceDE/>
      <w:autoSpaceDN/>
      <w:adjustRightInd/>
      <w:spacing w:line="360" w:lineRule="auto"/>
      <w:ind w:left="720" w:firstLine="200" w:firstLineChars="200"/>
    </w:pPr>
    <w:rPr>
      <w:rFonts w:ascii="等线" w:hAnsi="等线" w:eastAsia="等线" w:cs="Times New Roman"/>
      <w:kern w:val="2"/>
      <w:sz w:val="18"/>
      <w:szCs w:val="18"/>
    </w:rPr>
  </w:style>
  <w:style w:type="paragraph" w:styleId="34">
    <w:name w:val="toc 6"/>
    <w:basedOn w:val="1"/>
    <w:next w:val="1"/>
    <w:unhideWhenUsed/>
    <w:qFormat/>
    <w:uiPriority w:val="39"/>
    <w:pPr>
      <w:autoSpaceDE/>
      <w:autoSpaceDN/>
      <w:adjustRightInd/>
      <w:spacing w:line="360" w:lineRule="auto"/>
      <w:ind w:left="1200" w:firstLine="200" w:firstLineChars="200"/>
    </w:pPr>
    <w:rPr>
      <w:rFonts w:ascii="等线" w:hAnsi="等线" w:eastAsia="等线" w:cs="Times New Roman"/>
      <w:kern w:val="2"/>
      <w:sz w:val="18"/>
      <w:szCs w:val="18"/>
    </w:rPr>
  </w:style>
  <w:style w:type="paragraph" w:styleId="35">
    <w:name w:val="List 5"/>
    <w:basedOn w:val="1"/>
    <w:qFormat/>
    <w:uiPriority w:val="0"/>
    <w:pPr>
      <w:ind w:left="100" w:leftChars="800" w:hanging="200" w:hangingChars="200"/>
    </w:pPr>
  </w:style>
  <w:style w:type="paragraph" w:styleId="36">
    <w:name w:val="Body Text Indent 3"/>
    <w:basedOn w:val="1"/>
    <w:qFormat/>
    <w:uiPriority w:val="0"/>
    <w:pPr>
      <w:ind w:firstLine="570"/>
      <w:jc w:val="both"/>
    </w:pPr>
    <w:rPr>
      <w:rFonts w:ascii="Times New Roman" w:hAnsi="Times New Roman"/>
      <w:sz w:val="32"/>
      <w:szCs w:val="32"/>
    </w:rPr>
  </w:style>
  <w:style w:type="paragraph" w:styleId="37">
    <w:name w:val="toc 2"/>
    <w:basedOn w:val="1"/>
    <w:next w:val="1"/>
    <w:link w:val="75"/>
    <w:qFormat/>
    <w:uiPriority w:val="39"/>
    <w:pPr>
      <w:autoSpaceDE/>
      <w:autoSpaceDN/>
      <w:adjustRightInd/>
      <w:spacing w:before="120" w:line="360" w:lineRule="auto"/>
      <w:ind w:left="280" w:firstLine="200" w:firstLineChars="200"/>
    </w:pPr>
    <w:rPr>
      <w:rFonts w:ascii="Calibri" w:hAnsi="Calibri" w:eastAsia="仿宋"/>
      <w:iCs/>
      <w:kern w:val="2"/>
      <w:sz w:val="24"/>
      <w:szCs w:val="20"/>
    </w:rPr>
  </w:style>
  <w:style w:type="paragraph" w:styleId="38">
    <w:name w:val="toc 9"/>
    <w:basedOn w:val="1"/>
    <w:next w:val="1"/>
    <w:unhideWhenUsed/>
    <w:qFormat/>
    <w:uiPriority w:val="39"/>
    <w:pPr>
      <w:autoSpaceDE/>
      <w:autoSpaceDN/>
      <w:adjustRightInd/>
      <w:spacing w:line="360" w:lineRule="auto"/>
      <w:ind w:left="1920" w:firstLine="200" w:firstLineChars="200"/>
    </w:pPr>
    <w:rPr>
      <w:rFonts w:ascii="等线" w:hAnsi="等线" w:eastAsia="等线" w:cs="Times New Roman"/>
      <w:kern w:val="2"/>
      <w:sz w:val="18"/>
      <w:szCs w:val="18"/>
    </w:rPr>
  </w:style>
  <w:style w:type="paragraph" w:styleId="39">
    <w:name w:val="List 4"/>
    <w:basedOn w:val="1"/>
    <w:qFormat/>
    <w:uiPriority w:val="0"/>
    <w:pPr>
      <w:ind w:left="100" w:leftChars="600" w:hanging="200" w:hangingChars="200"/>
    </w:pPr>
  </w:style>
  <w:style w:type="paragraph" w:styleId="40">
    <w:name w:val="Normal (Web)"/>
    <w:basedOn w:val="1"/>
    <w:unhideWhenUsed/>
    <w:qFormat/>
    <w:uiPriority w:val="0"/>
    <w:pPr>
      <w:widowControl/>
      <w:autoSpaceDE/>
      <w:autoSpaceDN/>
      <w:adjustRightInd/>
      <w:spacing w:before="100" w:beforeAutospacing="1" w:after="100" w:afterAutospacing="1"/>
    </w:pPr>
    <w:rPr>
      <w:rFonts w:ascii="宋体" w:hAnsi="宋体" w:cs="宋体"/>
      <w:sz w:val="24"/>
      <w:szCs w:val="24"/>
    </w:rPr>
  </w:style>
  <w:style w:type="paragraph" w:styleId="41">
    <w:name w:val="annotation subject"/>
    <w:basedOn w:val="17"/>
    <w:next w:val="17"/>
    <w:link w:val="76"/>
    <w:qFormat/>
    <w:uiPriority w:val="0"/>
    <w:rPr>
      <w:b/>
      <w:bCs/>
    </w:rPr>
  </w:style>
  <w:style w:type="paragraph" w:styleId="42">
    <w:name w:val="Body Text First Indent"/>
    <w:basedOn w:val="19"/>
    <w:link w:val="77"/>
    <w:qFormat/>
    <w:uiPriority w:val="0"/>
    <w:pPr>
      <w:ind w:firstLine="420" w:firstLineChars="100"/>
    </w:pPr>
  </w:style>
  <w:style w:type="paragraph" w:styleId="43">
    <w:name w:val="Body Text First Indent 2"/>
    <w:basedOn w:val="20"/>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table" w:styleId="45">
    <w:name w:val="Table Grid"/>
    <w:basedOn w:val="44"/>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unhideWhenUsed/>
    <w:qFormat/>
    <w:uiPriority w:val="99"/>
    <w:rPr>
      <w:color w:val="954F72"/>
      <w:u w:val="single"/>
    </w:rPr>
  </w:style>
  <w:style w:type="character" w:styleId="51">
    <w:name w:val="Emphasis"/>
    <w:qFormat/>
    <w:uiPriority w:val="0"/>
  </w:style>
  <w:style w:type="character" w:styleId="52">
    <w:name w:val="HTML Definition"/>
    <w:qFormat/>
    <w:uiPriority w:val="0"/>
    <w:rPr>
      <w:i/>
    </w:rPr>
  </w:style>
  <w:style w:type="character" w:styleId="53">
    <w:name w:val="Hyperlink"/>
    <w:basedOn w:val="47"/>
    <w:qFormat/>
    <w:uiPriority w:val="99"/>
    <w:rPr>
      <w:color w:val="333333"/>
      <w:u w:val="none"/>
    </w:rPr>
  </w:style>
  <w:style w:type="character" w:styleId="54">
    <w:name w:val="HTML Code"/>
    <w:qFormat/>
    <w:uiPriority w:val="0"/>
    <w:rPr>
      <w:rFonts w:hint="default" w:ascii="Menlo" w:hAnsi="Menlo" w:eastAsia="Menlo" w:cs="Menlo"/>
      <w:color w:val="C7254E"/>
      <w:sz w:val="21"/>
      <w:szCs w:val="21"/>
      <w:shd w:val="clear" w:color="auto" w:fill="F9F2F4"/>
    </w:rPr>
  </w:style>
  <w:style w:type="character" w:styleId="55">
    <w:name w:val="annotation reference"/>
    <w:qFormat/>
    <w:uiPriority w:val="99"/>
    <w:rPr>
      <w:sz w:val="21"/>
      <w:szCs w:val="21"/>
    </w:rPr>
  </w:style>
  <w:style w:type="character" w:styleId="56">
    <w:name w:val="HTML Keyboard"/>
    <w:qFormat/>
    <w:uiPriority w:val="0"/>
    <w:rPr>
      <w:rFonts w:hint="default" w:ascii="Menlo" w:hAnsi="Menlo" w:eastAsia="Menlo" w:cs="Menlo"/>
      <w:color w:val="FFFFFF"/>
      <w:sz w:val="21"/>
      <w:szCs w:val="21"/>
      <w:shd w:val="clear" w:color="auto" w:fill="333333"/>
    </w:rPr>
  </w:style>
  <w:style w:type="character" w:styleId="57">
    <w:name w:val="HTML Sample"/>
    <w:qFormat/>
    <w:uiPriority w:val="0"/>
    <w:rPr>
      <w:rFonts w:ascii="Menlo" w:hAnsi="Menlo" w:eastAsia="Menlo" w:cs="Menlo"/>
      <w:sz w:val="21"/>
      <w:szCs w:val="21"/>
    </w:rPr>
  </w:style>
  <w:style w:type="character" w:customStyle="1" w:styleId="58">
    <w:name w:val="标题 4 Char"/>
    <w:link w:val="6"/>
    <w:qFormat/>
    <w:uiPriority w:val="9"/>
    <w:rPr>
      <w:rFonts w:ascii="楷体_GB2312" w:eastAsia="楷体_GB2312"/>
      <w:sz w:val="32"/>
      <w:szCs w:val="32"/>
    </w:rPr>
  </w:style>
  <w:style w:type="character" w:customStyle="1" w:styleId="59">
    <w:name w:val="标题 1 Char"/>
    <w:link w:val="3"/>
    <w:qFormat/>
    <w:uiPriority w:val="9"/>
    <w:rPr>
      <w:rFonts w:ascii="黑体" w:eastAsia="黑体"/>
      <w:sz w:val="28"/>
      <w:szCs w:val="28"/>
    </w:rPr>
  </w:style>
  <w:style w:type="character" w:customStyle="1" w:styleId="60">
    <w:name w:val="标题 2 Char"/>
    <w:link w:val="4"/>
    <w:qFormat/>
    <w:uiPriority w:val="0"/>
    <w:rPr>
      <w:rFonts w:ascii="黑体" w:eastAsia="黑体"/>
      <w:sz w:val="28"/>
      <w:szCs w:val="28"/>
      <w:lang w:val="en-US" w:eastAsia="zh-CN" w:bidi="ar-SA"/>
    </w:rPr>
  </w:style>
  <w:style w:type="character" w:customStyle="1" w:styleId="61">
    <w:name w:val="标题 3 Char"/>
    <w:link w:val="5"/>
    <w:qFormat/>
    <w:uiPriority w:val="9"/>
    <w:rPr>
      <w:rFonts w:ascii="楷体_GB2312" w:eastAsia="楷体_GB2312"/>
      <w:sz w:val="32"/>
      <w:szCs w:val="32"/>
    </w:rPr>
  </w:style>
  <w:style w:type="character" w:customStyle="1" w:styleId="62">
    <w:name w:val="正文缩进 Char"/>
    <w:link w:val="2"/>
    <w:qFormat/>
    <w:uiPriority w:val="0"/>
    <w:rPr>
      <w:sz w:val="21"/>
      <w:szCs w:val="21"/>
    </w:rPr>
  </w:style>
  <w:style w:type="character" w:customStyle="1" w:styleId="63">
    <w:name w:val="标题 5 Char"/>
    <w:link w:val="7"/>
    <w:qFormat/>
    <w:uiPriority w:val="9"/>
    <w:rPr>
      <w:rFonts w:ascii="Copperplate Gothic Bold" w:hAnsi="Copperplate Gothic Bold"/>
      <w:b/>
      <w:bCs/>
      <w:sz w:val="28"/>
      <w:szCs w:val="28"/>
    </w:rPr>
  </w:style>
  <w:style w:type="character" w:customStyle="1" w:styleId="64">
    <w:name w:val="标题 6 Char"/>
    <w:link w:val="8"/>
    <w:qFormat/>
    <w:uiPriority w:val="9"/>
    <w:rPr>
      <w:rFonts w:ascii="Arial" w:hAnsi="Arial" w:cs="Arial"/>
      <w:b/>
      <w:bCs/>
      <w:sz w:val="28"/>
      <w:szCs w:val="24"/>
    </w:rPr>
  </w:style>
  <w:style w:type="character" w:customStyle="1" w:styleId="65">
    <w:name w:val="标题 7 Char"/>
    <w:link w:val="9"/>
    <w:qFormat/>
    <w:uiPriority w:val="0"/>
    <w:rPr>
      <w:b/>
      <w:bCs/>
      <w:szCs w:val="24"/>
    </w:rPr>
  </w:style>
  <w:style w:type="character" w:customStyle="1" w:styleId="66">
    <w:name w:val="标题 9 Char"/>
    <w:link w:val="11"/>
    <w:qFormat/>
    <w:uiPriority w:val="0"/>
    <w:rPr>
      <w:rFonts w:ascii="Arial" w:hAnsi="Arial" w:cs="Arial"/>
      <w:sz w:val="21"/>
      <w:szCs w:val="21"/>
    </w:rPr>
  </w:style>
  <w:style w:type="character" w:customStyle="1" w:styleId="67">
    <w:name w:val="题注 Char"/>
    <w:link w:val="15"/>
    <w:qFormat/>
    <w:uiPriority w:val="0"/>
    <w:rPr>
      <w:rFonts w:ascii="Cambria" w:hAnsi="Cambria" w:eastAsia="黑体"/>
      <w:kern w:val="2"/>
    </w:rPr>
  </w:style>
  <w:style w:type="character" w:customStyle="1" w:styleId="68">
    <w:name w:val="文档结构图 Char"/>
    <w:link w:val="16"/>
    <w:qFormat/>
    <w:uiPriority w:val="0"/>
    <w:rPr>
      <w:rFonts w:ascii="宋体" w:hAnsi="Copperplate Gothic Bold"/>
      <w:sz w:val="18"/>
      <w:szCs w:val="18"/>
    </w:rPr>
  </w:style>
  <w:style w:type="character" w:customStyle="1" w:styleId="69">
    <w:name w:val="批注文字 Char"/>
    <w:link w:val="17"/>
    <w:qFormat/>
    <w:uiPriority w:val="99"/>
    <w:rPr>
      <w:rFonts w:ascii="Copperplate Gothic Bold" w:hAnsi="Copperplate Gothic Bold"/>
      <w:sz w:val="28"/>
      <w:szCs w:val="28"/>
    </w:rPr>
  </w:style>
  <w:style w:type="character" w:customStyle="1" w:styleId="70">
    <w:name w:val="纯文本 Char"/>
    <w:link w:val="25"/>
    <w:qFormat/>
    <w:uiPriority w:val="0"/>
    <w:rPr>
      <w:rFonts w:ascii="宋体" w:eastAsia="宋体"/>
      <w:sz w:val="21"/>
      <w:szCs w:val="21"/>
      <w:lang w:val="en-US" w:eastAsia="zh-CN" w:bidi="ar-SA"/>
    </w:rPr>
  </w:style>
  <w:style w:type="character" w:customStyle="1" w:styleId="71">
    <w:name w:val="日期 Char"/>
    <w:link w:val="27"/>
    <w:qFormat/>
    <w:locked/>
    <w:uiPriority w:val="99"/>
    <w:rPr>
      <w:rFonts w:ascii="Copperplate Gothic Bold" w:hAnsi="Copperplate Gothic Bold" w:eastAsia="宋体"/>
      <w:sz w:val="32"/>
      <w:szCs w:val="32"/>
      <w:lang w:val="en-US" w:eastAsia="zh-CN" w:bidi="ar-SA"/>
    </w:rPr>
  </w:style>
  <w:style w:type="character" w:customStyle="1" w:styleId="72">
    <w:name w:val="批注框文本 Char"/>
    <w:link w:val="29"/>
    <w:semiHidden/>
    <w:qFormat/>
    <w:uiPriority w:val="99"/>
    <w:rPr>
      <w:rFonts w:ascii="Copperplate Gothic Bold" w:hAnsi="Copperplate Gothic Bold"/>
      <w:sz w:val="18"/>
      <w:szCs w:val="18"/>
    </w:rPr>
  </w:style>
  <w:style w:type="character" w:customStyle="1" w:styleId="73">
    <w:name w:val="页脚 Char"/>
    <w:link w:val="30"/>
    <w:qFormat/>
    <w:uiPriority w:val="99"/>
    <w:rPr>
      <w:rFonts w:ascii="Copperplate Gothic Bold" w:hAnsi="Copperplate Gothic Bold"/>
      <w:sz w:val="18"/>
      <w:szCs w:val="18"/>
    </w:rPr>
  </w:style>
  <w:style w:type="character" w:customStyle="1" w:styleId="74">
    <w:name w:val="页眉 Char"/>
    <w:link w:val="31"/>
    <w:qFormat/>
    <w:uiPriority w:val="99"/>
    <w:rPr>
      <w:rFonts w:ascii="Copperplate Gothic Bold" w:hAnsi="Copperplate Gothic Bold"/>
      <w:sz w:val="18"/>
      <w:szCs w:val="18"/>
    </w:rPr>
  </w:style>
  <w:style w:type="character" w:customStyle="1" w:styleId="75">
    <w:name w:val="目录 2 Char"/>
    <w:link w:val="37"/>
    <w:qFormat/>
    <w:uiPriority w:val="39"/>
    <w:rPr>
      <w:rFonts w:ascii="Calibri" w:hAnsi="Calibri" w:eastAsia="仿宋"/>
      <w:iCs/>
      <w:kern w:val="2"/>
      <w:sz w:val="24"/>
    </w:rPr>
  </w:style>
  <w:style w:type="character" w:customStyle="1" w:styleId="76">
    <w:name w:val="批注主题 Char"/>
    <w:link w:val="41"/>
    <w:qFormat/>
    <w:uiPriority w:val="0"/>
    <w:rPr>
      <w:rFonts w:ascii="Copperplate Gothic Bold" w:hAnsi="Copperplate Gothic Bold"/>
      <w:b/>
      <w:bCs/>
      <w:sz w:val="28"/>
      <w:szCs w:val="28"/>
    </w:rPr>
  </w:style>
  <w:style w:type="character" w:customStyle="1" w:styleId="77">
    <w:name w:val="正文首行缩进 Char"/>
    <w:link w:val="42"/>
    <w:qFormat/>
    <w:uiPriority w:val="0"/>
    <w:rPr>
      <w:rFonts w:ascii="Copperplate Gothic Bold" w:hAnsi="Copperplate Gothic Bold"/>
      <w:sz w:val="28"/>
      <w:szCs w:val="28"/>
    </w:rPr>
  </w:style>
  <w:style w:type="character" w:customStyle="1" w:styleId="78">
    <w:name w:val="J.多点一级描述 Char"/>
    <w:link w:val="79"/>
    <w:qFormat/>
    <w:uiPriority w:val="0"/>
    <w:rPr>
      <w:rFonts w:eastAsia="华文细黑"/>
      <w:kern w:val="2"/>
      <w:sz w:val="24"/>
      <w:szCs w:val="22"/>
    </w:rPr>
  </w:style>
  <w:style w:type="paragraph" w:customStyle="1" w:styleId="79">
    <w:name w:val="J.多点一级描述"/>
    <w:basedOn w:val="1"/>
    <w:link w:val="78"/>
    <w:qFormat/>
    <w:uiPriority w:val="0"/>
    <w:pPr>
      <w:numPr>
        <w:ilvl w:val="0"/>
        <w:numId w:val="1"/>
      </w:numPr>
      <w:autoSpaceDE/>
      <w:autoSpaceDN/>
      <w:adjustRightInd/>
      <w:jc w:val="both"/>
    </w:pPr>
    <w:rPr>
      <w:rFonts w:ascii="Times New Roman" w:hAnsi="Times New Roman" w:eastAsia="华文细黑"/>
      <w:kern w:val="2"/>
      <w:sz w:val="24"/>
      <w:szCs w:val="22"/>
    </w:rPr>
  </w:style>
  <w:style w:type="character" w:customStyle="1" w:styleId="80">
    <w:name w:val="bg Char"/>
    <w:link w:val="81"/>
    <w:qFormat/>
    <w:uiPriority w:val="0"/>
    <w:rPr>
      <w:rFonts w:ascii="Calibri" w:hAnsi="Calibri" w:eastAsia="仿宋"/>
      <w:kern w:val="2"/>
      <w:sz w:val="24"/>
      <w:szCs w:val="22"/>
    </w:rPr>
  </w:style>
  <w:style w:type="paragraph" w:customStyle="1" w:styleId="81">
    <w:name w:val="bg"/>
    <w:basedOn w:val="1"/>
    <w:link w:val="80"/>
    <w:qFormat/>
    <w:uiPriority w:val="0"/>
    <w:pPr>
      <w:widowControl/>
      <w:autoSpaceDE/>
      <w:autoSpaceDN/>
      <w:adjustRightInd/>
    </w:pPr>
    <w:rPr>
      <w:rFonts w:ascii="Calibri" w:hAnsi="Calibri" w:eastAsia="仿宋"/>
      <w:kern w:val="2"/>
      <w:sz w:val="24"/>
      <w:szCs w:val="22"/>
    </w:rPr>
  </w:style>
  <w:style w:type="character" w:customStyle="1" w:styleId="82">
    <w:name w:val="hover3"/>
    <w:qFormat/>
    <w:uiPriority w:val="0"/>
    <w:rPr>
      <w:shd w:val="clear" w:color="auto" w:fill="EEEEEE"/>
    </w:rPr>
  </w:style>
  <w:style w:type="character" w:customStyle="1" w:styleId="83">
    <w:name w:val="tmpztreemove_arrow"/>
    <w:qFormat/>
    <w:uiPriority w:val="0"/>
    <w:rPr>
      <w:shd w:val="clear" w:color="auto" w:fill="FFFFFF"/>
    </w:rPr>
  </w:style>
  <w:style w:type="character" w:customStyle="1" w:styleId="84">
    <w:name w:val="hour_pm"/>
    <w:qFormat/>
    <w:uiPriority w:val="0"/>
  </w:style>
  <w:style w:type="character" w:customStyle="1" w:styleId="85">
    <w:name w:val="glyphicon4"/>
    <w:qFormat/>
    <w:uiPriority w:val="0"/>
  </w:style>
  <w:style w:type="character" w:customStyle="1" w:styleId="86">
    <w:name w:val="Char Char1"/>
    <w:qFormat/>
    <w:locked/>
    <w:uiPriority w:val="0"/>
    <w:rPr>
      <w:rFonts w:ascii="黑体" w:hAnsi="Copperplate Gothic Bold" w:eastAsia="黑体" w:cs="宋体"/>
      <w:sz w:val="28"/>
      <w:szCs w:val="28"/>
      <w:lang w:val="en-US" w:eastAsia="zh-CN" w:bidi="ar-SA"/>
    </w:rPr>
  </w:style>
  <w:style w:type="character" w:customStyle="1" w:styleId="87">
    <w:name w:val="hover"/>
    <w:qFormat/>
    <w:uiPriority w:val="0"/>
    <w:rPr>
      <w:shd w:val="clear" w:color="auto" w:fill="EEEEEE"/>
    </w:rPr>
  </w:style>
  <w:style w:type="character" w:customStyle="1" w:styleId="88">
    <w:name w:val="Char Char"/>
    <w:qFormat/>
    <w:locked/>
    <w:uiPriority w:val="0"/>
    <w:rPr>
      <w:rFonts w:ascii="宋体" w:hAnsi="宋体" w:eastAsia="宋体"/>
      <w:sz w:val="21"/>
      <w:szCs w:val="21"/>
      <w:lang w:val="en-US" w:eastAsia="zh-CN" w:bidi="ar-SA"/>
    </w:rPr>
  </w:style>
  <w:style w:type="character" w:customStyle="1" w:styleId="89">
    <w:name w:val="H.单点描述 Char"/>
    <w:link w:val="90"/>
    <w:qFormat/>
    <w:uiPriority w:val="0"/>
    <w:rPr>
      <w:rFonts w:eastAsia="华文细黑"/>
      <w:b/>
      <w:kern w:val="2"/>
      <w:sz w:val="24"/>
      <w:szCs w:val="22"/>
    </w:rPr>
  </w:style>
  <w:style w:type="paragraph" w:customStyle="1" w:styleId="90">
    <w:name w:val="H.单点描述"/>
    <w:basedOn w:val="1"/>
    <w:next w:val="1"/>
    <w:link w:val="89"/>
    <w:qFormat/>
    <w:uiPriority w:val="0"/>
    <w:pPr>
      <w:autoSpaceDE/>
      <w:autoSpaceDN/>
      <w:adjustRightInd/>
      <w:jc w:val="both"/>
    </w:pPr>
    <w:rPr>
      <w:rFonts w:ascii="Times New Roman" w:hAnsi="Times New Roman" w:eastAsia="华文细黑"/>
      <w:b/>
      <w:kern w:val="2"/>
      <w:sz w:val="24"/>
      <w:szCs w:val="22"/>
    </w:rPr>
  </w:style>
  <w:style w:type="character" w:customStyle="1" w:styleId="91">
    <w:name w:val="indent"/>
    <w:qFormat/>
    <w:uiPriority w:val="0"/>
  </w:style>
  <w:style w:type="character" w:customStyle="1" w:styleId="92">
    <w:name w:val="hour_am"/>
    <w:qFormat/>
    <w:uiPriority w:val="0"/>
  </w:style>
  <w:style w:type="character" w:customStyle="1" w:styleId="93">
    <w:name w:val="button"/>
    <w:qFormat/>
    <w:uiPriority w:val="0"/>
  </w:style>
  <w:style w:type="character" w:customStyle="1" w:styleId="94">
    <w:name w:val="old"/>
    <w:qFormat/>
    <w:uiPriority w:val="0"/>
    <w:rPr>
      <w:color w:val="999999"/>
    </w:rPr>
  </w:style>
  <w:style w:type="character" w:customStyle="1" w:styleId="95">
    <w:name w:val="glyphicon2"/>
    <w:qFormat/>
    <w:uiPriority w:val="0"/>
  </w:style>
  <w:style w:type="character" w:customStyle="1" w:styleId="96">
    <w:name w:val="正文１１ Char"/>
    <w:link w:val="97"/>
    <w:qFormat/>
    <w:uiPriority w:val="0"/>
    <w:rPr>
      <w:rFonts w:ascii="Arial" w:hAnsi="Arial"/>
      <w:sz w:val="24"/>
      <w:szCs w:val="24"/>
    </w:rPr>
  </w:style>
  <w:style w:type="paragraph" w:customStyle="1" w:styleId="97">
    <w:name w:val="正文１１"/>
    <w:basedOn w:val="1"/>
    <w:link w:val="96"/>
    <w:qFormat/>
    <w:uiPriority w:val="0"/>
    <w:pPr>
      <w:autoSpaceDE/>
      <w:autoSpaceDN/>
      <w:adjustRightInd/>
      <w:spacing w:line="360" w:lineRule="auto"/>
      <w:ind w:firstLine="200" w:firstLineChars="200"/>
      <w:jc w:val="both"/>
    </w:pPr>
    <w:rPr>
      <w:rFonts w:ascii="Arial" w:hAnsi="Arial"/>
      <w:sz w:val="24"/>
      <w:szCs w:val="24"/>
    </w:rPr>
  </w:style>
  <w:style w:type="paragraph" w:customStyle="1" w:styleId="9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both"/>
      <w:textAlignment w:val="center"/>
    </w:pPr>
    <w:rPr>
      <w:rFonts w:ascii="宋体" w:hAnsi="宋体" w:cs="宋体"/>
      <w:i/>
      <w:iCs/>
      <w:color w:val="000000"/>
      <w:sz w:val="20"/>
      <w:szCs w:val="20"/>
    </w:rPr>
  </w:style>
  <w:style w:type="paragraph" w:customStyle="1" w:styleId="99">
    <w:name w:val="目录"/>
    <w:basedOn w:val="1"/>
    <w:qFormat/>
    <w:uiPriority w:val="0"/>
    <w:pPr>
      <w:widowControl/>
      <w:spacing w:line="240" w:lineRule="auto"/>
      <w:jc w:val="center"/>
    </w:pPr>
    <w:rPr>
      <w:rFonts w:ascii="宋体"/>
      <w:b/>
      <w:kern w:val="0"/>
      <w:sz w:val="36"/>
      <w:szCs w:val="20"/>
    </w:rPr>
  </w:style>
  <w:style w:type="paragraph" w:customStyle="1" w:styleId="100">
    <w:name w:val="表格"/>
    <w:basedOn w:val="1"/>
    <w:next w:val="25"/>
    <w:qFormat/>
    <w:uiPriority w:val="0"/>
    <w:pPr>
      <w:kinsoku w:val="0"/>
      <w:overflowPunct w:val="0"/>
      <w:topLinePunct/>
      <w:ind w:firstLine="200" w:firstLineChars="200"/>
      <w:jc w:val="center"/>
    </w:pPr>
    <w:rPr>
      <w:rFonts w:ascii="Arial" w:hAnsi="Arial" w:eastAsia="仿宋_GB2312" w:cs="Times New Roman"/>
      <w:kern w:val="0"/>
      <w:szCs w:val="21"/>
    </w:rPr>
  </w:style>
  <w:style w:type="paragraph" w:customStyle="1" w:styleId="101">
    <w:name w:val="样式 表格"/>
    <w:basedOn w:val="100"/>
    <w:next w:val="22"/>
    <w:qFormat/>
    <w:uiPriority w:val="0"/>
    <w:pPr>
      <w:ind w:firstLine="0" w:firstLineChars="0"/>
      <w:jc w:val="both"/>
    </w:pPr>
    <w:rPr>
      <w:rFonts w:cs="宋体"/>
    </w:rPr>
  </w:style>
  <w:style w:type="paragraph" w:customStyle="1" w:styleId="102">
    <w:name w:val="xl78"/>
    <w:basedOn w:val="1"/>
    <w:qFormat/>
    <w:uiPriority w:val="0"/>
    <w:pPr>
      <w:widowControl/>
      <w:pBdr>
        <w:top w:val="single" w:color="auto" w:sz="4" w:space="0"/>
        <w:left w:val="single" w:color="auto" w:sz="4" w:space="0"/>
        <w:bottom w:val="single" w:color="auto" w:sz="4" w:space="0"/>
      </w:pBdr>
      <w:shd w:val="clear" w:color="000000" w:fill="FFFFFF"/>
      <w:autoSpaceDE/>
      <w:autoSpaceDN/>
      <w:adjustRightInd/>
      <w:spacing w:before="100" w:beforeAutospacing="1" w:after="100" w:afterAutospacing="1"/>
      <w:jc w:val="right"/>
      <w:textAlignment w:val="center"/>
    </w:pPr>
    <w:rPr>
      <w:rFonts w:ascii="宋体" w:hAnsi="宋体" w:cs="宋体"/>
      <w:color w:val="000000"/>
      <w:sz w:val="20"/>
      <w:szCs w:val="20"/>
    </w:rPr>
  </w:style>
  <w:style w:type="paragraph" w:customStyle="1" w:styleId="10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both"/>
      <w:textAlignment w:val="center"/>
    </w:pPr>
    <w:rPr>
      <w:rFonts w:ascii="宋体" w:hAnsi="宋体" w:cs="宋体"/>
      <w:color w:val="000000"/>
      <w:sz w:val="20"/>
      <w:szCs w:val="20"/>
    </w:rPr>
  </w:style>
  <w:style w:type="paragraph" w:customStyle="1" w:styleId="104">
    <w:name w:val=" Char Char1 Char Char Char Char Char Char"/>
    <w:basedOn w:val="1"/>
    <w:qFormat/>
    <w:uiPriority w:val="0"/>
    <w:pPr>
      <w:widowControl/>
      <w:autoSpaceDE/>
      <w:autoSpaceDN/>
      <w:adjustRightInd/>
      <w:spacing w:after="160" w:afterLines="0" w:line="240" w:lineRule="exact"/>
      <w:jc w:val="center"/>
    </w:pPr>
    <w:rPr>
      <w:rFonts w:ascii="黑体" w:hAnsi="Verdana" w:eastAsia="黑体"/>
      <w:sz w:val="36"/>
      <w:szCs w:val="36"/>
    </w:rPr>
  </w:style>
  <w:style w:type="paragraph" w:customStyle="1" w:styleId="105">
    <w:name w:val="纯文本1"/>
    <w:basedOn w:val="1"/>
    <w:qFormat/>
    <w:uiPriority w:val="0"/>
    <w:rPr>
      <w:rFonts w:ascii="宋体" w:hAnsi="Courier New" w:eastAsia="宋体" w:cs="Times New Roman"/>
      <w:szCs w:val="22"/>
    </w:rPr>
  </w:style>
  <w:style w:type="paragraph" w:customStyle="1" w:styleId="106">
    <w:name w:val="样式 样式 正文文本缩进 + 仿宋_GB2312 小四 首行缩进:  0 厘米 行距: 1.5 倍行距 + (中文) 仿宋_GB... Char Char"/>
    <w:basedOn w:val="1"/>
    <w:qFormat/>
    <w:uiPriority w:val="0"/>
    <w:pPr>
      <w:autoSpaceDE/>
      <w:autoSpaceDN/>
      <w:adjustRightInd/>
      <w:spacing w:line="360" w:lineRule="auto"/>
      <w:ind w:firstLine="480" w:firstLineChars="200"/>
      <w:jc w:val="both"/>
    </w:pPr>
    <w:rPr>
      <w:rFonts w:ascii="仿宋_GB2312" w:hAnsi="Times New Roman" w:eastAsia="新宋体"/>
      <w:kern w:val="2"/>
      <w:sz w:val="24"/>
      <w:szCs w:val="20"/>
    </w:rPr>
  </w:style>
  <w:style w:type="paragraph" w:customStyle="1" w:styleId="107">
    <w:name w:val="Char Char Char"/>
    <w:basedOn w:val="1"/>
    <w:qFormat/>
    <w:uiPriority w:val="0"/>
    <w:pPr>
      <w:autoSpaceDE/>
      <w:autoSpaceDN/>
      <w:adjustRightInd/>
      <w:jc w:val="both"/>
    </w:pPr>
    <w:rPr>
      <w:rFonts w:ascii="Tahoma" w:hAnsi="Tahoma"/>
      <w:kern w:val="2"/>
      <w:sz w:val="24"/>
      <w:szCs w:val="20"/>
    </w:rPr>
  </w:style>
  <w:style w:type="paragraph" w:customStyle="1" w:styleId="108">
    <w:name w:val="样式 标题 1 + 四号 居中"/>
    <w:basedOn w:val="3"/>
    <w:qFormat/>
    <w:uiPriority w:val="0"/>
    <w:pPr>
      <w:keepLines/>
      <w:spacing w:before="240" w:beforeLines="0" w:after="240" w:afterLines="0"/>
      <w:ind w:firstLine="288"/>
      <w:outlineLvl w:val="9"/>
    </w:pPr>
    <w:rPr>
      <w:rFonts w:ascii="Times New Roman" w:eastAsia="宋体"/>
      <w:b/>
      <w:bCs/>
    </w:rPr>
  </w:style>
  <w:style w:type="paragraph" w:customStyle="1" w:styleId="109">
    <w:name w:val="font5"/>
    <w:basedOn w:val="1"/>
    <w:qFormat/>
    <w:uiPriority w:val="0"/>
    <w:pPr>
      <w:widowControl/>
      <w:autoSpaceDE/>
      <w:autoSpaceDN/>
      <w:adjustRightInd/>
      <w:spacing w:before="100" w:beforeAutospacing="1" w:after="100" w:afterAutospacing="1"/>
    </w:pPr>
    <w:rPr>
      <w:rFonts w:ascii="宋体" w:hAnsi="宋体" w:cs="宋体"/>
      <w:color w:val="000000"/>
      <w:sz w:val="21"/>
      <w:szCs w:val="21"/>
    </w:rPr>
  </w:style>
  <w:style w:type="paragraph" w:customStyle="1" w:styleId="110">
    <w:name w:val="reader-word-layer"/>
    <w:basedOn w:val="1"/>
    <w:qFormat/>
    <w:uiPriority w:val="0"/>
    <w:pPr>
      <w:widowControl/>
      <w:spacing w:before="100" w:beforeAutospacing="1" w:after="100" w:afterAutospacing="1"/>
      <w:jc w:val="left"/>
    </w:pPr>
    <w:rPr>
      <w:rFonts w:ascii="宋体" w:hAnsi="宋体" w:eastAsia="宋体" w:cs="Times New Roman"/>
      <w:kern w:val="0"/>
    </w:rPr>
  </w:style>
  <w:style w:type="paragraph" w:customStyle="1" w:styleId="111">
    <w:name w:val="_Style 0"/>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12">
    <w:name w:val="样式 样式 样式 样式 标题"/>
    <w:basedOn w:val="1"/>
    <w:qFormat/>
    <w:uiPriority w:val="0"/>
    <w:pPr>
      <w:keepNext/>
      <w:keepLines/>
      <w:tabs>
        <w:tab w:val="left" w:pos="709"/>
      </w:tabs>
      <w:spacing w:before="240" w:beforeLines="0"/>
      <w:ind w:left="709" w:hanging="709"/>
    </w:pPr>
    <w:rPr>
      <w:rFonts w:ascii="宋体" w:hAnsi="Times New Roman"/>
      <w:b/>
      <w:bCs/>
      <w:color w:val="000000"/>
      <w:sz w:val="21"/>
      <w:szCs w:val="21"/>
    </w:rPr>
  </w:style>
  <w:style w:type="paragraph" w:customStyle="1" w:styleId="113">
    <w:name w:val="font10"/>
    <w:basedOn w:val="1"/>
    <w:qFormat/>
    <w:uiPriority w:val="0"/>
    <w:pPr>
      <w:widowControl/>
      <w:autoSpaceDE/>
      <w:autoSpaceDN/>
      <w:adjustRightInd/>
      <w:spacing w:before="100" w:beforeAutospacing="1" w:after="100" w:afterAutospacing="1"/>
    </w:pPr>
    <w:rPr>
      <w:rFonts w:ascii="Arial" w:hAnsi="Arial" w:cs="Arial"/>
      <w:color w:val="999999"/>
      <w:sz w:val="18"/>
      <w:szCs w:val="18"/>
    </w:rPr>
  </w:style>
  <w:style w:type="paragraph" w:customStyle="1" w:styleId="114">
    <w:name w:val="xl79"/>
    <w:basedOn w:val="1"/>
    <w:qFormat/>
    <w:uiPriority w:val="0"/>
    <w:pPr>
      <w:widowControl/>
      <w:pBdr>
        <w:top w:val="single" w:color="auto" w:sz="4" w:space="0"/>
        <w:bottom w:val="single" w:color="auto" w:sz="4" w:space="0"/>
      </w:pBdr>
      <w:shd w:val="clear" w:color="000000" w:fill="FFFFFF"/>
      <w:autoSpaceDE/>
      <w:autoSpaceDN/>
      <w:adjustRightInd/>
      <w:spacing w:before="100" w:beforeAutospacing="1" w:after="100" w:afterAutospacing="1"/>
      <w:jc w:val="right"/>
      <w:textAlignment w:val="center"/>
    </w:pPr>
    <w:rPr>
      <w:rFonts w:ascii="宋体" w:hAnsi="宋体" w:cs="宋体"/>
      <w:color w:val="00000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both"/>
      <w:textAlignment w:val="center"/>
    </w:pPr>
    <w:rPr>
      <w:rFonts w:ascii="宋体" w:hAnsi="宋体" w:cs="宋体"/>
      <w:sz w:val="20"/>
      <w:szCs w:val="20"/>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textAlignment w:val="center"/>
    </w:pPr>
    <w:rPr>
      <w:rFonts w:ascii="宋体" w:hAnsi="宋体" w:cs="宋体"/>
      <w:color w:val="000000"/>
      <w:sz w:val="20"/>
      <w:szCs w:val="20"/>
    </w:rPr>
  </w:style>
  <w:style w:type="paragraph" w:customStyle="1" w:styleId="117">
    <w:name w:val="font9"/>
    <w:basedOn w:val="1"/>
    <w:qFormat/>
    <w:uiPriority w:val="0"/>
    <w:pPr>
      <w:widowControl/>
      <w:autoSpaceDE/>
      <w:autoSpaceDN/>
      <w:adjustRightInd/>
      <w:spacing w:before="100" w:beforeAutospacing="1" w:after="100" w:afterAutospacing="1"/>
    </w:pPr>
    <w:rPr>
      <w:rFonts w:ascii="宋体" w:hAnsi="宋体" w:cs="宋体"/>
      <w:color w:val="000000"/>
      <w:sz w:val="20"/>
      <w:szCs w:val="20"/>
    </w:rPr>
  </w:style>
  <w:style w:type="paragraph" w:customStyle="1" w:styleId="118">
    <w:name w:val="xl72"/>
    <w:basedOn w:val="1"/>
    <w:qFormat/>
    <w:uiPriority w:val="0"/>
    <w:pPr>
      <w:widowControl/>
      <w:autoSpaceDE/>
      <w:autoSpaceDN/>
      <w:adjustRightInd/>
      <w:spacing w:before="100" w:beforeAutospacing="1" w:after="100" w:afterAutospacing="1"/>
    </w:pPr>
    <w:rPr>
      <w:rFonts w:ascii="宋体" w:hAnsi="宋体" w:cs="宋体"/>
      <w:color w:val="000000"/>
      <w:sz w:val="20"/>
      <w:szCs w:val="20"/>
    </w:rPr>
  </w:style>
  <w:style w:type="paragraph" w:customStyle="1" w:styleId="119">
    <w:name w:val="font11"/>
    <w:basedOn w:val="1"/>
    <w:qFormat/>
    <w:uiPriority w:val="0"/>
    <w:pPr>
      <w:widowControl/>
      <w:autoSpaceDE/>
      <w:autoSpaceDN/>
      <w:adjustRightInd/>
      <w:spacing w:before="100" w:beforeAutospacing="1" w:after="100" w:afterAutospacing="1"/>
    </w:pPr>
    <w:rPr>
      <w:rFonts w:ascii="宋体" w:hAnsi="宋体" w:cs="宋体"/>
      <w:color w:val="000000"/>
      <w:sz w:val="20"/>
      <w:szCs w:val="20"/>
    </w:rPr>
  </w:style>
  <w:style w:type="paragraph" w:customStyle="1" w:styleId="120">
    <w:name w:val="xl76"/>
    <w:basedOn w:val="1"/>
    <w:qFormat/>
    <w:uiPriority w:val="0"/>
    <w:pPr>
      <w:widowControl/>
      <w:pBdr>
        <w:top w:val="single" w:color="auto" w:sz="4" w:space="0"/>
        <w:bottom w:val="single" w:color="auto" w:sz="4" w:space="0"/>
      </w:pBdr>
      <w:shd w:val="clear" w:color="000000" w:fill="FFFFFF"/>
      <w:autoSpaceDE/>
      <w:autoSpaceDN/>
      <w:adjustRightInd/>
      <w:spacing w:before="100" w:beforeAutospacing="1" w:after="100" w:afterAutospacing="1"/>
      <w:jc w:val="right"/>
      <w:textAlignment w:val="center"/>
    </w:pPr>
    <w:rPr>
      <w:rFonts w:ascii="宋体" w:hAnsi="宋体" w:cs="宋体"/>
      <w:color w:val="000000"/>
      <w:sz w:val="20"/>
      <w:szCs w:val="20"/>
    </w:rPr>
  </w:style>
  <w:style w:type="paragraph" w:customStyle="1" w:styleId="121">
    <w:name w:val="xl63"/>
    <w:basedOn w:val="1"/>
    <w:qFormat/>
    <w:uiPriority w:val="0"/>
    <w:pPr>
      <w:widowControl/>
      <w:shd w:val="clear" w:color="000000" w:fill="FFFFFF"/>
      <w:autoSpaceDE/>
      <w:autoSpaceDN/>
      <w:adjustRightInd/>
      <w:spacing w:before="100" w:beforeAutospacing="1" w:after="100" w:afterAutospacing="1"/>
    </w:pPr>
    <w:rPr>
      <w:rFonts w:ascii="宋体" w:hAnsi="宋体" w:cs="宋体"/>
      <w:sz w:val="20"/>
      <w:szCs w:val="20"/>
    </w:rPr>
  </w:style>
  <w:style w:type="paragraph" w:customStyle="1" w:styleId="122">
    <w:name w:val="_Style 9"/>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123">
    <w:name w:val="正文1"/>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styleId="124">
    <w:name w:val="List Paragraph"/>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125">
    <w:name w:val="xl84"/>
    <w:basedOn w:val="1"/>
    <w:qFormat/>
    <w:uiPriority w:val="0"/>
    <w:pPr>
      <w:widowControl/>
      <w:pBdr>
        <w:top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both"/>
      <w:textAlignment w:val="center"/>
    </w:pPr>
    <w:rPr>
      <w:rFonts w:ascii="宋体" w:hAnsi="宋体" w:cs="宋体"/>
      <w:sz w:val="20"/>
      <w:szCs w:val="20"/>
    </w:rPr>
  </w:style>
  <w:style w:type="paragraph" w:customStyle="1" w:styleId="12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textAlignment w:val="center"/>
    </w:pPr>
    <w:rPr>
      <w:rFonts w:ascii="宋体" w:hAnsi="宋体" w:cs="宋体"/>
      <w:b/>
      <w:bCs/>
      <w:sz w:val="20"/>
      <w:szCs w:val="20"/>
    </w:rPr>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样式 标题 2 + 段前: 0.5 行 段后: 0.5 行"/>
    <w:basedOn w:val="4"/>
    <w:qFormat/>
    <w:uiPriority w:val="0"/>
    <w:pPr>
      <w:numPr>
        <w:ilvl w:val="0"/>
        <w:numId w:val="2"/>
      </w:numPr>
      <w:tabs>
        <w:tab w:val="left" w:pos="360"/>
      </w:tabs>
      <w:autoSpaceDE/>
      <w:autoSpaceDN/>
      <w:adjustRightInd/>
      <w:spacing w:before="156" w:beforeLines="50" w:after="156" w:afterLines="50" w:line="360" w:lineRule="auto"/>
      <w:ind w:left="0" w:firstLine="0"/>
    </w:pPr>
    <w:rPr>
      <w:rFonts w:ascii="Times New Roman" w:cs="宋体"/>
      <w:b/>
      <w:bCs/>
      <w:sz w:val="32"/>
      <w:szCs w:val="20"/>
    </w:rPr>
  </w:style>
  <w:style w:type="paragraph" w:customStyle="1" w:styleId="129">
    <w:name w:val="p19"/>
    <w:basedOn w:val="1"/>
    <w:qFormat/>
    <w:uiPriority w:val="0"/>
    <w:pPr>
      <w:widowControl/>
      <w:autoSpaceDE/>
      <w:autoSpaceDN/>
      <w:adjustRightInd/>
      <w:spacing w:line="360" w:lineRule="auto"/>
      <w:ind w:firstLine="420" w:firstLineChars="200"/>
      <w:jc w:val="both"/>
    </w:pPr>
    <w:rPr>
      <w:rFonts w:ascii="Times New Roman" w:hAnsi="Times New Roman" w:eastAsia="仿宋"/>
      <w:sz w:val="24"/>
      <w:szCs w:val="24"/>
    </w:rPr>
  </w:style>
  <w:style w:type="paragraph" w:customStyle="1" w:styleId="130">
    <w:name w:val="Normal_2"/>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textAlignment w:val="center"/>
    </w:pPr>
    <w:rPr>
      <w:rFonts w:ascii="宋体" w:hAnsi="宋体" w:cs="宋体"/>
      <w:color w:val="000000"/>
      <w:sz w:val="20"/>
      <w:szCs w:val="20"/>
    </w:rPr>
  </w:style>
  <w:style w:type="paragraph" w:customStyle="1" w:styleId="132">
    <w:name w:val="List Paragraph1"/>
    <w:basedOn w:val="1"/>
    <w:qFormat/>
    <w:uiPriority w:val="0"/>
    <w:pPr>
      <w:spacing w:line="240" w:lineRule="auto"/>
      <w:ind w:firstLine="420" w:firstLineChars="200"/>
    </w:pPr>
    <w:rPr>
      <w:kern w:val="0"/>
      <w:sz w:val="24"/>
      <w:szCs w:val="20"/>
    </w:rPr>
  </w:style>
  <w:style w:type="paragraph" w:customStyle="1" w:styleId="133">
    <w:name w:val="xl48"/>
    <w:basedOn w:val="1"/>
    <w:qFormat/>
    <w:uiPriority w:val="0"/>
    <w:pPr>
      <w:widowControl/>
      <w:pBdr>
        <w:bottom w:val="single" w:color="auto" w:sz="4" w:space="0"/>
      </w:pBdr>
      <w:autoSpaceDE/>
      <w:autoSpaceDN/>
      <w:adjustRightInd/>
      <w:spacing w:before="100" w:beforeLines="0" w:beforeAutospacing="1" w:after="100" w:afterLines="0" w:afterAutospacing="1"/>
      <w:jc w:val="center"/>
    </w:pPr>
    <w:rPr>
      <w:rFonts w:ascii="Times New Roman" w:hAnsi="Times New Roman" w:eastAsia="Arial Unicode MS"/>
      <w:sz w:val="24"/>
      <w:szCs w:val="24"/>
    </w:rPr>
  </w:style>
  <w:style w:type="paragraph" w:customStyle="1" w:styleId="134">
    <w:name w:val=" Char Char Char"/>
    <w:basedOn w:val="1"/>
    <w:qFormat/>
    <w:uiPriority w:val="0"/>
    <w:pPr>
      <w:autoSpaceDE/>
      <w:autoSpaceDN/>
      <w:adjustRightInd/>
      <w:jc w:val="both"/>
    </w:pPr>
    <w:rPr>
      <w:rFonts w:ascii="Tahoma" w:hAnsi="Tahoma"/>
      <w:kern w:val="2"/>
      <w:sz w:val="24"/>
      <w:szCs w:val="20"/>
    </w:rPr>
  </w:style>
  <w:style w:type="paragraph" w:customStyle="1" w:styleId="135">
    <w:name w:val="Char Char1 Char Char Char Char Char Char"/>
    <w:basedOn w:val="1"/>
    <w:qFormat/>
    <w:uiPriority w:val="0"/>
    <w:pPr>
      <w:widowControl/>
      <w:autoSpaceDE/>
      <w:autoSpaceDN/>
      <w:adjustRightInd/>
      <w:spacing w:after="160" w:line="240" w:lineRule="exact"/>
      <w:jc w:val="center"/>
    </w:pPr>
    <w:rPr>
      <w:rFonts w:ascii="黑体" w:hAnsi="Verdana" w:eastAsia="黑体"/>
      <w:sz w:val="36"/>
      <w:szCs w:val="36"/>
    </w:rPr>
  </w:style>
  <w:style w:type="paragraph" w:customStyle="1" w:styleId="136">
    <w:name w:val="xl68"/>
    <w:basedOn w:val="1"/>
    <w:qFormat/>
    <w:uiPriority w:val="0"/>
    <w:pPr>
      <w:widowControl/>
      <w:pBdr>
        <w:top w:val="single" w:color="auto" w:sz="4" w:space="0"/>
        <w:left w:val="single" w:color="auto" w:sz="4" w:space="0"/>
        <w:right w:val="single" w:color="auto" w:sz="4" w:space="0"/>
      </w:pBdr>
      <w:shd w:val="clear" w:color="000000" w:fill="FFFFFF"/>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37">
    <w:name w:val="列出段落1"/>
    <w:basedOn w:val="1"/>
    <w:qFormat/>
    <w:uiPriority w:val="34"/>
    <w:pPr>
      <w:autoSpaceDE/>
      <w:autoSpaceDN/>
      <w:adjustRightInd/>
      <w:spacing w:line="360" w:lineRule="auto"/>
      <w:ind w:firstLine="420" w:firstLineChars="200"/>
      <w:jc w:val="both"/>
    </w:pPr>
    <w:rPr>
      <w:rFonts w:ascii="Calibri" w:hAnsi="Calibri"/>
      <w:kern w:val="2"/>
      <w:sz w:val="24"/>
      <w:szCs w:val="22"/>
    </w:rPr>
  </w:style>
  <w:style w:type="paragraph" w:customStyle="1" w:styleId="138">
    <w:name w:val="xl69"/>
    <w:basedOn w:val="1"/>
    <w:qFormat/>
    <w:uiPriority w:val="0"/>
    <w:pPr>
      <w:widowControl/>
      <w:shd w:val="clear" w:color="000000" w:fill="FFFFFF"/>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39">
    <w:name w:val="xl70"/>
    <w:basedOn w:val="1"/>
    <w:qFormat/>
    <w:uiPriority w:val="0"/>
    <w:pPr>
      <w:widowControl/>
      <w:pBdr>
        <w:bottom w:val="single" w:color="auto" w:sz="8" w:space="0"/>
        <w:right w:val="single" w:color="auto" w:sz="8" w:space="0"/>
      </w:pBdr>
      <w:shd w:val="clear" w:color="000000" w:fill="FFFFFF"/>
      <w:autoSpaceDE/>
      <w:autoSpaceDN/>
      <w:adjustRightInd/>
      <w:spacing w:before="100" w:beforeAutospacing="1" w:after="100" w:afterAutospacing="1"/>
      <w:jc w:val="both"/>
      <w:textAlignment w:val="center"/>
    </w:pPr>
    <w:rPr>
      <w:rFonts w:ascii="宋体" w:hAnsi="宋体" w:cs="宋体"/>
      <w:color w:val="000000"/>
      <w:sz w:val="20"/>
      <w:szCs w:val="20"/>
    </w:rPr>
  </w:style>
  <w:style w:type="paragraph" w:customStyle="1" w:styleId="140">
    <w:name w:val="xl83"/>
    <w:basedOn w:val="1"/>
    <w:qFormat/>
    <w:uiPriority w:val="0"/>
    <w:pPr>
      <w:widowControl/>
      <w:pBdr>
        <w:top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textAlignment w:val="center"/>
    </w:pPr>
    <w:rPr>
      <w:rFonts w:ascii="宋体" w:hAnsi="宋体" w:cs="宋体"/>
      <w:b/>
      <w:bCs/>
      <w:sz w:val="20"/>
      <w:szCs w:val="20"/>
    </w:rPr>
  </w:style>
  <w:style w:type="paragraph" w:customStyle="1" w:styleId="141">
    <w:name w:val="font7"/>
    <w:basedOn w:val="1"/>
    <w:qFormat/>
    <w:uiPriority w:val="0"/>
    <w:pPr>
      <w:widowControl/>
      <w:autoSpaceDE/>
      <w:autoSpaceDN/>
      <w:adjustRightInd/>
      <w:spacing w:before="100" w:beforeAutospacing="1" w:after="100" w:afterAutospacing="1"/>
    </w:pPr>
    <w:rPr>
      <w:rFonts w:ascii="宋体" w:hAnsi="宋体" w:cs="宋体"/>
      <w:color w:val="000000"/>
      <w:sz w:val="20"/>
      <w:szCs w:val="20"/>
    </w:rPr>
  </w:style>
  <w:style w:type="paragraph" w:customStyle="1" w:styleId="142">
    <w:name w:val="xl71"/>
    <w:basedOn w:val="1"/>
    <w:qFormat/>
    <w:uiPriority w:val="0"/>
    <w:pPr>
      <w:widowControl/>
      <w:pBdr>
        <w:bottom w:val="single" w:color="auto" w:sz="8" w:space="0"/>
        <w:right w:val="single" w:color="auto" w:sz="8" w:space="0"/>
      </w:pBdr>
      <w:shd w:val="clear" w:color="000000" w:fill="FFFFFF"/>
      <w:autoSpaceDE/>
      <w:autoSpaceDN/>
      <w:adjustRightInd/>
      <w:spacing w:before="100" w:beforeAutospacing="1" w:after="100" w:afterAutospacing="1"/>
      <w:textAlignment w:val="center"/>
    </w:pPr>
    <w:rPr>
      <w:rFonts w:ascii="宋体" w:hAnsi="宋体" w:cs="宋体"/>
      <w:color w:val="000000"/>
      <w:sz w:val="20"/>
      <w:szCs w:val="20"/>
    </w:rPr>
  </w:style>
  <w:style w:type="paragraph" w:customStyle="1" w:styleId="143">
    <w:name w:val="!正文"/>
    <w:basedOn w:val="1"/>
    <w:qFormat/>
    <w:uiPriority w:val="0"/>
    <w:pPr>
      <w:spacing w:line="360" w:lineRule="auto"/>
      <w:ind w:firstLine="200" w:firstLineChars="200"/>
    </w:pPr>
    <w:rPr>
      <w:rFonts w:ascii="Calibri" w:hAnsi="Calibri" w:eastAsia="宋体" w:cs="Times New Roman"/>
      <w:sz w:val="24"/>
      <w:szCs w:val="21"/>
    </w:rPr>
  </w:style>
  <w:style w:type="paragraph" w:customStyle="1" w:styleId="144">
    <w:name w:val="2012.5.27"/>
    <w:basedOn w:val="25"/>
    <w:qFormat/>
    <w:uiPriority w:val="0"/>
    <w:pPr>
      <w:adjustRightInd w:val="0"/>
      <w:snapToGrid w:val="0"/>
      <w:spacing w:line="336" w:lineRule="auto"/>
      <w:ind w:firstLine="200" w:firstLineChars="200"/>
    </w:pPr>
    <w:rPr>
      <w:rFonts w:ascii="宋体" w:hAnsi="Times New Roman" w:eastAsia="宋体" w:cs="宋体"/>
      <w:kern w:val="0"/>
      <w:sz w:val="28"/>
      <w:szCs w:val="28"/>
    </w:rPr>
  </w:style>
  <w:style w:type="paragraph" w:customStyle="1" w:styleId="1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textAlignment w:val="center"/>
    </w:pPr>
    <w:rPr>
      <w:rFonts w:ascii="宋体" w:hAnsi="宋体" w:cs="宋体"/>
      <w:sz w:val="20"/>
      <w:szCs w:val="20"/>
    </w:rPr>
  </w:style>
  <w:style w:type="paragraph" w:customStyle="1" w:styleId="147">
    <w:name w:val="样式1"/>
    <w:basedOn w:val="25"/>
    <w:qFormat/>
    <w:uiPriority w:val="0"/>
    <w:pPr>
      <w:tabs>
        <w:tab w:val="left" w:pos="709"/>
      </w:tabs>
      <w:ind w:left="709" w:hanging="709"/>
      <w:jc w:val="both"/>
    </w:pPr>
    <w:rPr>
      <w:rFonts w:ascii="宋体" w:hAnsi="Times New Roman"/>
      <w:sz w:val="21"/>
      <w:szCs w:val="21"/>
    </w:rPr>
  </w:style>
  <w:style w:type="paragraph" w:customStyle="1" w:styleId="14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9">
    <w:name w:val="font8"/>
    <w:basedOn w:val="1"/>
    <w:qFormat/>
    <w:uiPriority w:val="0"/>
    <w:pPr>
      <w:widowControl/>
      <w:autoSpaceDE/>
      <w:autoSpaceDN/>
      <w:adjustRightInd/>
      <w:spacing w:before="100" w:beforeAutospacing="1" w:after="100" w:afterAutospacing="1"/>
    </w:pPr>
    <w:rPr>
      <w:rFonts w:ascii="宋体" w:hAnsi="宋体" w:cs="宋体"/>
      <w:color w:val="000000"/>
      <w:sz w:val="20"/>
      <w:szCs w:val="20"/>
    </w:rPr>
  </w:style>
  <w:style w:type="paragraph" w:customStyle="1" w:styleId="150">
    <w:name w:val="p0"/>
    <w:basedOn w:val="1"/>
    <w:qFormat/>
    <w:uiPriority w:val="0"/>
    <w:pPr>
      <w:widowControl/>
      <w:autoSpaceDE/>
      <w:autoSpaceDN/>
      <w:adjustRightInd/>
      <w:spacing w:line="360" w:lineRule="auto"/>
      <w:ind w:firstLine="200" w:firstLineChars="200"/>
      <w:jc w:val="both"/>
    </w:pPr>
    <w:rPr>
      <w:rFonts w:ascii="Times New Roman" w:hAnsi="Times New Roman" w:eastAsia="仿宋"/>
      <w:szCs w:val="21"/>
    </w:rPr>
  </w:style>
  <w:style w:type="paragraph" w:customStyle="1" w:styleId="151">
    <w:name w:val="样式 正文首行缩进 2 + 首行缩进:  2 字符 段前: 0.5 行 段后: 0.5 行"/>
    <w:basedOn w:val="43"/>
    <w:qFormat/>
    <w:uiPriority w:val="0"/>
    <w:pPr>
      <w:autoSpaceDE/>
      <w:autoSpaceDN/>
      <w:adjustRightInd/>
      <w:spacing w:before="156" w:beforeLines="50" w:after="156" w:afterLines="50" w:line="360" w:lineRule="auto"/>
      <w:ind w:left="0" w:leftChars="0" w:firstLine="560"/>
    </w:pPr>
    <w:rPr>
      <w:rFonts w:ascii="Times New Roman" w:hAnsi="Times New Roman" w:eastAsia="仿宋_GB2312" w:cs="宋体"/>
      <w:szCs w:val="20"/>
    </w:rPr>
  </w:style>
  <w:style w:type="paragraph" w:customStyle="1" w:styleId="152">
    <w:name w:val="彩色列表 - 着色 11"/>
    <w:basedOn w:val="1"/>
    <w:qFormat/>
    <w:uiPriority w:val="0"/>
    <w:pPr>
      <w:widowControl/>
      <w:ind w:left="482" w:firstLine="420" w:firstLineChars="200"/>
    </w:pPr>
    <w:rPr>
      <w:rFonts w:ascii="Calibri" w:hAnsi="Calibri" w:eastAsia="Calibri" w:cs="黑体"/>
      <w:sz w:val="18"/>
      <w:szCs w:val="18"/>
    </w:rPr>
  </w:style>
  <w:style w:type="paragraph" w:customStyle="1" w:styleId="153">
    <w:name w:val="Char1"/>
    <w:basedOn w:val="1"/>
    <w:qFormat/>
    <w:uiPriority w:val="0"/>
    <w:pPr>
      <w:autoSpaceDE/>
      <w:autoSpaceDN/>
      <w:adjustRightInd/>
      <w:spacing w:line="440" w:lineRule="atLeast"/>
      <w:ind w:firstLine="482" w:firstLineChars="200"/>
      <w:jc w:val="both"/>
    </w:pPr>
    <w:rPr>
      <w:rFonts w:ascii="宋体" w:hAnsi="宋体"/>
      <w:b/>
      <w:color w:val="000000"/>
      <w:kern w:val="2"/>
      <w:sz w:val="24"/>
      <w:szCs w:val="24"/>
    </w:rPr>
  </w:style>
  <w:style w:type="paragraph" w:customStyle="1" w:styleId="15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both"/>
      <w:textAlignment w:val="center"/>
    </w:pPr>
    <w:rPr>
      <w:rFonts w:ascii="宋体" w:hAnsi="宋体" w:cs="宋体"/>
      <w:b/>
      <w:bCs/>
      <w:sz w:val="20"/>
      <w:szCs w:val="20"/>
    </w:rPr>
  </w:style>
  <w:style w:type="paragraph" w:customStyle="1" w:styleId="155">
    <w:name w:val="_Style 3"/>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156">
    <w:name w:val="xl85"/>
    <w:basedOn w:val="1"/>
    <w:qFormat/>
    <w:uiPriority w:val="0"/>
    <w:pPr>
      <w:widowControl/>
      <w:pBdr>
        <w:top w:val="single" w:color="auto" w:sz="4" w:space="0"/>
        <w:bottom w:val="single" w:color="auto" w:sz="4" w:space="0"/>
        <w:right w:val="single" w:color="auto" w:sz="4" w:space="0"/>
      </w:pBdr>
      <w:shd w:val="clear" w:color="000000" w:fill="FFFFFF"/>
      <w:autoSpaceDE/>
      <w:autoSpaceDN/>
      <w:adjustRightInd/>
      <w:spacing w:before="100" w:beforeAutospacing="1" w:after="100" w:afterAutospacing="1"/>
      <w:textAlignment w:val="center"/>
    </w:pPr>
    <w:rPr>
      <w:rFonts w:ascii="宋体" w:hAnsi="宋体" w:cs="宋体"/>
      <w:sz w:val="20"/>
      <w:szCs w:val="20"/>
    </w:rPr>
  </w:style>
  <w:style w:type="paragraph" w:customStyle="1" w:styleId="157">
    <w:name w:val="_Style 156"/>
    <w:basedOn w:val="3"/>
    <w:next w:val="1"/>
    <w:qFormat/>
    <w:uiPriority w:val="39"/>
    <w:pPr>
      <w:keepLines/>
      <w:widowControl/>
      <w:autoSpaceDE/>
      <w:autoSpaceDN/>
      <w:adjustRightInd/>
      <w:spacing w:before="240" w:line="259" w:lineRule="auto"/>
      <w:jc w:val="left"/>
      <w:outlineLvl w:val="9"/>
    </w:pPr>
    <w:rPr>
      <w:rFonts w:ascii="等线 Light" w:hAnsi="等线 Light" w:eastAsia="等线 Light" w:cs="Times New Roman"/>
      <w:color w:val="2E74B5"/>
      <w:sz w:val="32"/>
      <w:szCs w:val="32"/>
      <w:lang w:val="en-US" w:eastAsia="zh-CN"/>
    </w:rPr>
  </w:style>
  <w:style w:type="paragraph" w:customStyle="1" w:styleId="158">
    <w:name w:val="font6"/>
    <w:basedOn w:val="1"/>
    <w:qFormat/>
    <w:uiPriority w:val="0"/>
    <w:pPr>
      <w:widowControl/>
      <w:autoSpaceDE/>
      <w:autoSpaceDN/>
      <w:adjustRightInd/>
      <w:spacing w:before="100" w:beforeAutospacing="1" w:after="100" w:afterAutospacing="1"/>
    </w:pPr>
    <w:rPr>
      <w:rFonts w:ascii="宋体" w:hAnsi="宋体" w:cs="宋体"/>
      <w:sz w:val="18"/>
      <w:szCs w:val="18"/>
    </w:rPr>
  </w:style>
  <w:style w:type="paragraph" w:customStyle="1" w:styleId="159">
    <w:name w:val="xl77"/>
    <w:basedOn w:val="1"/>
    <w:qFormat/>
    <w:uiPriority w:val="0"/>
    <w:pPr>
      <w:widowControl/>
      <w:pBdr>
        <w:top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right"/>
      <w:textAlignment w:val="center"/>
    </w:pPr>
    <w:rPr>
      <w:rFonts w:ascii="宋体" w:hAnsi="宋体" w:cs="宋体"/>
      <w:color w:val="000000"/>
      <w:sz w:val="20"/>
      <w:szCs w:val="20"/>
    </w:rPr>
  </w:style>
  <w:style w:type="paragraph" w:customStyle="1" w:styleId="160">
    <w:name w:val=" Char1"/>
    <w:basedOn w:val="1"/>
    <w:qFormat/>
    <w:uiPriority w:val="0"/>
    <w:pPr>
      <w:autoSpaceDE/>
      <w:autoSpaceDN/>
      <w:adjustRightInd/>
      <w:spacing w:line="440" w:lineRule="atLeast"/>
      <w:ind w:firstLine="482" w:firstLineChars="200"/>
      <w:jc w:val="both"/>
    </w:pPr>
    <w:rPr>
      <w:rFonts w:ascii="宋体" w:hAnsi="宋体"/>
      <w:b/>
      <w:color w:val="000000"/>
      <w:kern w:val="2"/>
      <w:sz w:val="24"/>
      <w:szCs w:val="24"/>
    </w:rPr>
  </w:style>
  <w:style w:type="paragraph" w:customStyle="1" w:styleId="161">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textAlignment w:val="center"/>
    </w:pPr>
    <w:rPr>
      <w:rFonts w:ascii="宋体" w:hAnsi="宋体" w:cs="宋体"/>
      <w:b/>
      <w:bCs/>
      <w:sz w:val="20"/>
      <w:szCs w:val="20"/>
    </w:rPr>
  </w:style>
  <w:style w:type="paragraph" w:styleId="16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正文"/>
    <w:basedOn w:val="164"/>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64">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65">
    <w:name w:val="Table Paragraph"/>
    <w:basedOn w:val="1"/>
    <w:qFormat/>
    <w:uiPriority w:val="1"/>
    <w:rPr>
      <w:rFonts w:ascii="宋体" w:hAnsi="宋体" w:eastAsia="宋体" w:cs="宋体"/>
    </w:rPr>
  </w:style>
  <w:style w:type="character" w:customStyle="1" w:styleId="166">
    <w:name w:val="font111"/>
    <w:basedOn w:val="47"/>
    <w:qFormat/>
    <w:uiPriority w:val="0"/>
    <w:rPr>
      <w:rFonts w:hint="eastAsia" w:ascii="黑体" w:hAnsi="宋体" w:eastAsia="黑体" w:cs="黑体"/>
      <w:color w:val="000000"/>
      <w:sz w:val="24"/>
      <w:szCs w:val="24"/>
      <w:u w:val="none"/>
    </w:rPr>
  </w:style>
  <w:style w:type="character" w:customStyle="1" w:styleId="167">
    <w:name w:val="font71"/>
    <w:basedOn w:val="47"/>
    <w:qFormat/>
    <w:uiPriority w:val="0"/>
    <w:rPr>
      <w:rFonts w:ascii="仿宋_GB2312" w:eastAsia="仿宋_GB2312" w:cs="仿宋_GB2312"/>
      <w:color w:val="000000"/>
      <w:sz w:val="20"/>
      <w:szCs w:val="20"/>
      <w:u w:val="none"/>
    </w:rPr>
  </w:style>
  <w:style w:type="character" w:customStyle="1" w:styleId="168">
    <w:name w:val="font121"/>
    <w:basedOn w:val="47"/>
    <w:qFormat/>
    <w:uiPriority w:val="0"/>
    <w:rPr>
      <w:rFonts w:hint="default" w:ascii="仿宋_GB2312" w:eastAsia="仿宋_GB2312" w:cs="仿宋_GB2312"/>
      <w:color w:val="000000"/>
      <w:sz w:val="20"/>
      <w:szCs w:val="20"/>
      <w:u w:val="none"/>
    </w:rPr>
  </w:style>
  <w:style w:type="paragraph" w:customStyle="1" w:styleId="169">
    <w:name w:val="ISO正文"/>
    <w:basedOn w:val="1"/>
    <w:qFormat/>
    <w:uiPriority w:val="0"/>
    <w:pPr>
      <w:spacing w:before="30" w:beforeLines="30" w:after="30" w:afterLines="30" w:line="400" w:lineRule="exact"/>
      <w:ind w:firstLine="425"/>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CNC</Company>
  <Pages>89</Pages>
  <Words>489</Words>
  <Characters>585</Characters>
  <Lines>219</Lines>
  <Paragraphs>61</Paragraphs>
  <TotalTime>0</TotalTime>
  <ScaleCrop>false</ScaleCrop>
  <LinksUpToDate>false</LinksUpToDate>
  <CharactersWithSpaces>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2016-10-17T03:55:00Z</dcterms:created>
  <dc:creator>lenovo</dc:creator>
  <cp:lastModifiedBy>风语者</cp:lastModifiedBy>
  <cp:lastPrinted>2024-03-28T09:36:00Z</cp:lastPrinted>
  <dcterms:modified xsi:type="dcterms:W3CDTF">2025-06-30T01:54:49Z</dcterms:modified>
  <dc:title>2011电子版讨论稿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6F7FF407935C4B5481FDDA7E23F56CCD_13</vt:lpwstr>
  </property>
  <property fmtid="{D5CDD505-2E9C-101B-9397-08002B2CF9AE}" pid="4" name="KSOTemplateDocerSaveRecord">
    <vt:lpwstr>eyJoZGlkIjoiYjhjMjM1NTY3MTdkMTZiZmM3ZDQyZjIyZmQ5Njk3MzgiLCJ1c2VySWQiOiIzMTY0NjI2NTgifQ==</vt:lpwstr>
  </property>
</Properties>
</file>