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600AEE">
      <w:pPr>
        <w:adjustRightInd w:val="0"/>
        <w:snapToGrid w:val="0"/>
        <w:spacing w:line="340" w:lineRule="exact"/>
        <w:jc w:val="right"/>
        <w:rPr>
          <w:rFonts w:hint="eastAsia" w:ascii="宋体" w:hAnsi="宋体" w:eastAsia="宋体" w:cs="宋体"/>
          <w:b/>
          <w:bCs/>
          <w:sz w:val="30"/>
          <w:szCs w:val="30"/>
        </w:rPr>
      </w:pPr>
      <w:bookmarkStart w:id="368" w:name="_GoBack"/>
      <w:bookmarkEnd w:id="368"/>
      <w:r>
        <w:rPr>
          <w:rFonts w:hint="eastAsia" w:ascii="宋体" w:hAnsi="宋体" w:eastAsia="宋体" w:cs="宋体"/>
          <w:b/>
          <w:bCs/>
          <w:sz w:val="30"/>
          <w:szCs w:val="30"/>
        </w:rPr>
        <w:t>政府采购项目</w:t>
      </w:r>
    </w:p>
    <w:p w14:paraId="72ECC774">
      <w:pPr>
        <w:spacing w:line="440" w:lineRule="exact"/>
        <w:rPr>
          <w:rFonts w:hint="eastAsia" w:ascii="宋体" w:hAnsi="宋体" w:eastAsia="宋体" w:cs="宋体"/>
          <w:b/>
          <w:bCs/>
          <w:color w:val="FF0000"/>
          <w:sz w:val="32"/>
          <w:szCs w:val="36"/>
          <w:lang w:val="en-US" w:eastAsia="zh-CN"/>
        </w:rPr>
      </w:pPr>
      <w:r>
        <w:rPr>
          <w:rFonts w:hint="eastAsia" w:ascii="宋体" w:hAnsi="宋体" w:eastAsia="宋体" w:cs="宋体"/>
          <w:b/>
          <w:bCs/>
          <w:color w:val="000000"/>
          <w:sz w:val="32"/>
          <w:szCs w:val="36"/>
          <w:lang w:val="en-US" w:eastAsia="zh-CN"/>
        </w:rPr>
        <w:t>项目编号</w:t>
      </w:r>
      <w:r>
        <w:rPr>
          <w:rFonts w:hint="eastAsia" w:ascii="宋体" w:hAnsi="宋体" w:eastAsia="宋体" w:cs="宋体"/>
          <w:b/>
          <w:bCs/>
          <w:color w:val="000000"/>
          <w:sz w:val="32"/>
          <w:szCs w:val="36"/>
        </w:rPr>
        <w:t>:</w:t>
      </w:r>
      <w:r>
        <w:rPr>
          <w:rFonts w:hint="eastAsia" w:ascii="宋体" w:hAnsi="宋体" w:eastAsia="宋体" w:cs="宋体"/>
          <w:b/>
          <w:bCs/>
          <w:color w:val="auto"/>
          <w:sz w:val="32"/>
          <w:szCs w:val="36"/>
        </w:rPr>
        <w:t xml:space="preserve"> </w:t>
      </w:r>
      <w:r>
        <w:rPr>
          <w:rFonts w:hint="eastAsia" w:ascii="宋体" w:hAnsi="宋体" w:eastAsia="宋体" w:cs="宋体"/>
          <w:b/>
          <w:bCs/>
          <w:color w:val="FF0000"/>
          <w:sz w:val="32"/>
          <w:szCs w:val="36"/>
          <w:lang w:val="en-US" w:eastAsia="zh-CN"/>
        </w:rPr>
        <w:t>BZ2025008</w:t>
      </w:r>
    </w:p>
    <w:p w14:paraId="2A2F2A85">
      <w:pPr>
        <w:bidi w:val="0"/>
        <w:rPr>
          <w:rFonts w:hint="eastAsia" w:ascii="宋体" w:hAnsi="宋体" w:eastAsia="宋体" w:cs="宋体"/>
        </w:rPr>
      </w:pPr>
    </w:p>
    <w:p w14:paraId="75B88076">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宋体" w:hAnsi="宋体" w:eastAsia="宋体" w:cs="宋体"/>
          <w:b/>
          <w:spacing w:val="20"/>
          <w:kern w:val="0"/>
          <w:sz w:val="56"/>
          <w:szCs w:val="56"/>
          <w:lang w:val="en-US" w:eastAsia="zh-CN"/>
        </w:rPr>
      </w:pPr>
    </w:p>
    <w:p w14:paraId="423FE093">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spacing w:val="20"/>
          <w:kern w:val="0"/>
          <w:sz w:val="52"/>
          <w:szCs w:val="52"/>
          <w:lang w:val="en-US" w:eastAsia="zh-CN"/>
        </w:rPr>
      </w:pPr>
      <w:r>
        <w:rPr>
          <w:rFonts w:hint="eastAsia" w:ascii="宋体" w:hAnsi="宋体" w:eastAsia="宋体" w:cs="宋体"/>
          <w:b/>
          <w:spacing w:val="20"/>
          <w:kern w:val="0"/>
          <w:sz w:val="52"/>
          <w:szCs w:val="52"/>
          <w:lang w:val="en-US" w:eastAsia="zh-CN"/>
        </w:rPr>
        <w:t>镇坪县上竹镇2025年以工代赈示范项目及上竹镇发龙村六、七组联网路项目前期设计编制服务项目</w:t>
      </w:r>
    </w:p>
    <w:p w14:paraId="11FBD682">
      <w:pPr>
        <w:rPr>
          <w:rFonts w:hint="eastAsia" w:ascii="宋体" w:hAnsi="宋体" w:eastAsia="宋体" w:cs="宋体"/>
          <w:lang w:val="en-US" w:eastAsia="zh-CN"/>
        </w:rPr>
      </w:pPr>
    </w:p>
    <w:p w14:paraId="361CF6C2">
      <w:pPr>
        <w:rPr>
          <w:rFonts w:hint="eastAsia" w:ascii="宋体" w:hAnsi="宋体" w:eastAsia="宋体" w:cs="宋体"/>
        </w:rPr>
      </w:pPr>
    </w:p>
    <w:p w14:paraId="6A5551DE">
      <w:pPr>
        <w:spacing w:before="190" w:beforeLines="50" w:line="800" w:lineRule="exact"/>
        <w:jc w:val="center"/>
        <w:rPr>
          <w:rFonts w:hint="eastAsia" w:ascii="宋体" w:hAnsi="宋体" w:eastAsia="宋体" w:cs="宋体"/>
          <w:b/>
          <w:spacing w:val="20"/>
          <w:kern w:val="0"/>
          <w:sz w:val="56"/>
          <w:szCs w:val="56"/>
        </w:rPr>
      </w:pPr>
    </w:p>
    <w:p w14:paraId="2B33286A">
      <w:pPr>
        <w:bidi w:val="0"/>
        <w:rPr>
          <w:rFonts w:hint="eastAsia" w:ascii="宋体" w:hAnsi="宋体" w:eastAsia="宋体" w:cs="宋体"/>
        </w:rPr>
      </w:pPr>
    </w:p>
    <w:p w14:paraId="0EC67E7E">
      <w:pPr>
        <w:rPr>
          <w:rFonts w:hint="eastAsia" w:ascii="宋体" w:hAnsi="宋体" w:eastAsia="宋体" w:cs="宋体"/>
        </w:rPr>
      </w:pPr>
    </w:p>
    <w:p w14:paraId="123FC957">
      <w:pPr>
        <w:spacing w:before="190" w:beforeLines="50" w:line="800" w:lineRule="exact"/>
        <w:jc w:val="center"/>
        <w:rPr>
          <w:rFonts w:hint="eastAsia" w:ascii="宋体" w:hAnsi="宋体" w:eastAsia="宋体" w:cs="宋体"/>
          <w:b/>
          <w:sz w:val="56"/>
          <w:szCs w:val="56"/>
        </w:rPr>
      </w:pPr>
      <w:r>
        <w:rPr>
          <w:rFonts w:hint="eastAsia" w:ascii="宋体" w:hAnsi="宋体" w:eastAsia="宋体" w:cs="宋体"/>
          <w:b/>
          <w:spacing w:val="20"/>
          <w:kern w:val="0"/>
          <w:sz w:val="56"/>
          <w:szCs w:val="56"/>
        </w:rPr>
        <w:t>竞争性谈判文件</w:t>
      </w:r>
    </w:p>
    <w:p w14:paraId="75184CC3">
      <w:pPr>
        <w:pStyle w:val="31"/>
        <w:jc w:val="both"/>
        <w:rPr>
          <w:rFonts w:hint="eastAsia" w:ascii="宋体" w:hAnsi="宋体" w:eastAsia="宋体" w:cs="宋体"/>
          <w:bCs/>
          <w:sz w:val="18"/>
          <w:szCs w:val="18"/>
        </w:rPr>
      </w:pPr>
    </w:p>
    <w:p w14:paraId="4833D282">
      <w:pPr>
        <w:keepNext w:val="0"/>
        <w:keepLines w:val="0"/>
        <w:pageBreakBefore w:val="0"/>
        <w:widowControl/>
        <w:tabs>
          <w:tab w:val="left" w:pos="7846"/>
        </w:tabs>
        <w:kinsoku/>
        <w:wordWrap/>
        <w:overflowPunct/>
        <w:topLinePunct w:val="0"/>
        <w:autoSpaceDE/>
        <w:autoSpaceDN/>
        <w:bidi w:val="0"/>
        <w:adjustRightInd/>
        <w:snapToGrid/>
        <w:spacing w:after="390" w:afterLines="100" w:line="480" w:lineRule="auto"/>
        <w:ind w:firstLine="321" w:firstLineChars="100"/>
        <w:textAlignment w:val="auto"/>
        <w:rPr>
          <w:rFonts w:hint="eastAsia" w:ascii="宋体" w:hAnsi="宋体" w:eastAsia="宋体" w:cs="宋体"/>
          <w:b/>
          <w:color w:val="auto"/>
          <w:sz w:val="32"/>
          <w:szCs w:val="32"/>
          <w:lang w:val="en-US" w:eastAsia="zh-CN"/>
        </w:rPr>
      </w:pPr>
    </w:p>
    <w:p w14:paraId="392CD375">
      <w:pPr>
        <w:keepNext w:val="0"/>
        <w:keepLines w:val="0"/>
        <w:pageBreakBefore w:val="0"/>
        <w:widowControl/>
        <w:tabs>
          <w:tab w:val="left" w:pos="7846"/>
        </w:tabs>
        <w:kinsoku/>
        <w:wordWrap/>
        <w:overflowPunct/>
        <w:topLinePunct w:val="0"/>
        <w:autoSpaceDE/>
        <w:autoSpaceDN/>
        <w:bidi w:val="0"/>
        <w:adjustRightInd/>
        <w:snapToGrid/>
        <w:spacing w:after="390" w:afterLines="100" w:line="480" w:lineRule="auto"/>
        <w:ind w:firstLine="321" w:firstLineChars="100"/>
        <w:jc w:val="center"/>
        <w:textAlignment w:val="auto"/>
        <w:rPr>
          <w:rFonts w:hint="eastAsia" w:ascii="宋体" w:hAnsi="宋体" w:eastAsia="宋体" w:cs="宋体"/>
          <w:b/>
          <w:bCs/>
          <w:sz w:val="30"/>
          <w:szCs w:val="30"/>
          <w:highlight w:val="none"/>
          <w:lang w:val="en-US" w:eastAsia="zh-CN"/>
        </w:rPr>
      </w:pPr>
      <w:r>
        <w:rPr>
          <w:rFonts w:hint="eastAsia" w:ascii="宋体" w:hAnsi="宋体" w:eastAsia="宋体" w:cs="宋体"/>
          <w:b/>
          <w:color w:val="auto"/>
          <w:sz w:val="32"/>
          <w:szCs w:val="32"/>
          <w:lang w:val="en-US" w:eastAsia="zh-CN"/>
        </w:rPr>
        <w:t>采 购 人：镇坪县重点项目储备统建中心</w:t>
      </w:r>
    </w:p>
    <w:p w14:paraId="2565CF0F">
      <w:pPr>
        <w:keepNext w:val="0"/>
        <w:keepLines w:val="0"/>
        <w:pageBreakBefore w:val="0"/>
        <w:widowControl/>
        <w:tabs>
          <w:tab w:val="left" w:pos="7846"/>
        </w:tabs>
        <w:kinsoku/>
        <w:wordWrap/>
        <w:overflowPunct/>
        <w:topLinePunct w:val="0"/>
        <w:autoSpaceDE/>
        <w:autoSpaceDN/>
        <w:bidi w:val="0"/>
        <w:adjustRightInd/>
        <w:snapToGrid/>
        <w:spacing w:after="390" w:afterLines="100" w:line="480" w:lineRule="auto"/>
        <w:ind w:firstLine="301" w:firstLineChars="100"/>
        <w:textAlignment w:val="auto"/>
        <w:rPr>
          <w:rFonts w:hint="eastAsia" w:ascii="宋体" w:hAnsi="宋体" w:eastAsia="宋体" w:cs="宋体"/>
          <w:b/>
          <w:bCs/>
          <w:sz w:val="30"/>
          <w:szCs w:val="30"/>
        </w:rPr>
      </w:pPr>
      <w:r>
        <w:rPr>
          <w:rFonts w:hint="eastAsia" w:ascii="宋体" w:hAnsi="宋体" w:eastAsia="宋体" w:cs="宋体"/>
          <w:b/>
          <w:bCs/>
          <w:sz w:val="30"/>
          <w:szCs w:val="30"/>
          <w:highlight w:val="none"/>
        </w:rPr>
        <w:t xml:space="preserve"> </w:t>
      </w:r>
      <w:r>
        <w:rPr>
          <w:rFonts w:hint="eastAsia" w:ascii="宋体" w:hAnsi="宋体" w:eastAsia="宋体" w:cs="宋体"/>
          <w:b/>
          <w:bCs/>
          <w:sz w:val="30"/>
          <w:szCs w:val="30"/>
          <w:highlight w:val="none"/>
          <w:lang w:val="en-US" w:eastAsia="zh-CN"/>
        </w:rPr>
        <w:t xml:space="preserve">          </w:t>
      </w:r>
      <w:r>
        <w:rPr>
          <w:rFonts w:hint="eastAsia" w:ascii="宋体" w:hAnsi="宋体" w:eastAsia="宋体" w:cs="宋体"/>
          <w:b/>
          <w:bCs/>
          <w:sz w:val="30"/>
          <w:szCs w:val="30"/>
          <w:highlight w:val="none"/>
        </w:rPr>
        <w:t>代理机构：</w:t>
      </w:r>
      <w:r>
        <w:rPr>
          <w:rFonts w:hint="eastAsia" w:ascii="宋体" w:hAnsi="宋体" w:eastAsia="宋体" w:cs="宋体"/>
          <w:b/>
          <w:color w:val="auto"/>
          <w:sz w:val="32"/>
          <w:szCs w:val="32"/>
          <w:lang w:val="en-US" w:eastAsia="zh-CN"/>
        </w:rPr>
        <w:t>宝泽项目管理有限公司</w:t>
      </w:r>
    </w:p>
    <w:p w14:paraId="3A46ABC7">
      <w:pPr>
        <w:pStyle w:val="7"/>
        <w:keepNext w:val="0"/>
        <w:keepLines w:val="0"/>
        <w:pageBreakBefore w:val="0"/>
        <w:widowControl/>
        <w:kinsoku/>
        <w:wordWrap/>
        <w:overflowPunct/>
        <w:topLinePunct w:val="0"/>
        <w:autoSpaceDE/>
        <w:autoSpaceDN/>
        <w:bidi w:val="0"/>
        <w:adjustRightInd/>
        <w:snapToGrid/>
        <w:spacing w:line="480" w:lineRule="auto"/>
        <w:ind w:firstLine="1807" w:firstLineChars="600"/>
        <w:textAlignment w:val="auto"/>
        <w:rPr>
          <w:rFonts w:hint="eastAsia" w:ascii="宋体" w:hAnsi="宋体" w:eastAsia="宋体" w:cs="宋体"/>
          <w:b/>
          <w:bCs/>
          <w:kern w:val="2"/>
          <w:sz w:val="30"/>
          <w:szCs w:val="30"/>
          <w:highlight w:val="red"/>
          <w:lang w:val="en-US" w:eastAsia="zh-CN" w:bidi="ar-SA"/>
        </w:rPr>
      </w:pPr>
      <w:r>
        <w:rPr>
          <w:rFonts w:hint="eastAsia" w:ascii="宋体" w:hAnsi="宋体" w:eastAsia="宋体" w:cs="宋体"/>
          <w:b/>
          <w:bCs/>
          <w:kern w:val="2"/>
          <w:sz w:val="30"/>
          <w:szCs w:val="30"/>
          <w:highlight w:val="none"/>
          <w:lang w:val="en-US" w:eastAsia="zh-CN" w:bidi="ar-SA"/>
        </w:rPr>
        <w:t>时    间：二零二五年六月</w:t>
      </w:r>
    </w:p>
    <w:p w14:paraId="0E05327F">
      <w:pPr>
        <w:pStyle w:val="7"/>
        <w:keepNext w:val="0"/>
        <w:keepLines w:val="0"/>
        <w:pageBreakBefore w:val="0"/>
        <w:widowControl/>
        <w:kinsoku/>
        <w:wordWrap/>
        <w:overflowPunct/>
        <w:topLinePunct w:val="0"/>
        <w:autoSpaceDE/>
        <w:autoSpaceDN/>
        <w:bidi w:val="0"/>
        <w:adjustRightInd/>
        <w:snapToGrid/>
        <w:spacing w:line="360" w:lineRule="auto"/>
        <w:ind w:left="726" w:firstLine="3092" w:firstLineChars="700"/>
        <w:textAlignment w:val="auto"/>
        <w:rPr>
          <w:rFonts w:hint="eastAsia" w:ascii="宋体" w:hAnsi="宋体" w:eastAsia="宋体" w:cs="宋体"/>
          <w:sz w:val="44"/>
          <w:szCs w:val="32"/>
          <w:lang w:val="en-US" w:eastAsia="zh-CN" w:bidi="ar-SA"/>
        </w:rPr>
        <w:sectPr>
          <w:headerReference r:id="rId5" w:type="default"/>
          <w:footerReference r:id="rId6" w:type="default"/>
          <w:pgSz w:w="11906" w:h="16838"/>
          <w:pgMar w:top="1417" w:right="1417" w:bottom="1417" w:left="1417" w:header="850" w:footer="567" w:gutter="0"/>
          <w:pgBorders>
            <w:top w:val="none" w:sz="0" w:space="0"/>
            <w:left w:val="none" w:sz="0" w:space="0"/>
            <w:bottom w:val="none" w:sz="0" w:space="0"/>
            <w:right w:val="none" w:sz="0" w:space="0"/>
          </w:pgBorders>
          <w:pgNumType w:fmt="decimal" w:start="0"/>
          <w:cols w:space="0" w:num="1"/>
          <w:rtlGutter w:val="0"/>
          <w:docGrid w:type="lines" w:linePitch="389" w:charSpace="0"/>
        </w:sectPr>
      </w:pPr>
    </w:p>
    <w:p w14:paraId="1D91DB3E">
      <w:pPr>
        <w:pStyle w:val="7"/>
        <w:keepNext w:val="0"/>
        <w:keepLines w:val="0"/>
        <w:pageBreakBefore w:val="0"/>
        <w:widowControl/>
        <w:kinsoku/>
        <w:wordWrap/>
        <w:overflowPunct/>
        <w:topLinePunct w:val="0"/>
        <w:autoSpaceDE/>
        <w:autoSpaceDN/>
        <w:bidi w:val="0"/>
        <w:adjustRightInd/>
        <w:snapToGrid/>
        <w:spacing w:line="360" w:lineRule="auto"/>
        <w:ind w:left="726" w:firstLine="3092" w:firstLineChars="700"/>
        <w:textAlignment w:val="auto"/>
        <w:rPr>
          <w:rFonts w:hint="eastAsia" w:ascii="宋体" w:hAnsi="宋体" w:eastAsia="宋体" w:cs="宋体"/>
          <w:sz w:val="44"/>
          <w:szCs w:val="32"/>
          <w:lang w:val="en-US" w:eastAsia="zh-CN" w:bidi="ar-SA"/>
        </w:rPr>
        <w:sectPr>
          <w:headerReference r:id="rId7" w:type="default"/>
          <w:footerReference r:id="rId8" w:type="default"/>
          <w:pgSz w:w="11906" w:h="16838"/>
          <w:pgMar w:top="1247" w:right="1134" w:bottom="1020" w:left="1134" w:header="850" w:footer="567" w:gutter="0"/>
          <w:pgBorders>
            <w:top w:val="none" w:sz="0" w:space="0"/>
            <w:left w:val="none" w:sz="0" w:space="0"/>
            <w:bottom w:val="none" w:sz="0" w:space="0"/>
            <w:right w:val="none" w:sz="0" w:space="0"/>
          </w:pgBorders>
          <w:pgNumType w:fmt="decimal" w:start="1"/>
          <w:cols w:space="0" w:num="1"/>
          <w:rtlGutter w:val="0"/>
          <w:docGrid w:type="lines" w:linePitch="389" w:charSpace="0"/>
        </w:sectPr>
      </w:pPr>
    </w:p>
    <w:p w14:paraId="02E91994">
      <w:pPr>
        <w:rPr>
          <w:rFonts w:hint="eastAsia"/>
          <w:lang w:val="en-US" w:eastAsia="zh-CN"/>
        </w:rPr>
      </w:pPr>
    </w:p>
    <w:p w14:paraId="4CC142A5">
      <w:pPr>
        <w:pStyle w:val="7"/>
        <w:keepNext w:val="0"/>
        <w:keepLines w:val="0"/>
        <w:pageBreakBefore w:val="0"/>
        <w:widowControl/>
        <w:kinsoku/>
        <w:wordWrap/>
        <w:overflowPunct/>
        <w:topLinePunct w:val="0"/>
        <w:autoSpaceDE/>
        <w:autoSpaceDN/>
        <w:bidi w:val="0"/>
        <w:adjustRightInd/>
        <w:snapToGrid/>
        <w:spacing w:line="360" w:lineRule="auto"/>
        <w:ind w:left="726" w:firstLine="3092" w:firstLineChars="700"/>
        <w:textAlignment w:val="auto"/>
        <w:rPr>
          <w:rFonts w:hint="eastAsia" w:ascii="宋体" w:hAnsi="宋体" w:eastAsia="宋体" w:cs="宋体"/>
          <w:sz w:val="44"/>
          <w:szCs w:val="32"/>
          <w:lang w:val="en-US" w:eastAsia="zh-CN" w:bidi="ar-SA"/>
        </w:rPr>
      </w:pPr>
      <w:r>
        <w:rPr>
          <w:rFonts w:hint="eastAsia" w:ascii="宋体" w:hAnsi="宋体" w:eastAsia="宋体" w:cs="宋体"/>
          <w:sz w:val="44"/>
          <w:szCs w:val="32"/>
          <w:lang w:val="en-US" w:eastAsia="zh-CN" w:bidi="ar-SA"/>
        </w:rPr>
        <w:t>目   录</w:t>
      </w:r>
    </w:p>
    <w:p w14:paraId="080AC59A">
      <w:pPr>
        <w:pStyle w:val="22"/>
        <w:keepNext w:val="0"/>
        <w:keepLines w:val="0"/>
        <w:pageBreakBefore w:val="0"/>
        <w:widowControl/>
        <w:tabs>
          <w:tab w:val="right" w:leader="dot" w:pos="9072"/>
        </w:tabs>
        <w:kinsoku/>
        <w:wordWrap/>
        <w:overflowPunct/>
        <w:topLinePunct w:val="0"/>
        <w:autoSpaceDE/>
        <w:autoSpaceDN/>
        <w:bidi w:val="0"/>
        <w:adjustRightInd/>
        <w:snapToGrid/>
        <w:spacing w:line="900" w:lineRule="exact"/>
        <w:textAlignment w:val="auto"/>
        <w:rPr>
          <w:sz w:val="28"/>
          <w:szCs w:val="28"/>
        </w:rPr>
      </w:pPr>
      <w:r>
        <w:rPr>
          <w:rFonts w:asciiTheme="minorEastAsia" w:hAnsiTheme="minorEastAsia" w:eastAsiaTheme="minorEastAsia"/>
          <w:sz w:val="40"/>
          <w:szCs w:val="44"/>
        </w:rPr>
        <w:fldChar w:fldCharType="begin"/>
      </w:r>
      <w:r>
        <w:rPr>
          <w:rFonts w:asciiTheme="minorEastAsia" w:hAnsiTheme="minorEastAsia" w:eastAsiaTheme="minorEastAsia"/>
          <w:sz w:val="40"/>
          <w:szCs w:val="44"/>
        </w:rPr>
        <w:instrText xml:space="preserve"> TOC \o "1-2" \h \z \u </w:instrText>
      </w:r>
      <w:r>
        <w:rPr>
          <w:rFonts w:asciiTheme="minorEastAsia" w:hAnsiTheme="minorEastAsia" w:eastAsiaTheme="minorEastAsia"/>
          <w:sz w:val="40"/>
          <w:szCs w:val="44"/>
        </w:rPr>
        <w:fldChar w:fldCharType="separate"/>
      </w:r>
      <w:r>
        <w:rPr>
          <w:rFonts w:asciiTheme="minorEastAsia" w:hAnsiTheme="minorEastAsia" w:eastAsiaTheme="minorEastAsia"/>
          <w:sz w:val="28"/>
          <w:szCs w:val="72"/>
        </w:rPr>
        <w:fldChar w:fldCharType="begin"/>
      </w:r>
      <w:r>
        <w:rPr>
          <w:rFonts w:asciiTheme="minorEastAsia" w:hAnsiTheme="minorEastAsia" w:eastAsiaTheme="minorEastAsia"/>
          <w:sz w:val="28"/>
          <w:szCs w:val="72"/>
        </w:rPr>
        <w:instrText xml:space="preserve"> HYPERLINK \l _Toc15229 </w:instrText>
      </w:r>
      <w:r>
        <w:rPr>
          <w:rFonts w:asciiTheme="minorEastAsia" w:hAnsiTheme="minorEastAsia" w:eastAsiaTheme="minorEastAsia"/>
          <w:sz w:val="28"/>
          <w:szCs w:val="72"/>
        </w:rPr>
        <w:fldChar w:fldCharType="separate"/>
      </w:r>
      <w:r>
        <w:rPr>
          <w:rFonts w:hint="eastAsia" w:ascii="宋体" w:hAnsi="宋体" w:eastAsia="宋体" w:cs="宋体"/>
          <w:sz w:val="28"/>
          <w:szCs w:val="28"/>
        </w:rPr>
        <w:t xml:space="preserve">第一章  </w:t>
      </w:r>
      <w:r>
        <w:rPr>
          <w:rFonts w:hint="eastAsia" w:ascii="宋体" w:hAnsi="宋体" w:eastAsia="宋体" w:cs="宋体"/>
          <w:sz w:val="28"/>
          <w:szCs w:val="28"/>
          <w:lang w:val="en-US" w:eastAsia="zh-CN"/>
        </w:rPr>
        <w:t>竞争性</w:t>
      </w:r>
      <w:r>
        <w:rPr>
          <w:rFonts w:hint="eastAsia" w:ascii="宋体" w:hAnsi="宋体" w:eastAsia="宋体" w:cs="宋体"/>
          <w:sz w:val="28"/>
          <w:szCs w:val="28"/>
        </w:rPr>
        <w:t>谈判邀请函</w:t>
      </w:r>
      <w:r>
        <w:rPr>
          <w:sz w:val="28"/>
          <w:szCs w:val="28"/>
        </w:rPr>
        <w:tab/>
      </w:r>
      <w:r>
        <w:rPr>
          <w:sz w:val="28"/>
          <w:szCs w:val="28"/>
        </w:rPr>
        <w:fldChar w:fldCharType="begin"/>
      </w:r>
      <w:r>
        <w:rPr>
          <w:sz w:val="28"/>
          <w:szCs w:val="28"/>
        </w:rPr>
        <w:instrText xml:space="preserve"> PAGEREF _Toc15229 \h </w:instrText>
      </w:r>
      <w:r>
        <w:rPr>
          <w:sz w:val="28"/>
          <w:szCs w:val="28"/>
        </w:rPr>
        <w:fldChar w:fldCharType="separate"/>
      </w:r>
      <w:r>
        <w:rPr>
          <w:sz w:val="28"/>
          <w:szCs w:val="28"/>
        </w:rPr>
        <w:t>1</w:t>
      </w:r>
      <w:r>
        <w:rPr>
          <w:sz w:val="28"/>
          <w:szCs w:val="28"/>
        </w:rPr>
        <w:fldChar w:fldCharType="end"/>
      </w:r>
      <w:r>
        <w:rPr>
          <w:rFonts w:asciiTheme="minorEastAsia" w:hAnsiTheme="minorEastAsia" w:eastAsiaTheme="minorEastAsia"/>
          <w:sz w:val="28"/>
          <w:szCs w:val="72"/>
        </w:rPr>
        <w:fldChar w:fldCharType="end"/>
      </w:r>
    </w:p>
    <w:p w14:paraId="422C7B1D">
      <w:pPr>
        <w:pStyle w:val="22"/>
        <w:keepNext w:val="0"/>
        <w:keepLines w:val="0"/>
        <w:pageBreakBefore w:val="0"/>
        <w:widowControl/>
        <w:tabs>
          <w:tab w:val="right" w:leader="dot" w:pos="9072"/>
        </w:tabs>
        <w:kinsoku/>
        <w:wordWrap/>
        <w:overflowPunct/>
        <w:topLinePunct w:val="0"/>
        <w:autoSpaceDE/>
        <w:autoSpaceDN/>
        <w:bidi w:val="0"/>
        <w:adjustRightInd/>
        <w:snapToGrid/>
        <w:spacing w:line="900" w:lineRule="exact"/>
        <w:textAlignment w:val="auto"/>
        <w:rPr>
          <w:sz w:val="28"/>
          <w:szCs w:val="28"/>
        </w:rPr>
      </w:pPr>
      <w:r>
        <w:rPr>
          <w:rFonts w:cs="Times New Roman" w:asciiTheme="minorEastAsia" w:hAnsiTheme="minorEastAsia" w:eastAsiaTheme="minorEastAsia"/>
          <w:sz w:val="28"/>
          <w:szCs w:val="72"/>
          <w:lang w:val="en-US" w:eastAsia="zh-CN" w:bidi="ar-SA"/>
        </w:rPr>
        <w:fldChar w:fldCharType="begin"/>
      </w:r>
      <w:r>
        <w:rPr>
          <w:rFonts w:cs="Times New Roman" w:asciiTheme="minorEastAsia" w:hAnsiTheme="minorEastAsia" w:eastAsiaTheme="minorEastAsia"/>
          <w:sz w:val="28"/>
          <w:szCs w:val="72"/>
          <w:lang w:val="en-US" w:eastAsia="zh-CN" w:bidi="ar-SA"/>
        </w:rPr>
        <w:instrText xml:space="preserve"> HYPERLINK \l _Toc27599 </w:instrText>
      </w:r>
      <w:r>
        <w:rPr>
          <w:rFonts w:cs="Times New Roman" w:asciiTheme="minorEastAsia" w:hAnsiTheme="minorEastAsia" w:eastAsiaTheme="minorEastAsia"/>
          <w:sz w:val="28"/>
          <w:szCs w:val="72"/>
          <w:lang w:val="en-US" w:eastAsia="zh-CN" w:bidi="ar-SA"/>
        </w:rPr>
        <w:fldChar w:fldCharType="separate"/>
      </w:r>
      <w:r>
        <w:rPr>
          <w:rFonts w:hint="eastAsia" w:ascii="宋体" w:hAnsi="宋体" w:eastAsia="宋体" w:cs="宋体"/>
          <w:sz w:val="28"/>
          <w:szCs w:val="28"/>
        </w:rPr>
        <w:t>第二章  供应商须知</w:t>
      </w:r>
      <w:r>
        <w:rPr>
          <w:sz w:val="28"/>
          <w:szCs w:val="28"/>
        </w:rPr>
        <w:tab/>
      </w:r>
      <w:r>
        <w:rPr>
          <w:sz w:val="28"/>
          <w:szCs w:val="28"/>
        </w:rPr>
        <w:fldChar w:fldCharType="begin"/>
      </w:r>
      <w:r>
        <w:rPr>
          <w:sz w:val="28"/>
          <w:szCs w:val="28"/>
        </w:rPr>
        <w:instrText xml:space="preserve"> PAGEREF _Toc27599 \h </w:instrText>
      </w:r>
      <w:r>
        <w:rPr>
          <w:sz w:val="28"/>
          <w:szCs w:val="28"/>
        </w:rPr>
        <w:fldChar w:fldCharType="separate"/>
      </w:r>
      <w:r>
        <w:rPr>
          <w:sz w:val="28"/>
          <w:szCs w:val="28"/>
        </w:rPr>
        <w:t>5</w:t>
      </w:r>
      <w:r>
        <w:rPr>
          <w:sz w:val="28"/>
          <w:szCs w:val="28"/>
        </w:rPr>
        <w:fldChar w:fldCharType="end"/>
      </w:r>
      <w:r>
        <w:rPr>
          <w:rFonts w:cs="Times New Roman" w:asciiTheme="minorEastAsia" w:hAnsiTheme="minorEastAsia" w:eastAsiaTheme="minorEastAsia"/>
          <w:sz w:val="28"/>
          <w:szCs w:val="72"/>
          <w:lang w:val="en-US" w:eastAsia="zh-CN" w:bidi="ar-SA"/>
        </w:rPr>
        <w:fldChar w:fldCharType="end"/>
      </w:r>
    </w:p>
    <w:p w14:paraId="1A127FDE">
      <w:pPr>
        <w:pStyle w:val="22"/>
        <w:keepNext w:val="0"/>
        <w:keepLines w:val="0"/>
        <w:pageBreakBefore w:val="0"/>
        <w:widowControl/>
        <w:tabs>
          <w:tab w:val="right" w:leader="dot" w:pos="9072"/>
        </w:tabs>
        <w:kinsoku/>
        <w:wordWrap/>
        <w:overflowPunct/>
        <w:topLinePunct w:val="0"/>
        <w:autoSpaceDE/>
        <w:autoSpaceDN/>
        <w:bidi w:val="0"/>
        <w:adjustRightInd/>
        <w:snapToGrid/>
        <w:spacing w:line="900" w:lineRule="exact"/>
        <w:textAlignment w:val="auto"/>
        <w:rPr>
          <w:sz w:val="28"/>
          <w:szCs w:val="28"/>
        </w:rPr>
      </w:pPr>
      <w:r>
        <w:rPr>
          <w:rFonts w:cs="Times New Roman" w:asciiTheme="minorEastAsia" w:hAnsiTheme="minorEastAsia" w:eastAsiaTheme="minorEastAsia"/>
          <w:sz w:val="28"/>
          <w:szCs w:val="72"/>
          <w:lang w:val="en-US" w:eastAsia="zh-CN" w:bidi="ar-SA"/>
        </w:rPr>
        <w:fldChar w:fldCharType="begin"/>
      </w:r>
      <w:r>
        <w:rPr>
          <w:rFonts w:cs="Times New Roman" w:asciiTheme="minorEastAsia" w:hAnsiTheme="minorEastAsia" w:eastAsiaTheme="minorEastAsia"/>
          <w:sz w:val="28"/>
          <w:szCs w:val="72"/>
          <w:lang w:val="en-US" w:eastAsia="zh-CN" w:bidi="ar-SA"/>
        </w:rPr>
        <w:instrText xml:space="preserve"> HYPERLINK \l _Toc7363 </w:instrText>
      </w:r>
      <w:r>
        <w:rPr>
          <w:rFonts w:cs="Times New Roman" w:asciiTheme="minorEastAsia" w:hAnsiTheme="minorEastAsia" w:eastAsiaTheme="minorEastAsia"/>
          <w:sz w:val="28"/>
          <w:szCs w:val="72"/>
          <w:lang w:val="en-US" w:eastAsia="zh-CN" w:bidi="ar-SA"/>
        </w:rPr>
        <w:fldChar w:fldCharType="separate"/>
      </w:r>
      <w:r>
        <w:rPr>
          <w:rFonts w:hint="eastAsia" w:ascii="宋体" w:hAnsi="宋体" w:eastAsia="宋体"/>
          <w:sz w:val="28"/>
          <w:szCs w:val="28"/>
        </w:rPr>
        <w:t xml:space="preserve">第三章 </w:t>
      </w:r>
      <w:r>
        <w:rPr>
          <w:rFonts w:hint="eastAsia" w:ascii="宋体" w:hAnsi="宋体" w:eastAsia="宋体"/>
          <w:sz w:val="28"/>
          <w:szCs w:val="28"/>
          <w:lang w:val="en-US" w:eastAsia="zh-CN"/>
        </w:rPr>
        <w:t xml:space="preserve"> 采购</w:t>
      </w:r>
      <w:r>
        <w:rPr>
          <w:rFonts w:hint="eastAsia" w:ascii="宋体" w:hAnsi="宋体" w:eastAsia="宋体"/>
          <w:sz w:val="28"/>
          <w:szCs w:val="28"/>
        </w:rPr>
        <w:t>内容及技术要求</w:t>
      </w:r>
      <w:r>
        <w:rPr>
          <w:sz w:val="28"/>
          <w:szCs w:val="28"/>
        </w:rPr>
        <w:tab/>
      </w:r>
      <w:r>
        <w:rPr>
          <w:sz w:val="28"/>
          <w:szCs w:val="28"/>
        </w:rPr>
        <w:fldChar w:fldCharType="begin"/>
      </w:r>
      <w:r>
        <w:rPr>
          <w:sz w:val="28"/>
          <w:szCs w:val="28"/>
        </w:rPr>
        <w:instrText xml:space="preserve"> PAGEREF _Toc7363 \h </w:instrText>
      </w:r>
      <w:r>
        <w:rPr>
          <w:sz w:val="28"/>
          <w:szCs w:val="28"/>
        </w:rPr>
        <w:fldChar w:fldCharType="separate"/>
      </w:r>
      <w:r>
        <w:rPr>
          <w:sz w:val="28"/>
          <w:szCs w:val="28"/>
        </w:rPr>
        <w:t>21</w:t>
      </w:r>
      <w:r>
        <w:rPr>
          <w:sz w:val="28"/>
          <w:szCs w:val="28"/>
        </w:rPr>
        <w:fldChar w:fldCharType="end"/>
      </w:r>
      <w:r>
        <w:rPr>
          <w:rFonts w:cs="Times New Roman" w:asciiTheme="minorEastAsia" w:hAnsiTheme="minorEastAsia" w:eastAsiaTheme="minorEastAsia"/>
          <w:sz w:val="28"/>
          <w:szCs w:val="72"/>
          <w:lang w:val="en-US" w:eastAsia="zh-CN" w:bidi="ar-SA"/>
        </w:rPr>
        <w:fldChar w:fldCharType="end"/>
      </w:r>
    </w:p>
    <w:p w14:paraId="362A2DCA">
      <w:pPr>
        <w:pStyle w:val="22"/>
        <w:keepNext w:val="0"/>
        <w:keepLines w:val="0"/>
        <w:pageBreakBefore w:val="0"/>
        <w:widowControl/>
        <w:tabs>
          <w:tab w:val="right" w:leader="dot" w:pos="9072"/>
        </w:tabs>
        <w:kinsoku/>
        <w:wordWrap/>
        <w:overflowPunct/>
        <w:topLinePunct w:val="0"/>
        <w:autoSpaceDE/>
        <w:autoSpaceDN/>
        <w:bidi w:val="0"/>
        <w:adjustRightInd/>
        <w:snapToGrid/>
        <w:spacing w:line="900" w:lineRule="exact"/>
        <w:textAlignment w:val="auto"/>
        <w:rPr>
          <w:sz w:val="28"/>
          <w:szCs w:val="28"/>
        </w:rPr>
      </w:pPr>
      <w:r>
        <w:rPr>
          <w:rFonts w:cs="Times New Roman" w:asciiTheme="minorEastAsia" w:hAnsiTheme="minorEastAsia" w:eastAsiaTheme="minorEastAsia"/>
          <w:sz w:val="28"/>
          <w:szCs w:val="72"/>
          <w:lang w:val="en-US" w:eastAsia="zh-CN" w:bidi="ar-SA"/>
        </w:rPr>
        <w:fldChar w:fldCharType="begin"/>
      </w:r>
      <w:r>
        <w:rPr>
          <w:rFonts w:cs="Times New Roman" w:asciiTheme="minorEastAsia" w:hAnsiTheme="minorEastAsia" w:eastAsiaTheme="minorEastAsia"/>
          <w:sz w:val="28"/>
          <w:szCs w:val="72"/>
          <w:lang w:val="en-US" w:eastAsia="zh-CN" w:bidi="ar-SA"/>
        </w:rPr>
        <w:instrText xml:space="preserve"> HYPERLINK \l _Toc28932 </w:instrText>
      </w:r>
      <w:r>
        <w:rPr>
          <w:rFonts w:cs="Times New Roman" w:asciiTheme="minorEastAsia" w:hAnsiTheme="minorEastAsia" w:eastAsiaTheme="minorEastAsia"/>
          <w:sz w:val="28"/>
          <w:szCs w:val="72"/>
          <w:lang w:val="en-US" w:eastAsia="zh-CN" w:bidi="ar-SA"/>
        </w:rPr>
        <w:fldChar w:fldCharType="separate"/>
      </w:r>
      <w:r>
        <w:rPr>
          <w:rFonts w:hint="eastAsia" w:ascii="宋体" w:hAnsi="宋体" w:eastAsia="宋体" w:cs="Times New Roman"/>
          <w:sz w:val="28"/>
          <w:szCs w:val="28"/>
        </w:rPr>
        <w:t xml:space="preserve">第四章 </w:t>
      </w:r>
      <w:r>
        <w:rPr>
          <w:rFonts w:hint="eastAsia" w:ascii="宋体" w:hAnsi="宋体" w:eastAsia="宋体" w:cs="Times New Roman"/>
          <w:sz w:val="28"/>
          <w:szCs w:val="28"/>
          <w:lang w:val="en-US" w:eastAsia="zh-CN"/>
        </w:rPr>
        <w:t xml:space="preserve"> 商务及</w:t>
      </w:r>
      <w:r>
        <w:rPr>
          <w:rFonts w:hint="eastAsia" w:ascii="宋体" w:hAnsi="宋体" w:eastAsia="宋体" w:cs="Times New Roman"/>
          <w:sz w:val="28"/>
          <w:szCs w:val="28"/>
        </w:rPr>
        <w:t>合同主要条款</w:t>
      </w:r>
      <w:r>
        <w:rPr>
          <w:sz w:val="28"/>
          <w:szCs w:val="28"/>
        </w:rPr>
        <w:tab/>
      </w:r>
      <w:r>
        <w:rPr>
          <w:sz w:val="28"/>
          <w:szCs w:val="28"/>
        </w:rPr>
        <w:fldChar w:fldCharType="begin"/>
      </w:r>
      <w:r>
        <w:rPr>
          <w:sz w:val="28"/>
          <w:szCs w:val="28"/>
        </w:rPr>
        <w:instrText xml:space="preserve"> PAGEREF _Toc28932 \h </w:instrText>
      </w:r>
      <w:r>
        <w:rPr>
          <w:sz w:val="28"/>
          <w:szCs w:val="28"/>
        </w:rPr>
        <w:fldChar w:fldCharType="separate"/>
      </w:r>
      <w:r>
        <w:rPr>
          <w:sz w:val="28"/>
          <w:szCs w:val="28"/>
        </w:rPr>
        <w:t>23</w:t>
      </w:r>
      <w:r>
        <w:rPr>
          <w:sz w:val="28"/>
          <w:szCs w:val="28"/>
        </w:rPr>
        <w:fldChar w:fldCharType="end"/>
      </w:r>
      <w:r>
        <w:rPr>
          <w:rFonts w:cs="Times New Roman" w:asciiTheme="minorEastAsia" w:hAnsiTheme="minorEastAsia" w:eastAsiaTheme="minorEastAsia"/>
          <w:sz w:val="28"/>
          <w:szCs w:val="72"/>
          <w:lang w:val="en-US" w:eastAsia="zh-CN" w:bidi="ar-SA"/>
        </w:rPr>
        <w:fldChar w:fldCharType="end"/>
      </w:r>
    </w:p>
    <w:p w14:paraId="1230A3F8">
      <w:pPr>
        <w:pStyle w:val="22"/>
        <w:keepNext w:val="0"/>
        <w:keepLines w:val="0"/>
        <w:pageBreakBefore w:val="0"/>
        <w:widowControl/>
        <w:tabs>
          <w:tab w:val="right" w:leader="dot" w:pos="9072"/>
        </w:tabs>
        <w:kinsoku/>
        <w:wordWrap/>
        <w:overflowPunct/>
        <w:topLinePunct w:val="0"/>
        <w:autoSpaceDE/>
        <w:autoSpaceDN/>
        <w:bidi w:val="0"/>
        <w:adjustRightInd/>
        <w:snapToGrid/>
        <w:spacing w:line="900" w:lineRule="exact"/>
        <w:textAlignment w:val="auto"/>
        <w:rPr>
          <w:rFonts w:hint="default"/>
          <w:lang w:val="en-US"/>
        </w:rPr>
      </w:pPr>
      <w:r>
        <w:rPr>
          <w:rFonts w:cs="Times New Roman" w:asciiTheme="minorEastAsia" w:hAnsiTheme="minorEastAsia" w:eastAsiaTheme="minorEastAsia"/>
          <w:sz w:val="28"/>
          <w:szCs w:val="72"/>
          <w:lang w:val="en-US" w:eastAsia="zh-CN" w:bidi="ar-SA"/>
        </w:rPr>
        <w:fldChar w:fldCharType="begin"/>
      </w:r>
      <w:r>
        <w:rPr>
          <w:rFonts w:cs="Times New Roman" w:asciiTheme="minorEastAsia" w:hAnsiTheme="minorEastAsia" w:eastAsiaTheme="minorEastAsia"/>
          <w:sz w:val="28"/>
          <w:szCs w:val="72"/>
          <w:lang w:val="en-US" w:eastAsia="zh-CN" w:bidi="ar-SA"/>
        </w:rPr>
        <w:instrText xml:space="preserve"> HYPERLINK \l _Toc17715 </w:instrText>
      </w:r>
      <w:r>
        <w:rPr>
          <w:rFonts w:cs="Times New Roman" w:asciiTheme="minorEastAsia" w:hAnsiTheme="minorEastAsia" w:eastAsiaTheme="minorEastAsia"/>
          <w:sz w:val="28"/>
          <w:szCs w:val="72"/>
          <w:lang w:val="en-US" w:eastAsia="zh-CN" w:bidi="ar-SA"/>
        </w:rPr>
        <w:fldChar w:fldCharType="separate"/>
      </w:r>
      <w:r>
        <w:rPr>
          <w:rFonts w:hint="eastAsia" w:ascii="宋体" w:hAnsi="宋体" w:eastAsia="宋体"/>
          <w:sz w:val="28"/>
          <w:szCs w:val="28"/>
        </w:rPr>
        <w:t xml:space="preserve">第五章 </w:t>
      </w:r>
      <w:r>
        <w:rPr>
          <w:rFonts w:hint="eastAsia" w:ascii="宋体" w:hAnsi="宋体" w:eastAsia="宋体"/>
          <w:sz w:val="28"/>
          <w:szCs w:val="28"/>
          <w:lang w:val="en-US" w:eastAsia="zh-CN"/>
        </w:rPr>
        <w:t xml:space="preserve"> </w:t>
      </w:r>
      <w:r>
        <w:rPr>
          <w:rFonts w:hint="eastAsia" w:ascii="宋体" w:hAnsi="宋体" w:eastAsia="宋体"/>
          <w:sz w:val="28"/>
          <w:szCs w:val="28"/>
        </w:rPr>
        <w:t>响应文件格式</w:t>
      </w:r>
      <w:r>
        <w:rPr>
          <w:sz w:val="28"/>
          <w:szCs w:val="28"/>
        </w:rPr>
        <w:tab/>
      </w:r>
      <w:r>
        <w:rPr>
          <w:rFonts w:hint="eastAsia"/>
          <w:sz w:val="28"/>
          <w:szCs w:val="28"/>
          <w:lang w:val="en-US" w:eastAsia="zh-CN"/>
        </w:rPr>
        <w:t>2</w:t>
      </w:r>
      <w:r>
        <w:rPr>
          <w:rFonts w:cs="Times New Roman" w:asciiTheme="minorEastAsia" w:hAnsiTheme="minorEastAsia" w:eastAsiaTheme="minorEastAsia"/>
          <w:sz w:val="28"/>
          <w:szCs w:val="72"/>
          <w:lang w:val="en-US" w:eastAsia="zh-CN" w:bidi="ar-SA"/>
        </w:rPr>
        <w:fldChar w:fldCharType="end"/>
      </w:r>
      <w:r>
        <w:rPr>
          <w:rFonts w:hint="eastAsia" w:cs="Times New Roman" w:asciiTheme="minorEastAsia" w:hAnsiTheme="minorEastAsia" w:eastAsiaTheme="minorEastAsia"/>
          <w:sz w:val="28"/>
          <w:szCs w:val="72"/>
          <w:lang w:val="en-US" w:eastAsia="zh-CN" w:bidi="ar-SA"/>
        </w:rPr>
        <w:t>7</w:t>
      </w:r>
    </w:p>
    <w:p w14:paraId="7F3DE856">
      <w:pPr>
        <w:pStyle w:val="27"/>
        <w:tabs>
          <w:tab w:val="right" w:leader="dot" w:pos="9072"/>
        </w:tabs>
      </w:pPr>
    </w:p>
    <w:p w14:paraId="61614484">
      <w:pPr>
        <w:pStyle w:val="7"/>
        <w:keepNext w:val="0"/>
        <w:keepLines w:val="0"/>
        <w:pageBreakBefore w:val="0"/>
        <w:widowControl/>
        <w:kinsoku/>
        <w:wordWrap/>
        <w:overflowPunct/>
        <w:topLinePunct w:val="0"/>
        <w:autoSpaceDE/>
        <w:autoSpaceDN/>
        <w:bidi w:val="0"/>
        <w:adjustRightInd/>
        <w:snapToGrid/>
        <w:spacing w:line="900" w:lineRule="exact"/>
        <w:ind w:left="0"/>
        <w:textAlignment w:val="auto"/>
        <w:rPr>
          <w:rFonts w:cs="Times New Roman" w:asciiTheme="minorEastAsia" w:hAnsiTheme="minorEastAsia" w:eastAsiaTheme="minorEastAsia"/>
          <w:szCs w:val="44"/>
          <w:lang w:val="en-US" w:eastAsia="zh-CN" w:bidi="ar-SA"/>
        </w:rPr>
      </w:pPr>
      <w:r>
        <w:rPr>
          <w:rFonts w:cs="Times New Roman" w:asciiTheme="minorEastAsia" w:hAnsiTheme="minorEastAsia" w:eastAsiaTheme="minorEastAsia"/>
          <w:szCs w:val="44"/>
          <w:lang w:val="en-US" w:eastAsia="zh-CN" w:bidi="ar-SA"/>
        </w:rPr>
        <w:fldChar w:fldCharType="end"/>
      </w:r>
    </w:p>
    <w:p w14:paraId="2099A879">
      <w:pPr>
        <w:rPr>
          <w:rFonts w:cs="Times New Roman" w:asciiTheme="minorEastAsia" w:hAnsiTheme="minorEastAsia" w:eastAsiaTheme="minorEastAsia"/>
          <w:szCs w:val="44"/>
          <w:lang w:val="en-US" w:eastAsia="zh-CN" w:bidi="ar-SA"/>
        </w:rPr>
      </w:pPr>
    </w:p>
    <w:p w14:paraId="46C2132A">
      <w:pPr>
        <w:rPr>
          <w:rFonts w:cs="Times New Roman" w:asciiTheme="minorEastAsia" w:hAnsiTheme="minorEastAsia" w:eastAsiaTheme="minorEastAsia"/>
          <w:szCs w:val="44"/>
          <w:lang w:val="en-US" w:eastAsia="zh-CN" w:bidi="ar-SA"/>
        </w:rPr>
      </w:pPr>
    </w:p>
    <w:p w14:paraId="0AD8C171">
      <w:pPr>
        <w:rPr>
          <w:rFonts w:cs="Times New Roman" w:asciiTheme="minorEastAsia" w:hAnsiTheme="minorEastAsia" w:eastAsiaTheme="minorEastAsia"/>
          <w:szCs w:val="44"/>
          <w:lang w:val="en-US" w:eastAsia="zh-CN" w:bidi="ar-SA"/>
        </w:rPr>
      </w:pPr>
    </w:p>
    <w:p w14:paraId="2C675C53">
      <w:pPr>
        <w:rPr>
          <w:rFonts w:cs="Times New Roman" w:asciiTheme="minorEastAsia" w:hAnsiTheme="minorEastAsia" w:eastAsiaTheme="minorEastAsia"/>
          <w:szCs w:val="44"/>
          <w:lang w:val="en-US" w:eastAsia="zh-CN" w:bidi="ar-SA"/>
        </w:rPr>
      </w:pPr>
    </w:p>
    <w:p w14:paraId="4AA59BDD">
      <w:pPr>
        <w:rPr>
          <w:rFonts w:cs="Times New Roman" w:asciiTheme="minorEastAsia" w:hAnsiTheme="minorEastAsia" w:eastAsiaTheme="minorEastAsia"/>
          <w:szCs w:val="44"/>
          <w:lang w:val="en-US" w:eastAsia="zh-CN" w:bidi="ar-SA"/>
        </w:rPr>
      </w:pPr>
      <w:r>
        <w:rPr>
          <w:rFonts w:hint="eastAsia" w:cs="Times New Roman" w:asciiTheme="minorEastAsia" w:hAnsiTheme="minorEastAsia" w:eastAsiaTheme="minorEastAsia"/>
          <w:szCs w:val="44"/>
          <w:lang w:val="en-US" w:eastAsia="zh-CN" w:bidi="ar-SA"/>
        </w:rPr>
        <w:tab/>
      </w:r>
    </w:p>
    <w:p w14:paraId="5AE517D2">
      <w:pPr>
        <w:rPr>
          <w:rFonts w:hint="default" w:cs="Times New Roman" w:asciiTheme="minorEastAsia" w:hAnsiTheme="minorEastAsia" w:eastAsiaTheme="minorEastAsia"/>
          <w:szCs w:val="44"/>
          <w:lang w:val="en-US" w:eastAsia="zh-CN" w:bidi="ar-SA"/>
        </w:rPr>
      </w:pPr>
      <w:r>
        <w:rPr>
          <w:rFonts w:hint="eastAsia" w:cs="Times New Roman" w:asciiTheme="minorEastAsia" w:hAnsiTheme="minorEastAsia" w:eastAsiaTheme="minorEastAsia"/>
          <w:szCs w:val="44"/>
          <w:lang w:val="en-US" w:eastAsia="zh-CN" w:bidi="ar-SA"/>
        </w:rPr>
        <w:t xml:space="preserve"> </w:t>
      </w:r>
    </w:p>
    <w:p w14:paraId="4D3AAA06">
      <w:pPr>
        <w:rPr>
          <w:rFonts w:cs="Times New Roman" w:asciiTheme="minorEastAsia" w:hAnsiTheme="minorEastAsia" w:eastAsiaTheme="minorEastAsia"/>
          <w:szCs w:val="44"/>
          <w:lang w:val="en-US" w:eastAsia="zh-CN" w:bidi="ar-SA"/>
        </w:rPr>
      </w:pPr>
    </w:p>
    <w:p w14:paraId="588424C7">
      <w:pPr>
        <w:rPr>
          <w:rFonts w:cs="Times New Roman" w:asciiTheme="minorEastAsia" w:hAnsiTheme="minorEastAsia" w:eastAsiaTheme="minorEastAsia"/>
          <w:szCs w:val="44"/>
          <w:lang w:val="en-US" w:eastAsia="zh-CN" w:bidi="ar-SA"/>
        </w:rPr>
      </w:pPr>
    </w:p>
    <w:p w14:paraId="32C56EC6">
      <w:pPr>
        <w:rPr>
          <w:rFonts w:cs="Times New Roman" w:asciiTheme="minorEastAsia" w:hAnsiTheme="minorEastAsia" w:eastAsiaTheme="minorEastAsia"/>
          <w:szCs w:val="44"/>
          <w:lang w:val="en-US" w:eastAsia="zh-CN" w:bidi="ar-SA"/>
        </w:rPr>
      </w:pPr>
    </w:p>
    <w:p w14:paraId="6AD1B103">
      <w:pPr>
        <w:rPr>
          <w:rFonts w:cs="Times New Roman" w:asciiTheme="minorEastAsia" w:hAnsiTheme="minorEastAsia" w:eastAsiaTheme="minorEastAsia"/>
          <w:szCs w:val="44"/>
          <w:lang w:val="en-US" w:eastAsia="zh-CN" w:bidi="ar-SA"/>
        </w:rPr>
      </w:pPr>
    </w:p>
    <w:p w14:paraId="1DAA659A">
      <w:pPr>
        <w:rPr>
          <w:rFonts w:cs="Times New Roman" w:asciiTheme="minorEastAsia" w:hAnsiTheme="minorEastAsia" w:eastAsiaTheme="minorEastAsia"/>
          <w:szCs w:val="44"/>
          <w:lang w:val="en-US" w:eastAsia="zh-CN" w:bidi="ar-SA"/>
        </w:rPr>
      </w:pPr>
    </w:p>
    <w:p w14:paraId="4FF3D13F">
      <w:pPr>
        <w:rPr>
          <w:rFonts w:cs="Times New Roman" w:asciiTheme="minorEastAsia" w:hAnsiTheme="minorEastAsia" w:eastAsiaTheme="minorEastAsia"/>
          <w:szCs w:val="44"/>
          <w:lang w:val="en-US" w:eastAsia="zh-CN" w:bidi="ar-SA"/>
        </w:rPr>
      </w:pPr>
    </w:p>
    <w:p w14:paraId="3908F89D">
      <w:pPr>
        <w:rPr>
          <w:rFonts w:cs="Times New Roman" w:asciiTheme="minorEastAsia" w:hAnsiTheme="minorEastAsia" w:eastAsiaTheme="minorEastAsia"/>
          <w:szCs w:val="44"/>
          <w:lang w:val="en-US" w:eastAsia="zh-CN" w:bidi="ar-SA"/>
        </w:rPr>
      </w:pPr>
    </w:p>
    <w:p w14:paraId="1AA0DD1B">
      <w:pPr>
        <w:rPr>
          <w:rFonts w:cs="Times New Roman" w:asciiTheme="minorEastAsia" w:hAnsiTheme="minorEastAsia" w:eastAsiaTheme="minorEastAsia"/>
          <w:szCs w:val="44"/>
          <w:lang w:val="en-US" w:eastAsia="zh-CN" w:bidi="ar-SA"/>
        </w:rPr>
        <w:sectPr>
          <w:pgSz w:w="11906" w:h="16838"/>
          <w:pgMar w:top="1247" w:right="1134" w:bottom="1020" w:left="1134" w:header="850" w:footer="567" w:gutter="0"/>
          <w:pgBorders>
            <w:top w:val="none" w:sz="0" w:space="0"/>
            <w:left w:val="none" w:sz="0" w:space="0"/>
            <w:bottom w:val="none" w:sz="0" w:space="0"/>
            <w:right w:val="none" w:sz="0" w:space="0"/>
          </w:pgBorders>
          <w:pgNumType w:fmt="decimal" w:start="1"/>
          <w:cols w:space="0" w:num="1"/>
          <w:rtlGutter w:val="0"/>
          <w:docGrid w:type="lines" w:linePitch="389" w:charSpace="0"/>
        </w:sectPr>
      </w:pPr>
    </w:p>
    <w:p w14:paraId="2CFAF823">
      <w:pPr>
        <w:keepNext w:val="0"/>
        <w:keepLines w:val="0"/>
        <w:pageBreakBefore w:val="0"/>
        <w:kinsoku/>
        <w:wordWrap/>
        <w:overflowPunct/>
        <w:topLinePunct w:val="0"/>
        <w:autoSpaceDE w:val="0"/>
        <w:autoSpaceDN w:val="0"/>
        <w:bidi w:val="0"/>
        <w:adjustRightInd/>
        <w:snapToGrid/>
        <w:spacing w:line="240" w:lineRule="auto"/>
        <w:ind w:right="0" w:rightChars="0"/>
        <w:jc w:val="both"/>
        <w:textAlignment w:val="auto"/>
        <w:rPr>
          <w:rFonts w:hint="eastAsia" w:ascii="宋体" w:hAnsi="宋体" w:eastAsia="宋体" w:cs="宋体"/>
          <w:color w:val="auto"/>
          <w:kern w:val="0"/>
          <w:sz w:val="24"/>
          <w:szCs w:val="24"/>
          <w:highlight w:val="none"/>
          <w:shd w:val="clear" w:color="auto" w:fill="FFFFFF"/>
          <w:lang w:val="en-US" w:bidi="zh-CN"/>
        </w:rPr>
      </w:pPr>
      <w:bookmarkStart w:id="0" w:name="_Toc27599"/>
      <w:bookmarkStart w:id="1" w:name="_Toc23316578"/>
      <w:bookmarkStart w:id="2" w:name="_Toc23315654"/>
      <w:bookmarkStart w:id="3" w:name="_Toc14189264"/>
      <w:bookmarkStart w:id="4" w:name="_Toc23316676"/>
      <w:bookmarkStart w:id="5" w:name="_Toc10418"/>
      <w:bookmarkStart w:id="6" w:name="_Toc18412193"/>
      <w:bookmarkStart w:id="7" w:name="_Toc14189401"/>
      <w:bookmarkStart w:id="8" w:name="_Toc23316514"/>
      <w:r>
        <w:rPr>
          <w:rFonts w:hint="eastAsia" w:ascii="宋体" w:hAnsi="宋体" w:eastAsia="宋体" w:cs="宋体"/>
          <w:color w:val="auto"/>
          <w:kern w:val="0"/>
          <w:sz w:val="24"/>
          <w:szCs w:val="24"/>
          <w:highlight w:val="none"/>
          <w:shd w:val="clear" w:color="auto" w:fill="FFFFFF"/>
          <w:lang w:val="en-US" w:bidi="zh-CN"/>
        </w:rPr>
        <w:t>项目概况</w:t>
      </w:r>
    </w:p>
    <w:p w14:paraId="21891C78">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shd w:val="clear" w:color="auto" w:fill="FFFFFF"/>
          <w:lang w:val="en-US" w:bidi="zh-CN"/>
        </w:rPr>
      </w:pPr>
      <w:r>
        <w:rPr>
          <w:rFonts w:hint="eastAsia" w:ascii="宋体" w:hAnsi="宋体" w:eastAsia="宋体" w:cs="宋体"/>
          <w:color w:val="auto"/>
          <w:kern w:val="0"/>
          <w:sz w:val="24"/>
          <w:szCs w:val="24"/>
          <w:highlight w:val="none"/>
          <w:shd w:val="clear" w:color="auto" w:fill="FFFFFF"/>
          <w:lang w:val="en-US" w:eastAsia="zh-CN" w:bidi="zh-CN"/>
        </w:rPr>
        <w:t>镇坪县上竹镇2025年以工代赈示范项目及上竹镇发龙村六、七组联网路项目前期设计编制服务项目</w:t>
      </w:r>
      <w:r>
        <w:rPr>
          <w:rFonts w:hint="eastAsia" w:ascii="宋体" w:hAnsi="宋体" w:eastAsia="宋体" w:cs="宋体"/>
          <w:color w:val="auto"/>
          <w:kern w:val="0"/>
          <w:sz w:val="24"/>
          <w:szCs w:val="24"/>
          <w:highlight w:val="none"/>
          <w:shd w:val="clear" w:color="auto" w:fill="FFFFFF"/>
          <w:lang w:val="en-US" w:bidi="zh-CN"/>
        </w:rPr>
        <w:t>的潜在供应商应在</w:t>
      </w:r>
      <w:r>
        <w:rPr>
          <w:rFonts w:hint="eastAsia" w:ascii="宋体" w:hAnsi="宋体" w:eastAsia="宋体" w:cs="宋体"/>
          <w:b w:val="0"/>
          <w:bCs w:val="0"/>
          <w:color w:val="auto"/>
          <w:sz w:val="24"/>
          <w:szCs w:val="24"/>
          <w:highlight w:val="none"/>
          <w:lang w:val="en-US" w:eastAsia="zh-CN"/>
        </w:rPr>
        <w:t>宝泽项目管理有限公司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kern w:val="0"/>
          <w:sz w:val="24"/>
          <w:szCs w:val="24"/>
          <w:highlight w:val="none"/>
          <w:shd w:val="clear" w:color="auto" w:fill="FFFFFF"/>
          <w:lang w:val="en-US" w:bidi="zh-CN"/>
        </w:rPr>
        <w:t>获取采购文件，并于</w:t>
      </w:r>
      <w:r>
        <w:rPr>
          <w:rFonts w:hint="eastAsia" w:ascii="宋体" w:hAnsi="宋体" w:eastAsia="宋体" w:cs="宋体"/>
          <w:color w:val="auto"/>
          <w:kern w:val="0"/>
          <w:sz w:val="24"/>
          <w:szCs w:val="24"/>
          <w:highlight w:val="none"/>
          <w:shd w:val="clear" w:color="auto" w:fill="FFFFFF"/>
          <w:lang w:val="en-US" w:eastAsia="zh-CN" w:bidi="zh-CN"/>
        </w:rPr>
        <w:t>2025</w:t>
      </w:r>
      <w:r>
        <w:rPr>
          <w:rFonts w:hint="eastAsia" w:ascii="宋体" w:hAnsi="宋体" w:eastAsia="宋体" w:cs="宋体"/>
          <w:color w:val="auto"/>
          <w:kern w:val="0"/>
          <w:sz w:val="24"/>
          <w:szCs w:val="24"/>
          <w:highlight w:val="none"/>
          <w:shd w:val="clear" w:color="auto" w:fill="FFFFFF"/>
          <w:lang w:val="en-US" w:bidi="zh-CN"/>
        </w:rPr>
        <w:t>年</w:t>
      </w:r>
      <w:r>
        <w:rPr>
          <w:rFonts w:hint="eastAsia" w:ascii="宋体" w:hAnsi="宋体" w:eastAsia="宋体" w:cs="宋体"/>
          <w:color w:val="auto"/>
          <w:kern w:val="0"/>
          <w:sz w:val="24"/>
          <w:szCs w:val="24"/>
          <w:highlight w:val="none"/>
          <w:shd w:val="clear" w:color="auto" w:fill="FFFFFF"/>
          <w:lang w:val="en-US" w:eastAsia="zh-CN" w:bidi="zh-CN"/>
        </w:rPr>
        <w:t>6月30</w:t>
      </w:r>
      <w:r>
        <w:rPr>
          <w:rFonts w:hint="eastAsia" w:ascii="宋体" w:hAnsi="宋体" w:eastAsia="宋体" w:cs="宋体"/>
          <w:color w:val="auto"/>
          <w:kern w:val="0"/>
          <w:sz w:val="24"/>
          <w:szCs w:val="24"/>
          <w:highlight w:val="none"/>
          <w:shd w:val="clear" w:color="auto" w:fill="FFFFFF"/>
          <w:lang w:val="en-US" w:bidi="zh-CN"/>
        </w:rPr>
        <w:t>日</w:t>
      </w:r>
      <w:r>
        <w:rPr>
          <w:rFonts w:hint="eastAsia" w:ascii="宋体" w:hAnsi="宋体" w:eastAsia="宋体" w:cs="宋体"/>
          <w:color w:val="auto"/>
          <w:kern w:val="0"/>
          <w:sz w:val="24"/>
          <w:szCs w:val="24"/>
          <w:highlight w:val="none"/>
          <w:shd w:val="clear" w:color="auto" w:fill="FFFFFF"/>
          <w:lang w:val="en-US" w:eastAsia="zh-CN" w:bidi="zh-CN"/>
        </w:rPr>
        <w:t>9</w:t>
      </w:r>
      <w:r>
        <w:rPr>
          <w:rFonts w:hint="eastAsia" w:ascii="宋体" w:hAnsi="宋体" w:eastAsia="宋体" w:cs="宋体"/>
          <w:color w:val="auto"/>
          <w:kern w:val="0"/>
          <w:sz w:val="24"/>
          <w:szCs w:val="24"/>
          <w:highlight w:val="none"/>
          <w:shd w:val="clear" w:color="auto" w:fill="FFFFFF"/>
          <w:lang w:val="en-US" w:bidi="zh-CN"/>
        </w:rPr>
        <w:t>时</w:t>
      </w:r>
      <w:r>
        <w:rPr>
          <w:rFonts w:hint="eastAsia" w:ascii="宋体" w:hAnsi="宋体" w:eastAsia="宋体" w:cs="宋体"/>
          <w:color w:val="auto"/>
          <w:kern w:val="0"/>
          <w:sz w:val="24"/>
          <w:szCs w:val="24"/>
          <w:highlight w:val="none"/>
          <w:shd w:val="clear" w:color="auto" w:fill="FFFFFF"/>
          <w:lang w:val="en-US" w:eastAsia="zh-CN" w:bidi="zh-CN"/>
        </w:rPr>
        <w:t>0</w:t>
      </w:r>
      <w:r>
        <w:rPr>
          <w:rFonts w:hint="eastAsia" w:ascii="宋体" w:hAnsi="宋体" w:eastAsia="宋体" w:cs="宋体"/>
          <w:color w:val="auto"/>
          <w:kern w:val="0"/>
          <w:sz w:val="24"/>
          <w:szCs w:val="24"/>
          <w:highlight w:val="none"/>
          <w:shd w:val="clear" w:color="auto" w:fill="FFFFFF"/>
          <w:lang w:val="en-US" w:bidi="zh-CN"/>
        </w:rPr>
        <w:t>0分（北京时间）前提交响应文件。</w:t>
      </w:r>
    </w:p>
    <w:p w14:paraId="07921D44">
      <w:pPr>
        <w:pStyle w:val="4"/>
        <w:keepNext w:val="0"/>
        <w:keepLines w:val="0"/>
        <w:pageBreakBefore w:val="0"/>
        <w:kinsoku/>
        <w:wordWrap/>
        <w:overflowPunct/>
        <w:topLinePunct w:val="0"/>
        <w:bidi w:val="0"/>
        <w:adjustRightInd/>
        <w:snapToGrid/>
        <w:spacing w:before="0" w:after="0" w:line="240" w:lineRule="auto"/>
        <w:ind w:left="0" w:leftChars="0" w:right="0" w:rightChars="0"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一、项目基本情况</w:t>
      </w:r>
    </w:p>
    <w:p w14:paraId="62379AC9">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shd w:val="clear" w:color="auto" w:fill="FFFFFF"/>
          <w:lang w:val="en-US" w:eastAsia="zh-CN" w:bidi="zh-CN"/>
        </w:rPr>
      </w:pPr>
      <w:r>
        <w:rPr>
          <w:rFonts w:hint="eastAsia" w:ascii="宋体" w:hAnsi="宋体" w:eastAsia="宋体" w:cs="宋体"/>
          <w:color w:val="auto"/>
          <w:sz w:val="24"/>
          <w:szCs w:val="24"/>
          <w:highlight w:val="none"/>
        </w:rPr>
        <w:t>项目</w:t>
      </w:r>
      <w:r>
        <w:rPr>
          <w:rFonts w:hint="eastAsia" w:ascii="宋体" w:hAnsi="宋体" w:eastAsia="宋体" w:cs="宋体"/>
          <w:color w:val="auto"/>
          <w:kern w:val="0"/>
          <w:sz w:val="24"/>
          <w:szCs w:val="24"/>
          <w:highlight w:val="none"/>
          <w:shd w:val="clear" w:color="auto" w:fill="FFFFFF"/>
          <w:lang w:val="en-US" w:eastAsia="zh-CN" w:bidi="zh-CN"/>
        </w:rPr>
        <w:t>编号：BZ2025008</w:t>
      </w:r>
    </w:p>
    <w:p w14:paraId="180E271F">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shd w:val="clear" w:color="auto" w:fill="FFFFFF"/>
          <w:lang w:val="en-US" w:eastAsia="zh-CN" w:bidi="zh-CN"/>
        </w:rPr>
      </w:pPr>
      <w:r>
        <w:rPr>
          <w:rFonts w:hint="eastAsia" w:ascii="宋体" w:hAnsi="宋体" w:eastAsia="宋体" w:cs="宋体"/>
          <w:color w:val="auto"/>
          <w:kern w:val="0"/>
          <w:sz w:val="24"/>
          <w:szCs w:val="24"/>
          <w:highlight w:val="none"/>
          <w:shd w:val="clear" w:color="auto" w:fill="FFFFFF"/>
          <w:lang w:val="en-US" w:eastAsia="zh-CN" w:bidi="zh-CN"/>
        </w:rPr>
        <w:t>项目名称：镇坪县上竹镇2025年以工代赈示范项目及上竹镇发龙村六、七组联网路项目前期设计编制服务项目</w:t>
      </w:r>
    </w:p>
    <w:p w14:paraId="234F1A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采购方式：竞</w:t>
      </w:r>
      <w:r>
        <w:rPr>
          <w:rFonts w:hint="eastAsia" w:ascii="宋体" w:hAnsi="宋体" w:eastAsia="宋体" w:cs="宋体"/>
          <w:color w:val="auto"/>
          <w:sz w:val="24"/>
          <w:szCs w:val="24"/>
          <w:highlight w:val="none"/>
          <w:lang w:eastAsia="zh-CN"/>
        </w:rPr>
        <w:t>争性谈判</w:t>
      </w:r>
    </w:p>
    <w:p w14:paraId="1DBE916D">
      <w:pPr>
        <w:keepNext w:val="0"/>
        <w:keepLines w:val="0"/>
        <w:pageBreakBefore w:val="0"/>
        <w:widowControl/>
        <w:suppressLineNumbers w:val="0"/>
        <w:kinsoku/>
        <w:wordWrap/>
        <w:overflowPunct/>
        <w:topLinePunct w:val="0"/>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w:t>
      </w:r>
      <w:r>
        <w:rPr>
          <w:rFonts w:hint="eastAsia" w:ascii="宋体" w:hAnsi="宋体" w:eastAsia="宋体" w:cs="宋体"/>
          <w:color w:val="000000"/>
          <w:kern w:val="0"/>
          <w:sz w:val="24"/>
          <w:szCs w:val="24"/>
          <w:highlight w:val="none"/>
          <w:lang w:val="en-US" w:eastAsia="zh-CN" w:bidi="ar"/>
        </w:rPr>
        <w:t>250000.00</w:t>
      </w:r>
      <w:r>
        <w:rPr>
          <w:rFonts w:hint="eastAsia" w:ascii="宋体" w:hAnsi="宋体" w:eastAsia="宋体" w:cs="宋体"/>
          <w:color w:val="auto"/>
          <w:sz w:val="24"/>
          <w:szCs w:val="24"/>
          <w:highlight w:val="none"/>
          <w:lang w:val="en-US" w:eastAsia="zh-CN"/>
        </w:rPr>
        <w:t>元</w:t>
      </w:r>
    </w:p>
    <w:p w14:paraId="2187919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采购需求：</w:t>
      </w:r>
    </w:p>
    <w:p w14:paraId="73AE17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w:t>
      </w:r>
      <w:r>
        <w:rPr>
          <w:rFonts w:hint="eastAsia" w:ascii="宋体" w:hAnsi="宋体" w:eastAsia="宋体" w:cs="宋体"/>
          <w:color w:val="auto"/>
          <w:kern w:val="0"/>
          <w:sz w:val="24"/>
          <w:szCs w:val="24"/>
          <w:highlight w:val="none"/>
          <w:shd w:val="clear" w:color="auto" w:fill="FFFFFF"/>
          <w:lang w:val="en-US" w:eastAsia="zh-CN" w:bidi="zh-CN"/>
        </w:rPr>
        <w:t>镇坪县上竹镇2025年以工代赈示范项目及上竹镇发龙村六、七组联网路项目前期设计编制服务项目</w:t>
      </w:r>
      <w:r>
        <w:rPr>
          <w:rFonts w:hint="eastAsia" w:ascii="宋体" w:hAnsi="宋体" w:eastAsia="宋体" w:cs="宋体"/>
          <w:color w:val="auto"/>
          <w:sz w:val="24"/>
          <w:szCs w:val="24"/>
          <w:highlight w:val="none"/>
          <w:lang w:val="en-US" w:eastAsia="zh-CN"/>
        </w:rPr>
        <w:t>):</w:t>
      </w:r>
    </w:p>
    <w:p w14:paraId="4A1878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合同包预算金额：</w:t>
      </w:r>
      <w:r>
        <w:rPr>
          <w:rFonts w:hint="eastAsia" w:ascii="宋体" w:hAnsi="宋体" w:eastAsia="宋体" w:cs="宋体"/>
          <w:color w:val="000000"/>
          <w:kern w:val="0"/>
          <w:sz w:val="24"/>
          <w:szCs w:val="24"/>
          <w:highlight w:val="none"/>
          <w:lang w:val="en-US" w:eastAsia="zh-CN" w:bidi="ar"/>
        </w:rPr>
        <w:t>250000.00</w:t>
      </w:r>
      <w:r>
        <w:rPr>
          <w:rFonts w:hint="eastAsia" w:ascii="宋体" w:hAnsi="宋体" w:eastAsia="宋体" w:cs="宋体"/>
          <w:color w:val="auto"/>
          <w:sz w:val="24"/>
          <w:szCs w:val="24"/>
          <w:highlight w:val="none"/>
          <w:lang w:val="en-US" w:eastAsia="zh-CN"/>
        </w:rPr>
        <w:t>元</w:t>
      </w:r>
    </w:p>
    <w:p w14:paraId="113D3BD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合同包最高限价：</w:t>
      </w:r>
      <w:r>
        <w:rPr>
          <w:rFonts w:hint="eastAsia" w:ascii="宋体" w:hAnsi="宋体" w:eastAsia="宋体" w:cs="宋体"/>
          <w:color w:val="000000"/>
          <w:kern w:val="0"/>
          <w:sz w:val="24"/>
          <w:szCs w:val="24"/>
          <w:highlight w:val="none"/>
          <w:lang w:val="en-US" w:eastAsia="zh-CN" w:bidi="ar"/>
        </w:rPr>
        <w:t>250000.00</w:t>
      </w:r>
      <w:r>
        <w:rPr>
          <w:rFonts w:hint="eastAsia" w:ascii="宋体" w:hAnsi="宋体" w:eastAsia="宋体" w:cs="宋体"/>
          <w:color w:val="auto"/>
          <w:sz w:val="24"/>
          <w:szCs w:val="24"/>
          <w:highlight w:val="none"/>
          <w:lang w:val="en-US" w:eastAsia="zh-CN"/>
        </w:rPr>
        <w:t>元</w:t>
      </w:r>
    </w:p>
    <w:tbl>
      <w:tblPr>
        <w:tblStyle w:val="35"/>
        <w:tblW w:w="1027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775"/>
        <w:gridCol w:w="1266"/>
        <w:gridCol w:w="2982"/>
        <w:gridCol w:w="1135"/>
        <w:gridCol w:w="1594"/>
        <w:gridCol w:w="1192"/>
        <w:gridCol w:w="1332"/>
      </w:tblGrid>
      <w:tr w14:paraId="19CD950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673" w:hRule="atLeast"/>
          <w:jc w:val="center"/>
        </w:trPr>
        <w:tc>
          <w:tcPr>
            <w:tcW w:w="775" w:type="dxa"/>
            <w:tcBorders>
              <w:top w:val="single" w:color="333333" w:sz="8" w:space="0"/>
              <w:left w:val="single" w:color="333333" w:sz="8" w:space="0"/>
              <w:bottom w:val="single" w:color="333333" w:sz="8" w:space="0"/>
              <w:right w:val="single" w:color="333333" w:sz="8" w:space="0"/>
            </w:tcBorders>
            <w:shd w:val="clear" w:color="auto" w:fill="FFFFFF"/>
            <w:tcMar>
              <w:top w:w="75" w:type="dxa"/>
              <w:left w:w="120" w:type="dxa"/>
              <w:bottom w:w="75" w:type="dxa"/>
              <w:right w:w="120" w:type="dxa"/>
            </w:tcMar>
            <w:vAlign w:val="center"/>
          </w:tcPr>
          <w:p w14:paraId="0EDA90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品目号</w:t>
            </w:r>
          </w:p>
        </w:tc>
        <w:tc>
          <w:tcPr>
            <w:tcW w:w="1266"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51ABF2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品目名称</w:t>
            </w:r>
          </w:p>
        </w:tc>
        <w:tc>
          <w:tcPr>
            <w:tcW w:w="2982"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54620E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采购标的</w:t>
            </w:r>
          </w:p>
        </w:tc>
        <w:tc>
          <w:tcPr>
            <w:tcW w:w="1135"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0FDFEE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数量</w:t>
            </w:r>
          </w:p>
          <w:p w14:paraId="649014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（单位）</w:t>
            </w:r>
          </w:p>
        </w:tc>
        <w:tc>
          <w:tcPr>
            <w:tcW w:w="1594"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644BA82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技术规格、参数及要求</w:t>
            </w:r>
          </w:p>
        </w:tc>
        <w:tc>
          <w:tcPr>
            <w:tcW w:w="1192"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43D4DF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品目预算(元)</w:t>
            </w:r>
          </w:p>
        </w:tc>
        <w:tc>
          <w:tcPr>
            <w:tcW w:w="1332" w:type="dxa"/>
            <w:tcBorders>
              <w:top w:val="single" w:color="auto" w:sz="8" w:space="0"/>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63754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最高限价(元)</w:t>
            </w:r>
          </w:p>
        </w:tc>
      </w:tr>
      <w:tr w14:paraId="538DD44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26" w:hRule="atLeast"/>
          <w:jc w:val="center"/>
        </w:trPr>
        <w:tc>
          <w:tcPr>
            <w:tcW w:w="775" w:type="dxa"/>
            <w:tcBorders>
              <w:top w:val="nil"/>
              <w:left w:val="single" w:color="auto" w:sz="8" w:space="0"/>
              <w:bottom w:val="single" w:color="auto" w:sz="8" w:space="0"/>
              <w:right w:val="single" w:color="auto" w:sz="8" w:space="0"/>
            </w:tcBorders>
            <w:shd w:val="clear" w:color="auto" w:fill="FFFFFF"/>
            <w:tcMar>
              <w:top w:w="75" w:type="dxa"/>
              <w:left w:w="120" w:type="dxa"/>
              <w:bottom w:w="75" w:type="dxa"/>
              <w:right w:w="120" w:type="dxa"/>
            </w:tcMar>
            <w:vAlign w:val="center"/>
          </w:tcPr>
          <w:p w14:paraId="5A4CD2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w:t>
            </w:r>
          </w:p>
        </w:tc>
        <w:tc>
          <w:tcPr>
            <w:tcW w:w="1266"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3041F1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设计服务</w:t>
            </w:r>
          </w:p>
        </w:tc>
        <w:tc>
          <w:tcPr>
            <w:tcW w:w="2982"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6DB41A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shd w:val="clear" w:color="auto" w:fill="FFFFFF"/>
                <w:lang w:val="en-US" w:eastAsia="zh-CN" w:bidi="zh-CN"/>
              </w:rPr>
              <w:t>镇坪县上竹镇2025年以工代赈示范项目及上竹镇发龙村六、七组联网路项目前期设计编制服务项目</w:t>
            </w:r>
          </w:p>
        </w:tc>
        <w:tc>
          <w:tcPr>
            <w:tcW w:w="1135"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7D6CCB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w:t>
            </w:r>
          </w:p>
        </w:tc>
        <w:tc>
          <w:tcPr>
            <w:tcW w:w="1594"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2D560F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详见采购</w:t>
            </w:r>
          </w:p>
          <w:p w14:paraId="6E075D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文件</w:t>
            </w:r>
          </w:p>
        </w:tc>
        <w:tc>
          <w:tcPr>
            <w:tcW w:w="1192"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7685852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250000.00</w:t>
            </w:r>
          </w:p>
        </w:tc>
        <w:tc>
          <w:tcPr>
            <w:tcW w:w="1332" w:type="dxa"/>
            <w:tcBorders>
              <w:top w:val="nil"/>
              <w:left w:val="nil"/>
              <w:bottom w:val="single" w:color="auto" w:sz="8" w:space="0"/>
              <w:right w:val="single" w:color="auto" w:sz="8" w:space="0"/>
            </w:tcBorders>
            <w:shd w:val="clear" w:color="auto" w:fill="FFFFFF"/>
            <w:tcMar>
              <w:top w:w="75" w:type="dxa"/>
              <w:left w:w="120" w:type="dxa"/>
              <w:bottom w:w="75" w:type="dxa"/>
              <w:right w:w="120" w:type="dxa"/>
            </w:tcMar>
            <w:vAlign w:val="center"/>
          </w:tcPr>
          <w:p w14:paraId="40CD7D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250000.00</w:t>
            </w:r>
          </w:p>
        </w:tc>
      </w:tr>
    </w:tbl>
    <w:p w14:paraId="0EEC805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本项目不接受联合体投标</w:t>
      </w:r>
    </w:p>
    <w:p w14:paraId="1A0CD8A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default" w:ascii="宋体" w:hAnsi="宋体" w:eastAsia="宋体" w:cs="宋体"/>
          <w:color w:val="auto"/>
          <w:sz w:val="24"/>
          <w:szCs w:val="24"/>
          <w:highlight w:val="none"/>
          <w:lang w:val="en-US" w:eastAsia="zh-CN"/>
        </w:rPr>
      </w:pPr>
      <w:bookmarkStart w:id="9" w:name="_Toc35393630"/>
      <w:bookmarkStart w:id="10" w:name="_Toc28359090"/>
      <w:bookmarkStart w:id="11" w:name="_Toc35393799"/>
      <w:bookmarkStart w:id="12" w:name="_Toc28359013"/>
      <w:r>
        <w:rPr>
          <w:rFonts w:hint="eastAsia" w:ascii="宋体" w:hAnsi="宋体" w:eastAsia="宋体" w:cs="宋体"/>
          <w:color w:val="auto"/>
          <w:sz w:val="24"/>
          <w:szCs w:val="24"/>
          <w:highlight w:val="none"/>
          <w:lang w:val="en-US" w:eastAsia="zh-CN"/>
        </w:rPr>
        <w:t>合同履行期限：30日历天</w:t>
      </w:r>
    </w:p>
    <w:p w14:paraId="65CB0936">
      <w:pPr>
        <w:pStyle w:val="4"/>
        <w:keepNext w:val="0"/>
        <w:keepLines w:val="0"/>
        <w:pageBreakBefore w:val="0"/>
        <w:kinsoku/>
        <w:wordWrap/>
        <w:overflowPunct/>
        <w:topLinePunct w:val="0"/>
        <w:bidi w:val="0"/>
        <w:adjustRightInd/>
        <w:snapToGrid/>
        <w:spacing w:before="0" w:after="0" w:line="240" w:lineRule="auto"/>
        <w:ind w:left="0" w:leftChars="0" w:right="0" w:rightChars="0"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二、供应商的资格要求</w:t>
      </w:r>
      <w:bookmarkEnd w:id="9"/>
      <w:bookmarkEnd w:id="10"/>
      <w:bookmarkEnd w:id="11"/>
      <w:bookmarkEnd w:id="12"/>
    </w:p>
    <w:p w14:paraId="135FD4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bookmarkStart w:id="13" w:name="_Toc28359014"/>
      <w:bookmarkStart w:id="14" w:name="_Toc28359091"/>
      <w:bookmarkStart w:id="15" w:name="_Toc35393631"/>
      <w:bookmarkStart w:id="16" w:name="_Toc35393800"/>
      <w:r>
        <w:rPr>
          <w:rFonts w:hint="eastAsia" w:ascii="宋体" w:hAnsi="宋体" w:eastAsia="宋体" w:cs="宋体"/>
          <w:color w:val="auto"/>
          <w:sz w:val="24"/>
          <w:szCs w:val="24"/>
          <w:highlight w:val="none"/>
        </w:rPr>
        <w:t>1、满足《中华人民共和国政府采购法》第二十二条规定</w:t>
      </w:r>
    </w:p>
    <w:p w14:paraId="145FA2E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w:t>
      </w:r>
    </w:p>
    <w:p w14:paraId="1027A2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val="en-US" w:eastAsia="zh-CN"/>
        </w:rPr>
        <w:t>包1(</w:t>
      </w:r>
      <w:r>
        <w:rPr>
          <w:rFonts w:hint="eastAsia" w:ascii="宋体" w:hAnsi="宋体" w:eastAsia="宋体" w:cs="宋体"/>
          <w:color w:val="auto"/>
          <w:kern w:val="0"/>
          <w:sz w:val="24"/>
          <w:szCs w:val="24"/>
          <w:highlight w:val="none"/>
          <w:shd w:val="clear" w:color="auto" w:fill="FFFFFF"/>
          <w:lang w:val="en-US" w:eastAsia="zh-CN" w:bidi="zh-CN"/>
        </w:rPr>
        <w:t>镇坪县上竹镇2025年以工代赈示范项目及上竹镇发龙村六、七组联网路项目前期设计编制服务项目</w:t>
      </w:r>
      <w:r>
        <w:rPr>
          <w:rFonts w:hint="eastAsia" w:ascii="宋体" w:hAnsi="宋体" w:eastAsia="宋体" w:cs="宋体"/>
          <w:color w:val="auto"/>
          <w:sz w:val="24"/>
          <w:szCs w:val="24"/>
          <w:highlight w:val="none"/>
          <w:lang w:val="en-US" w:eastAsia="zh-CN"/>
        </w:rPr>
        <w:t>)落实政府采购政策</w:t>
      </w:r>
      <w:r>
        <w:rPr>
          <w:rFonts w:hint="eastAsia" w:ascii="宋体" w:hAnsi="宋体" w:eastAsia="宋体" w:cs="宋体"/>
          <w:color w:val="auto"/>
          <w:sz w:val="24"/>
          <w:szCs w:val="24"/>
          <w:highlight w:val="none"/>
        </w:rPr>
        <w:t>需满足的资格要求如下:</w:t>
      </w:r>
    </w:p>
    <w:p w14:paraId="648A05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本项目专门面向中小企业，供应商应为中小微企业、监狱企业、残疾人福利性单位。本项目所属行业为：其他</w:t>
      </w:r>
      <w:r>
        <w:rPr>
          <w:rFonts w:hint="eastAsia" w:ascii="宋体" w:hAnsi="宋体" w:eastAsia="宋体" w:cs="宋体"/>
          <w:color w:val="auto"/>
          <w:sz w:val="24"/>
          <w:szCs w:val="24"/>
          <w:highlight w:val="none"/>
          <w:lang w:val="en-US" w:eastAsia="zh-CN"/>
        </w:rPr>
        <w:t>未</w:t>
      </w:r>
      <w:r>
        <w:rPr>
          <w:rFonts w:hint="eastAsia" w:ascii="宋体" w:hAnsi="宋体" w:eastAsia="宋体" w:cs="宋体"/>
          <w:color w:val="auto"/>
          <w:sz w:val="24"/>
          <w:szCs w:val="24"/>
          <w:highlight w:val="none"/>
        </w:rPr>
        <w:t>列明行业</w:t>
      </w:r>
      <w:r>
        <w:rPr>
          <w:rFonts w:hint="eastAsia" w:ascii="宋体" w:hAnsi="宋体" w:eastAsia="宋体" w:cs="宋体"/>
          <w:color w:val="auto"/>
          <w:sz w:val="24"/>
          <w:szCs w:val="24"/>
          <w:highlight w:val="none"/>
          <w:lang w:eastAsia="zh-CN"/>
        </w:rPr>
        <w:t>。</w:t>
      </w:r>
    </w:p>
    <w:p w14:paraId="46E97FE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本项目的特定资格要求：</w:t>
      </w:r>
    </w:p>
    <w:p w14:paraId="737518C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w:t>
      </w:r>
      <w:r>
        <w:rPr>
          <w:rFonts w:hint="eastAsia" w:ascii="宋体" w:hAnsi="宋体" w:eastAsia="宋体" w:cs="宋体"/>
          <w:color w:val="auto"/>
          <w:kern w:val="0"/>
          <w:sz w:val="24"/>
          <w:szCs w:val="24"/>
          <w:highlight w:val="none"/>
          <w:shd w:val="clear" w:color="auto" w:fill="FFFFFF"/>
          <w:lang w:val="en-US" w:eastAsia="zh-CN" w:bidi="zh-CN"/>
        </w:rPr>
        <w:t>镇坪县上竹镇2025年以工代赈示范项目及上竹镇发龙村六、七组联网路项目前期设计编制服务项目</w:t>
      </w:r>
      <w:r>
        <w:rPr>
          <w:rFonts w:hint="eastAsia" w:ascii="宋体" w:hAnsi="宋体" w:eastAsia="宋体" w:cs="宋体"/>
          <w:color w:val="auto"/>
          <w:sz w:val="24"/>
          <w:szCs w:val="24"/>
          <w:highlight w:val="none"/>
        </w:rPr>
        <w:t>)特定资格要求如下:</w:t>
      </w:r>
    </w:p>
    <w:p w14:paraId="4C858C7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color w:val="auto"/>
          <w:sz w:val="24"/>
          <w:szCs w:val="24"/>
          <w:highlight w:val="none"/>
          <w:lang w:val="en-US" w:eastAsia="zh-CN" w:bidi="zh-CN"/>
        </w:rPr>
      </w:pPr>
      <w:r>
        <w:rPr>
          <w:rFonts w:hint="eastAsia" w:ascii="宋体" w:hAnsi="宋体" w:eastAsia="宋体" w:cs="宋体"/>
          <w:color w:val="auto"/>
          <w:sz w:val="24"/>
          <w:szCs w:val="24"/>
          <w:highlight w:val="none"/>
          <w:lang w:val="en-US" w:eastAsia="zh-CN" w:bidi="zh-CN"/>
        </w:rPr>
        <w:t>（1）具有独立承担民事责任能力的法人、其他组织或自然人，提供年检有效的统一社会信用代码的营业执照或其他合法组织登记证书，自然人参与的提供其身份证明；</w:t>
      </w:r>
      <w:r>
        <w:rPr>
          <w:rFonts w:hint="eastAsia" w:ascii="宋体" w:hAnsi="宋体" w:eastAsia="宋体" w:cs="宋体"/>
          <w:color w:val="auto"/>
          <w:sz w:val="24"/>
          <w:szCs w:val="24"/>
          <w:highlight w:val="none"/>
          <w:lang w:val="en-US" w:eastAsia="zh-CN" w:bidi="zh-CN"/>
        </w:rPr>
        <w:br w:type="textWrapping"/>
      </w:r>
      <w:r>
        <w:rPr>
          <w:rFonts w:hint="eastAsia" w:ascii="宋体" w:hAnsi="宋体" w:eastAsia="宋体" w:cs="宋体"/>
          <w:color w:val="auto"/>
          <w:sz w:val="24"/>
          <w:szCs w:val="24"/>
          <w:highlight w:val="none"/>
          <w:lang w:val="en-US" w:eastAsia="zh-CN" w:bidi="zh-CN"/>
        </w:rPr>
        <w:t>（2）法定代表人参加投标时，提供本人身份证复印件；授权代表参加投标时，提供法定代表人授权委托书、法定代表人和被授权人身份证复印件；</w:t>
      </w:r>
      <w:r>
        <w:rPr>
          <w:rFonts w:hint="eastAsia" w:ascii="宋体" w:hAnsi="宋体" w:eastAsia="宋体" w:cs="宋体"/>
          <w:color w:val="auto"/>
          <w:sz w:val="24"/>
          <w:szCs w:val="24"/>
          <w:highlight w:val="none"/>
          <w:lang w:val="en-US" w:eastAsia="zh-CN" w:bidi="zh-CN"/>
        </w:rPr>
        <w:br w:type="textWrapping"/>
      </w:r>
      <w:r>
        <w:rPr>
          <w:rFonts w:hint="eastAsia" w:ascii="宋体" w:hAnsi="宋体" w:eastAsia="宋体" w:cs="宋体"/>
          <w:color w:val="auto"/>
          <w:sz w:val="24"/>
          <w:szCs w:val="24"/>
          <w:highlight w:val="none"/>
          <w:lang w:val="en-US" w:eastAsia="zh-CN" w:bidi="zh-CN"/>
        </w:rPr>
        <w:t>（3）供应商须具备建设行政主管部门颁发的工程设计综合甲级资质或工程设计公路行业（公路）专业设计乙级及以上资质，并在人员、设备、资金等方面具备相应能力；</w:t>
      </w:r>
      <w:r>
        <w:rPr>
          <w:rFonts w:hint="eastAsia" w:ascii="宋体" w:hAnsi="宋体" w:eastAsia="宋体" w:cs="宋体"/>
          <w:color w:val="auto"/>
          <w:sz w:val="24"/>
          <w:szCs w:val="24"/>
          <w:highlight w:val="none"/>
          <w:lang w:val="en-US" w:eastAsia="zh-CN" w:bidi="zh-CN"/>
        </w:rPr>
        <w:br w:type="textWrapping"/>
      </w:r>
      <w:r>
        <w:rPr>
          <w:rFonts w:hint="eastAsia" w:ascii="宋体" w:hAnsi="宋体" w:eastAsia="宋体" w:cs="宋体"/>
          <w:color w:val="auto"/>
          <w:sz w:val="24"/>
          <w:szCs w:val="24"/>
          <w:highlight w:val="none"/>
          <w:lang w:val="en-US" w:eastAsia="zh-CN" w:bidi="zh-CN"/>
        </w:rPr>
        <w:t>（4）财务状况报告：提供2023或2024年度财务审计报告(成立时间至提交投标文件截止时间不足1年的可提供成立后任意时段的资产负债表），或提交投标文件截止时间近三个月内或其基本存款账户开户银行出具的资信证明及基本存款账户开户许可证（基本账户信息表）；</w:t>
      </w:r>
      <w:r>
        <w:rPr>
          <w:rFonts w:hint="eastAsia" w:ascii="宋体" w:hAnsi="宋体" w:eastAsia="宋体" w:cs="宋体"/>
          <w:color w:val="auto"/>
          <w:sz w:val="24"/>
          <w:szCs w:val="24"/>
          <w:highlight w:val="none"/>
          <w:lang w:val="en-US" w:eastAsia="zh-CN" w:bidi="zh-CN"/>
        </w:rPr>
        <w:br w:type="textWrapping"/>
      </w:r>
      <w:r>
        <w:rPr>
          <w:rFonts w:hint="eastAsia" w:ascii="宋体" w:hAnsi="宋体" w:eastAsia="宋体" w:cs="宋体"/>
          <w:color w:val="auto"/>
          <w:sz w:val="24"/>
          <w:szCs w:val="24"/>
          <w:highlight w:val="none"/>
          <w:lang w:val="en-US" w:eastAsia="zh-CN" w:bidi="zh-CN"/>
        </w:rPr>
        <w:t>（5）社会保障资金缴纳证明：自2024年6月1日以来已缴存的至少1个月的社会保障资金缴存单据或社保机构开具的社会保险参保缴费情况证明。依法不需要缴纳社会保障资金的供应商应提供相关文件证明；</w:t>
      </w:r>
      <w:r>
        <w:rPr>
          <w:rFonts w:hint="eastAsia" w:ascii="宋体" w:hAnsi="宋体" w:eastAsia="宋体" w:cs="宋体"/>
          <w:color w:val="auto"/>
          <w:sz w:val="24"/>
          <w:szCs w:val="24"/>
          <w:highlight w:val="none"/>
          <w:lang w:val="en-US" w:eastAsia="zh-CN" w:bidi="zh-CN"/>
        </w:rPr>
        <w:br w:type="textWrapping"/>
      </w:r>
      <w:r>
        <w:rPr>
          <w:rFonts w:hint="eastAsia" w:ascii="宋体" w:hAnsi="宋体" w:eastAsia="宋体" w:cs="宋体"/>
          <w:color w:val="auto"/>
          <w:sz w:val="24"/>
          <w:szCs w:val="24"/>
          <w:highlight w:val="none"/>
          <w:lang w:val="en-US" w:eastAsia="zh-CN" w:bidi="zh-CN"/>
        </w:rPr>
        <w:t>（6）税收缴纳证明：自2024年6月1日以来不少于1个月的完税证明（任意税种）；依法免税的供应商应提供相关文件证明；</w:t>
      </w:r>
      <w:r>
        <w:rPr>
          <w:rFonts w:hint="eastAsia" w:ascii="宋体" w:hAnsi="宋体" w:eastAsia="宋体" w:cs="宋体"/>
          <w:color w:val="auto"/>
          <w:sz w:val="24"/>
          <w:szCs w:val="24"/>
          <w:highlight w:val="none"/>
          <w:lang w:val="en-US" w:eastAsia="zh-CN" w:bidi="zh-CN"/>
        </w:rPr>
        <w:br w:type="textWrapping"/>
      </w:r>
      <w:r>
        <w:rPr>
          <w:rFonts w:hint="eastAsia" w:ascii="宋体" w:hAnsi="宋体" w:eastAsia="宋体" w:cs="宋体"/>
          <w:color w:val="auto"/>
          <w:sz w:val="24"/>
          <w:szCs w:val="24"/>
          <w:highlight w:val="none"/>
          <w:lang w:val="en-US" w:eastAsia="zh-CN" w:bidi="zh-CN"/>
        </w:rPr>
        <w:t>（7）参加本次政府采购活动前三年内在经营活动中没有重大违纪，以及未被列入失信被执行人、重大税收违法案件当事人名单（或重大税收违法失信主体名单）、政府采购严重违法失信行为记录名单的书面声明；</w:t>
      </w:r>
      <w:r>
        <w:rPr>
          <w:rFonts w:hint="eastAsia" w:ascii="宋体" w:hAnsi="宋体" w:eastAsia="宋体" w:cs="宋体"/>
          <w:color w:val="auto"/>
          <w:sz w:val="24"/>
          <w:szCs w:val="24"/>
          <w:highlight w:val="none"/>
          <w:lang w:val="en-US" w:eastAsia="zh-CN" w:bidi="zh-CN"/>
        </w:rPr>
        <w:br w:type="textWrapping"/>
      </w:r>
      <w:r>
        <w:rPr>
          <w:rFonts w:hint="eastAsia" w:ascii="宋体" w:hAnsi="宋体" w:eastAsia="宋体" w:cs="宋体"/>
          <w:color w:val="auto"/>
          <w:sz w:val="24"/>
          <w:szCs w:val="24"/>
          <w:highlight w:val="none"/>
          <w:lang w:val="en-US" w:eastAsia="zh-CN" w:bidi="zh-CN"/>
        </w:rPr>
        <w:t>（8）通过“信用中国”网站（www.creditchina.gov.cn）和中国政府采购网（www.ccgp.gov.cn）等渠道查询相关主体信用记录，对列入失信被执行人、重大税收违法案件当事人名单（或重大税收违法失信主体名单）、政府采购严重违法失信行为记录名单的供应商，将拒绝其参与政府采购活动；</w:t>
      </w:r>
      <w:r>
        <w:rPr>
          <w:rFonts w:hint="eastAsia" w:ascii="宋体" w:hAnsi="宋体" w:eastAsia="宋体" w:cs="宋体"/>
          <w:color w:val="auto"/>
          <w:sz w:val="24"/>
          <w:szCs w:val="24"/>
          <w:highlight w:val="none"/>
          <w:lang w:val="en-US" w:eastAsia="zh-CN" w:bidi="zh-CN"/>
        </w:rPr>
        <w:br w:type="textWrapping"/>
      </w:r>
      <w:r>
        <w:rPr>
          <w:rFonts w:hint="eastAsia" w:ascii="宋体" w:hAnsi="宋体" w:eastAsia="宋体" w:cs="宋体"/>
          <w:color w:val="auto"/>
          <w:sz w:val="24"/>
          <w:szCs w:val="24"/>
          <w:highlight w:val="none"/>
          <w:lang w:val="en-US" w:eastAsia="zh-CN" w:bidi="zh-CN"/>
        </w:rPr>
        <w:t>（9）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23734084">
      <w:pPr>
        <w:pStyle w:val="4"/>
        <w:keepNext w:val="0"/>
        <w:keepLines w:val="0"/>
        <w:pageBreakBefore w:val="0"/>
        <w:kinsoku/>
        <w:wordWrap/>
        <w:overflowPunct/>
        <w:topLinePunct w:val="0"/>
        <w:bidi w:val="0"/>
        <w:adjustRightInd/>
        <w:snapToGrid/>
        <w:spacing w:before="0" w:after="0" w:line="240" w:lineRule="auto"/>
        <w:ind w:left="0" w:leftChars="0" w:right="0" w:rightChars="0"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三、获取采购文件</w:t>
      </w:r>
      <w:bookmarkEnd w:id="13"/>
      <w:bookmarkEnd w:id="14"/>
      <w:bookmarkEnd w:id="15"/>
      <w:bookmarkEnd w:id="16"/>
    </w:p>
    <w:p w14:paraId="2C090D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bookmarkStart w:id="17" w:name="_Toc35393632"/>
      <w:bookmarkStart w:id="18" w:name="_Toc28359092"/>
      <w:bookmarkStart w:id="19" w:name="_Toc28359015"/>
      <w:bookmarkStart w:id="20" w:name="_Toc35393801"/>
      <w:r>
        <w:rPr>
          <w:rFonts w:hint="eastAsia" w:ascii="宋体" w:hAnsi="宋体" w:eastAsia="宋体" w:cs="宋体"/>
          <w:color w:val="auto"/>
          <w:sz w:val="24"/>
          <w:szCs w:val="24"/>
          <w:highlight w:val="none"/>
        </w:rPr>
        <w:t>时间：202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日至202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26</w:t>
      </w:r>
      <w:r>
        <w:rPr>
          <w:rFonts w:hint="eastAsia" w:ascii="宋体" w:hAnsi="宋体" w:eastAsia="宋体" w:cs="宋体"/>
          <w:color w:val="auto"/>
          <w:sz w:val="24"/>
          <w:szCs w:val="24"/>
          <w:highlight w:val="none"/>
        </w:rPr>
        <w:t>日，每天上午09:00:00至12:00:00，下午14:00:00至17:00:00（北京时间,法定节假日除外）</w:t>
      </w:r>
    </w:p>
    <w:p w14:paraId="07BAD19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途径：宝泽项目管理有限公司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电子邮箱</w:t>
      </w:r>
      <w:r>
        <w:rPr>
          <w:rFonts w:hint="eastAsia" w:ascii="宋体" w:hAnsi="宋体" w:eastAsia="宋体" w:cs="宋体"/>
          <w:color w:val="auto"/>
          <w:sz w:val="24"/>
          <w:szCs w:val="24"/>
          <w:highlight w:val="none"/>
          <w:lang w:eastAsia="zh-CN"/>
        </w:rPr>
        <w:t>）</w:t>
      </w:r>
    </w:p>
    <w:p w14:paraId="3B6B399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方式：</w:t>
      </w:r>
      <w:r>
        <w:rPr>
          <w:rFonts w:hint="eastAsia" w:ascii="宋体" w:hAnsi="宋体" w:eastAsia="宋体" w:cs="宋体"/>
          <w:color w:val="auto"/>
          <w:sz w:val="24"/>
          <w:szCs w:val="24"/>
          <w:highlight w:val="none"/>
          <w:lang w:val="en-US" w:eastAsia="zh-CN"/>
        </w:rPr>
        <w:t>在线获取</w:t>
      </w:r>
    </w:p>
    <w:p w14:paraId="26A05F0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售价：每套0元</w:t>
      </w:r>
    </w:p>
    <w:p w14:paraId="6412949E">
      <w:pPr>
        <w:pStyle w:val="4"/>
        <w:keepNext w:val="0"/>
        <w:keepLines w:val="0"/>
        <w:pageBreakBefore w:val="0"/>
        <w:kinsoku/>
        <w:wordWrap/>
        <w:overflowPunct/>
        <w:topLinePunct w:val="0"/>
        <w:bidi w:val="0"/>
        <w:adjustRightInd/>
        <w:snapToGrid/>
        <w:spacing w:before="0" w:after="0" w:line="240" w:lineRule="auto"/>
        <w:ind w:left="0" w:leftChars="0" w:right="0" w:rightChars="0" w:firstLine="482" w:firstLineChars="200"/>
        <w:jc w:val="both"/>
        <w:textAlignment w:val="auto"/>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四、响应文件提交</w:t>
      </w:r>
      <w:bookmarkEnd w:id="17"/>
      <w:bookmarkEnd w:id="18"/>
      <w:bookmarkEnd w:id="19"/>
      <w:bookmarkEnd w:id="20"/>
    </w:p>
    <w:p w14:paraId="1BE1E5A1">
      <w:pPr>
        <w:pStyle w:val="4"/>
        <w:keepNext w:val="0"/>
        <w:keepLines w:val="0"/>
        <w:pageBreakBefore w:val="0"/>
        <w:kinsoku/>
        <w:wordWrap/>
        <w:overflowPunct/>
        <w:topLinePunct w:val="0"/>
        <w:bidi w:val="0"/>
        <w:adjustRightInd/>
        <w:snapToGrid/>
        <w:spacing w:before="0" w:after="0" w:line="240" w:lineRule="auto"/>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bidi="zh-CN"/>
        </w:rPr>
      </w:pPr>
      <w:bookmarkStart w:id="21" w:name="_Toc35393633"/>
      <w:bookmarkStart w:id="22" w:name="_Toc35393802"/>
      <w:bookmarkStart w:id="23" w:name="_Toc28359016"/>
      <w:bookmarkStart w:id="24" w:name="_Toc28359093"/>
      <w:r>
        <w:rPr>
          <w:rFonts w:hint="eastAsia" w:ascii="宋体" w:hAnsi="宋体" w:eastAsia="宋体" w:cs="宋体"/>
          <w:b w:val="0"/>
          <w:bCs w:val="0"/>
          <w:color w:val="auto"/>
          <w:sz w:val="24"/>
          <w:szCs w:val="24"/>
          <w:highlight w:val="none"/>
          <w:lang w:val="en-US" w:eastAsia="zh-CN" w:bidi="zh-CN"/>
        </w:rPr>
        <w:t>截止时间：2025年6月30日9时00分00秒（北京时间）</w:t>
      </w:r>
    </w:p>
    <w:p w14:paraId="55F14B5A">
      <w:pPr>
        <w:pStyle w:val="4"/>
        <w:keepNext w:val="0"/>
        <w:keepLines w:val="0"/>
        <w:pageBreakBefore w:val="0"/>
        <w:kinsoku/>
        <w:wordWrap/>
        <w:overflowPunct/>
        <w:topLinePunct w:val="0"/>
        <w:bidi w:val="0"/>
        <w:adjustRightInd/>
        <w:snapToGrid/>
        <w:spacing w:before="0" w:after="0" w:line="240" w:lineRule="auto"/>
        <w:ind w:left="0" w:leftChars="0" w:right="0" w:rightChars="0" w:firstLine="480" w:firstLineChars="200"/>
        <w:jc w:val="both"/>
        <w:textAlignment w:val="auto"/>
        <w:rPr>
          <w:rFonts w:hint="default" w:ascii="宋体" w:hAnsi="宋体" w:eastAsia="宋体" w:cs="宋体"/>
          <w:b w:val="0"/>
          <w:bCs w:val="0"/>
          <w:color w:val="auto"/>
          <w:sz w:val="24"/>
          <w:szCs w:val="24"/>
          <w:highlight w:val="none"/>
          <w:lang w:val="en-US" w:eastAsia="zh-CN" w:bidi="zh-CN"/>
        </w:rPr>
      </w:pPr>
      <w:r>
        <w:rPr>
          <w:rFonts w:hint="eastAsia" w:ascii="宋体" w:hAnsi="宋体" w:eastAsia="宋体" w:cs="宋体"/>
          <w:b w:val="0"/>
          <w:bCs w:val="0"/>
          <w:color w:val="auto"/>
          <w:sz w:val="24"/>
          <w:szCs w:val="24"/>
          <w:highlight w:val="none"/>
          <w:lang w:val="en-US" w:eastAsia="zh-CN" w:bidi="zh-CN"/>
        </w:rPr>
        <w:t>地点：安康市国贸酒店4楼会议室</w:t>
      </w:r>
    </w:p>
    <w:p w14:paraId="23E66A80">
      <w:pPr>
        <w:pStyle w:val="4"/>
        <w:keepNext w:val="0"/>
        <w:keepLines w:val="0"/>
        <w:pageBreakBefore w:val="0"/>
        <w:kinsoku/>
        <w:wordWrap/>
        <w:overflowPunct/>
        <w:topLinePunct w:val="0"/>
        <w:bidi w:val="0"/>
        <w:adjustRightInd/>
        <w:snapToGrid/>
        <w:spacing w:before="0" w:after="0" w:line="240" w:lineRule="auto"/>
        <w:ind w:left="0" w:leftChars="0" w:right="0" w:rightChars="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五、开启</w:t>
      </w:r>
      <w:bookmarkEnd w:id="21"/>
      <w:bookmarkEnd w:id="22"/>
      <w:bookmarkEnd w:id="23"/>
      <w:bookmarkEnd w:id="24"/>
    </w:p>
    <w:p w14:paraId="6F1A6373">
      <w:pPr>
        <w:pStyle w:val="4"/>
        <w:keepNext w:val="0"/>
        <w:keepLines w:val="0"/>
        <w:pageBreakBefore w:val="0"/>
        <w:kinsoku/>
        <w:wordWrap/>
        <w:overflowPunct/>
        <w:topLinePunct w:val="0"/>
        <w:bidi w:val="0"/>
        <w:adjustRightInd/>
        <w:snapToGrid/>
        <w:spacing w:before="0" w:after="0" w:line="240" w:lineRule="auto"/>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bidi="zh-CN"/>
        </w:rPr>
      </w:pPr>
      <w:bookmarkStart w:id="25" w:name="_Toc35393634"/>
      <w:bookmarkStart w:id="26" w:name="_Toc28359094"/>
      <w:bookmarkStart w:id="27" w:name="_Toc35393803"/>
      <w:bookmarkStart w:id="28" w:name="_Toc28359017"/>
      <w:r>
        <w:rPr>
          <w:rFonts w:hint="eastAsia" w:ascii="宋体" w:hAnsi="宋体" w:eastAsia="宋体" w:cs="宋体"/>
          <w:b w:val="0"/>
          <w:bCs w:val="0"/>
          <w:color w:val="auto"/>
          <w:sz w:val="24"/>
          <w:szCs w:val="24"/>
          <w:highlight w:val="none"/>
          <w:lang w:val="en-US" w:eastAsia="zh-CN" w:bidi="zh-CN"/>
        </w:rPr>
        <w:t>时间：2025年6月30日9时00分00秒（北京时间）</w:t>
      </w:r>
    </w:p>
    <w:p w14:paraId="359905D1">
      <w:pPr>
        <w:pStyle w:val="4"/>
        <w:keepNext w:val="0"/>
        <w:keepLines w:val="0"/>
        <w:pageBreakBefore w:val="0"/>
        <w:kinsoku/>
        <w:wordWrap/>
        <w:overflowPunct/>
        <w:topLinePunct w:val="0"/>
        <w:bidi w:val="0"/>
        <w:adjustRightInd/>
        <w:snapToGrid/>
        <w:spacing w:before="0" w:after="0" w:line="240" w:lineRule="auto"/>
        <w:ind w:left="0" w:leftChars="0" w:right="0" w:rightChars="0" w:firstLine="480" w:firstLineChars="200"/>
        <w:jc w:val="both"/>
        <w:textAlignment w:val="auto"/>
        <w:rPr>
          <w:rFonts w:hint="eastAsia" w:ascii="宋体" w:hAnsi="宋体" w:eastAsia="宋体" w:cs="宋体"/>
          <w:b w:val="0"/>
          <w:bCs w:val="0"/>
          <w:color w:val="auto"/>
          <w:sz w:val="24"/>
          <w:szCs w:val="24"/>
          <w:highlight w:val="none"/>
          <w:lang w:val="en-US" w:eastAsia="zh-CN" w:bidi="zh-CN"/>
        </w:rPr>
      </w:pPr>
      <w:r>
        <w:rPr>
          <w:rFonts w:hint="eastAsia" w:ascii="宋体" w:hAnsi="宋体" w:eastAsia="宋体" w:cs="宋体"/>
          <w:b w:val="0"/>
          <w:bCs w:val="0"/>
          <w:color w:val="auto"/>
          <w:sz w:val="24"/>
          <w:szCs w:val="24"/>
          <w:highlight w:val="none"/>
          <w:lang w:val="zh-CN" w:eastAsia="zh-CN" w:bidi="zh-CN"/>
        </w:rPr>
        <w:t>地点</w:t>
      </w:r>
      <w:r>
        <w:rPr>
          <w:rFonts w:hint="eastAsia" w:ascii="宋体" w:hAnsi="宋体" w:eastAsia="宋体" w:cs="宋体"/>
          <w:b w:val="0"/>
          <w:bCs w:val="0"/>
          <w:color w:val="auto"/>
          <w:sz w:val="24"/>
          <w:szCs w:val="24"/>
          <w:highlight w:val="none"/>
          <w:lang w:val="en-US" w:eastAsia="zh-CN" w:bidi="zh-CN"/>
        </w:rPr>
        <w:t>：安康市国贸酒店4楼会议室</w:t>
      </w:r>
    </w:p>
    <w:p w14:paraId="04101260">
      <w:pPr>
        <w:pStyle w:val="4"/>
        <w:keepNext w:val="0"/>
        <w:keepLines w:val="0"/>
        <w:pageBreakBefore w:val="0"/>
        <w:kinsoku/>
        <w:wordWrap/>
        <w:overflowPunct/>
        <w:topLinePunct w:val="0"/>
        <w:bidi w:val="0"/>
        <w:adjustRightInd/>
        <w:snapToGrid/>
        <w:spacing w:before="0" w:after="0" w:line="240" w:lineRule="auto"/>
        <w:ind w:left="0" w:leftChars="0" w:right="0" w:rightChars="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六、公告期限</w:t>
      </w:r>
      <w:bookmarkEnd w:id="25"/>
      <w:bookmarkEnd w:id="26"/>
      <w:bookmarkEnd w:id="27"/>
      <w:bookmarkEnd w:id="28"/>
    </w:p>
    <w:p w14:paraId="4587495B">
      <w:pPr>
        <w:keepNext w:val="0"/>
        <w:keepLines w:val="0"/>
        <w:pageBreakBefore w:val="0"/>
        <w:kinsoku/>
        <w:wordWrap/>
        <w:overflowPunct/>
        <w:topLinePunct w:val="0"/>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自本公告发布之日起3个工作日。</w:t>
      </w:r>
      <w:bookmarkStart w:id="29" w:name="_Toc35393635"/>
      <w:bookmarkStart w:id="30" w:name="_Toc35393804"/>
    </w:p>
    <w:p w14:paraId="64472D01">
      <w:pPr>
        <w:keepNext w:val="0"/>
        <w:keepLines w:val="0"/>
        <w:pageBreakBefore w:val="0"/>
        <w:numPr>
          <w:ilvl w:val="0"/>
          <w:numId w:val="0"/>
        </w:numPr>
        <w:kinsoku/>
        <w:wordWrap/>
        <w:overflowPunct/>
        <w:topLinePunct w:val="0"/>
        <w:bidi w:val="0"/>
        <w:adjustRightInd/>
        <w:snapToGrid/>
        <w:spacing w:line="240" w:lineRule="auto"/>
        <w:ind w:left="0" w:leftChars="0" w:right="0" w:rightChars="0" w:firstLine="482"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七、其他补充事宜</w:t>
      </w:r>
      <w:bookmarkEnd w:id="29"/>
      <w:bookmarkEnd w:id="30"/>
      <w:bookmarkStart w:id="31" w:name="_Toc35393805"/>
      <w:bookmarkStart w:id="32" w:name="_Toc35393636"/>
      <w:bookmarkStart w:id="33" w:name="_Toc28359018"/>
      <w:bookmarkStart w:id="34" w:name="_Toc28359095"/>
    </w:p>
    <w:p w14:paraId="2089D5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投标人须在</w:t>
      </w:r>
      <w:r>
        <w:rPr>
          <w:rFonts w:hint="eastAsia" w:ascii="宋体" w:hAnsi="宋体" w:eastAsia="宋体" w:cs="宋体"/>
          <w:color w:val="auto"/>
          <w:sz w:val="24"/>
          <w:szCs w:val="24"/>
          <w:highlight w:val="none"/>
          <w:lang w:val="en-US" w:eastAsia="zh-CN"/>
        </w:rPr>
        <w:t>谈判</w:t>
      </w:r>
      <w:r>
        <w:rPr>
          <w:rFonts w:hint="eastAsia" w:ascii="宋体" w:hAnsi="宋体" w:eastAsia="宋体" w:cs="宋体"/>
          <w:color w:val="auto"/>
          <w:sz w:val="24"/>
          <w:szCs w:val="24"/>
          <w:highlight w:val="none"/>
        </w:rPr>
        <w:t>文件发售时间内将加盖单位公章的法人授权书、法人及被授权人身份证复印件、营业执照发送至</w:t>
      </w:r>
      <w:r>
        <w:rPr>
          <w:rFonts w:hint="eastAsia" w:ascii="宋体" w:hAnsi="宋体" w:eastAsia="宋体" w:cs="宋体"/>
          <w:color w:val="auto"/>
          <w:sz w:val="24"/>
          <w:szCs w:val="24"/>
          <w:highlight w:val="none"/>
          <w:lang w:val="en-US" w:eastAsia="zh-CN"/>
        </w:rPr>
        <w:t>宝泽项目管理有限公司（757903418@qq.com）邮箱</w:t>
      </w:r>
      <w:r>
        <w:rPr>
          <w:rFonts w:hint="eastAsia" w:ascii="宋体" w:hAnsi="宋体" w:eastAsia="宋体" w:cs="宋体"/>
          <w:color w:val="auto"/>
          <w:sz w:val="24"/>
          <w:szCs w:val="24"/>
          <w:highlight w:val="none"/>
        </w:rPr>
        <w:t>，进行投标确认，否则报名无效。</w:t>
      </w:r>
    </w:p>
    <w:p w14:paraId="5F83CC5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w:t>
      </w:r>
    </w:p>
    <w:p w14:paraId="0A41E44C">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（1）《政府采购促进中小企业发展管理办法》（财库〔2020〕46号）；</w:t>
      </w:r>
    </w:p>
    <w:p w14:paraId="1FC797BE">
      <w:pPr>
        <w:pStyle w:val="30"/>
        <w:keepNext w:val="0"/>
        <w:keepLines w:val="0"/>
        <w:pageBreakBefore w:val="0"/>
        <w:kinsoku/>
        <w:wordWrap/>
        <w:overflowPunct/>
        <w:topLinePunct w:val="0"/>
        <w:bidi w:val="0"/>
        <w:adjustRightInd/>
        <w:snapToGrid/>
        <w:spacing w:before="0" w:beforeAutospacing="0" w:after="0" w:afterAutospacing="0" w:line="240" w:lineRule="auto"/>
        <w:ind w:right="0" w:rightChars="0"/>
        <w:jc w:val="both"/>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（2）《财政部司法部关于政府采购支持监狱企业发展有关问题的通知》（财库〔2014〕68号）；</w:t>
      </w:r>
    </w:p>
    <w:p w14:paraId="1470B151">
      <w:pPr>
        <w:pStyle w:val="30"/>
        <w:keepNext w:val="0"/>
        <w:keepLines w:val="0"/>
        <w:pageBreakBefore w:val="0"/>
        <w:kinsoku/>
        <w:wordWrap/>
        <w:overflowPunct/>
        <w:topLinePunct w:val="0"/>
        <w:bidi w:val="0"/>
        <w:adjustRightInd/>
        <w:snapToGrid/>
        <w:spacing w:before="0" w:beforeAutospacing="0" w:after="0" w:afterAutospacing="0" w:line="240" w:lineRule="auto"/>
        <w:ind w:right="0" w:rightChars="0"/>
        <w:jc w:val="both"/>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（3）《国务院办公厅关于建立政府强制采购节能产品制度的通知》（国办发〔2007〕51号）；</w:t>
      </w:r>
    </w:p>
    <w:p w14:paraId="421BAB7D">
      <w:pPr>
        <w:pStyle w:val="30"/>
        <w:keepNext w:val="0"/>
        <w:keepLines w:val="0"/>
        <w:pageBreakBefore w:val="0"/>
        <w:kinsoku/>
        <w:wordWrap/>
        <w:overflowPunct/>
        <w:topLinePunct w:val="0"/>
        <w:bidi w:val="0"/>
        <w:adjustRightInd/>
        <w:snapToGrid/>
        <w:spacing w:before="0" w:beforeAutospacing="0" w:after="0" w:afterAutospacing="0" w:line="240" w:lineRule="auto"/>
        <w:ind w:right="0" w:rightChars="0"/>
        <w:jc w:val="both"/>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（4）《关于印发环境标志产品政府采购品目清单的通知》（财库〔2019〕18号）；</w:t>
      </w:r>
    </w:p>
    <w:p w14:paraId="01C744F8">
      <w:pPr>
        <w:pStyle w:val="30"/>
        <w:keepNext w:val="0"/>
        <w:keepLines w:val="0"/>
        <w:pageBreakBefore w:val="0"/>
        <w:kinsoku/>
        <w:wordWrap/>
        <w:overflowPunct/>
        <w:topLinePunct w:val="0"/>
        <w:bidi w:val="0"/>
        <w:adjustRightInd/>
        <w:snapToGrid/>
        <w:spacing w:before="0" w:beforeAutospacing="0" w:after="0" w:afterAutospacing="0" w:line="240" w:lineRule="auto"/>
        <w:ind w:right="0" w:rightChars="0"/>
        <w:jc w:val="both"/>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（5）《关于印发节能产品政府采购品目清单的通知》（财库〔2019〕19号）；</w:t>
      </w:r>
    </w:p>
    <w:p w14:paraId="2291FA59">
      <w:pPr>
        <w:pStyle w:val="30"/>
        <w:keepNext w:val="0"/>
        <w:keepLines w:val="0"/>
        <w:pageBreakBefore w:val="0"/>
        <w:kinsoku/>
        <w:wordWrap/>
        <w:overflowPunct/>
        <w:topLinePunct w:val="0"/>
        <w:bidi w:val="0"/>
        <w:adjustRightInd/>
        <w:snapToGrid/>
        <w:spacing w:before="0" w:beforeAutospacing="0" w:after="0" w:afterAutospacing="0" w:line="240" w:lineRule="auto"/>
        <w:ind w:right="0" w:rightChars="0"/>
        <w:jc w:val="both"/>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（6）《关于促进残疾人就业政府采购政策的通知》财库〔2017〕141号；</w:t>
      </w:r>
    </w:p>
    <w:p w14:paraId="6075CA9C">
      <w:pPr>
        <w:pStyle w:val="30"/>
        <w:keepNext w:val="0"/>
        <w:keepLines w:val="0"/>
        <w:pageBreakBefore w:val="0"/>
        <w:kinsoku/>
        <w:wordWrap/>
        <w:overflowPunct/>
        <w:topLinePunct w:val="0"/>
        <w:bidi w:val="0"/>
        <w:adjustRightInd/>
        <w:snapToGrid/>
        <w:spacing w:before="0" w:beforeAutospacing="0" w:after="0" w:afterAutospacing="0" w:line="240" w:lineRule="auto"/>
        <w:ind w:right="0" w:rightChars="0"/>
        <w:jc w:val="both"/>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（7）《关于调整优化节能产品、环境标志产品政府采购执行机制的通知》（财库〔2019〕9号）；</w:t>
      </w:r>
    </w:p>
    <w:p w14:paraId="5D7023ED">
      <w:pPr>
        <w:pStyle w:val="30"/>
        <w:keepNext w:val="0"/>
        <w:keepLines w:val="0"/>
        <w:pageBreakBefore w:val="0"/>
        <w:kinsoku/>
        <w:wordWrap/>
        <w:overflowPunct/>
        <w:topLinePunct w:val="0"/>
        <w:bidi w:val="0"/>
        <w:adjustRightInd/>
        <w:snapToGrid/>
        <w:spacing w:before="0" w:beforeAutospacing="0" w:after="0" w:afterAutospacing="0" w:line="240" w:lineRule="auto"/>
        <w:ind w:right="0" w:rightChars="0"/>
        <w:jc w:val="both"/>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（8）《财政部农业农村部国家乡村振兴局关于运用政府采购政策支持乡村产业振兴的通知》（财库〔2021〕19号）；</w:t>
      </w:r>
    </w:p>
    <w:p w14:paraId="403C667A">
      <w:pPr>
        <w:pStyle w:val="30"/>
        <w:keepNext w:val="0"/>
        <w:keepLines w:val="0"/>
        <w:pageBreakBefore w:val="0"/>
        <w:kinsoku/>
        <w:wordWrap/>
        <w:overflowPunct/>
        <w:topLinePunct w:val="0"/>
        <w:bidi w:val="0"/>
        <w:adjustRightInd/>
        <w:snapToGrid/>
        <w:spacing w:before="0" w:beforeAutospacing="0" w:after="0" w:afterAutospacing="0" w:line="240" w:lineRule="auto"/>
        <w:ind w:right="0" w:rightChars="0"/>
        <w:jc w:val="both"/>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（9）《陕西省中小企业政府采购信用融资办法》（陕财办采〔2018〕23号）；</w:t>
      </w:r>
    </w:p>
    <w:p w14:paraId="5B342B68">
      <w:pPr>
        <w:pStyle w:val="30"/>
        <w:keepNext w:val="0"/>
        <w:keepLines w:val="0"/>
        <w:pageBreakBefore w:val="0"/>
        <w:kinsoku/>
        <w:wordWrap/>
        <w:overflowPunct/>
        <w:topLinePunct w:val="0"/>
        <w:bidi w:val="0"/>
        <w:adjustRightInd/>
        <w:snapToGrid/>
        <w:spacing w:before="0" w:beforeAutospacing="0" w:after="0" w:afterAutospacing="0" w:line="240" w:lineRule="auto"/>
        <w:ind w:right="0" w:rightChars="0"/>
        <w:jc w:val="both"/>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（10）《陕西省财政厅关于加快推进我省中小企业政府采购信用融资工作的通知》（陕财办采〔2020〕15号）；</w:t>
      </w:r>
    </w:p>
    <w:p w14:paraId="580C801D">
      <w:pPr>
        <w:pStyle w:val="30"/>
        <w:keepNext w:val="0"/>
        <w:keepLines w:val="0"/>
        <w:pageBreakBefore w:val="0"/>
        <w:kinsoku/>
        <w:wordWrap/>
        <w:overflowPunct/>
        <w:topLinePunct w:val="0"/>
        <w:bidi w:val="0"/>
        <w:adjustRightInd/>
        <w:snapToGrid/>
        <w:spacing w:before="0" w:beforeAutospacing="0" w:after="0" w:afterAutospacing="0" w:line="240" w:lineRule="auto"/>
        <w:ind w:right="0" w:rightChars="0"/>
        <w:jc w:val="both"/>
        <w:textAlignment w:val="auto"/>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（11）陕西省财政厅《关于进一步加强政府绿色采购有关问题的通知》陕财办采〔2021〕29号。</w:t>
      </w:r>
    </w:p>
    <w:p w14:paraId="2D561D4F">
      <w:pPr>
        <w:keepNext w:val="0"/>
        <w:keepLines w:val="0"/>
        <w:pageBreakBefore w:val="0"/>
        <w:numPr>
          <w:ilvl w:val="0"/>
          <w:numId w:val="0"/>
        </w:numPr>
        <w:kinsoku/>
        <w:wordWrap/>
        <w:overflowPunct/>
        <w:topLinePunct w:val="0"/>
        <w:bidi w:val="0"/>
        <w:adjustRightInd/>
        <w:snapToGrid/>
        <w:spacing w:line="240" w:lineRule="auto"/>
        <w:ind w:left="0" w:leftChars="0" w:right="0" w:rightChars="0" w:firstLine="482" w:firstLineChars="200"/>
        <w:jc w:val="both"/>
        <w:textAlignment w:val="auto"/>
        <w:rPr>
          <w:rFonts w:hint="eastAsia" w:ascii="宋体" w:hAnsi="宋体" w:eastAsia="宋体" w:cs="宋体"/>
          <w:b/>
          <w:bCs/>
          <w:color w:val="auto"/>
          <w:kern w:val="0"/>
          <w:sz w:val="24"/>
          <w:szCs w:val="24"/>
          <w:highlight w:val="none"/>
          <w:lang w:val="en-US" w:eastAsia="zh-CN" w:bidi="zh-CN"/>
        </w:rPr>
      </w:pPr>
      <w:r>
        <w:rPr>
          <w:rFonts w:hint="eastAsia" w:ascii="宋体" w:hAnsi="宋体" w:eastAsia="宋体" w:cs="宋体"/>
          <w:b/>
          <w:bCs/>
          <w:color w:val="auto"/>
          <w:kern w:val="0"/>
          <w:sz w:val="24"/>
          <w:szCs w:val="24"/>
          <w:highlight w:val="none"/>
          <w:lang w:val="en-US" w:eastAsia="zh-CN" w:bidi="zh-CN"/>
        </w:rPr>
        <w:t>八、凡对本次采购提出询问，请按以下方式联系</w:t>
      </w:r>
      <w:bookmarkEnd w:id="31"/>
      <w:bookmarkEnd w:id="32"/>
      <w:bookmarkEnd w:id="33"/>
      <w:bookmarkEnd w:id="34"/>
    </w:p>
    <w:p w14:paraId="70612078">
      <w:pPr>
        <w:pStyle w:val="5"/>
        <w:keepNext w:val="0"/>
        <w:keepLines w:val="0"/>
        <w:pageBreakBefore w:val="0"/>
        <w:kinsoku/>
        <w:wordWrap/>
        <w:overflowPunct/>
        <w:topLinePunct w:val="0"/>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lang w:val="en-US"/>
        </w:rPr>
        <w:t>采购</w:t>
      </w:r>
      <w:r>
        <w:rPr>
          <w:rFonts w:hint="eastAsia" w:ascii="宋体" w:hAnsi="宋体" w:eastAsia="宋体" w:cs="宋体"/>
          <w:color w:val="auto"/>
          <w:sz w:val="24"/>
          <w:szCs w:val="24"/>
          <w:highlight w:val="none"/>
          <w:lang w:val="zh-CN"/>
        </w:rPr>
        <w:t>人信息</w:t>
      </w:r>
    </w:p>
    <w:p w14:paraId="44D58A98">
      <w:pPr>
        <w:pStyle w:val="5"/>
        <w:keepNext w:val="0"/>
        <w:keepLines w:val="0"/>
        <w:pageBreakBefore w:val="0"/>
        <w:kinsoku/>
        <w:wordWrap/>
        <w:overflowPunct/>
        <w:topLinePunct w:val="0"/>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名称：镇坪县重点项目储备统建中心</w:t>
      </w:r>
    </w:p>
    <w:p w14:paraId="21373D5F">
      <w:pPr>
        <w:pStyle w:val="5"/>
        <w:keepNext w:val="0"/>
        <w:keepLines w:val="0"/>
        <w:pageBreakBefore w:val="0"/>
        <w:kinsoku/>
        <w:wordWrap/>
        <w:overflowPunct/>
        <w:topLinePunct w:val="0"/>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地址：陕西省安康市镇坪县政府办公大楼五楼</w:t>
      </w:r>
    </w:p>
    <w:p w14:paraId="4B303C1F">
      <w:pPr>
        <w:pStyle w:val="5"/>
        <w:keepNext w:val="0"/>
        <w:keepLines w:val="0"/>
        <w:pageBreakBefore w:val="0"/>
        <w:kinsoku/>
        <w:wordWrap/>
        <w:overflowPunct/>
        <w:topLinePunct w:val="0"/>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联系方式：</w:t>
      </w:r>
      <w:r>
        <w:rPr>
          <w:rFonts w:hint="eastAsia" w:ascii="宋体" w:hAnsi="宋体" w:eastAsia="宋体" w:cs="宋体"/>
          <w:color w:val="auto"/>
          <w:sz w:val="24"/>
          <w:szCs w:val="24"/>
          <w:highlight w:val="none"/>
          <w:lang w:val="zh-CN" w:eastAsia="zh-CN"/>
        </w:rPr>
        <w:t>18291521115</w:t>
      </w:r>
    </w:p>
    <w:p w14:paraId="0472D207">
      <w:pPr>
        <w:pStyle w:val="5"/>
        <w:keepNext w:val="0"/>
        <w:keepLines w:val="0"/>
        <w:pageBreakBefore w:val="0"/>
        <w:kinsoku/>
        <w:wordWrap/>
        <w:overflowPunct/>
        <w:topLinePunct w:val="0"/>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2.采购代理机构信息</w:t>
      </w:r>
    </w:p>
    <w:p w14:paraId="2D1FD47D">
      <w:pPr>
        <w:pStyle w:val="5"/>
        <w:keepNext w:val="0"/>
        <w:keepLines w:val="0"/>
        <w:pageBreakBefore w:val="0"/>
        <w:kinsoku/>
        <w:wordWrap/>
        <w:overflowPunct/>
        <w:topLinePunct w:val="0"/>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名称：</w:t>
      </w:r>
      <w:r>
        <w:rPr>
          <w:rFonts w:hint="eastAsia" w:ascii="宋体" w:hAnsi="宋体" w:eastAsia="宋体" w:cs="宋体"/>
          <w:b w:val="0"/>
          <w:bCs w:val="0"/>
          <w:color w:val="auto"/>
          <w:sz w:val="24"/>
          <w:szCs w:val="24"/>
          <w:highlight w:val="none"/>
          <w:lang w:val="en-US" w:eastAsia="zh-CN"/>
        </w:rPr>
        <w:t>宝泽项目管理有限公司</w:t>
      </w:r>
    </w:p>
    <w:p w14:paraId="189E0140">
      <w:pPr>
        <w:pStyle w:val="5"/>
        <w:keepNext w:val="0"/>
        <w:keepLines w:val="0"/>
        <w:pageBreakBefore w:val="0"/>
        <w:kinsoku/>
        <w:wordWrap/>
        <w:overflowPunct/>
        <w:topLinePunct w:val="0"/>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地址：</w:t>
      </w:r>
      <w:r>
        <w:rPr>
          <w:rFonts w:hint="eastAsia" w:ascii="宋体" w:hAnsi="宋体" w:eastAsia="宋体" w:cs="宋体"/>
          <w:b w:val="0"/>
          <w:bCs w:val="0"/>
          <w:color w:val="auto"/>
          <w:sz w:val="24"/>
          <w:szCs w:val="24"/>
          <w:highlight w:val="none"/>
          <w:lang w:val="en-US" w:eastAsia="zh-CN"/>
        </w:rPr>
        <w:t>陕西省西安市未央区未央路二府庄1号荣豪大厦1幢20楼5-154室</w:t>
      </w:r>
    </w:p>
    <w:p w14:paraId="6368D1A0">
      <w:pPr>
        <w:pStyle w:val="5"/>
        <w:keepNext w:val="0"/>
        <w:keepLines w:val="0"/>
        <w:pageBreakBefore w:val="0"/>
        <w:kinsoku/>
        <w:wordWrap/>
        <w:overflowPunct/>
        <w:topLinePunct w:val="0"/>
        <w:bidi w:val="0"/>
        <w:adjustRightInd/>
        <w:snapToGrid/>
        <w:spacing w:line="240" w:lineRule="auto"/>
        <w:ind w:left="0" w:leftChars="0" w:right="0" w:rightChars="0"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联系方式：</w:t>
      </w:r>
      <w:r>
        <w:rPr>
          <w:rFonts w:hint="eastAsia" w:ascii="宋体" w:hAnsi="宋体" w:cs="宋体"/>
          <w:color w:val="auto"/>
          <w:sz w:val="24"/>
          <w:szCs w:val="24"/>
          <w:highlight w:val="none"/>
          <w:lang w:val="en-US" w:eastAsia="zh-CN"/>
        </w:rPr>
        <w:t>13629256096</w:t>
      </w:r>
    </w:p>
    <w:p w14:paraId="48144692">
      <w:pPr>
        <w:pStyle w:val="5"/>
        <w:keepNext w:val="0"/>
        <w:keepLines w:val="0"/>
        <w:pageBreakBefore w:val="0"/>
        <w:kinsoku/>
        <w:wordWrap/>
        <w:overflowPunct/>
        <w:topLinePunct w:val="0"/>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3.项目联系方式</w:t>
      </w:r>
    </w:p>
    <w:p w14:paraId="6AF4BD3E">
      <w:pPr>
        <w:pStyle w:val="5"/>
        <w:keepNext w:val="0"/>
        <w:keepLines w:val="0"/>
        <w:pageBreakBefore w:val="0"/>
        <w:kinsoku/>
        <w:wordWrap/>
        <w:overflowPunct/>
        <w:topLinePunct w:val="0"/>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项目联系人：</w:t>
      </w:r>
      <w:r>
        <w:rPr>
          <w:rFonts w:hint="eastAsia" w:ascii="宋体" w:hAnsi="宋体" w:cs="宋体"/>
          <w:color w:val="auto"/>
          <w:sz w:val="24"/>
          <w:szCs w:val="24"/>
          <w:highlight w:val="none"/>
          <w:lang w:val="en-US" w:eastAsia="zh-CN"/>
        </w:rPr>
        <w:t>朱静</w:t>
      </w:r>
    </w:p>
    <w:p w14:paraId="4DDFDF3F">
      <w:pPr>
        <w:pStyle w:val="5"/>
        <w:keepNext w:val="0"/>
        <w:keepLines w:val="0"/>
        <w:pageBreakBefore w:val="0"/>
        <w:kinsoku/>
        <w:wordWrap/>
        <w:overflowPunct/>
        <w:topLinePunct w:val="0"/>
        <w:bidi w:val="0"/>
        <w:adjustRightInd/>
        <w:snapToGrid/>
        <w:spacing w:line="240" w:lineRule="auto"/>
        <w:ind w:left="0" w:leftChars="0" w:right="0" w:rightChars="0"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rPr>
        <w:t>电话：</w:t>
      </w:r>
      <w:r>
        <w:rPr>
          <w:rFonts w:hint="eastAsia" w:ascii="宋体" w:hAnsi="宋体" w:cs="宋体"/>
          <w:color w:val="auto"/>
          <w:sz w:val="24"/>
          <w:szCs w:val="24"/>
          <w:highlight w:val="none"/>
          <w:lang w:val="en-US" w:eastAsia="zh-CN"/>
        </w:rPr>
        <w:t>13629256096</w:t>
      </w:r>
    </w:p>
    <w:p w14:paraId="1E31D464">
      <w:pPr>
        <w:keepNext w:val="0"/>
        <w:keepLines w:val="0"/>
        <w:pageBreakBefore w:val="0"/>
        <w:kinsoku/>
        <w:wordWrap/>
        <w:overflowPunct/>
        <w:topLinePunct w:val="0"/>
        <w:bidi w:val="0"/>
        <w:adjustRightInd/>
        <w:snapToGrid/>
        <w:spacing w:line="240" w:lineRule="auto"/>
        <w:ind w:left="0" w:leftChars="0" w:right="0" w:rightChars="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宝泽项目管理有限公司</w:t>
      </w:r>
    </w:p>
    <w:p w14:paraId="61C489C3">
      <w:pPr>
        <w:pStyle w:val="5"/>
        <w:keepNext w:val="0"/>
        <w:keepLines w:val="0"/>
        <w:pageBreakBefore w:val="0"/>
        <w:kinsoku/>
        <w:wordWrap/>
        <w:overflowPunct/>
        <w:topLinePunct w:val="0"/>
        <w:bidi w:val="0"/>
        <w:adjustRightInd/>
        <w:snapToGrid/>
        <w:spacing w:line="240" w:lineRule="auto"/>
        <w:ind w:left="0" w:leftChars="0" w:right="0" w:rightChars="0" w:firstLine="480" w:firstLineChars="200"/>
        <w:jc w:val="righ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2025年6月</w:t>
      </w: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lang w:val="en-US" w:eastAsia="zh-CN"/>
        </w:rPr>
        <w:t>日</w:t>
      </w:r>
    </w:p>
    <w:p w14:paraId="3C992040">
      <w:pPr>
        <w:bidi w:val="0"/>
        <w:jc w:val="center"/>
        <w:rPr>
          <w:rFonts w:hint="eastAsia" w:ascii="宋体" w:hAnsi="宋体" w:eastAsia="宋体" w:cs="宋体"/>
          <w:b/>
          <w:bCs/>
          <w:sz w:val="32"/>
          <w:szCs w:val="32"/>
          <w:lang w:val="en-US" w:eastAsia="zh-CN"/>
        </w:rPr>
      </w:pPr>
    </w:p>
    <w:p w14:paraId="5F369608">
      <w:pPr>
        <w:bidi w:val="0"/>
        <w:jc w:val="center"/>
        <w:rPr>
          <w:rFonts w:hint="eastAsia" w:ascii="宋体" w:hAnsi="宋体" w:eastAsia="宋体" w:cs="宋体"/>
          <w:b/>
          <w:bCs/>
          <w:sz w:val="32"/>
          <w:szCs w:val="32"/>
          <w:lang w:val="en-US" w:eastAsia="zh-CN"/>
        </w:rPr>
      </w:pPr>
    </w:p>
    <w:p w14:paraId="22684E4C">
      <w:pPr>
        <w:bidi w:val="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第二章  供应商须知</w:t>
      </w:r>
      <w:bookmarkEnd w:id="0"/>
      <w:bookmarkEnd w:id="1"/>
      <w:bookmarkEnd w:id="2"/>
      <w:bookmarkEnd w:id="3"/>
      <w:bookmarkEnd w:id="4"/>
      <w:bookmarkEnd w:id="5"/>
      <w:bookmarkEnd w:id="6"/>
      <w:bookmarkEnd w:id="7"/>
      <w:bookmarkEnd w:id="8"/>
    </w:p>
    <w:p w14:paraId="5C9D17B5">
      <w:pPr>
        <w:keepNext w:val="0"/>
        <w:keepLines w:val="0"/>
        <w:pageBreakBefore w:val="0"/>
        <w:widowControl/>
        <w:kinsoku/>
        <w:wordWrap/>
        <w:overflowPunct/>
        <w:topLinePunct w:val="0"/>
        <w:autoSpaceDE/>
        <w:autoSpaceDN/>
        <w:bidi w:val="0"/>
        <w:adjustRightInd/>
        <w:snapToGrid/>
        <w:spacing w:after="196" w:afterLines="50" w:line="460" w:lineRule="exact"/>
        <w:jc w:val="center"/>
        <w:textAlignment w:val="auto"/>
        <w:rPr>
          <w:rFonts w:ascii="宋体" w:hAnsi="宋体" w:eastAsia="宋体"/>
          <w:b/>
          <w:bCs/>
          <w:kern w:val="44"/>
          <w:sz w:val="32"/>
          <w:szCs w:val="32"/>
        </w:rPr>
      </w:pPr>
      <w:r>
        <w:rPr>
          <w:rFonts w:hint="eastAsia" w:ascii="宋体" w:hAnsi="宋体" w:eastAsia="宋体"/>
          <w:b/>
          <w:bCs/>
          <w:kern w:val="44"/>
          <w:sz w:val="32"/>
          <w:szCs w:val="32"/>
        </w:rPr>
        <w:t>须知前附表</w:t>
      </w:r>
    </w:p>
    <w:tbl>
      <w:tblPr>
        <w:tblStyle w:val="35"/>
        <w:tblW w:w="9598" w:type="dxa"/>
        <w:jc w:val="center"/>
        <w:tblLayout w:type="fixed"/>
        <w:tblCellMar>
          <w:top w:w="0" w:type="dxa"/>
          <w:left w:w="108" w:type="dxa"/>
          <w:bottom w:w="0" w:type="dxa"/>
          <w:right w:w="108" w:type="dxa"/>
        </w:tblCellMar>
      </w:tblPr>
      <w:tblGrid>
        <w:gridCol w:w="705"/>
        <w:gridCol w:w="1703"/>
        <w:gridCol w:w="7190"/>
      </w:tblGrid>
      <w:tr w14:paraId="32C42C83">
        <w:tblPrEx>
          <w:tblCellMar>
            <w:top w:w="0" w:type="dxa"/>
            <w:left w:w="108" w:type="dxa"/>
            <w:bottom w:w="0" w:type="dxa"/>
            <w:right w:w="108" w:type="dxa"/>
          </w:tblCellMar>
        </w:tblPrEx>
        <w:trPr>
          <w:trHeight w:val="238"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4C3ED6E7">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703" w:type="dxa"/>
            <w:tcBorders>
              <w:top w:val="single" w:color="000000" w:sz="4" w:space="0"/>
              <w:left w:val="nil"/>
              <w:bottom w:val="single" w:color="000000" w:sz="4" w:space="0"/>
              <w:right w:val="single" w:color="auto" w:sz="4" w:space="0"/>
            </w:tcBorders>
            <w:vAlign w:val="center"/>
          </w:tcPr>
          <w:p w14:paraId="53E4A2E5">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项目</w:t>
            </w:r>
          </w:p>
        </w:tc>
        <w:tc>
          <w:tcPr>
            <w:tcW w:w="7190" w:type="dxa"/>
            <w:tcBorders>
              <w:top w:val="single" w:color="000000" w:sz="4" w:space="0"/>
              <w:left w:val="single" w:color="auto" w:sz="4" w:space="0"/>
              <w:bottom w:val="single" w:color="000000" w:sz="4" w:space="0"/>
              <w:right w:val="single" w:color="000000" w:sz="4" w:space="0"/>
            </w:tcBorders>
            <w:vAlign w:val="center"/>
          </w:tcPr>
          <w:p w14:paraId="0925A3DA">
            <w:pPr>
              <w:keepNext w:val="0"/>
              <w:keepLines w:val="0"/>
              <w:pageBreakBefore w:val="0"/>
              <w:widowControl w:val="0"/>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编列内容</w:t>
            </w:r>
          </w:p>
        </w:tc>
      </w:tr>
      <w:tr w14:paraId="28F9A291">
        <w:tblPrEx>
          <w:tblCellMar>
            <w:top w:w="0" w:type="dxa"/>
            <w:left w:w="108" w:type="dxa"/>
            <w:bottom w:w="0" w:type="dxa"/>
            <w:right w:w="108" w:type="dxa"/>
          </w:tblCellMar>
        </w:tblPrEx>
        <w:trPr>
          <w:trHeight w:val="638"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2680242A">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kern w:val="0"/>
                <w:sz w:val="24"/>
                <w:szCs w:val="24"/>
              </w:rPr>
            </w:pPr>
          </w:p>
        </w:tc>
        <w:tc>
          <w:tcPr>
            <w:tcW w:w="1703" w:type="dxa"/>
            <w:tcBorders>
              <w:top w:val="single" w:color="000000" w:sz="4" w:space="0"/>
              <w:left w:val="nil"/>
              <w:bottom w:val="single" w:color="000000" w:sz="4" w:space="0"/>
              <w:right w:val="single" w:color="auto" w:sz="4" w:space="0"/>
            </w:tcBorders>
            <w:vAlign w:val="center"/>
          </w:tcPr>
          <w:p w14:paraId="0E810A6D">
            <w:pPr>
              <w:keepNext w:val="0"/>
              <w:keepLines w:val="0"/>
              <w:pageBreakBefore w:val="0"/>
              <w:widowControl/>
              <w:suppressLineNumbers w:val="0"/>
              <w:kinsoku/>
              <w:wordWrap/>
              <w:topLinePunct w:val="0"/>
              <w:bidi w:val="0"/>
              <w:spacing w:before="0" w:beforeAutospacing="0" w:after="0" w:afterAutospacing="0" w:line="460" w:lineRule="exact"/>
              <w:ind w:left="19" w:right="0" w:hanging="19"/>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highlight w:val="none"/>
              </w:rPr>
              <w:t>采购人</w:t>
            </w:r>
          </w:p>
        </w:tc>
        <w:tc>
          <w:tcPr>
            <w:tcW w:w="7190" w:type="dxa"/>
            <w:tcBorders>
              <w:top w:val="single" w:color="000000" w:sz="4" w:space="0"/>
              <w:left w:val="single" w:color="auto" w:sz="4" w:space="0"/>
              <w:bottom w:val="single" w:color="000000" w:sz="4" w:space="0"/>
              <w:right w:val="single" w:color="000000" w:sz="4" w:space="0"/>
            </w:tcBorders>
            <w:vAlign w:val="center"/>
          </w:tcPr>
          <w:p w14:paraId="7C76A8FD">
            <w:pPr>
              <w:keepNext w:val="0"/>
              <w:keepLines w:val="0"/>
              <w:pageBreakBefore w:val="0"/>
              <w:widowControl/>
              <w:suppressLineNumbers w:val="0"/>
              <w:kinsoku/>
              <w:wordWrap/>
              <w:topLinePunct w:val="0"/>
              <w:bidi w:val="0"/>
              <w:spacing w:before="0" w:beforeAutospacing="0" w:after="0" w:afterAutospacing="0" w:line="460" w:lineRule="exact"/>
              <w:ind w:left="19" w:right="0" w:hanging="19"/>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val="en-US" w:eastAsia="zh-CN"/>
              </w:rPr>
              <w:t>镇坪县重点项目储备统建中心</w:t>
            </w:r>
          </w:p>
        </w:tc>
      </w:tr>
      <w:tr w14:paraId="4562C7C9">
        <w:tblPrEx>
          <w:tblCellMar>
            <w:top w:w="0" w:type="dxa"/>
            <w:left w:w="108" w:type="dxa"/>
            <w:bottom w:w="0" w:type="dxa"/>
            <w:right w:w="108" w:type="dxa"/>
          </w:tblCellMar>
        </w:tblPrEx>
        <w:trPr>
          <w:trHeight w:val="314"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06FCEF15">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kern w:val="0"/>
                <w:sz w:val="24"/>
                <w:szCs w:val="24"/>
              </w:rPr>
            </w:pPr>
          </w:p>
        </w:tc>
        <w:tc>
          <w:tcPr>
            <w:tcW w:w="1703" w:type="dxa"/>
            <w:tcBorders>
              <w:top w:val="single" w:color="000000" w:sz="4" w:space="0"/>
              <w:left w:val="nil"/>
              <w:bottom w:val="single" w:color="000000" w:sz="4" w:space="0"/>
              <w:right w:val="single" w:color="auto" w:sz="4" w:space="0"/>
            </w:tcBorders>
            <w:vAlign w:val="center"/>
          </w:tcPr>
          <w:p w14:paraId="5746069E">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采购代理机构</w:t>
            </w:r>
          </w:p>
        </w:tc>
        <w:tc>
          <w:tcPr>
            <w:tcW w:w="7190" w:type="dxa"/>
            <w:tcBorders>
              <w:top w:val="single" w:color="000000" w:sz="4" w:space="0"/>
              <w:left w:val="single" w:color="auto" w:sz="4" w:space="0"/>
              <w:bottom w:val="single" w:color="000000" w:sz="4" w:space="0"/>
              <w:right w:val="single" w:color="000000" w:sz="4" w:space="0"/>
            </w:tcBorders>
            <w:vAlign w:val="center"/>
          </w:tcPr>
          <w:p w14:paraId="1779F4C0">
            <w:pPr>
              <w:keepNext w:val="0"/>
              <w:keepLines w:val="0"/>
              <w:pageBreakBefore w:val="0"/>
              <w:widowControl/>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color w:val="000000"/>
                <w:sz w:val="24"/>
                <w:szCs w:val="24"/>
                <w:lang w:eastAsia="zh-CN"/>
              </w:rPr>
            </w:pPr>
            <w:r>
              <w:rPr>
                <w:rFonts w:hint="eastAsia" w:ascii="宋体" w:hAnsi="宋体" w:eastAsia="宋体" w:cs="宋体"/>
                <w:b w:val="0"/>
                <w:bCs w:val="0"/>
                <w:color w:val="auto"/>
                <w:sz w:val="24"/>
                <w:szCs w:val="24"/>
                <w:lang w:val="en-US" w:eastAsia="zh-CN"/>
              </w:rPr>
              <w:t>宝泽项目管理有限公司</w:t>
            </w:r>
          </w:p>
        </w:tc>
      </w:tr>
      <w:tr w14:paraId="5ABECDF6">
        <w:tblPrEx>
          <w:tblCellMar>
            <w:top w:w="0" w:type="dxa"/>
            <w:left w:w="108" w:type="dxa"/>
            <w:bottom w:w="0" w:type="dxa"/>
            <w:right w:w="108" w:type="dxa"/>
          </w:tblCellMar>
        </w:tblPrEx>
        <w:trPr>
          <w:trHeight w:val="734" w:hRule="atLeast"/>
          <w:jc w:val="center"/>
        </w:trPr>
        <w:tc>
          <w:tcPr>
            <w:tcW w:w="705" w:type="dxa"/>
            <w:tcBorders>
              <w:top w:val="single" w:color="000000" w:sz="4" w:space="0"/>
              <w:left w:val="single" w:color="000000" w:sz="4" w:space="0"/>
              <w:bottom w:val="single" w:color="auto" w:sz="4" w:space="0"/>
              <w:right w:val="single" w:color="000000" w:sz="4" w:space="0"/>
            </w:tcBorders>
            <w:vAlign w:val="center"/>
          </w:tcPr>
          <w:p w14:paraId="22E94A7A">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kern w:val="0"/>
                <w:sz w:val="24"/>
                <w:szCs w:val="24"/>
              </w:rPr>
            </w:pPr>
          </w:p>
        </w:tc>
        <w:tc>
          <w:tcPr>
            <w:tcW w:w="1703" w:type="dxa"/>
            <w:tcBorders>
              <w:top w:val="single" w:color="000000" w:sz="4" w:space="0"/>
              <w:left w:val="nil"/>
              <w:bottom w:val="single" w:color="auto" w:sz="4" w:space="0"/>
              <w:right w:val="single" w:color="auto" w:sz="4" w:space="0"/>
            </w:tcBorders>
            <w:vAlign w:val="center"/>
          </w:tcPr>
          <w:p w14:paraId="2D38B796">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kern w:val="0"/>
                <w:sz w:val="24"/>
                <w:szCs w:val="24"/>
                <w:highlight w:val="red"/>
              </w:rPr>
            </w:pPr>
            <w:r>
              <w:rPr>
                <w:rFonts w:hint="eastAsia" w:ascii="宋体" w:hAnsi="宋体" w:eastAsia="宋体" w:cs="宋体"/>
                <w:kern w:val="0"/>
                <w:sz w:val="24"/>
                <w:szCs w:val="24"/>
                <w:highlight w:val="none"/>
              </w:rPr>
              <w:t>项目名称</w:t>
            </w:r>
          </w:p>
        </w:tc>
        <w:tc>
          <w:tcPr>
            <w:tcW w:w="7190" w:type="dxa"/>
            <w:tcBorders>
              <w:top w:val="single" w:color="000000" w:sz="4" w:space="0"/>
              <w:left w:val="single" w:color="auto" w:sz="4" w:space="0"/>
              <w:bottom w:val="single" w:color="000000" w:sz="4" w:space="0"/>
              <w:right w:val="single" w:color="000000" w:sz="4" w:space="0"/>
            </w:tcBorders>
            <w:vAlign w:val="center"/>
          </w:tcPr>
          <w:p w14:paraId="4CF89E5A">
            <w:pPr>
              <w:keepNext w:val="0"/>
              <w:keepLines w:val="0"/>
              <w:pageBreakBefore w:val="0"/>
              <w:widowControl/>
              <w:suppressLineNumbers w:val="0"/>
              <w:kinsoku/>
              <w:wordWrap/>
              <w:topLinePunct w:val="0"/>
              <w:bidi w:val="0"/>
              <w:spacing w:before="0" w:beforeAutospacing="0" w:after="0" w:afterAutospacing="0" w:line="460" w:lineRule="exact"/>
              <w:ind w:left="19" w:right="0" w:hanging="19"/>
              <w:textAlignment w:val="auto"/>
              <w:rPr>
                <w:rFonts w:hint="eastAsia" w:ascii="宋体" w:hAnsi="宋体" w:eastAsia="宋体" w:cs="宋体"/>
                <w:color w:val="000000"/>
                <w:sz w:val="24"/>
                <w:szCs w:val="24"/>
                <w:lang w:val="en-US" w:eastAsia="zh-CN"/>
              </w:rPr>
            </w:pPr>
            <w:r>
              <w:rPr>
                <w:rFonts w:hint="eastAsia" w:ascii="宋体" w:hAnsi="宋体" w:eastAsia="宋体" w:cs="宋体"/>
                <w:color w:val="auto"/>
                <w:kern w:val="0"/>
                <w:sz w:val="24"/>
                <w:szCs w:val="24"/>
                <w:shd w:val="clear" w:color="auto" w:fill="FFFFFF"/>
                <w:lang w:val="en-US" w:eastAsia="zh-CN" w:bidi="zh-CN"/>
              </w:rPr>
              <w:t>镇坪县上竹镇2025年以工代赈示范项目及上竹镇发龙村六、七组联网路项目前期设计编制服务项目</w:t>
            </w:r>
          </w:p>
        </w:tc>
      </w:tr>
      <w:tr w14:paraId="28D7FF6E">
        <w:tblPrEx>
          <w:tblCellMar>
            <w:top w:w="0" w:type="dxa"/>
            <w:left w:w="108" w:type="dxa"/>
            <w:bottom w:w="0" w:type="dxa"/>
            <w:right w:w="108" w:type="dxa"/>
          </w:tblCellMar>
        </w:tblPrEx>
        <w:trPr>
          <w:trHeight w:val="629" w:hRule="atLeast"/>
          <w:jc w:val="center"/>
        </w:trPr>
        <w:tc>
          <w:tcPr>
            <w:tcW w:w="705" w:type="dxa"/>
            <w:tcBorders>
              <w:top w:val="single" w:color="auto" w:sz="4" w:space="0"/>
              <w:left w:val="single" w:color="000000" w:sz="4" w:space="0"/>
              <w:right w:val="single" w:color="000000" w:sz="4" w:space="0"/>
            </w:tcBorders>
            <w:vAlign w:val="center"/>
          </w:tcPr>
          <w:p w14:paraId="1D61A24F">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kern w:val="0"/>
                <w:sz w:val="24"/>
                <w:szCs w:val="24"/>
              </w:rPr>
            </w:pPr>
          </w:p>
        </w:tc>
        <w:tc>
          <w:tcPr>
            <w:tcW w:w="1703" w:type="dxa"/>
            <w:tcBorders>
              <w:top w:val="single" w:color="auto" w:sz="4" w:space="0"/>
              <w:left w:val="nil"/>
              <w:right w:val="single" w:color="auto" w:sz="4" w:space="0"/>
            </w:tcBorders>
            <w:vAlign w:val="center"/>
          </w:tcPr>
          <w:p w14:paraId="4EC03253">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kern w:val="0"/>
                <w:sz w:val="24"/>
                <w:szCs w:val="24"/>
                <w:highlight w:val="red"/>
                <w:lang w:eastAsia="zh-CN"/>
              </w:rPr>
            </w:pPr>
            <w:r>
              <w:rPr>
                <w:rFonts w:hint="eastAsia" w:ascii="宋体" w:hAnsi="宋体" w:eastAsia="宋体" w:cs="宋体"/>
                <w:kern w:val="0"/>
                <w:sz w:val="24"/>
                <w:szCs w:val="24"/>
                <w:highlight w:val="none"/>
                <w:lang w:eastAsia="zh-CN"/>
              </w:rPr>
              <w:t>预算金额</w:t>
            </w:r>
          </w:p>
        </w:tc>
        <w:tc>
          <w:tcPr>
            <w:tcW w:w="7190" w:type="dxa"/>
            <w:tcBorders>
              <w:top w:val="single" w:color="000000" w:sz="4" w:space="0"/>
              <w:left w:val="single" w:color="auto" w:sz="4" w:space="0"/>
              <w:right w:val="single" w:color="000000" w:sz="4" w:space="0"/>
            </w:tcBorders>
            <w:vAlign w:val="center"/>
          </w:tcPr>
          <w:p w14:paraId="7217FB5D">
            <w:pPr>
              <w:keepNext w:val="0"/>
              <w:keepLines w:val="0"/>
              <w:pageBreakBefore w:val="0"/>
              <w:widowControl/>
              <w:suppressLineNumbers w:val="0"/>
              <w:kinsoku/>
              <w:wordWrap/>
              <w:topLinePunct w:val="0"/>
              <w:bidi w:val="0"/>
              <w:spacing w:before="0" w:beforeAutospacing="0" w:after="0" w:afterAutospacing="0" w:line="460" w:lineRule="exact"/>
              <w:ind w:left="19" w:right="0" w:hanging="19"/>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25万元</w:t>
            </w:r>
          </w:p>
        </w:tc>
      </w:tr>
      <w:tr w14:paraId="77E0478A">
        <w:tblPrEx>
          <w:tblCellMar>
            <w:top w:w="0" w:type="dxa"/>
            <w:left w:w="108" w:type="dxa"/>
            <w:bottom w:w="0" w:type="dxa"/>
            <w:right w:w="108" w:type="dxa"/>
          </w:tblCellMar>
        </w:tblPrEx>
        <w:trPr>
          <w:trHeight w:val="504" w:hRule="atLeast"/>
          <w:jc w:val="center"/>
        </w:trPr>
        <w:tc>
          <w:tcPr>
            <w:tcW w:w="705" w:type="dxa"/>
            <w:tcBorders>
              <w:top w:val="single" w:color="000000" w:sz="4" w:space="0"/>
              <w:left w:val="single" w:color="000000" w:sz="4" w:space="0"/>
              <w:bottom w:val="single" w:color="auto" w:sz="4" w:space="0"/>
              <w:right w:val="single" w:color="000000" w:sz="4" w:space="0"/>
            </w:tcBorders>
            <w:vAlign w:val="center"/>
          </w:tcPr>
          <w:p w14:paraId="355E8066">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color w:val="auto"/>
                <w:kern w:val="0"/>
                <w:sz w:val="24"/>
                <w:szCs w:val="24"/>
              </w:rPr>
            </w:pPr>
          </w:p>
        </w:tc>
        <w:tc>
          <w:tcPr>
            <w:tcW w:w="1703" w:type="dxa"/>
            <w:tcBorders>
              <w:top w:val="single" w:color="000000" w:sz="4" w:space="0"/>
              <w:left w:val="nil"/>
              <w:bottom w:val="single" w:color="000000" w:sz="4" w:space="0"/>
              <w:right w:val="single" w:color="auto" w:sz="4" w:space="0"/>
            </w:tcBorders>
            <w:vAlign w:val="center"/>
          </w:tcPr>
          <w:p w14:paraId="6BFA4A45">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投标报价</w:t>
            </w:r>
          </w:p>
        </w:tc>
        <w:tc>
          <w:tcPr>
            <w:tcW w:w="7190" w:type="dxa"/>
            <w:tcBorders>
              <w:top w:val="single" w:color="000000" w:sz="4" w:space="0"/>
              <w:left w:val="single" w:color="auto" w:sz="4" w:space="0"/>
              <w:bottom w:val="single" w:color="000000" w:sz="4" w:space="0"/>
              <w:right w:val="single" w:color="000000" w:sz="4" w:space="0"/>
            </w:tcBorders>
            <w:vAlign w:val="center"/>
          </w:tcPr>
          <w:p w14:paraId="69351807">
            <w:pPr>
              <w:keepNext w:val="0"/>
              <w:keepLines w:val="0"/>
              <w:pageBreakBefore w:val="0"/>
              <w:widowControl w:val="0"/>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1、投标人所报的价格应考虑到可能发生的所有与完成本项目相关服务及履行合同义务有关的一切费用。</w:t>
            </w:r>
          </w:p>
          <w:p w14:paraId="462BB1A0">
            <w:pPr>
              <w:keepNext w:val="0"/>
              <w:keepLines w:val="0"/>
              <w:pageBreakBefore w:val="0"/>
              <w:widowControl/>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2、投标人必须对所投项目进行完整报价，不接受（将拒绝）只对部分</w:t>
            </w: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进行报价的投标。</w:t>
            </w:r>
          </w:p>
        </w:tc>
      </w:tr>
      <w:tr w14:paraId="1A63A184">
        <w:tblPrEx>
          <w:tblCellMar>
            <w:top w:w="0" w:type="dxa"/>
            <w:left w:w="108" w:type="dxa"/>
            <w:bottom w:w="0" w:type="dxa"/>
            <w:right w:w="108" w:type="dxa"/>
          </w:tblCellMar>
        </w:tblPrEx>
        <w:trPr>
          <w:trHeight w:val="280" w:hRule="atLeast"/>
          <w:jc w:val="center"/>
        </w:trPr>
        <w:tc>
          <w:tcPr>
            <w:tcW w:w="705" w:type="dxa"/>
            <w:tcBorders>
              <w:top w:val="single" w:color="auto" w:sz="4" w:space="0"/>
              <w:left w:val="single" w:color="auto" w:sz="4" w:space="0"/>
              <w:bottom w:val="single" w:color="auto" w:sz="4" w:space="0"/>
              <w:right w:val="single" w:color="auto" w:sz="4" w:space="0"/>
            </w:tcBorders>
            <w:vAlign w:val="center"/>
          </w:tcPr>
          <w:p w14:paraId="22D2A8D5">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color w:val="auto"/>
                <w:kern w:val="0"/>
                <w:sz w:val="24"/>
                <w:szCs w:val="24"/>
              </w:rPr>
            </w:pPr>
          </w:p>
        </w:tc>
        <w:tc>
          <w:tcPr>
            <w:tcW w:w="1703" w:type="dxa"/>
            <w:tcBorders>
              <w:top w:val="single" w:color="000000" w:sz="4" w:space="0"/>
              <w:left w:val="single" w:color="auto" w:sz="4" w:space="0"/>
              <w:bottom w:val="single" w:color="auto" w:sz="4" w:space="0"/>
              <w:right w:val="single" w:color="auto" w:sz="4" w:space="0"/>
            </w:tcBorders>
            <w:vAlign w:val="center"/>
          </w:tcPr>
          <w:p w14:paraId="106B22AF">
            <w:pPr>
              <w:keepNext w:val="0"/>
              <w:keepLines w:val="0"/>
              <w:pageBreakBefore w:val="0"/>
              <w:widowControl w:val="0"/>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red"/>
                <w:lang w:val="en-US"/>
              </w:rPr>
            </w:pPr>
            <w:r>
              <w:rPr>
                <w:rFonts w:hint="eastAsia" w:ascii="宋体" w:hAnsi="宋体" w:eastAsia="宋体" w:cs="宋体"/>
                <w:color w:val="auto"/>
                <w:sz w:val="24"/>
                <w:szCs w:val="24"/>
                <w:highlight w:val="none"/>
                <w:lang w:val="en-US" w:eastAsia="zh-CN"/>
              </w:rPr>
              <w:t>合同履行期限</w:t>
            </w:r>
          </w:p>
        </w:tc>
        <w:tc>
          <w:tcPr>
            <w:tcW w:w="7190" w:type="dxa"/>
            <w:tcBorders>
              <w:top w:val="single" w:color="000000" w:sz="4" w:space="0"/>
              <w:left w:val="single" w:color="auto" w:sz="4" w:space="0"/>
              <w:bottom w:val="single" w:color="auto" w:sz="4" w:space="0"/>
              <w:right w:val="single" w:color="000000" w:sz="4" w:space="0"/>
            </w:tcBorders>
            <w:vAlign w:val="center"/>
          </w:tcPr>
          <w:p w14:paraId="11647311">
            <w:pPr>
              <w:keepNext w:val="0"/>
              <w:keepLines w:val="0"/>
              <w:pageBreakBefore w:val="0"/>
              <w:widowControl/>
              <w:suppressLineNumbers w:val="0"/>
              <w:kinsoku/>
              <w:wordWrap/>
              <w:topLinePunct w:val="0"/>
              <w:bidi w:val="0"/>
              <w:spacing w:before="0" w:beforeAutospacing="0" w:after="0" w:afterAutospacing="0" w:line="460" w:lineRule="exact"/>
              <w:ind w:left="0" w:right="0"/>
              <w:textAlignment w:val="auto"/>
              <w:rPr>
                <w:rFonts w:hint="default" w:ascii="宋体" w:hAnsi="宋体" w:eastAsia="宋体" w:cs="宋体"/>
                <w:color w:val="auto"/>
                <w:sz w:val="24"/>
                <w:szCs w:val="24"/>
                <w:highlight w:val="red"/>
                <w:lang w:val="en-US" w:eastAsia="zh-CN"/>
              </w:rPr>
            </w:pPr>
            <w:r>
              <w:rPr>
                <w:rFonts w:hint="eastAsia" w:ascii="宋体" w:hAnsi="宋体" w:eastAsia="宋体" w:cs="宋体"/>
                <w:color w:val="auto"/>
                <w:sz w:val="24"/>
                <w:szCs w:val="24"/>
                <w:lang w:val="en-US" w:eastAsia="zh-CN"/>
              </w:rPr>
              <w:t>30日历天</w:t>
            </w:r>
          </w:p>
        </w:tc>
      </w:tr>
      <w:tr w14:paraId="78BA4F9A">
        <w:tblPrEx>
          <w:tblCellMar>
            <w:top w:w="0" w:type="dxa"/>
            <w:left w:w="108" w:type="dxa"/>
            <w:bottom w:w="0" w:type="dxa"/>
            <w:right w:w="108" w:type="dxa"/>
          </w:tblCellMar>
        </w:tblPrEx>
        <w:trPr>
          <w:trHeight w:val="570" w:hRule="atLeast"/>
          <w:jc w:val="center"/>
        </w:trPr>
        <w:tc>
          <w:tcPr>
            <w:tcW w:w="705" w:type="dxa"/>
            <w:tcBorders>
              <w:top w:val="single" w:color="auto" w:sz="4" w:space="0"/>
              <w:left w:val="single" w:color="000000" w:sz="4" w:space="0"/>
              <w:bottom w:val="single" w:color="000000" w:sz="4" w:space="0"/>
              <w:right w:val="single" w:color="000000" w:sz="4" w:space="0"/>
            </w:tcBorders>
            <w:vAlign w:val="center"/>
          </w:tcPr>
          <w:p w14:paraId="29ED434A">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color w:val="auto"/>
                <w:kern w:val="0"/>
                <w:sz w:val="24"/>
                <w:szCs w:val="24"/>
                <w:lang w:val="en-US" w:eastAsia="zh-CN"/>
              </w:rPr>
            </w:pPr>
          </w:p>
        </w:tc>
        <w:tc>
          <w:tcPr>
            <w:tcW w:w="1703" w:type="dxa"/>
            <w:tcBorders>
              <w:top w:val="single" w:color="000000" w:sz="4" w:space="0"/>
              <w:left w:val="nil"/>
              <w:bottom w:val="single" w:color="000000" w:sz="4" w:space="0"/>
              <w:right w:val="single" w:color="auto" w:sz="4" w:space="0"/>
            </w:tcBorders>
            <w:vAlign w:val="center"/>
          </w:tcPr>
          <w:p w14:paraId="645D3977">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付款方式</w:t>
            </w:r>
          </w:p>
        </w:tc>
        <w:tc>
          <w:tcPr>
            <w:tcW w:w="7190" w:type="dxa"/>
            <w:tcBorders>
              <w:top w:val="single" w:color="000000" w:sz="4" w:space="0"/>
              <w:left w:val="single" w:color="auto" w:sz="4" w:space="0"/>
              <w:bottom w:val="single" w:color="000000" w:sz="4" w:space="0"/>
              <w:right w:val="single" w:color="000000" w:sz="4" w:space="0"/>
            </w:tcBorders>
            <w:vAlign w:val="center"/>
          </w:tcPr>
          <w:p w14:paraId="4DBFAB31">
            <w:pPr>
              <w:keepNext w:val="0"/>
              <w:keepLines w:val="0"/>
              <w:pageBreakBefore w:val="0"/>
              <w:widowControl/>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highlight w:val="none"/>
                <w:lang w:val="en-US" w:eastAsia="zh-CN"/>
              </w:rPr>
              <w:t>成交后，双方合同约定</w:t>
            </w:r>
            <w:r>
              <w:rPr>
                <w:rFonts w:hint="eastAsia" w:ascii="宋体" w:hAnsi="宋体" w:eastAsia="宋体" w:cs="宋体"/>
                <w:color w:val="FF0000"/>
                <w:sz w:val="24"/>
                <w:szCs w:val="24"/>
                <w:highlight w:val="none"/>
              </w:rPr>
              <w:t>。</w:t>
            </w:r>
          </w:p>
        </w:tc>
      </w:tr>
      <w:tr w14:paraId="30FADBD9">
        <w:tblPrEx>
          <w:tblCellMar>
            <w:top w:w="0" w:type="dxa"/>
            <w:left w:w="108" w:type="dxa"/>
            <w:bottom w:w="0" w:type="dxa"/>
            <w:right w:w="108" w:type="dxa"/>
          </w:tblCellMar>
        </w:tblPrEx>
        <w:trPr>
          <w:trHeight w:val="378"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6DACF6C9">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kern w:val="0"/>
                <w:sz w:val="24"/>
                <w:szCs w:val="24"/>
                <w:lang w:eastAsia="zh-CN"/>
              </w:rPr>
            </w:pPr>
          </w:p>
        </w:tc>
        <w:tc>
          <w:tcPr>
            <w:tcW w:w="1703" w:type="dxa"/>
            <w:tcBorders>
              <w:top w:val="single" w:color="000000" w:sz="4" w:space="0"/>
              <w:left w:val="nil"/>
              <w:bottom w:val="single" w:color="000000" w:sz="4" w:space="0"/>
              <w:right w:val="single" w:color="auto" w:sz="4" w:space="0"/>
            </w:tcBorders>
            <w:vAlign w:val="center"/>
          </w:tcPr>
          <w:p w14:paraId="115CFD4A">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投标有效期</w:t>
            </w:r>
          </w:p>
        </w:tc>
        <w:tc>
          <w:tcPr>
            <w:tcW w:w="7190" w:type="dxa"/>
            <w:tcBorders>
              <w:top w:val="single" w:color="000000" w:sz="4" w:space="0"/>
              <w:left w:val="single" w:color="auto" w:sz="4" w:space="0"/>
              <w:bottom w:val="single" w:color="000000" w:sz="4" w:space="0"/>
              <w:right w:val="single" w:color="000000" w:sz="4" w:space="0"/>
            </w:tcBorders>
            <w:vAlign w:val="center"/>
          </w:tcPr>
          <w:p w14:paraId="1534D541">
            <w:pPr>
              <w:keepNext w:val="0"/>
              <w:keepLines w:val="0"/>
              <w:pageBreakBefore w:val="0"/>
              <w:widowControl/>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投标文件递交截止时间起算，投标有效期为90日历天。</w:t>
            </w:r>
          </w:p>
        </w:tc>
      </w:tr>
      <w:tr w14:paraId="76B465F1">
        <w:tblPrEx>
          <w:tblCellMar>
            <w:top w:w="0" w:type="dxa"/>
            <w:left w:w="108" w:type="dxa"/>
            <w:bottom w:w="0" w:type="dxa"/>
            <w:right w:w="108" w:type="dxa"/>
          </w:tblCellMar>
        </w:tblPrEx>
        <w:trPr>
          <w:trHeight w:val="539"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543C64CE">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kern w:val="0"/>
                <w:sz w:val="24"/>
                <w:szCs w:val="24"/>
                <w:lang w:val="en-US" w:eastAsia="zh-CN"/>
              </w:rPr>
            </w:pPr>
          </w:p>
        </w:tc>
        <w:tc>
          <w:tcPr>
            <w:tcW w:w="1703" w:type="dxa"/>
            <w:tcBorders>
              <w:top w:val="single" w:color="000000" w:sz="4" w:space="0"/>
              <w:left w:val="single" w:color="000000" w:sz="4" w:space="0"/>
              <w:bottom w:val="single" w:color="000000" w:sz="4" w:space="0"/>
              <w:right w:val="single" w:color="000000" w:sz="4" w:space="0"/>
            </w:tcBorders>
            <w:vAlign w:val="center"/>
          </w:tcPr>
          <w:p w14:paraId="16416E06">
            <w:pPr>
              <w:keepNext w:val="0"/>
              <w:keepLines w:val="0"/>
              <w:pageBreakBefore w:val="0"/>
              <w:widowControl w:val="0"/>
              <w:suppressLineNumbers w:val="0"/>
              <w:tabs>
                <w:tab w:val="center" w:pos="4153"/>
                <w:tab w:val="right" w:pos="8306"/>
              </w:tabs>
              <w:kinsoku/>
              <w:wordWrap/>
              <w:topLinePunct w:val="0"/>
              <w:bidi w:val="0"/>
              <w:snapToGrid w:val="0"/>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资格证明文件</w:t>
            </w:r>
          </w:p>
        </w:tc>
        <w:tc>
          <w:tcPr>
            <w:tcW w:w="7190" w:type="dxa"/>
            <w:tcBorders>
              <w:top w:val="single" w:color="000000" w:sz="4" w:space="0"/>
              <w:left w:val="single" w:color="000000" w:sz="4" w:space="0"/>
              <w:bottom w:val="single" w:color="000000" w:sz="4" w:space="0"/>
              <w:right w:val="single" w:color="000000" w:sz="4" w:space="0"/>
            </w:tcBorders>
            <w:vAlign w:val="center"/>
          </w:tcPr>
          <w:p w14:paraId="729B8DE6">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0" w:right="0" w:rightChars="0"/>
              <w:jc w:val="both"/>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（1）具有独立承担民事责任能力的法人、其他组织或自然人，提供年检有效的统一社会信用代码的营业执照或其他合法组织登记证书，自然人参与的提供其身份证明；</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（2）法定代表人参加投标时，提供本人身份证复印件；授权代表参加投标时，提供法定代表人授权委托书、法定代表人和被授权人身份证复印件；</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（3）</w:t>
            </w:r>
            <w:r>
              <w:rPr>
                <w:rFonts w:hint="eastAsia" w:ascii="宋体" w:hAnsi="宋体" w:eastAsia="宋体" w:cs="宋体"/>
                <w:color w:val="auto"/>
                <w:sz w:val="24"/>
                <w:szCs w:val="24"/>
                <w:highlight w:val="yellow"/>
                <w:lang w:val="en-US" w:eastAsia="zh-CN" w:bidi="zh-CN"/>
              </w:rPr>
              <w:t>供应商须具备建设行政主管部门颁发的工程设计综合甲级资质或工程设计公路行业（公路）专业设计乙级及以上资质，并在人员、设备、资金等方面具备相应能力；</w:t>
            </w:r>
            <w:r>
              <w:rPr>
                <w:rFonts w:hint="eastAsia" w:ascii="宋体" w:hAnsi="宋体" w:eastAsia="宋体" w:cs="宋体"/>
                <w:color w:val="auto"/>
                <w:sz w:val="24"/>
                <w:szCs w:val="24"/>
                <w:highlight w:val="yellow"/>
                <w:lang w:val="en-US" w:eastAsia="zh-CN" w:bidi="zh-CN"/>
              </w:rPr>
              <w:br w:type="textWrapping"/>
            </w:r>
            <w:r>
              <w:rPr>
                <w:rFonts w:hint="eastAsia" w:ascii="宋体" w:hAnsi="宋体" w:eastAsia="宋体" w:cs="宋体"/>
                <w:color w:val="auto"/>
                <w:sz w:val="24"/>
                <w:szCs w:val="24"/>
                <w:lang w:val="en-US" w:eastAsia="zh-CN" w:bidi="zh-CN"/>
              </w:rPr>
              <w:t>（4）财务状况报告：提供2023或2024年度财务审计报告(成立时间至提交投标文件截止时间不足1年的可提供成立后任意时段的资产负债表），或提交投标文件截止时间近三个月内或其基本存款账户开户银行出具的资信证明及基本存款账户开户许可证（基本账户信息表）；</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（5）社会保障资金缴纳证明：自2024年6月1日以来已缴存的至少1个月的社会保障资金缴存单据或社保机构开具的社会保险参保缴费情况证明。依法不需要缴纳社会保障资金的供应商应提供相关文件证明；</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（6）税收缴纳证明：自2024年6月1日以来不少于1个月的完税证明（任意税种）；依法免税的供应商应提供相关文件证明；</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7）参加本次政府采购活动前三年内在经营活动中没有重大违纪，以及未被列入失信被执行人、重大税收违法案件当事人名单（或重大税收违法失信主体名单）、政府采购严重违法失信行为记录名单的书面声明；</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8）通过“信用中国”网站（www.creditchina.gov.cn）和中国政府采购网（www.ccgp.gov.cn）等渠道查询相关主体信用记录，对列入失信被执行人、重大税收违法案件当事人名单（或重大税收违法失信主体名单）、政府采购严重违法失信行为记录名单的供应商，将拒绝其参与政府采购活动；</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9）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56335876">
            <w:pPr>
              <w:keepNext w:val="0"/>
              <w:keepLines w:val="0"/>
              <w:pageBreakBefore w:val="0"/>
              <w:widowControl/>
              <w:numPr>
                <w:ilvl w:val="0"/>
                <w:numId w:val="0"/>
              </w:numPr>
              <w:suppressLineNumbers w:val="0"/>
              <w:kinsoku/>
              <w:wordWrap/>
              <w:overflowPunct/>
              <w:topLinePunct w:val="0"/>
              <w:autoSpaceDE/>
              <w:autoSpaceDN/>
              <w:bidi w:val="0"/>
              <w:adjustRightInd/>
              <w:spacing w:before="0" w:beforeAutospacing="0" w:after="0" w:afterAutospacing="0" w:line="460" w:lineRule="exact"/>
              <w:ind w:left="0" w:right="0" w:rightChars="0" w:firstLine="482" w:firstLineChars="200"/>
              <w:textAlignment w:val="auto"/>
              <w:rPr>
                <w:rFonts w:hint="eastAsia" w:ascii="宋体" w:hAnsi="宋体" w:eastAsia="宋体" w:cs="宋体"/>
                <w:kern w:val="0"/>
                <w:sz w:val="24"/>
                <w:szCs w:val="24"/>
              </w:rPr>
            </w:pPr>
            <w:r>
              <w:rPr>
                <w:rFonts w:hint="eastAsia" w:ascii="宋体" w:hAnsi="宋体" w:eastAsia="宋体" w:cs="宋体"/>
                <w:b/>
                <w:bCs/>
                <w:color w:val="000000" w:themeColor="text1"/>
                <w:kern w:val="0"/>
                <w:sz w:val="24"/>
                <w:szCs w:val="24"/>
                <w14:textFill>
                  <w14:solidFill>
                    <w14:schemeClr w14:val="tx1"/>
                  </w14:solidFill>
                </w14:textFill>
              </w:rPr>
              <w:t>注：上述资质为必备资质，欠缺其中任何一项按无效文件处理。参加</w:t>
            </w:r>
            <w:r>
              <w:rPr>
                <w:rFonts w:hint="eastAsia" w:ascii="宋体" w:hAnsi="宋体" w:eastAsia="宋体" w:cs="宋体"/>
                <w:b/>
                <w:bCs/>
                <w:color w:val="000000" w:themeColor="text1"/>
                <w:kern w:val="0"/>
                <w:sz w:val="24"/>
                <w:szCs w:val="24"/>
                <w:lang w:val="en-US" w:eastAsia="zh-CN"/>
                <w14:textFill>
                  <w14:solidFill>
                    <w14:schemeClr w14:val="tx1"/>
                  </w14:solidFill>
                </w14:textFill>
              </w:rPr>
              <w:t>谈判</w:t>
            </w:r>
            <w:r>
              <w:rPr>
                <w:rFonts w:hint="eastAsia" w:ascii="宋体" w:hAnsi="宋体" w:eastAsia="宋体" w:cs="宋体"/>
                <w:b/>
                <w:bCs/>
                <w:color w:val="000000" w:themeColor="text1"/>
                <w:kern w:val="0"/>
                <w:sz w:val="24"/>
                <w:szCs w:val="24"/>
                <w14:textFill>
                  <w14:solidFill>
                    <w14:schemeClr w14:val="tx1"/>
                  </w14:solidFill>
                </w14:textFill>
              </w:rPr>
              <w:t>会议时须提供上述资质</w:t>
            </w:r>
            <w:r>
              <w:rPr>
                <w:rFonts w:hint="eastAsia" w:ascii="宋体" w:hAnsi="宋体" w:eastAsia="宋体" w:cs="宋体"/>
                <w:b/>
                <w:bCs/>
                <w:color w:val="000000" w:themeColor="text1"/>
                <w:kern w:val="0"/>
                <w:sz w:val="24"/>
                <w:szCs w:val="24"/>
                <w:lang w:val="en-US" w:eastAsia="zh-CN"/>
                <w14:textFill>
                  <w14:solidFill>
                    <w14:schemeClr w14:val="tx1"/>
                  </w14:solidFill>
                </w14:textFill>
              </w:rPr>
              <w:t>文</w:t>
            </w:r>
            <w:r>
              <w:rPr>
                <w:rFonts w:hint="eastAsia" w:ascii="宋体" w:hAnsi="宋体" w:eastAsia="宋体" w:cs="宋体"/>
                <w:b/>
                <w:bCs/>
                <w:color w:val="000000" w:themeColor="text1"/>
                <w:kern w:val="0"/>
                <w:sz w:val="24"/>
                <w:szCs w:val="24"/>
                <w14:textFill>
                  <w14:solidFill>
                    <w14:schemeClr w14:val="tx1"/>
                  </w14:solidFill>
                </w14:textFill>
              </w:rPr>
              <w:t>件（密封）单独递交进行审查，否则按</w:t>
            </w:r>
            <w:r>
              <w:rPr>
                <w:rFonts w:hint="eastAsia" w:ascii="宋体" w:hAnsi="宋体" w:eastAsia="宋体" w:cs="宋体"/>
                <w:b/>
                <w:bCs/>
                <w:color w:val="000000" w:themeColor="text1"/>
                <w:kern w:val="0"/>
                <w:sz w:val="24"/>
                <w:szCs w:val="24"/>
                <w:lang w:val="en-US" w:eastAsia="zh-CN"/>
                <w14:textFill>
                  <w14:solidFill>
                    <w14:schemeClr w14:val="tx1"/>
                  </w14:solidFill>
                </w14:textFill>
              </w:rPr>
              <w:t>无效文件</w:t>
            </w:r>
            <w:r>
              <w:rPr>
                <w:rFonts w:hint="eastAsia" w:ascii="宋体" w:hAnsi="宋体" w:eastAsia="宋体" w:cs="宋体"/>
                <w:b/>
                <w:bCs/>
                <w:color w:val="000000" w:themeColor="text1"/>
                <w:kern w:val="0"/>
                <w:sz w:val="24"/>
                <w:szCs w:val="24"/>
                <w14:textFill>
                  <w14:solidFill>
                    <w14:schemeClr w14:val="tx1"/>
                  </w14:solidFill>
                </w14:textFill>
              </w:rPr>
              <w:t>处理。投标人须保证资质文件的真实、合法、有效，因资质产生的一切纠纷由投标人承担法律责任。</w:t>
            </w:r>
          </w:p>
        </w:tc>
      </w:tr>
      <w:tr w14:paraId="31F9E5D0">
        <w:tblPrEx>
          <w:tblCellMar>
            <w:top w:w="0" w:type="dxa"/>
            <w:left w:w="108" w:type="dxa"/>
            <w:bottom w:w="0" w:type="dxa"/>
            <w:right w:w="108" w:type="dxa"/>
          </w:tblCellMar>
        </w:tblPrEx>
        <w:trPr>
          <w:trHeight w:val="760" w:hRule="atLeast"/>
          <w:jc w:val="center"/>
        </w:trPr>
        <w:tc>
          <w:tcPr>
            <w:tcW w:w="705" w:type="dxa"/>
            <w:tcBorders>
              <w:top w:val="single" w:color="000000" w:sz="4" w:space="0"/>
              <w:left w:val="single" w:color="000000" w:sz="4" w:space="0"/>
              <w:bottom w:val="single" w:color="auto" w:sz="4" w:space="0"/>
              <w:right w:val="single" w:color="000000" w:sz="4" w:space="0"/>
            </w:tcBorders>
            <w:vAlign w:val="center"/>
          </w:tcPr>
          <w:p w14:paraId="10FE4EA3">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kern w:val="0"/>
                <w:sz w:val="24"/>
                <w:szCs w:val="24"/>
                <w:lang w:val="en-US" w:eastAsia="zh-CN"/>
              </w:rPr>
            </w:pPr>
          </w:p>
        </w:tc>
        <w:tc>
          <w:tcPr>
            <w:tcW w:w="1703" w:type="dxa"/>
            <w:tcBorders>
              <w:top w:val="single" w:color="000000" w:sz="4" w:space="0"/>
              <w:left w:val="nil"/>
              <w:bottom w:val="single" w:color="auto" w:sz="4" w:space="0"/>
              <w:right w:val="single" w:color="auto" w:sz="4" w:space="0"/>
            </w:tcBorders>
            <w:vAlign w:val="center"/>
          </w:tcPr>
          <w:p w14:paraId="58F1DE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sz w:val="24"/>
                <w:szCs w:val="24"/>
              </w:rPr>
              <w:t>是否接受联合体投标</w:t>
            </w:r>
          </w:p>
        </w:tc>
        <w:tc>
          <w:tcPr>
            <w:tcW w:w="7190" w:type="dxa"/>
            <w:tcBorders>
              <w:top w:val="single" w:color="000000" w:sz="4" w:space="0"/>
              <w:left w:val="single" w:color="auto" w:sz="4" w:space="0"/>
              <w:bottom w:val="single" w:color="auto" w:sz="4" w:space="0"/>
              <w:right w:val="single" w:color="000000" w:sz="4" w:space="0"/>
            </w:tcBorders>
            <w:vAlign w:val="center"/>
          </w:tcPr>
          <w:p w14:paraId="5A9098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不接受联合体</w:t>
            </w:r>
            <w:r>
              <w:rPr>
                <w:rFonts w:hint="eastAsia" w:ascii="宋体" w:hAnsi="宋体" w:eastAsia="宋体" w:cs="宋体"/>
                <w:sz w:val="24"/>
                <w:szCs w:val="24"/>
                <w:lang w:eastAsia="zh-CN"/>
              </w:rPr>
              <w:t>谈判</w:t>
            </w:r>
            <w:r>
              <w:rPr>
                <w:rFonts w:hint="eastAsia" w:ascii="宋体" w:hAnsi="宋体" w:eastAsia="宋体" w:cs="宋体"/>
                <w:sz w:val="24"/>
                <w:szCs w:val="24"/>
              </w:rPr>
              <w:t>。</w:t>
            </w:r>
          </w:p>
        </w:tc>
      </w:tr>
      <w:tr w14:paraId="2ED0BAC6">
        <w:tblPrEx>
          <w:tblCellMar>
            <w:top w:w="0" w:type="dxa"/>
            <w:left w:w="108" w:type="dxa"/>
            <w:bottom w:w="0" w:type="dxa"/>
            <w:right w:w="108" w:type="dxa"/>
          </w:tblCellMar>
        </w:tblPrEx>
        <w:trPr>
          <w:trHeight w:val="806" w:hRule="atLeast"/>
          <w:jc w:val="center"/>
        </w:trPr>
        <w:tc>
          <w:tcPr>
            <w:tcW w:w="705" w:type="dxa"/>
            <w:tcBorders>
              <w:top w:val="single" w:color="auto" w:sz="4" w:space="0"/>
              <w:left w:val="single" w:color="000000" w:sz="4" w:space="0"/>
              <w:bottom w:val="single" w:color="auto" w:sz="4" w:space="0"/>
              <w:right w:val="single" w:color="000000" w:sz="4" w:space="0"/>
            </w:tcBorders>
            <w:vAlign w:val="center"/>
          </w:tcPr>
          <w:p w14:paraId="58FCA8C9">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kern w:val="0"/>
                <w:sz w:val="24"/>
                <w:szCs w:val="24"/>
                <w:lang w:val="en-US" w:eastAsia="zh-CN"/>
              </w:rPr>
            </w:pPr>
          </w:p>
        </w:tc>
        <w:tc>
          <w:tcPr>
            <w:tcW w:w="1703" w:type="dxa"/>
            <w:tcBorders>
              <w:top w:val="single" w:color="auto" w:sz="4" w:space="0"/>
              <w:left w:val="nil"/>
              <w:bottom w:val="single" w:color="auto" w:sz="4" w:space="0"/>
              <w:right w:val="single" w:color="auto" w:sz="4" w:space="0"/>
            </w:tcBorders>
            <w:vAlign w:val="center"/>
          </w:tcPr>
          <w:p w14:paraId="4691F4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sz w:val="24"/>
                <w:szCs w:val="24"/>
              </w:rPr>
              <w:t>现场踏勘</w:t>
            </w:r>
          </w:p>
        </w:tc>
        <w:tc>
          <w:tcPr>
            <w:tcW w:w="7190" w:type="dxa"/>
            <w:tcBorders>
              <w:top w:val="single" w:color="auto" w:sz="4" w:space="0"/>
              <w:left w:val="single" w:color="auto" w:sz="4" w:space="0"/>
              <w:bottom w:val="single" w:color="auto" w:sz="4" w:space="0"/>
              <w:right w:val="single" w:color="000000" w:sz="4" w:space="0"/>
            </w:tcBorders>
            <w:vAlign w:val="center"/>
          </w:tcPr>
          <w:p w14:paraId="0FEF0C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textAlignment w:val="auto"/>
              <w:rPr>
                <w:rFonts w:hint="eastAsia" w:ascii="宋体" w:hAnsi="宋体" w:eastAsia="宋体" w:cs="宋体"/>
                <w:sz w:val="24"/>
                <w:szCs w:val="24"/>
                <w:lang w:eastAsia="zh-CN"/>
              </w:rPr>
            </w:pPr>
            <w:r>
              <w:rPr>
                <w:rFonts w:hint="eastAsia" w:ascii="宋体" w:hAnsi="宋体" w:eastAsia="宋体" w:cs="宋体"/>
                <w:sz w:val="24"/>
                <w:szCs w:val="24"/>
              </w:rPr>
              <w:t>自行勘察，未勘察现场造成的一切后果由投标人自行承担（一切费用自理）。</w:t>
            </w:r>
          </w:p>
        </w:tc>
      </w:tr>
      <w:tr w14:paraId="20F3C46F">
        <w:tblPrEx>
          <w:tblCellMar>
            <w:top w:w="0" w:type="dxa"/>
            <w:left w:w="108" w:type="dxa"/>
            <w:bottom w:w="0" w:type="dxa"/>
            <w:right w:w="108" w:type="dxa"/>
          </w:tblCellMar>
        </w:tblPrEx>
        <w:trPr>
          <w:trHeight w:val="387"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17DFBE9E">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kern w:val="0"/>
                <w:sz w:val="24"/>
                <w:szCs w:val="24"/>
                <w:lang w:val="en-US" w:eastAsia="zh-CN"/>
              </w:rPr>
            </w:pPr>
          </w:p>
        </w:tc>
        <w:tc>
          <w:tcPr>
            <w:tcW w:w="1703" w:type="dxa"/>
            <w:tcBorders>
              <w:top w:val="single" w:color="000000" w:sz="4" w:space="0"/>
              <w:left w:val="nil"/>
              <w:bottom w:val="single" w:color="000000" w:sz="4" w:space="0"/>
              <w:right w:val="single" w:color="auto" w:sz="4" w:space="0"/>
            </w:tcBorders>
            <w:vAlign w:val="center"/>
          </w:tcPr>
          <w:p w14:paraId="0C5DC256">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采购方式</w:t>
            </w:r>
          </w:p>
        </w:tc>
        <w:tc>
          <w:tcPr>
            <w:tcW w:w="7190" w:type="dxa"/>
            <w:tcBorders>
              <w:top w:val="single" w:color="000000" w:sz="4" w:space="0"/>
              <w:left w:val="single" w:color="auto" w:sz="4" w:space="0"/>
              <w:bottom w:val="single" w:color="000000" w:sz="4" w:space="0"/>
              <w:right w:val="single" w:color="000000" w:sz="4" w:space="0"/>
            </w:tcBorders>
            <w:vAlign w:val="center"/>
          </w:tcPr>
          <w:p w14:paraId="008D43B1">
            <w:pPr>
              <w:keepNext w:val="0"/>
              <w:keepLines w:val="0"/>
              <w:pageBreakBefore w:val="0"/>
              <w:widowControl/>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kern w:val="0"/>
                <w:sz w:val="24"/>
                <w:szCs w:val="24"/>
              </w:rPr>
            </w:pPr>
            <w:r>
              <w:rPr>
                <w:rFonts w:hint="eastAsia" w:ascii="宋体" w:hAnsi="宋体" w:eastAsia="宋体" w:cs="宋体"/>
                <w:sz w:val="24"/>
                <w:szCs w:val="24"/>
              </w:rPr>
              <w:t>竞争性谈判</w:t>
            </w:r>
          </w:p>
        </w:tc>
      </w:tr>
      <w:tr w14:paraId="22ED00FB">
        <w:tblPrEx>
          <w:tblCellMar>
            <w:top w:w="0" w:type="dxa"/>
            <w:left w:w="108" w:type="dxa"/>
            <w:bottom w:w="0" w:type="dxa"/>
            <w:right w:w="108" w:type="dxa"/>
          </w:tblCellMar>
        </w:tblPrEx>
        <w:trPr>
          <w:trHeight w:val="344"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59B0207E">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sz w:val="24"/>
                <w:szCs w:val="24"/>
              </w:rPr>
            </w:pPr>
          </w:p>
        </w:tc>
        <w:tc>
          <w:tcPr>
            <w:tcW w:w="1703" w:type="dxa"/>
            <w:tcBorders>
              <w:top w:val="single" w:color="000000" w:sz="4" w:space="0"/>
              <w:left w:val="nil"/>
              <w:bottom w:val="single" w:color="000000" w:sz="4" w:space="0"/>
              <w:right w:val="single" w:color="auto" w:sz="4" w:space="0"/>
            </w:tcBorders>
            <w:vAlign w:val="center"/>
          </w:tcPr>
          <w:p w14:paraId="55CEC35B">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评标办法</w:t>
            </w:r>
          </w:p>
        </w:tc>
        <w:tc>
          <w:tcPr>
            <w:tcW w:w="7190" w:type="dxa"/>
            <w:tcBorders>
              <w:top w:val="single" w:color="000000" w:sz="4" w:space="0"/>
              <w:left w:val="single" w:color="auto" w:sz="4" w:space="0"/>
              <w:bottom w:val="single" w:color="000000" w:sz="4" w:space="0"/>
              <w:right w:val="single" w:color="000000" w:sz="4" w:space="0"/>
            </w:tcBorders>
            <w:vAlign w:val="center"/>
          </w:tcPr>
          <w:p w14:paraId="5696D600">
            <w:pPr>
              <w:keepNext w:val="0"/>
              <w:keepLines w:val="0"/>
              <w:pageBreakBefore w:val="0"/>
              <w:widowControl w:val="0"/>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最低评标价法</w:t>
            </w:r>
          </w:p>
        </w:tc>
      </w:tr>
      <w:tr w14:paraId="2E72CC96">
        <w:tblPrEx>
          <w:tblCellMar>
            <w:top w:w="0" w:type="dxa"/>
            <w:left w:w="108" w:type="dxa"/>
            <w:bottom w:w="0" w:type="dxa"/>
            <w:right w:w="108" w:type="dxa"/>
          </w:tblCellMar>
        </w:tblPrEx>
        <w:trPr>
          <w:trHeight w:val="393"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1566932E">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kern w:val="0"/>
                <w:sz w:val="24"/>
                <w:szCs w:val="24"/>
              </w:rPr>
            </w:pPr>
          </w:p>
        </w:tc>
        <w:tc>
          <w:tcPr>
            <w:tcW w:w="1703" w:type="dxa"/>
            <w:tcBorders>
              <w:top w:val="single" w:color="000000" w:sz="4" w:space="0"/>
              <w:left w:val="nil"/>
              <w:bottom w:val="single" w:color="000000" w:sz="4" w:space="0"/>
              <w:right w:val="single" w:color="auto" w:sz="4" w:space="0"/>
            </w:tcBorders>
            <w:vAlign w:val="center"/>
          </w:tcPr>
          <w:p w14:paraId="6D1E990A">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特殊情况处理</w:t>
            </w:r>
          </w:p>
        </w:tc>
        <w:tc>
          <w:tcPr>
            <w:tcW w:w="7190" w:type="dxa"/>
            <w:tcBorders>
              <w:top w:val="single" w:color="000000" w:sz="4" w:space="0"/>
              <w:left w:val="single" w:color="auto" w:sz="4" w:space="0"/>
              <w:bottom w:val="single" w:color="000000" w:sz="4" w:space="0"/>
              <w:right w:val="single" w:color="000000" w:sz="4" w:space="0"/>
            </w:tcBorders>
            <w:vAlign w:val="center"/>
          </w:tcPr>
          <w:p w14:paraId="063FF77E">
            <w:pPr>
              <w:keepNext w:val="0"/>
              <w:keepLines w:val="0"/>
              <w:pageBreakBefore w:val="0"/>
              <w:widowControl w:val="0"/>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谈判失败后，除采购任务取消外，将重新组织采购。</w:t>
            </w:r>
          </w:p>
        </w:tc>
      </w:tr>
      <w:tr w14:paraId="66FC63E8">
        <w:tblPrEx>
          <w:tblCellMar>
            <w:top w:w="0" w:type="dxa"/>
            <w:left w:w="108" w:type="dxa"/>
            <w:bottom w:w="0" w:type="dxa"/>
            <w:right w:w="108" w:type="dxa"/>
          </w:tblCellMar>
        </w:tblPrEx>
        <w:trPr>
          <w:trHeight w:val="1005"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48147683">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sz w:val="24"/>
                <w:szCs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14:paraId="477BE2CE">
            <w:pPr>
              <w:keepNext w:val="0"/>
              <w:keepLines w:val="0"/>
              <w:pageBreakBefore w:val="0"/>
              <w:widowControl w:val="0"/>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开标时间、</w:t>
            </w:r>
          </w:p>
          <w:p w14:paraId="4C32FB91">
            <w:pPr>
              <w:keepNext w:val="0"/>
              <w:keepLines w:val="0"/>
              <w:pageBreakBefore w:val="0"/>
              <w:widowControl w:val="0"/>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地点</w:t>
            </w:r>
          </w:p>
        </w:tc>
        <w:tc>
          <w:tcPr>
            <w:tcW w:w="7190" w:type="dxa"/>
            <w:tcBorders>
              <w:top w:val="single" w:color="000000" w:sz="4" w:space="0"/>
              <w:left w:val="single" w:color="auto" w:sz="4" w:space="0"/>
              <w:bottom w:val="single" w:color="000000" w:sz="4" w:space="0"/>
              <w:right w:val="single" w:color="000000" w:sz="4" w:space="0"/>
            </w:tcBorders>
            <w:vAlign w:val="center"/>
          </w:tcPr>
          <w:p w14:paraId="71652BD8">
            <w:pPr>
              <w:keepNext w:val="0"/>
              <w:keepLines w:val="0"/>
              <w:pageBreakBefore w:val="0"/>
              <w:widowControl w:val="0"/>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color w:val="auto"/>
                <w:sz w:val="24"/>
                <w:szCs w:val="24"/>
                <w:highlight w:val="red"/>
              </w:rPr>
            </w:pPr>
            <w:r>
              <w:rPr>
                <w:rFonts w:hint="eastAsia" w:ascii="宋体" w:hAnsi="宋体" w:eastAsia="宋体" w:cs="宋体"/>
                <w:color w:val="auto"/>
                <w:sz w:val="24"/>
                <w:szCs w:val="24"/>
              </w:rPr>
              <w:t>开标时间：</w:t>
            </w:r>
            <w:r>
              <w:rPr>
                <w:rFonts w:hint="eastAsia" w:ascii="宋体" w:hAnsi="宋体" w:eastAsia="宋体" w:cs="宋体"/>
                <w:b w:val="0"/>
                <w:bCs w:val="0"/>
                <w:color w:val="auto"/>
                <w:sz w:val="24"/>
                <w:szCs w:val="24"/>
                <w:highlight w:val="none"/>
                <w:lang w:val="en-US" w:eastAsia="zh-CN" w:bidi="zh-CN"/>
              </w:rPr>
              <w:t>2025年6月30日9时00分00秒</w:t>
            </w:r>
          </w:p>
          <w:p w14:paraId="71014F56">
            <w:pPr>
              <w:keepNext w:val="0"/>
              <w:keepLines w:val="0"/>
              <w:pageBreakBefore w:val="0"/>
              <w:widowControl w:val="0"/>
              <w:suppressLineNumbers w:val="0"/>
              <w:kinsoku/>
              <w:wordWrap/>
              <w:overflowPunct w:val="0"/>
              <w:topLinePunct w:val="0"/>
              <w:bidi w:val="0"/>
              <w:adjustRightInd w:val="0"/>
              <w:snapToGrid w:val="0"/>
              <w:spacing w:before="0" w:beforeAutospacing="0" w:after="0" w:afterAutospacing="0" w:line="460" w:lineRule="exact"/>
              <w:ind w:left="0" w:right="0"/>
              <w:textAlignment w:val="auto"/>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rPr>
              <w:t>开标地点：</w:t>
            </w:r>
            <w:r>
              <w:rPr>
                <w:rFonts w:hint="eastAsia" w:ascii="宋体" w:hAnsi="宋体" w:eastAsia="宋体" w:cs="宋体"/>
                <w:b w:val="0"/>
                <w:bCs w:val="0"/>
                <w:color w:val="FF0000"/>
                <w:sz w:val="24"/>
                <w:szCs w:val="24"/>
                <w:lang w:val="en-US" w:eastAsia="zh-CN" w:bidi="zh-CN"/>
              </w:rPr>
              <w:t>安康市国贸酒店4楼会议室</w:t>
            </w:r>
            <w:r>
              <w:rPr>
                <w:rFonts w:hint="eastAsia" w:ascii="宋体" w:hAnsi="宋体" w:eastAsia="宋体" w:cs="宋体"/>
                <w:color w:val="000000"/>
                <w:sz w:val="24"/>
                <w:szCs w:val="24"/>
              </w:rPr>
              <w:t>（如有变动，另行通知）。</w:t>
            </w:r>
            <w:r>
              <w:rPr>
                <w:rFonts w:hint="eastAsia" w:ascii="宋体" w:hAnsi="宋体" w:eastAsia="宋体" w:cs="宋体"/>
                <w:color w:val="000000"/>
                <w:sz w:val="24"/>
                <w:szCs w:val="24"/>
                <w:lang w:val="en-US" w:eastAsia="zh-CN"/>
              </w:rPr>
              <w:t xml:space="preserve"> </w:t>
            </w:r>
          </w:p>
        </w:tc>
      </w:tr>
      <w:tr w14:paraId="2A0AD238">
        <w:tblPrEx>
          <w:tblCellMar>
            <w:top w:w="0" w:type="dxa"/>
            <w:left w:w="108" w:type="dxa"/>
            <w:bottom w:w="0" w:type="dxa"/>
            <w:right w:w="108" w:type="dxa"/>
          </w:tblCellMar>
        </w:tblPrEx>
        <w:trPr>
          <w:trHeight w:val="434"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4495D54A">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sz w:val="24"/>
                <w:szCs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14:paraId="1260BF51">
            <w:pPr>
              <w:keepNext w:val="0"/>
              <w:keepLines w:val="0"/>
              <w:pageBreakBefore w:val="0"/>
              <w:widowControl w:val="0"/>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响应</w:t>
            </w:r>
            <w:r>
              <w:rPr>
                <w:rFonts w:hint="eastAsia" w:ascii="宋体" w:hAnsi="宋体" w:eastAsia="宋体" w:cs="宋体"/>
                <w:sz w:val="24"/>
                <w:szCs w:val="24"/>
              </w:rPr>
              <w:t>文件</w:t>
            </w:r>
          </w:p>
          <w:p w14:paraId="6AC396FB">
            <w:pPr>
              <w:keepNext w:val="0"/>
              <w:keepLines w:val="0"/>
              <w:pageBreakBefore w:val="0"/>
              <w:widowControl w:val="0"/>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递交截止时间</w:t>
            </w:r>
          </w:p>
        </w:tc>
        <w:tc>
          <w:tcPr>
            <w:tcW w:w="7190" w:type="dxa"/>
            <w:tcBorders>
              <w:top w:val="single" w:color="000000" w:sz="4" w:space="0"/>
              <w:left w:val="single" w:color="auto" w:sz="4" w:space="0"/>
              <w:bottom w:val="single" w:color="000000" w:sz="4" w:space="0"/>
              <w:right w:val="single" w:color="000000" w:sz="4" w:space="0"/>
            </w:tcBorders>
            <w:vAlign w:val="center"/>
          </w:tcPr>
          <w:p w14:paraId="7D4A84A5">
            <w:pPr>
              <w:keepNext w:val="0"/>
              <w:keepLines w:val="0"/>
              <w:pageBreakBefore w:val="0"/>
              <w:widowControl w:val="0"/>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color w:val="000000"/>
                <w:sz w:val="24"/>
                <w:szCs w:val="24"/>
              </w:rPr>
            </w:pPr>
            <w:r>
              <w:rPr>
                <w:rFonts w:hint="eastAsia" w:ascii="宋体" w:hAnsi="宋体" w:eastAsia="宋体" w:cs="宋体"/>
                <w:b w:val="0"/>
                <w:bCs w:val="0"/>
                <w:color w:val="auto"/>
                <w:sz w:val="24"/>
                <w:szCs w:val="24"/>
                <w:highlight w:val="none"/>
                <w:lang w:val="en-US" w:eastAsia="zh-CN" w:bidi="zh-CN"/>
              </w:rPr>
              <w:t>2025年6月30日9时00分00秒</w:t>
            </w:r>
            <w:r>
              <w:rPr>
                <w:rFonts w:hint="eastAsia" w:ascii="宋体" w:hAnsi="宋体" w:eastAsia="宋体" w:cs="宋体"/>
                <w:color w:val="000000" w:themeColor="text1"/>
                <w:sz w:val="24"/>
                <w:szCs w:val="24"/>
                <w:highlight w:val="none"/>
                <w:lang w:val="en-US" w:eastAsia="zh-CN"/>
                <w14:textFill>
                  <w14:solidFill>
                    <w14:schemeClr w14:val="tx1"/>
                  </w14:solidFill>
                </w14:textFill>
              </w:rPr>
              <w:t>止</w:t>
            </w:r>
          </w:p>
        </w:tc>
      </w:tr>
      <w:tr w14:paraId="092D9541">
        <w:tblPrEx>
          <w:tblCellMar>
            <w:top w:w="0" w:type="dxa"/>
            <w:left w:w="108" w:type="dxa"/>
            <w:bottom w:w="0" w:type="dxa"/>
            <w:right w:w="108" w:type="dxa"/>
          </w:tblCellMar>
        </w:tblPrEx>
        <w:trPr>
          <w:trHeight w:val="473"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5EFFCB73">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sz w:val="24"/>
                <w:szCs w:val="24"/>
              </w:rPr>
            </w:pPr>
          </w:p>
        </w:tc>
        <w:tc>
          <w:tcPr>
            <w:tcW w:w="1703" w:type="dxa"/>
            <w:tcBorders>
              <w:top w:val="single" w:color="000000" w:sz="4" w:space="0"/>
              <w:left w:val="nil"/>
              <w:bottom w:val="single" w:color="000000" w:sz="4" w:space="0"/>
              <w:right w:val="single" w:color="auto" w:sz="4" w:space="0"/>
            </w:tcBorders>
            <w:vAlign w:val="center"/>
          </w:tcPr>
          <w:p w14:paraId="74F08F27">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评标小组构成</w:t>
            </w:r>
          </w:p>
        </w:tc>
        <w:tc>
          <w:tcPr>
            <w:tcW w:w="7190" w:type="dxa"/>
            <w:tcBorders>
              <w:top w:val="single" w:color="000000" w:sz="4" w:space="0"/>
              <w:left w:val="single" w:color="auto" w:sz="4" w:space="0"/>
              <w:bottom w:val="single" w:color="000000" w:sz="4" w:space="0"/>
              <w:right w:val="single" w:color="000000" w:sz="4" w:space="0"/>
            </w:tcBorders>
            <w:vAlign w:val="center"/>
          </w:tcPr>
          <w:p w14:paraId="0A86A975">
            <w:pPr>
              <w:keepNext w:val="0"/>
              <w:keepLines w:val="0"/>
              <w:pageBreakBefore w:val="0"/>
              <w:widowControl w:val="0"/>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sz w:val="24"/>
                <w:szCs w:val="24"/>
              </w:rPr>
            </w:pPr>
            <w:r>
              <w:rPr>
                <w:rFonts w:hint="eastAsia" w:ascii="宋体" w:hAnsi="宋体" w:eastAsia="宋体" w:cs="宋体"/>
                <w:sz w:val="24"/>
                <w:szCs w:val="24"/>
              </w:rPr>
              <w:t>根据《中华人民共和国政府采购法》</w:t>
            </w:r>
            <w:r>
              <w:rPr>
                <w:rFonts w:hint="eastAsia" w:ascii="宋体" w:hAnsi="宋体" w:eastAsia="宋体" w:cs="宋体"/>
                <w:color w:val="auto"/>
                <w:sz w:val="24"/>
                <w:szCs w:val="24"/>
                <w:lang w:val="en-US" w:eastAsia="zh-CN"/>
              </w:rPr>
              <w:t>《政府采购非招标采购方式管理办法</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财政部74号令）</w:t>
            </w:r>
            <w:r>
              <w:rPr>
                <w:rFonts w:hint="eastAsia" w:ascii="宋体" w:hAnsi="宋体" w:eastAsia="宋体" w:cs="宋体"/>
                <w:color w:val="auto"/>
                <w:sz w:val="24"/>
                <w:szCs w:val="24"/>
              </w:rPr>
              <w:t>等</w:t>
            </w:r>
            <w:r>
              <w:rPr>
                <w:rFonts w:hint="eastAsia" w:ascii="宋体" w:hAnsi="宋体" w:eastAsia="宋体" w:cs="宋体"/>
                <w:sz w:val="24"/>
                <w:szCs w:val="24"/>
              </w:rPr>
              <w:t>有关法律规定组建</w:t>
            </w:r>
            <w:r>
              <w:rPr>
                <w:rFonts w:hint="eastAsia" w:ascii="宋体" w:hAnsi="宋体" w:eastAsia="宋体" w:cs="宋体"/>
                <w:sz w:val="24"/>
                <w:szCs w:val="24"/>
                <w:lang w:val="en-US" w:eastAsia="zh-CN"/>
              </w:rPr>
              <w:t>谈判</w:t>
            </w:r>
            <w:r>
              <w:rPr>
                <w:rFonts w:hint="eastAsia" w:ascii="宋体" w:hAnsi="宋体" w:eastAsia="宋体" w:cs="宋体"/>
                <w:sz w:val="24"/>
                <w:szCs w:val="24"/>
              </w:rPr>
              <w:t>小组。</w:t>
            </w:r>
          </w:p>
        </w:tc>
      </w:tr>
      <w:tr w14:paraId="53EB5F8A">
        <w:tblPrEx>
          <w:tblCellMar>
            <w:top w:w="0" w:type="dxa"/>
            <w:left w:w="108" w:type="dxa"/>
            <w:bottom w:w="0" w:type="dxa"/>
            <w:right w:w="108" w:type="dxa"/>
          </w:tblCellMar>
        </w:tblPrEx>
        <w:trPr>
          <w:trHeight w:val="156"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5387C505">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sz w:val="24"/>
                <w:szCs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14:paraId="4EE85B45">
            <w:pPr>
              <w:keepNext w:val="0"/>
              <w:keepLines w:val="0"/>
              <w:pageBreakBefore w:val="0"/>
              <w:widowControl/>
              <w:suppressLineNumbers w:val="0"/>
              <w:kinsoku/>
              <w:wordWrap/>
              <w:topLinePunct w:val="0"/>
              <w:bidi w:val="0"/>
              <w:spacing w:before="0" w:beforeAutospacing="0" w:after="0" w:afterAutospacing="0" w:line="4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投标文件制作</w:t>
            </w:r>
          </w:p>
          <w:p w14:paraId="7690F0EF">
            <w:pPr>
              <w:keepNext w:val="0"/>
              <w:keepLines w:val="0"/>
              <w:pageBreakBefore w:val="0"/>
              <w:widowControl w:val="0"/>
              <w:suppressLineNumbers w:val="0"/>
              <w:kinsoku/>
              <w:wordWrap/>
              <w:topLinePunct w:val="0"/>
              <w:bidi w:val="0"/>
              <w:spacing w:before="0" w:beforeAutospacing="0" w:after="0" w:afterAutospacing="0" w:line="460" w:lineRule="exact"/>
              <w:ind w:left="0" w:right="109"/>
              <w:jc w:val="center"/>
              <w:textAlignment w:val="auto"/>
              <w:rPr>
                <w:rFonts w:hint="eastAsia" w:ascii="宋体" w:hAnsi="宋体" w:eastAsia="宋体" w:cs="宋体"/>
                <w:sz w:val="24"/>
                <w:szCs w:val="24"/>
                <w:lang w:val="en-US" w:eastAsia="zh-CN"/>
              </w:rPr>
            </w:pPr>
            <w:r>
              <w:rPr>
                <w:rFonts w:hint="eastAsia" w:ascii="宋体" w:hAnsi="宋体" w:eastAsia="宋体" w:cs="宋体"/>
                <w:kern w:val="0"/>
                <w:sz w:val="24"/>
                <w:szCs w:val="24"/>
              </w:rPr>
              <w:t>及份数</w:t>
            </w:r>
          </w:p>
        </w:tc>
        <w:tc>
          <w:tcPr>
            <w:tcW w:w="7190" w:type="dxa"/>
            <w:tcBorders>
              <w:top w:val="single" w:color="000000" w:sz="4" w:space="0"/>
              <w:left w:val="single" w:color="000000" w:sz="4" w:space="0"/>
              <w:bottom w:val="single" w:color="000000" w:sz="4" w:space="0"/>
              <w:right w:val="single" w:color="000000" w:sz="4" w:space="0"/>
            </w:tcBorders>
          </w:tcPr>
          <w:p w14:paraId="7451ABA8">
            <w:pPr>
              <w:keepNext w:val="0"/>
              <w:keepLines w:val="0"/>
              <w:pageBreakBefore w:val="0"/>
              <w:widowControl/>
              <w:suppressLineNumbers w:val="0"/>
              <w:kinsoku/>
              <w:wordWrap/>
              <w:topLinePunct w:val="0"/>
              <w:bidi w:val="0"/>
              <w:spacing w:before="0" w:beforeAutospacing="0" w:after="0" w:afterAutospacing="0" w:line="460" w:lineRule="exact"/>
              <w:ind w:left="0" w:right="0"/>
              <w:textAlignment w:val="auto"/>
              <w:rPr>
                <w:rFonts w:hint="eastAsia" w:ascii="宋体" w:hAnsi="宋体" w:eastAsia="宋体" w:cs="宋体"/>
                <w:kern w:val="0"/>
                <w:sz w:val="24"/>
                <w:szCs w:val="24"/>
              </w:rPr>
            </w:pPr>
            <w:r>
              <w:rPr>
                <w:rFonts w:hint="eastAsia" w:ascii="宋体" w:hAnsi="宋体" w:eastAsia="宋体" w:cs="宋体"/>
                <w:color w:val="000000" w:themeColor="text1"/>
                <w:kern w:val="0"/>
                <w:sz w:val="24"/>
                <w:szCs w:val="24"/>
                <w:highlight w:val="none"/>
                <w14:textFill>
                  <w14:solidFill>
                    <w14:schemeClr w14:val="tx1"/>
                  </w14:solidFill>
                </w14:textFill>
              </w:rPr>
              <w:t>正本壹份，副本</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贰</w:t>
            </w:r>
            <w:r>
              <w:rPr>
                <w:rFonts w:hint="eastAsia" w:ascii="宋体" w:hAnsi="宋体" w:eastAsia="宋体" w:cs="宋体"/>
                <w:color w:val="000000" w:themeColor="text1"/>
                <w:kern w:val="0"/>
                <w:sz w:val="24"/>
                <w:szCs w:val="24"/>
                <w:highlight w:val="none"/>
                <w14:textFill>
                  <w14:solidFill>
                    <w14:schemeClr w14:val="tx1"/>
                  </w14:solidFill>
                </w14:textFill>
              </w:rPr>
              <w:t>份</w:t>
            </w:r>
            <w:r>
              <w:rPr>
                <w:rFonts w:hint="eastAsia" w:ascii="宋体" w:hAnsi="宋体" w:eastAsia="宋体" w:cs="宋体"/>
                <w:kern w:val="0"/>
                <w:sz w:val="24"/>
                <w:szCs w:val="24"/>
              </w:rPr>
              <w:t>，电子版投标文件壹份装入正本（U盘），</w:t>
            </w:r>
          </w:p>
          <w:p w14:paraId="5F18C467">
            <w:pPr>
              <w:keepNext w:val="0"/>
              <w:keepLines w:val="0"/>
              <w:pageBreakBefore w:val="0"/>
              <w:widowControl w:val="0"/>
              <w:suppressLineNumbers w:val="0"/>
              <w:kinsoku/>
              <w:wordWrap/>
              <w:topLinePunct w:val="0"/>
              <w:bidi w:val="0"/>
              <w:spacing w:before="0" w:beforeAutospacing="0" w:after="0" w:afterAutospacing="0" w:line="460" w:lineRule="exact"/>
              <w:ind w:left="0" w:right="-11"/>
              <w:textAlignment w:val="auto"/>
              <w:rPr>
                <w:rFonts w:hint="eastAsia" w:ascii="宋体" w:hAnsi="宋体" w:eastAsia="宋体" w:cs="宋体"/>
                <w:sz w:val="24"/>
                <w:szCs w:val="24"/>
                <w:lang w:val="en-US"/>
              </w:rPr>
            </w:pPr>
            <w:r>
              <w:rPr>
                <w:rFonts w:hint="eastAsia" w:ascii="宋体" w:hAnsi="宋体" w:eastAsia="宋体" w:cs="宋体"/>
                <w:kern w:val="0"/>
                <w:sz w:val="24"/>
                <w:szCs w:val="24"/>
              </w:rPr>
              <w:t>正本、副本投标文件分别单独封装。</w:t>
            </w:r>
          </w:p>
        </w:tc>
      </w:tr>
      <w:tr w14:paraId="0979DC2B">
        <w:tblPrEx>
          <w:tblCellMar>
            <w:top w:w="0" w:type="dxa"/>
            <w:left w:w="108" w:type="dxa"/>
            <w:bottom w:w="0" w:type="dxa"/>
            <w:right w:w="108" w:type="dxa"/>
          </w:tblCellMar>
        </w:tblPrEx>
        <w:trPr>
          <w:trHeight w:val="156" w:hRule="atLeast"/>
          <w:jc w:val="center"/>
        </w:trPr>
        <w:tc>
          <w:tcPr>
            <w:tcW w:w="705" w:type="dxa"/>
            <w:tcBorders>
              <w:top w:val="single" w:color="000000" w:sz="4" w:space="0"/>
              <w:left w:val="single" w:color="000000" w:sz="4" w:space="0"/>
              <w:bottom w:val="single" w:color="000000" w:sz="4" w:space="0"/>
              <w:right w:val="single" w:color="000000" w:sz="4" w:space="0"/>
            </w:tcBorders>
            <w:vAlign w:val="center"/>
          </w:tcPr>
          <w:p w14:paraId="39498C77">
            <w:pPr>
              <w:keepNext w:val="0"/>
              <w:keepLines w:val="0"/>
              <w:pageBreakBefore w:val="0"/>
              <w:widowControl/>
              <w:numPr>
                <w:ilvl w:val="0"/>
                <w:numId w:val="1"/>
              </w:numPr>
              <w:suppressLineNumbers w:val="0"/>
              <w:kinsoku/>
              <w:wordWrap/>
              <w:topLinePunct w:val="0"/>
              <w:bidi w:val="0"/>
              <w:spacing w:before="0" w:beforeAutospacing="0" w:after="0" w:afterAutospacing="0" w:line="460" w:lineRule="exact"/>
              <w:ind w:left="705" w:leftChars="0" w:right="0" w:hanging="425" w:firstLineChars="0"/>
              <w:jc w:val="center"/>
              <w:textAlignment w:val="auto"/>
              <w:rPr>
                <w:rFonts w:hint="eastAsia" w:ascii="宋体" w:hAnsi="宋体" w:eastAsia="宋体" w:cs="宋体"/>
                <w:sz w:val="24"/>
                <w:szCs w:val="24"/>
              </w:rPr>
            </w:pPr>
          </w:p>
        </w:tc>
        <w:tc>
          <w:tcPr>
            <w:tcW w:w="1703" w:type="dxa"/>
            <w:tcBorders>
              <w:top w:val="single" w:color="000000" w:sz="4" w:space="0"/>
              <w:left w:val="single" w:color="000000" w:sz="4" w:space="0"/>
              <w:bottom w:val="single" w:color="000000" w:sz="4" w:space="0"/>
              <w:right w:val="single" w:color="000000" w:sz="4" w:space="0"/>
            </w:tcBorders>
            <w:vAlign w:val="center"/>
          </w:tcPr>
          <w:p w14:paraId="39371E02">
            <w:pPr>
              <w:keepNext w:val="0"/>
              <w:keepLines w:val="0"/>
              <w:pageBreakBefore w:val="0"/>
              <w:widowControl w:val="0"/>
              <w:suppressLineNumbers w:val="0"/>
              <w:kinsoku/>
              <w:wordWrap/>
              <w:topLinePunct w:val="0"/>
              <w:bidi w:val="0"/>
              <w:spacing w:before="0" w:beforeAutospacing="0" w:after="0" w:afterAutospacing="0" w:line="460" w:lineRule="exact"/>
              <w:ind w:left="0" w:leftChars="0" w:right="109" w:right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答疑</w:t>
            </w:r>
          </w:p>
        </w:tc>
        <w:tc>
          <w:tcPr>
            <w:tcW w:w="7190" w:type="dxa"/>
            <w:tcBorders>
              <w:top w:val="single" w:color="000000" w:sz="4" w:space="0"/>
              <w:left w:val="single" w:color="000000" w:sz="4" w:space="0"/>
              <w:bottom w:val="single" w:color="000000" w:sz="4" w:space="0"/>
              <w:right w:val="single" w:color="000000" w:sz="4" w:space="0"/>
            </w:tcBorders>
            <w:vAlign w:val="top"/>
          </w:tcPr>
          <w:p w14:paraId="3CC8B40A">
            <w:pPr>
              <w:keepNext w:val="0"/>
              <w:keepLines w:val="0"/>
              <w:pageBreakBefore w:val="0"/>
              <w:widowControl w:val="0"/>
              <w:suppressLineNumbers w:val="0"/>
              <w:kinsoku/>
              <w:wordWrap/>
              <w:topLinePunct w:val="0"/>
              <w:bidi w:val="0"/>
              <w:spacing w:before="0" w:beforeAutospacing="0" w:after="0" w:afterAutospacing="0" w:line="460" w:lineRule="exact"/>
              <w:ind w:left="0" w:leftChars="0" w:right="-11" w:rightChars="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 xml:space="preserve">如有疑问，投标人需书面提出，经采购人收集问题后，统一答疑。 </w:t>
            </w:r>
          </w:p>
        </w:tc>
      </w:tr>
    </w:tbl>
    <w:p w14:paraId="3CADE3DD">
      <w:pPr>
        <w:bidi w:val="0"/>
        <w:rPr>
          <w:rFonts w:hint="default" w:eastAsia="华文仿宋"/>
          <w:lang w:val="en-US" w:eastAsia="zh-CN"/>
        </w:rPr>
      </w:pPr>
    </w:p>
    <w:p w14:paraId="40B9CBEE">
      <w:pPr>
        <w:bidi w:val="0"/>
        <w:jc w:val="center"/>
        <w:rPr>
          <w:rFonts w:ascii="宋体" w:hAnsi="宋体" w:eastAsia="宋体"/>
          <w:b/>
          <w:bCs/>
          <w:kern w:val="44"/>
          <w:sz w:val="32"/>
          <w:szCs w:val="32"/>
        </w:rPr>
      </w:pPr>
      <w:r>
        <w:rPr>
          <w:rFonts w:hint="eastAsia" w:ascii="宋体" w:hAnsi="宋体" w:eastAsia="宋体"/>
          <w:b/>
          <w:bCs/>
          <w:kern w:val="44"/>
          <w:sz w:val="32"/>
          <w:szCs w:val="32"/>
        </w:rPr>
        <w:t>供应商须知</w:t>
      </w:r>
    </w:p>
    <w:p w14:paraId="7733F661">
      <w:pPr>
        <w:keepNext w:val="0"/>
        <w:keepLines w:val="0"/>
        <w:pageBreakBefore w:val="0"/>
        <w:widowControl/>
        <w:kinsoku/>
        <w:wordWrap/>
        <w:overflowPunct/>
        <w:topLinePunct w:val="0"/>
        <w:autoSpaceDE/>
        <w:autoSpaceDN/>
        <w:bidi w:val="0"/>
        <w:adjustRightInd w:val="0"/>
        <w:snapToGrid w:val="0"/>
        <w:spacing w:line="400" w:lineRule="exact"/>
        <w:ind w:right="0" w:rightChars="0"/>
        <w:jc w:val="center"/>
        <w:textAlignment w:val="auto"/>
        <w:rPr>
          <w:rFonts w:hint="eastAsia" w:ascii="宋体" w:hAnsi="宋体" w:eastAsia="宋体" w:cs="宋体"/>
          <w:kern w:val="0"/>
          <w:sz w:val="24"/>
          <w:szCs w:val="24"/>
        </w:rPr>
      </w:pPr>
      <w:bookmarkStart w:id="35" w:name="_Toc14189403"/>
      <w:bookmarkStart w:id="36" w:name="_Toc35335252"/>
      <w:bookmarkStart w:id="37" w:name="_Toc23315656"/>
      <w:bookmarkStart w:id="38" w:name="_Toc26416"/>
      <w:bookmarkStart w:id="39" w:name="_Toc23316580"/>
      <w:bookmarkStart w:id="40" w:name="_Toc23316516"/>
      <w:bookmarkStart w:id="41" w:name="_Toc18412195"/>
      <w:bookmarkStart w:id="42" w:name="_Toc14189266"/>
      <w:bookmarkStart w:id="43" w:name="_Toc12880"/>
      <w:bookmarkStart w:id="44" w:name="_Toc23316678"/>
      <w:r>
        <w:rPr>
          <w:rFonts w:hint="eastAsia" w:ascii="宋体" w:hAnsi="宋体" w:eastAsia="宋体" w:cs="宋体"/>
          <w:kern w:val="0"/>
          <w:sz w:val="24"/>
          <w:szCs w:val="24"/>
        </w:rPr>
        <w:t>一、</w:t>
      </w:r>
      <w:r>
        <w:rPr>
          <w:rFonts w:hint="eastAsia" w:ascii="宋体" w:hAnsi="宋体" w:eastAsia="宋体" w:cs="宋体"/>
          <w:b/>
          <w:bCs/>
          <w:kern w:val="44"/>
          <w:sz w:val="24"/>
          <w:szCs w:val="24"/>
        </w:rPr>
        <w:t>总则</w:t>
      </w:r>
    </w:p>
    <w:p w14:paraId="47E70D75">
      <w:pPr>
        <w:keepNext w:val="0"/>
        <w:keepLines w:val="0"/>
        <w:pageBreakBefore w:val="0"/>
        <w:widowControl/>
        <w:kinsoku/>
        <w:wordWrap/>
        <w:overflowPunct/>
        <w:topLinePunct w:val="0"/>
        <w:autoSpaceDE/>
        <w:autoSpaceDN/>
        <w:bidi w:val="0"/>
        <w:adjustRightInd w:val="0"/>
        <w:snapToGrid w:val="0"/>
        <w:spacing w:line="400" w:lineRule="exact"/>
        <w:ind w:right="0" w:rightChars="0" w:firstLine="482" w:firstLineChars="200"/>
        <w:jc w:val="both"/>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1.</w:t>
      </w:r>
      <w:r>
        <w:rPr>
          <w:rFonts w:hint="eastAsia" w:ascii="宋体" w:hAnsi="宋体" w:eastAsia="宋体" w:cs="宋体"/>
          <w:b/>
          <w:kern w:val="0"/>
          <w:sz w:val="24"/>
          <w:szCs w:val="24"/>
        </w:rPr>
        <w:t>采购依据</w:t>
      </w:r>
    </w:p>
    <w:p w14:paraId="63FB5C6E">
      <w:pPr>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本次采购依据《中华人民共和国政府采购法》、《中华人民共和国政府采购法实施条例》、《政府采购非招标采购方式管理办法》</w:t>
      </w:r>
      <w:r>
        <w:rPr>
          <w:rFonts w:hint="eastAsia" w:ascii="宋体" w:hAnsi="宋体" w:eastAsia="宋体" w:cs="宋体"/>
          <w:sz w:val="24"/>
          <w:szCs w:val="24"/>
        </w:rPr>
        <w:t>（财政部令第74号）</w:t>
      </w:r>
      <w:r>
        <w:rPr>
          <w:rFonts w:hint="eastAsia" w:ascii="宋体" w:hAnsi="宋体" w:eastAsia="宋体" w:cs="宋体"/>
          <w:kern w:val="0"/>
          <w:sz w:val="24"/>
          <w:szCs w:val="24"/>
        </w:rPr>
        <w:t>及国家现行有关法律法规执行。</w:t>
      </w:r>
    </w:p>
    <w:p w14:paraId="40C3CBA3">
      <w:pPr>
        <w:keepNext w:val="0"/>
        <w:keepLines w:val="0"/>
        <w:pageBreakBefore w:val="0"/>
        <w:widowControl/>
        <w:kinsoku/>
        <w:wordWrap/>
        <w:overflowPunct/>
        <w:topLinePunct w:val="0"/>
        <w:autoSpaceDE/>
        <w:autoSpaceDN/>
        <w:bidi w:val="0"/>
        <w:adjustRightInd w:val="0"/>
        <w:snapToGrid w:val="0"/>
        <w:spacing w:line="400" w:lineRule="exact"/>
        <w:ind w:right="0" w:rightChars="0" w:firstLine="482" w:firstLineChars="200"/>
        <w:jc w:val="both"/>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2.</w:t>
      </w:r>
      <w:r>
        <w:rPr>
          <w:rFonts w:hint="eastAsia" w:ascii="宋体" w:hAnsi="宋体" w:eastAsia="宋体" w:cs="宋体"/>
          <w:b/>
          <w:kern w:val="0"/>
          <w:sz w:val="24"/>
          <w:szCs w:val="24"/>
        </w:rPr>
        <w:t>适用范围</w:t>
      </w:r>
    </w:p>
    <w:p w14:paraId="25661769">
      <w:pPr>
        <w:keepNext w:val="0"/>
        <w:keepLines w:val="0"/>
        <w:pageBreakBefore w:val="0"/>
        <w:widowControl/>
        <w:kinsoku/>
        <w:wordWrap/>
        <w:overflowPunct/>
        <w:topLinePunct w:val="0"/>
        <w:autoSpaceDE/>
        <w:autoSpaceDN/>
        <w:bidi w:val="0"/>
        <w:adjustRightInd w:val="0"/>
        <w:snapToGrid w:val="0"/>
        <w:spacing w:line="400" w:lineRule="exact"/>
        <w:ind w:right="0" w:righ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本竞争性谈判文件适用于本次谈判活动的全过程。</w:t>
      </w:r>
    </w:p>
    <w:p w14:paraId="22BF1F06">
      <w:pPr>
        <w:keepNext w:val="0"/>
        <w:keepLines w:val="0"/>
        <w:pageBreakBefore w:val="0"/>
        <w:widowControl/>
        <w:kinsoku/>
        <w:wordWrap/>
        <w:overflowPunct/>
        <w:topLinePunct w:val="0"/>
        <w:autoSpaceDE/>
        <w:autoSpaceDN/>
        <w:bidi w:val="0"/>
        <w:snapToGrid w:val="0"/>
        <w:spacing w:line="400" w:lineRule="exact"/>
        <w:ind w:right="0" w:rightChars="0"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rPr>
        <w:t>3</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合格的供应商</w:t>
      </w:r>
    </w:p>
    <w:p w14:paraId="0C79384E">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3.1具有本项目生产、制造、加工、供应或实施能力，符合、承认并承诺履行本</w:t>
      </w:r>
      <w:r>
        <w:rPr>
          <w:rFonts w:hint="eastAsia" w:ascii="宋体" w:hAnsi="宋体" w:eastAsia="宋体" w:cs="宋体"/>
          <w:bCs/>
          <w:sz w:val="24"/>
          <w:szCs w:val="24"/>
          <w:lang w:eastAsia="zh-CN"/>
        </w:rPr>
        <w:t>谈判</w:t>
      </w:r>
      <w:r>
        <w:rPr>
          <w:rFonts w:hint="eastAsia" w:ascii="宋体" w:hAnsi="宋体" w:eastAsia="宋体" w:cs="宋体"/>
          <w:bCs/>
          <w:sz w:val="24"/>
          <w:szCs w:val="24"/>
        </w:rPr>
        <w:t>文件各项规定的国内供应商。</w:t>
      </w:r>
    </w:p>
    <w:p w14:paraId="7D52A0C5">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3.2供应商应遵守有关的国家法律、法规和条例，具备《中华人民共和国政府采购法》和本文件中规定的条件：</w:t>
      </w:r>
    </w:p>
    <w:p w14:paraId="2AD9596A">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rPr>
        <w:tab/>
      </w:r>
      <w:r>
        <w:rPr>
          <w:rFonts w:hint="eastAsia" w:ascii="宋体" w:hAnsi="宋体" w:eastAsia="宋体" w:cs="宋体"/>
          <w:bCs/>
          <w:sz w:val="24"/>
          <w:szCs w:val="24"/>
        </w:rPr>
        <w:t>具有独立承担民事责任的能力；</w:t>
      </w:r>
    </w:p>
    <w:p w14:paraId="74B141A8">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rPr>
        <w:tab/>
      </w:r>
      <w:r>
        <w:rPr>
          <w:rFonts w:hint="eastAsia" w:ascii="宋体" w:hAnsi="宋体" w:eastAsia="宋体" w:cs="宋体"/>
          <w:bCs/>
          <w:sz w:val="24"/>
          <w:szCs w:val="24"/>
        </w:rPr>
        <w:t>具有良好的商业信誉和健全的财务会计制度；</w:t>
      </w:r>
    </w:p>
    <w:p w14:paraId="7C7C7A3E">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rPr>
        <w:tab/>
      </w:r>
      <w:r>
        <w:rPr>
          <w:rFonts w:hint="eastAsia" w:ascii="宋体" w:hAnsi="宋体" w:eastAsia="宋体" w:cs="宋体"/>
          <w:bCs/>
          <w:sz w:val="24"/>
          <w:szCs w:val="24"/>
        </w:rPr>
        <w:t>具有履行合同所必需的产品和专业技术能力；</w:t>
      </w:r>
    </w:p>
    <w:p w14:paraId="452370C6">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（4）</w:t>
      </w:r>
      <w:r>
        <w:rPr>
          <w:rFonts w:hint="eastAsia" w:ascii="宋体" w:hAnsi="宋体" w:eastAsia="宋体" w:cs="宋体"/>
          <w:bCs/>
          <w:sz w:val="24"/>
          <w:szCs w:val="24"/>
        </w:rPr>
        <w:tab/>
      </w:r>
      <w:r>
        <w:rPr>
          <w:rFonts w:hint="eastAsia" w:ascii="宋体" w:hAnsi="宋体" w:eastAsia="宋体" w:cs="宋体"/>
          <w:bCs/>
          <w:sz w:val="24"/>
          <w:szCs w:val="24"/>
        </w:rPr>
        <w:t>具有依法缴纳税收和社会保障资金的良好记录；</w:t>
      </w:r>
    </w:p>
    <w:p w14:paraId="7DC7F62F">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（5）</w:t>
      </w:r>
      <w:r>
        <w:rPr>
          <w:rFonts w:hint="eastAsia" w:ascii="宋体" w:hAnsi="宋体" w:eastAsia="宋体" w:cs="宋体"/>
          <w:bCs/>
          <w:sz w:val="24"/>
          <w:szCs w:val="24"/>
        </w:rPr>
        <w:tab/>
      </w:r>
      <w:r>
        <w:rPr>
          <w:rFonts w:hint="eastAsia" w:ascii="宋体" w:hAnsi="宋体" w:eastAsia="宋体" w:cs="宋体"/>
          <w:bCs/>
          <w:sz w:val="24"/>
          <w:szCs w:val="24"/>
        </w:rPr>
        <w:t>参加此项采购活动前三年内，在经营活动中没有重大违法记录；</w:t>
      </w:r>
    </w:p>
    <w:p w14:paraId="1B951427">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（6）</w:t>
      </w:r>
      <w:r>
        <w:rPr>
          <w:rFonts w:hint="eastAsia" w:ascii="宋体" w:hAnsi="宋体" w:eastAsia="宋体" w:cs="宋体"/>
          <w:bCs/>
          <w:sz w:val="24"/>
          <w:szCs w:val="24"/>
        </w:rPr>
        <w:tab/>
      </w:r>
      <w:r>
        <w:rPr>
          <w:rFonts w:hint="eastAsia" w:ascii="宋体" w:hAnsi="宋体" w:eastAsia="宋体" w:cs="宋体"/>
          <w:bCs/>
          <w:sz w:val="24"/>
          <w:szCs w:val="24"/>
        </w:rPr>
        <w:t>法律、行政法规规定的其他条件。</w:t>
      </w:r>
    </w:p>
    <w:p w14:paraId="42AC0F01">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3.3供应商购买</w:t>
      </w:r>
      <w:r>
        <w:rPr>
          <w:rFonts w:hint="eastAsia" w:ascii="宋体" w:hAnsi="宋体" w:eastAsia="宋体" w:cs="宋体"/>
          <w:bCs/>
          <w:sz w:val="24"/>
          <w:szCs w:val="24"/>
          <w:lang w:eastAsia="zh-CN"/>
        </w:rPr>
        <w:t>谈判</w:t>
      </w:r>
      <w:r>
        <w:rPr>
          <w:rFonts w:hint="eastAsia" w:ascii="宋体" w:hAnsi="宋体" w:eastAsia="宋体" w:cs="宋体"/>
          <w:bCs/>
          <w:sz w:val="24"/>
          <w:szCs w:val="24"/>
        </w:rPr>
        <w:t>文件时应登记备案，并提供有效联系方式。</w:t>
      </w:r>
    </w:p>
    <w:p w14:paraId="0EE36A2E">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3.4如供应商代表不是法定代表人，须持有《法定代表人授权委托书》 (按</w:t>
      </w:r>
      <w:r>
        <w:rPr>
          <w:rFonts w:hint="eastAsia" w:ascii="宋体" w:hAnsi="宋体" w:eastAsia="宋体" w:cs="宋体"/>
          <w:bCs/>
          <w:sz w:val="24"/>
          <w:szCs w:val="24"/>
          <w:lang w:eastAsia="zh-CN"/>
        </w:rPr>
        <w:t>谈判</w:t>
      </w:r>
      <w:r>
        <w:rPr>
          <w:rFonts w:hint="eastAsia" w:ascii="宋体" w:hAnsi="宋体" w:eastAsia="宋体" w:cs="宋体"/>
          <w:bCs/>
          <w:sz w:val="24"/>
          <w:szCs w:val="24"/>
        </w:rPr>
        <w:t>文件提供的格式填写)。</w:t>
      </w:r>
    </w:p>
    <w:p w14:paraId="3B319C6B">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3.5供应商应独立于采购人，不得直接或间接地与采购人为采购本次招标的货物或服务进行设计、编制技术规格和其它文件所委托的咨询公司或其附属机构有任何关联。</w:t>
      </w:r>
    </w:p>
    <w:p w14:paraId="70316298">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3.6供应商不得存在下列情形之一：</w:t>
      </w:r>
    </w:p>
    <w:p w14:paraId="57846EC5">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（1）与采购人或采购代理机构存在隶属关系或者其他利害关系；</w:t>
      </w:r>
    </w:p>
    <w:p w14:paraId="2D2FB722">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（2）与其他供应商的法定代表人（或者负责人）为同一人，或者与其他供应商存在直接控股、管理关系；</w:t>
      </w:r>
    </w:p>
    <w:p w14:paraId="514F317F">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3）受到刑事处罚，或者受到三万元以上罚款，责令停产停业、在一年至三年内禁止参加政府采购活动、暂扣或吊销许可证、暂扣或吊销执照等情形之一的行政处罚，或者存在财政部门认定的其他重大违法记录。</w:t>
      </w:r>
    </w:p>
    <w:p w14:paraId="7061EC18">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lang w:eastAsia="zh-CN"/>
        </w:rPr>
      </w:pPr>
      <w:r>
        <w:rPr>
          <w:rFonts w:hint="eastAsia" w:ascii="宋体" w:hAnsi="宋体" w:eastAsia="宋体" w:cs="宋体"/>
          <w:bCs/>
          <w:sz w:val="24"/>
          <w:szCs w:val="24"/>
        </w:rPr>
        <w:t>（4）供应商在投标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w:t>
      </w:r>
      <w:r>
        <w:rPr>
          <w:rFonts w:hint="eastAsia" w:ascii="宋体" w:hAnsi="宋体" w:eastAsia="宋体" w:cs="宋体"/>
          <w:bCs/>
          <w:sz w:val="24"/>
          <w:szCs w:val="24"/>
          <w:lang w:eastAsia="zh-CN"/>
        </w:rPr>
        <w:t>。</w:t>
      </w:r>
    </w:p>
    <w:p w14:paraId="50085600">
      <w:pPr>
        <w:keepNext w:val="0"/>
        <w:keepLines w:val="0"/>
        <w:pageBreakBefore w:val="0"/>
        <w:widowControl/>
        <w:kinsoku/>
        <w:wordWrap/>
        <w:overflowPunct/>
        <w:topLinePunct w:val="0"/>
        <w:autoSpaceDE/>
        <w:autoSpaceDN/>
        <w:bidi w:val="0"/>
        <w:spacing w:line="400" w:lineRule="exact"/>
        <w:ind w:right="0" w:rightChars="0" w:firstLine="482" w:firstLineChars="200"/>
        <w:jc w:val="both"/>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合格的货物与服务</w:t>
      </w:r>
    </w:p>
    <w:p w14:paraId="4C809024">
      <w:pPr>
        <w:keepNext w:val="0"/>
        <w:keepLines w:val="0"/>
        <w:pageBreakBefore w:val="0"/>
        <w:widowControl/>
        <w:kinsoku/>
        <w:wordWrap/>
        <w:overflowPunct/>
        <w:topLinePunct w:val="0"/>
        <w:autoSpaceDE/>
        <w:autoSpaceDN/>
        <w:bidi w:val="0"/>
        <w:spacing w:line="400" w:lineRule="exact"/>
        <w:ind w:right="0" w:righ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4.1</w:t>
      </w:r>
      <w:r>
        <w:rPr>
          <w:rFonts w:hint="eastAsia" w:ascii="宋体" w:hAnsi="宋体" w:eastAsia="宋体" w:cs="宋体"/>
          <w:sz w:val="24"/>
          <w:szCs w:val="24"/>
        </w:rPr>
        <w:t>本次谈判所用货物及其有关服务，均应来自上述</w:t>
      </w:r>
      <w:r>
        <w:rPr>
          <w:rFonts w:hint="eastAsia" w:ascii="宋体" w:hAnsi="宋体" w:eastAsia="宋体" w:cs="宋体"/>
          <w:sz w:val="24"/>
          <w:szCs w:val="24"/>
          <w:lang w:val="en-US" w:eastAsia="zh-CN"/>
        </w:rPr>
        <w:t>3</w:t>
      </w:r>
      <w:r>
        <w:rPr>
          <w:rFonts w:hint="eastAsia" w:ascii="宋体" w:hAnsi="宋体" w:eastAsia="宋体" w:cs="宋体"/>
          <w:sz w:val="24"/>
          <w:szCs w:val="24"/>
        </w:rPr>
        <w:t>条款所规定的合格供应商</w:t>
      </w:r>
      <w:r>
        <w:rPr>
          <w:rFonts w:hint="eastAsia" w:ascii="宋体" w:hAnsi="宋体" w:eastAsia="宋体" w:cs="宋体"/>
          <w:sz w:val="24"/>
          <w:szCs w:val="24"/>
          <w:lang w:eastAsia="zh-CN"/>
        </w:rPr>
        <w:t>。</w:t>
      </w:r>
    </w:p>
    <w:p w14:paraId="0588F54A">
      <w:pPr>
        <w:keepNext w:val="0"/>
        <w:keepLines w:val="0"/>
        <w:pageBreakBefore w:val="0"/>
        <w:widowControl/>
        <w:kinsoku/>
        <w:wordWrap/>
        <w:overflowPunct/>
        <w:topLinePunct w:val="0"/>
        <w:autoSpaceDE/>
        <w:autoSpaceDN/>
        <w:bidi w:val="0"/>
        <w:spacing w:line="400" w:lineRule="exact"/>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货物系指供应商按谈判文件规定，向采购人提供的符合谈判文件要求的相关的货物。</w:t>
      </w:r>
    </w:p>
    <w:p w14:paraId="007EAC75">
      <w:pPr>
        <w:keepNext w:val="0"/>
        <w:keepLines w:val="0"/>
        <w:pageBreakBefore w:val="0"/>
        <w:widowControl/>
        <w:kinsoku/>
        <w:wordWrap/>
        <w:overflowPunct/>
        <w:topLinePunct w:val="0"/>
        <w:autoSpaceDE/>
        <w:autoSpaceDN/>
        <w:bidi w:val="0"/>
        <w:spacing w:line="400" w:lineRule="exact"/>
        <w:ind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服务系指谈判文件规定的，供应商须承担的与谈判货物有关的辅助服务,如包装、运输、保险、安装、调试、技术培训、售后服务以及其他类似的义务。</w:t>
      </w:r>
    </w:p>
    <w:p w14:paraId="7619C481">
      <w:pPr>
        <w:keepNext w:val="0"/>
        <w:keepLines w:val="0"/>
        <w:pageBreakBefore w:val="0"/>
        <w:widowControl/>
        <w:kinsoku/>
        <w:wordWrap/>
        <w:overflowPunct/>
        <w:topLinePunct w:val="0"/>
        <w:autoSpaceDE/>
        <w:autoSpaceDN/>
        <w:bidi w:val="0"/>
        <w:snapToGrid w:val="0"/>
        <w:spacing w:line="400" w:lineRule="exact"/>
        <w:ind w:right="0" w:rightChars="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政府采购政策支持</w:t>
      </w:r>
    </w:p>
    <w:p w14:paraId="2A94C6B8">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 xml:space="preserve">.1对列入财政部、国家发改委发布的《节能产品政府采购清单》且属于应当“强制采购的节能产品”，按照规定实行强制采购。 </w:t>
      </w:r>
    </w:p>
    <w:p w14:paraId="03923318">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2对列入财政部、国家发展改革委员会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14:paraId="61D77E58">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.3产品同时属于“非强制采购节能产品”、环境标志产品的，评审时只有其中一项能享受优先待遇（供应商自行选择，并在报价文件中填写相关信息及数据）。</w:t>
      </w:r>
    </w:p>
    <w:p w14:paraId="6CD86736">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.4供应商有融资、担保需求的，具体办理流程按照财政厅及相关政策执行。</w:t>
      </w:r>
    </w:p>
    <w:p w14:paraId="618965C7">
      <w:pPr>
        <w:keepNext w:val="0"/>
        <w:keepLines w:val="0"/>
        <w:pageBreakBefore w:val="0"/>
        <w:widowControl/>
        <w:kinsoku/>
        <w:wordWrap/>
        <w:overflowPunct/>
        <w:topLinePunct w:val="0"/>
        <w:autoSpaceDE/>
        <w:autoSpaceDN/>
        <w:bidi w:val="0"/>
        <w:snapToGrid w:val="0"/>
        <w:spacing w:line="400" w:lineRule="exact"/>
        <w:ind w:right="0" w:rightChars="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费用承担</w:t>
      </w:r>
    </w:p>
    <w:p w14:paraId="5D191D3B">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供应商准备和参加</w:t>
      </w:r>
      <w:r>
        <w:rPr>
          <w:rFonts w:hint="eastAsia" w:ascii="宋体" w:hAnsi="宋体" w:eastAsia="宋体" w:cs="宋体"/>
          <w:bCs/>
          <w:sz w:val="24"/>
          <w:szCs w:val="24"/>
          <w:lang w:eastAsia="zh-CN"/>
        </w:rPr>
        <w:t>谈判</w:t>
      </w:r>
      <w:r>
        <w:rPr>
          <w:rFonts w:hint="eastAsia" w:ascii="宋体" w:hAnsi="宋体" w:eastAsia="宋体" w:cs="宋体"/>
          <w:bCs/>
          <w:sz w:val="24"/>
          <w:szCs w:val="24"/>
        </w:rPr>
        <w:t>活动发生的费用自理。</w:t>
      </w:r>
    </w:p>
    <w:p w14:paraId="125A7F62">
      <w:pPr>
        <w:keepNext w:val="0"/>
        <w:keepLines w:val="0"/>
        <w:pageBreakBefore w:val="0"/>
        <w:widowControl/>
        <w:kinsoku/>
        <w:wordWrap/>
        <w:overflowPunct/>
        <w:topLinePunct w:val="0"/>
        <w:autoSpaceDE/>
        <w:autoSpaceDN/>
        <w:bidi w:val="0"/>
        <w:snapToGrid w:val="0"/>
        <w:spacing w:line="400" w:lineRule="exact"/>
        <w:ind w:right="0" w:rightChars="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7.</w:t>
      </w:r>
      <w:r>
        <w:rPr>
          <w:rFonts w:hint="eastAsia" w:ascii="宋体" w:hAnsi="宋体" w:eastAsia="宋体" w:cs="宋体"/>
          <w:b/>
          <w:bCs/>
          <w:sz w:val="24"/>
          <w:szCs w:val="24"/>
        </w:rPr>
        <w:t>保密</w:t>
      </w:r>
    </w:p>
    <w:p w14:paraId="791B709C">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参与</w:t>
      </w:r>
      <w:r>
        <w:rPr>
          <w:rFonts w:hint="eastAsia" w:ascii="宋体" w:hAnsi="宋体" w:eastAsia="宋体" w:cs="宋体"/>
          <w:bCs/>
          <w:sz w:val="24"/>
          <w:szCs w:val="24"/>
          <w:lang w:eastAsia="zh-CN"/>
        </w:rPr>
        <w:t>谈判</w:t>
      </w:r>
      <w:r>
        <w:rPr>
          <w:rFonts w:hint="eastAsia" w:ascii="宋体" w:hAnsi="宋体" w:eastAsia="宋体" w:cs="宋体"/>
          <w:bCs/>
          <w:sz w:val="24"/>
          <w:szCs w:val="24"/>
        </w:rPr>
        <w:t>活动的各方应对</w:t>
      </w:r>
      <w:r>
        <w:rPr>
          <w:rFonts w:hint="eastAsia" w:ascii="宋体" w:hAnsi="宋体" w:eastAsia="宋体" w:cs="宋体"/>
          <w:bCs/>
          <w:sz w:val="24"/>
          <w:szCs w:val="24"/>
          <w:lang w:eastAsia="zh-CN"/>
        </w:rPr>
        <w:t>谈判</w:t>
      </w:r>
      <w:r>
        <w:rPr>
          <w:rFonts w:hint="eastAsia" w:ascii="宋体" w:hAnsi="宋体" w:eastAsia="宋体" w:cs="宋体"/>
          <w:bCs/>
          <w:sz w:val="24"/>
          <w:szCs w:val="24"/>
        </w:rPr>
        <w:t>文件和响应文件的商业和技术等秘密保密，违者应对由此造成的后果承担法律责任。</w:t>
      </w:r>
    </w:p>
    <w:p w14:paraId="25B30F1E">
      <w:pPr>
        <w:keepNext w:val="0"/>
        <w:keepLines w:val="0"/>
        <w:pageBreakBefore w:val="0"/>
        <w:widowControl/>
        <w:kinsoku/>
        <w:wordWrap/>
        <w:overflowPunct/>
        <w:topLinePunct w:val="0"/>
        <w:autoSpaceDE/>
        <w:autoSpaceDN/>
        <w:bidi w:val="0"/>
        <w:snapToGrid w:val="0"/>
        <w:spacing w:line="400" w:lineRule="exact"/>
        <w:ind w:right="0" w:rightChars="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8.</w:t>
      </w:r>
      <w:r>
        <w:rPr>
          <w:rFonts w:hint="eastAsia" w:ascii="宋体" w:hAnsi="宋体" w:eastAsia="宋体" w:cs="宋体"/>
          <w:b/>
          <w:bCs/>
          <w:sz w:val="24"/>
          <w:szCs w:val="24"/>
        </w:rPr>
        <w:t>语言文字</w:t>
      </w:r>
    </w:p>
    <w:p w14:paraId="088A1771">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除专用术语外，与</w:t>
      </w:r>
      <w:r>
        <w:rPr>
          <w:rFonts w:hint="eastAsia" w:ascii="宋体" w:hAnsi="宋体" w:eastAsia="宋体" w:cs="宋体"/>
          <w:bCs/>
          <w:sz w:val="24"/>
          <w:szCs w:val="24"/>
          <w:lang w:eastAsia="zh-CN"/>
        </w:rPr>
        <w:t>谈判</w:t>
      </w:r>
      <w:r>
        <w:rPr>
          <w:rFonts w:hint="eastAsia" w:ascii="宋体" w:hAnsi="宋体" w:eastAsia="宋体" w:cs="宋体"/>
          <w:bCs/>
          <w:sz w:val="24"/>
          <w:szCs w:val="24"/>
        </w:rPr>
        <w:t>文件有关的语言均使用中文；必要时专用术语应附有中文注释。</w:t>
      </w:r>
    </w:p>
    <w:p w14:paraId="72750685">
      <w:pPr>
        <w:keepNext w:val="0"/>
        <w:keepLines w:val="0"/>
        <w:pageBreakBefore w:val="0"/>
        <w:widowControl/>
        <w:kinsoku/>
        <w:wordWrap/>
        <w:overflowPunct/>
        <w:topLinePunct w:val="0"/>
        <w:autoSpaceDE/>
        <w:autoSpaceDN/>
        <w:bidi w:val="0"/>
        <w:snapToGrid w:val="0"/>
        <w:spacing w:line="400" w:lineRule="exact"/>
        <w:ind w:right="0" w:rightChars="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9.</w:t>
      </w:r>
      <w:r>
        <w:rPr>
          <w:rFonts w:hint="eastAsia" w:ascii="宋体" w:hAnsi="宋体" w:eastAsia="宋体" w:cs="宋体"/>
          <w:b/>
          <w:bCs/>
          <w:sz w:val="24"/>
          <w:szCs w:val="24"/>
        </w:rPr>
        <w:t>计量单位</w:t>
      </w:r>
    </w:p>
    <w:p w14:paraId="706C87D7">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所有计量均采用中华人民共和国法定计量单位。</w:t>
      </w:r>
    </w:p>
    <w:p w14:paraId="56EB709A">
      <w:pPr>
        <w:keepNext w:val="0"/>
        <w:keepLines w:val="0"/>
        <w:pageBreakBefore w:val="0"/>
        <w:widowControl/>
        <w:kinsoku/>
        <w:wordWrap/>
        <w:overflowPunct/>
        <w:topLinePunct w:val="0"/>
        <w:autoSpaceDE/>
        <w:autoSpaceDN/>
        <w:bidi w:val="0"/>
        <w:snapToGrid w:val="0"/>
        <w:spacing w:line="400" w:lineRule="exact"/>
        <w:ind w:right="0" w:rightChars="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踏勘现场</w:t>
      </w:r>
    </w:p>
    <w:p w14:paraId="20F5615D">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自行勘察，未勘察现场造成的一切后果由投标人自行承担。（一切费用自理）。</w:t>
      </w:r>
    </w:p>
    <w:p w14:paraId="646AC336">
      <w:pPr>
        <w:keepNext w:val="0"/>
        <w:keepLines w:val="0"/>
        <w:pageBreakBefore w:val="0"/>
        <w:widowControl/>
        <w:kinsoku/>
        <w:wordWrap/>
        <w:overflowPunct/>
        <w:topLinePunct w:val="0"/>
        <w:autoSpaceDE/>
        <w:autoSpaceDN/>
        <w:bidi w:val="0"/>
        <w:snapToGrid w:val="0"/>
        <w:spacing w:line="400" w:lineRule="exact"/>
        <w:ind w:right="0" w:rightChars="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11.</w:t>
      </w:r>
      <w:r>
        <w:rPr>
          <w:rFonts w:hint="eastAsia" w:ascii="宋体" w:hAnsi="宋体" w:eastAsia="宋体" w:cs="宋体"/>
          <w:b/>
          <w:bCs/>
          <w:sz w:val="24"/>
          <w:szCs w:val="24"/>
        </w:rPr>
        <w:t>偏离</w:t>
      </w:r>
    </w:p>
    <w:p w14:paraId="2075076D">
      <w:pPr>
        <w:keepNext w:val="0"/>
        <w:keepLines w:val="0"/>
        <w:pageBreakBefore w:val="0"/>
        <w:widowControl/>
        <w:kinsoku/>
        <w:wordWrap/>
        <w:overflowPunct/>
        <w:topLinePunct w:val="0"/>
        <w:autoSpaceDE/>
        <w:autoSpaceDN/>
        <w:bidi w:val="0"/>
        <w:snapToGrid w:val="0"/>
        <w:spacing w:line="400" w:lineRule="exact"/>
        <w:ind w:right="0" w:rightChars="0" w:firstLine="480" w:firstLineChars="200"/>
        <w:jc w:val="both"/>
        <w:textAlignment w:val="auto"/>
        <w:rPr>
          <w:rFonts w:hint="eastAsia" w:ascii="宋体" w:hAnsi="宋体" w:eastAsia="宋体" w:cs="宋体"/>
          <w:bCs/>
          <w:sz w:val="24"/>
          <w:szCs w:val="24"/>
        </w:rPr>
      </w:pPr>
      <w:r>
        <w:rPr>
          <w:rFonts w:hint="eastAsia" w:ascii="宋体" w:hAnsi="宋体" w:eastAsia="宋体" w:cs="宋体"/>
          <w:bCs/>
          <w:sz w:val="24"/>
          <w:szCs w:val="24"/>
        </w:rPr>
        <w:t>除供应商须知前附表另有规定外，供应商递交的响应文件不允许严重负偏离。</w:t>
      </w:r>
    </w:p>
    <w:p w14:paraId="5463624E">
      <w:pPr>
        <w:pageBreakBefore w:val="0"/>
        <w:kinsoku/>
        <w:wordWrap/>
        <w:topLinePunct w:val="0"/>
        <w:bidi w:val="0"/>
        <w:spacing w:line="400" w:lineRule="exact"/>
        <w:jc w:val="center"/>
        <w:textAlignment w:val="auto"/>
        <w:rPr>
          <w:rFonts w:hint="eastAsia" w:ascii="宋体" w:hAnsi="宋体" w:eastAsia="宋体" w:cs="宋体"/>
          <w:sz w:val="24"/>
          <w:szCs w:val="24"/>
        </w:rPr>
      </w:pPr>
      <w:bookmarkStart w:id="45" w:name="_Toc7122"/>
      <w:bookmarkStart w:id="46" w:name="_Toc20308"/>
      <w:bookmarkStart w:id="47" w:name="_Toc8823"/>
      <w:r>
        <w:rPr>
          <w:rFonts w:hint="eastAsia" w:ascii="宋体" w:hAnsi="宋体" w:eastAsia="宋体" w:cs="宋体"/>
          <w:b/>
          <w:bCs/>
          <w:sz w:val="24"/>
          <w:szCs w:val="24"/>
        </w:rPr>
        <w:t>二、谈判文件</w:t>
      </w:r>
      <w:bookmarkEnd w:id="35"/>
      <w:bookmarkEnd w:id="36"/>
      <w:bookmarkEnd w:id="37"/>
      <w:bookmarkEnd w:id="38"/>
      <w:bookmarkEnd w:id="39"/>
      <w:bookmarkEnd w:id="40"/>
      <w:bookmarkEnd w:id="41"/>
      <w:bookmarkEnd w:id="42"/>
      <w:bookmarkEnd w:id="43"/>
      <w:bookmarkEnd w:id="44"/>
      <w:bookmarkEnd w:id="45"/>
      <w:bookmarkEnd w:id="46"/>
      <w:bookmarkEnd w:id="47"/>
    </w:p>
    <w:p w14:paraId="35EB8DD9">
      <w:pPr>
        <w:pageBreakBefore w:val="0"/>
        <w:kinsoku/>
        <w:wordWrap/>
        <w:topLinePunct w:val="0"/>
        <w:bidi w:val="0"/>
        <w:spacing w:line="400" w:lineRule="exact"/>
        <w:ind w:left="0" w:leftChars="0" w:firstLine="482" w:firstLineChars="200"/>
        <w:jc w:val="both"/>
        <w:textAlignment w:val="auto"/>
        <w:rPr>
          <w:rFonts w:hint="eastAsia" w:ascii="宋体" w:hAnsi="宋体" w:eastAsia="宋体" w:cs="宋体"/>
          <w:b/>
          <w:bCs/>
          <w:sz w:val="24"/>
          <w:szCs w:val="24"/>
        </w:rPr>
      </w:pPr>
      <w:bookmarkStart w:id="48" w:name="_Toc536202289"/>
      <w:bookmarkStart w:id="49" w:name="_Toc5801"/>
      <w:bookmarkStart w:id="50" w:name="_Toc32118"/>
      <w:bookmarkStart w:id="51" w:name="_Toc14189407"/>
      <w:bookmarkStart w:id="52" w:name="_Toc35335256"/>
      <w:bookmarkStart w:id="53" w:name="_Toc18412199"/>
      <w:bookmarkStart w:id="54" w:name="_Toc23316520"/>
      <w:bookmarkStart w:id="55" w:name="_Toc23316682"/>
      <w:bookmarkStart w:id="56" w:name="_Toc14189270"/>
      <w:bookmarkStart w:id="57" w:name="_Toc18709"/>
      <w:bookmarkStart w:id="58" w:name="_Toc23315660"/>
      <w:bookmarkStart w:id="59" w:name="_Toc23316584"/>
      <w:r>
        <w:rPr>
          <w:rFonts w:hint="eastAsia" w:ascii="宋体" w:hAnsi="宋体" w:eastAsia="宋体" w:cs="宋体"/>
          <w:b/>
          <w:bCs/>
          <w:sz w:val="24"/>
          <w:szCs w:val="24"/>
          <w:lang w:val="en-US" w:eastAsia="zh-CN"/>
        </w:rPr>
        <w:t>1.</w:t>
      </w:r>
      <w:r>
        <w:rPr>
          <w:rFonts w:hint="eastAsia" w:ascii="宋体" w:hAnsi="宋体" w:eastAsia="宋体" w:cs="宋体"/>
          <w:b/>
          <w:bCs/>
          <w:sz w:val="24"/>
          <w:szCs w:val="24"/>
        </w:rPr>
        <w:t>竞争性</w:t>
      </w:r>
      <w:r>
        <w:rPr>
          <w:rFonts w:hint="eastAsia" w:ascii="宋体" w:hAnsi="宋体" w:eastAsia="宋体" w:cs="宋体"/>
          <w:b/>
          <w:bCs/>
          <w:sz w:val="24"/>
          <w:szCs w:val="24"/>
          <w:lang w:eastAsia="zh-CN"/>
        </w:rPr>
        <w:t>谈判</w:t>
      </w:r>
      <w:r>
        <w:rPr>
          <w:rFonts w:hint="eastAsia" w:ascii="宋体" w:hAnsi="宋体" w:eastAsia="宋体" w:cs="宋体"/>
          <w:b/>
          <w:bCs/>
          <w:sz w:val="24"/>
          <w:szCs w:val="24"/>
        </w:rPr>
        <w:t>文件的构成</w:t>
      </w:r>
      <w:bookmarkEnd w:id="48"/>
      <w:bookmarkEnd w:id="49"/>
    </w:p>
    <w:p w14:paraId="149EAE9A">
      <w:pPr>
        <w:pageBreakBefore w:val="0"/>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竞争性</w:t>
      </w:r>
      <w:r>
        <w:rPr>
          <w:rFonts w:hint="eastAsia" w:ascii="宋体" w:hAnsi="宋体" w:eastAsia="宋体" w:cs="宋体"/>
          <w:sz w:val="24"/>
          <w:szCs w:val="24"/>
          <w:lang w:eastAsia="zh-CN"/>
        </w:rPr>
        <w:t>谈判</w:t>
      </w:r>
      <w:r>
        <w:rPr>
          <w:rFonts w:hint="eastAsia" w:ascii="宋体" w:hAnsi="宋体" w:eastAsia="宋体" w:cs="宋体"/>
          <w:sz w:val="24"/>
          <w:szCs w:val="24"/>
        </w:rPr>
        <w:t>文件是供应商准备响应文件和参加</w:t>
      </w:r>
      <w:r>
        <w:rPr>
          <w:rFonts w:hint="eastAsia" w:ascii="宋体" w:hAnsi="宋体" w:eastAsia="宋体" w:cs="宋体"/>
          <w:sz w:val="24"/>
          <w:szCs w:val="24"/>
          <w:lang w:eastAsia="zh-CN"/>
        </w:rPr>
        <w:t>谈判</w:t>
      </w:r>
      <w:r>
        <w:rPr>
          <w:rFonts w:hint="eastAsia" w:ascii="宋体" w:hAnsi="宋体" w:eastAsia="宋体" w:cs="宋体"/>
          <w:sz w:val="24"/>
          <w:szCs w:val="24"/>
        </w:rPr>
        <w:t>的依据，同时也是评审的重要依据，具有</w:t>
      </w:r>
      <w:r>
        <w:rPr>
          <w:rFonts w:hint="eastAsia" w:ascii="宋体" w:hAnsi="宋体" w:eastAsia="宋体" w:cs="宋体"/>
          <w:sz w:val="24"/>
          <w:szCs w:val="24"/>
          <w:lang w:eastAsia="zh-CN"/>
        </w:rPr>
        <w:t>标</w:t>
      </w:r>
      <w:r>
        <w:rPr>
          <w:rFonts w:hint="eastAsia" w:ascii="宋体" w:hAnsi="宋体" w:eastAsia="宋体" w:cs="宋体"/>
          <w:sz w:val="24"/>
          <w:szCs w:val="24"/>
        </w:rPr>
        <w:t>准法律文件性质。竞争性</w:t>
      </w:r>
      <w:r>
        <w:rPr>
          <w:rFonts w:hint="eastAsia" w:ascii="宋体" w:hAnsi="宋体" w:eastAsia="宋体" w:cs="宋体"/>
          <w:sz w:val="24"/>
          <w:szCs w:val="24"/>
          <w:lang w:eastAsia="zh-CN"/>
        </w:rPr>
        <w:t>谈判</w:t>
      </w:r>
      <w:r>
        <w:rPr>
          <w:rFonts w:hint="eastAsia" w:ascii="宋体" w:hAnsi="宋体" w:eastAsia="宋体" w:cs="宋体"/>
          <w:sz w:val="24"/>
          <w:szCs w:val="24"/>
        </w:rPr>
        <w:t>文件用以阐明采购项目所需的资质、技术、服务</w:t>
      </w:r>
      <w:r>
        <w:rPr>
          <w:rFonts w:hint="eastAsia" w:ascii="宋体" w:hAnsi="宋体" w:eastAsia="宋体" w:cs="宋体"/>
          <w:sz w:val="24"/>
          <w:szCs w:val="24"/>
          <w:lang w:eastAsia="zh-CN"/>
        </w:rPr>
        <w:t>、货物</w:t>
      </w:r>
      <w:r>
        <w:rPr>
          <w:rFonts w:hint="eastAsia" w:ascii="宋体" w:hAnsi="宋体" w:eastAsia="宋体" w:cs="宋体"/>
          <w:sz w:val="24"/>
          <w:szCs w:val="24"/>
        </w:rPr>
        <w:t>及报价等要求、</w:t>
      </w:r>
      <w:r>
        <w:rPr>
          <w:rFonts w:hint="eastAsia" w:ascii="宋体" w:hAnsi="宋体" w:eastAsia="宋体" w:cs="宋体"/>
          <w:sz w:val="24"/>
          <w:szCs w:val="24"/>
          <w:lang w:eastAsia="zh-CN"/>
        </w:rPr>
        <w:t>谈判</w:t>
      </w:r>
      <w:r>
        <w:rPr>
          <w:rFonts w:hint="eastAsia" w:ascii="宋体" w:hAnsi="宋体" w:eastAsia="宋体" w:cs="宋体"/>
          <w:sz w:val="24"/>
          <w:szCs w:val="24"/>
        </w:rPr>
        <w:t>程序、有关规定和注意事项以及合同主要条款等。本竞争性</w:t>
      </w:r>
      <w:r>
        <w:rPr>
          <w:rFonts w:hint="eastAsia" w:ascii="宋体" w:hAnsi="宋体" w:eastAsia="宋体" w:cs="宋体"/>
          <w:sz w:val="24"/>
          <w:szCs w:val="24"/>
          <w:lang w:eastAsia="zh-CN"/>
        </w:rPr>
        <w:t>谈判</w:t>
      </w:r>
      <w:r>
        <w:rPr>
          <w:rFonts w:hint="eastAsia" w:ascii="宋体" w:hAnsi="宋体" w:eastAsia="宋体" w:cs="宋体"/>
          <w:sz w:val="24"/>
          <w:szCs w:val="24"/>
        </w:rPr>
        <w:t xml:space="preserve">文件包括以下内容： </w:t>
      </w:r>
    </w:p>
    <w:p w14:paraId="270AE2C6">
      <w:pPr>
        <w:pageBreakBefore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highlight w:val="none"/>
        </w:rPr>
      </w:pPr>
      <w:r>
        <w:rPr>
          <w:rFonts w:hint="default" w:ascii="宋体" w:hAnsi="宋体" w:eastAsia="宋体" w:cs="宋体"/>
          <w:kern w:val="2"/>
          <w:sz w:val="24"/>
          <w:szCs w:val="24"/>
          <w:lang w:val="en-US" w:eastAsia="zh-CN" w:bidi="ar-SA"/>
        </w:rPr>
        <w:t>（1）</w:t>
      </w:r>
      <w:r>
        <w:rPr>
          <w:rFonts w:hint="eastAsia" w:ascii="宋体" w:hAnsi="宋体" w:eastAsia="宋体" w:cs="宋体"/>
          <w:sz w:val="24"/>
          <w:szCs w:val="24"/>
          <w:highlight w:val="none"/>
          <w:lang w:val="en-US" w:eastAsia="zh-CN"/>
        </w:rPr>
        <w:t>竞争性</w:t>
      </w:r>
      <w:r>
        <w:rPr>
          <w:rFonts w:hint="eastAsia" w:ascii="宋体" w:hAnsi="宋体" w:eastAsia="宋体" w:cs="宋体"/>
          <w:sz w:val="24"/>
          <w:szCs w:val="24"/>
          <w:highlight w:val="none"/>
        </w:rPr>
        <w:t>谈判</w:t>
      </w:r>
      <w:r>
        <w:rPr>
          <w:rFonts w:hint="eastAsia" w:ascii="宋体" w:hAnsi="宋体" w:eastAsia="宋体" w:cs="宋体"/>
          <w:sz w:val="24"/>
          <w:szCs w:val="24"/>
          <w:highlight w:val="none"/>
          <w:lang w:val="en-US" w:eastAsia="zh-CN"/>
        </w:rPr>
        <w:t>公告</w:t>
      </w:r>
      <w:r>
        <w:rPr>
          <w:rFonts w:hint="eastAsia" w:ascii="宋体" w:hAnsi="宋体" w:eastAsia="宋体" w:cs="宋体"/>
          <w:sz w:val="24"/>
          <w:szCs w:val="24"/>
          <w:highlight w:val="none"/>
        </w:rPr>
        <w:t>；</w:t>
      </w:r>
    </w:p>
    <w:p w14:paraId="64620239">
      <w:pPr>
        <w:pageBreakBefore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highlight w:val="none"/>
        </w:rPr>
      </w:pPr>
      <w:r>
        <w:rPr>
          <w:rFonts w:hint="default" w:ascii="宋体" w:hAnsi="宋体" w:eastAsia="宋体" w:cs="宋体"/>
          <w:kern w:val="2"/>
          <w:sz w:val="24"/>
          <w:szCs w:val="24"/>
          <w:lang w:val="en-US" w:eastAsia="zh-CN" w:bidi="ar-SA"/>
        </w:rPr>
        <w:t>（2）</w:t>
      </w:r>
      <w:r>
        <w:rPr>
          <w:rFonts w:hint="eastAsia" w:ascii="宋体" w:hAnsi="宋体" w:eastAsia="宋体" w:cs="宋体"/>
          <w:sz w:val="24"/>
          <w:szCs w:val="24"/>
          <w:highlight w:val="none"/>
        </w:rPr>
        <w:t>供应商须知；</w:t>
      </w:r>
    </w:p>
    <w:p w14:paraId="79B9E2F5">
      <w:pPr>
        <w:pageBreakBefore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highlight w:val="none"/>
        </w:rPr>
      </w:pPr>
      <w:r>
        <w:rPr>
          <w:rFonts w:hint="default" w:ascii="宋体" w:hAnsi="宋体" w:eastAsia="宋体" w:cs="宋体"/>
          <w:kern w:val="2"/>
          <w:sz w:val="24"/>
          <w:szCs w:val="24"/>
          <w:lang w:val="en-US" w:eastAsia="zh-CN" w:bidi="ar-SA"/>
        </w:rPr>
        <w:t>（3）</w:t>
      </w:r>
      <w:r>
        <w:rPr>
          <w:rFonts w:hint="eastAsia" w:ascii="宋体" w:hAnsi="宋体" w:eastAsia="宋体" w:cs="宋体"/>
          <w:sz w:val="24"/>
          <w:szCs w:val="24"/>
          <w:highlight w:val="none"/>
          <w:lang w:eastAsia="zh-CN"/>
        </w:rPr>
        <w:t>谈判内容及技术要求</w:t>
      </w:r>
      <w:r>
        <w:rPr>
          <w:rFonts w:hint="eastAsia" w:ascii="宋体" w:hAnsi="宋体" w:eastAsia="宋体" w:cs="宋体"/>
          <w:sz w:val="24"/>
          <w:szCs w:val="24"/>
          <w:highlight w:val="none"/>
        </w:rPr>
        <w:t>；</w:t>
      </w:r>
    </w:p>
    <w:p w14:paraId="7D125FDD">
      <w:pPr>
        <w:pageBreakBefore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highlight w:val="none"/>
        </w:rPr>
      </w:pPr>
      <w:r>
        <w:rPr>
          <w:rFonts w:hint="default" w:ascii="宋体" w:hAnsi="宋体" w:eastAsia="宋体" w:cs="宋体"/>
          <w:kern w:val="2"/>
          <w:sz w:val="24"/>
          <w:szCs w:val="24"/>
          <w:lang w:val="en-US" w:eastAsia="zh-CN" w:bidi="ar-SA"/>
        </w:rPr>
        <w:t>（4）</w:t>
      </w:r>
      <w:r>
        <w:rPr>
          <w:rFonts w:hint="eastAsia" w:ascii="宋体" w:hAnsi="宋体" w:eastAsia="宋体" w:cs="宋体"/>
          <w:sz w:val="24"/>
          <w:szCs w:val="24"/>
          <w:highlight w:val="none"/>
          <w:lang w:eastAsia="zh-CN"/>
        </w:rPr>
        <w:t>商务及</w:t>
      </w:r>
      <w:r>
        <w:rPr>
          <w:rFonts w:hint="eastAsia" w:ascii="宋体" w:hAnsi="宋体" w:eastAsia="宋体" w:cs="宋体"/>
          <w:sz w:val="24"/>
          <w:szCs w:val="24"/>
          <w:highlight w:val="none"/>
        </w:rPr>
        <w:t>合同</w:t>
      </w:r>
      <w:r>
        <w:rPr>
          <w:rFonts w:hint="eastAsia" w:ascii="宋体" w:hAnsi="宋体" w:eastAsia="宋体" w:cs="宋体"/>
          <w:sz w:val="24"/>
          <w:szCs w:val="24"/>
          <w:highlight w:val="none"/>
          <w:lang w:eastAsia="zh-CN"/>
        </w:rPr>
        <w:t>主要</w:t>
      </w:r>
      <w:r>
        <w:rPr>
          <w:rFonts w:hint="eastAsia" w:ascii="宋体" w:hAnsi="宋体" w:eastAsia="宋体" w:cs="宋体"/>
          <w:sz w:val="24"/>
          <w:szCs w:val="24"/>
          <w:highlight w:val="none"/>
        </w:rPr>
        <w:t>条款；</w:t>
      </w:r>
    </w:p>
    <w:p w14:paraId="48EC3A19">
      <w:pPr>
        <w:pageBreakBefore w:val="0"/>
        <w:numPr>
          <w:ilvl w:val="0"/>
          <w:numId w:val="0"/>
        </w:numPr>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highlight w:val="none"/>
        </w:rPr>
      </w:pPr>
      <w:r>
        <w:rPr>
          <w:rFonts w:hint="default" w:ascii="宋体" w:hAnsi="宋体" w:eastAsia="宋体" w:cs="宋体"/>
          <w:kern w:val="2"/>
          <w:sz w:val="24"/>
          <w:szCs w:val="24"/>
          <w:lang w:val="en-US" w:eastAsia="zh-CN" w:bidi="ar-SA"/>
        </w:rPr>
        <w:t>（5）</w:t>
      </w:r>
      <w:r>
        <w:rPr>
          <w:rFonts w:hint="eastAsia" w:ascii="宋体" w:hAnsi="宋体" w:eastAsia="宋体" w:cs="宋体"/>
          <w:sz w:val="24"/>
          <w:szCs w:val="24"/>
          <w:highlight w:val="none"/>
        </w:rPr>
        <w:t>响应文件格式。</w:t>
      </w:r>
    </w:p>
    <w:p w14:paraId="2B7C23F0">
      <w:pPr>
        <w:pageBreakBefore w:val="0"/>
        <w:numPr>
          <w:ilvl w:val="0"/>
          <w:numId w:val="0"/>
        </w:numPr>
        <w:tabs>
          <w:tab w:val="left" w:pos="0"/>
        </w:tabs>
        <w:kinsoku/>
        <w:wordWrap/>
        <w:overflowPunct/>
        <w:topLinePunct w:val="0"/>
        <w:autoSpaceDE/>
        <w:autoSpaceDN/>
        <w:bidi w:val="0"/>
        <w:adjustRightInd w:val="0"/>
        <w:snapToGrid w:val="0"/>
        <w:spacing w:line="400" w:lineRule="exact"/>
        <w:ind w:firstLine="482" w:firstLineChars="200"/>
        <w:jc w:val="both"/>
        <w:textAlignment w:val="auto"/>
        <w:rPr>
          <w:rFonts w:hint="eastAsia" w:ascii="宋体" w:hAnsi="宋体" w:eastAsia="宋体" w:cs="宋体"/>
          <w:b/>
          <w:bCs/>
          <w:sz w:val="24"/>
          <w:szCs w:val="24"/>
          <w:highlight w:val="none"/>
        </w:rPr>
      </w:pPr>
      <w:bookmarkStart w:id="60" w:name="_Toc536202290"/>
      <w:r>
        <w:rPr>
          <w:rFonts w:hint="eastAsia" w:ascii="宋体" w:hAnsi="宋体" w:eastAsia="宋体" w:cs="宋体"/>
          <w:b/>
          <w:bCs/>
          <w:sz w:val="24"/>
          <w:szCs w:val="24"/>
          <w:highlight w:val="none"/>
          <w:lang w:val="en-US" w:eastAsia="zh-CN"/>
        </w:rPr>
        <w:t>2.</w:t>
      </w:r>
      <w:r>
        <w:rPr>
          <w:rFonts w:hint="eastAsia" w:ascii="宋体" w:hAnsi="宋体" w:eastAsia="宋体" w:cs="宋体"/>
          <w:b/>
          <w:bCs/>
          <w:sz w:val="24"/>
          <w:szCs w:val="24"/>
          <w:highlight w:val="none"/>
          <w:lang w:eastAsia="zh-CN"/>
        </w:rPr>
        <w:t>谈判</w:t>
      </w:r>
      <w:r>
        <w:rPr>
          <w:rFonts w:hint="eastAsia" w:ascii="宋体" w:hAnsi="宋体" w:eastAsia="宋体" w:cs="宋体"/>
          <w:b/>
          <w:bCs/>
          <w:sz w:val="24"/>
          <w:szCs w:val="24"/>
          <w:highlight w:val="none"/>
        </w:rPr>
        <w:t>文件的检查及阅读</w:t>
      </w:r>
      <w:bookmarkEnd w:id="60"/>
    </w:p>
    <w:p w14:paraId="53263D84">
      <w:pPr>
        <w:pageBreakBefore w:val="0"/>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供应商应认真阅读和充分理解竞争性</w:t>
      </w:r>
      <w:r>
        <w:rPr>
          <w:rFonts w:hint="eastAsia" w:ascii="宋体" w:hAnsi="宋体" w:eastAsia="宋体" w:cs="宋体"/>
          <w:sz w:val="24"/>
          <w:szCs w:val="24"/>
          <w:lang w:eastAsia="zh-CN"/>
        </w:rPr>
        <w:t>谈判</w:t>
      </w:r>
      <w:r>
        <w:rPr>
          <w:rFonts w:hint="eastAsia" w:ascii="宋体" w:hAnsi="宋体" w:eastAsia="宋体" w:cs="宋体"/>
          <w:sz w:val="24"/>
          <w:szCs w:val="24"/>
        </w:rPr>
        <w:t>文件中所有的事项、格式条款和规范要求。供应商没有对竞争性</w:t>
      </w:r>
      <w:r>
        <w:rPr>
          <w:rFonts w:hint="eastAsia" w:ascii="宋体" w:hAnsi="宋体" w:eastAsia="宋体" w:cs="宋体"/>
          <w:sz w:val="24"/>
          <w:szCs w:val="24"/>
          <w:lang w:eastAsia="zh-CN"/>
        </w:rPr>
        <w:t>谈判</w:t>
      </w:r>
      <w:r>
        <w:rPr>
          <w:rFonts w:hint="eastAsia" w:ascii="宋体" w:hAnsi="宋体" w:eastAsia="宋体" w:cs="宋体"/>
          <w:sz w:val="24"/>
          <w:szCs w:val="24"/>
        </w:rPr>
        <w:t>文件全面做出实质性响应是供应商的风险。没有按照竞争性</w:t>
      </w:r>
      <w:r>
        <w:rPr>
          <w:rFonts w:hint="eastAsia" w:ascii="宋体" w:hAnsi="宋体" w:eastAsia="宋体" w:cs="宋体"/>
          <w:sz w:val="24"/>
          <w:szCs w:val="24"/>
          <w:lang w:eastAsia="zh-CN"/>
        </w:rPr>
        <w:t>谈判</w:t>
      </w:r>
      <w:r>
        <w:rPr>
          <w:rFonts w:hint="eastAsia" w:ascii="宋体" w:hAnsi="宋体" w:eastAsia="宋体" w:cs="宋体"/>
          <w:sz w:val="24"/>
          <w:szCs w:val="24"/>
        </w:rPr>
        <w:t>文件要求作出实质性响应的响应文件应作</w:t>
      </w:r>
      <w:r>
        <w:rPr>
          <w:rFonts w:hint="eastAsia" w:ascii="宋体" w:hAnsi="宋体" w:eastAsia="宋体" w:cs="宋体"/>
          <w:sz w:val="24"/>
          <w:szCs w:val="24"/>
          <w:lang w:val="en-US" w:eastAsia="zh-CN"/>
        </w:rPr>
        <w:t>无效文件</w:t>
      </w:r>
      <w:r>
        <w:rPr>
          <w:rFonts w:hint="eastAsia" w:ascii="宋体" w:hAnsi="宋体" w:eastAsia="宋体" w:cs="宋体"/>
          <w:sz w:val="24"/>
          <w:szCs w:val="24"/>
        </w:rPr>
        <w:t>处理。</w:t>
      </w:r>
    </w:p>
    <w:p w14:paraId="07E85488">
      <w:pPr>
        <w:pageBreakBefore w:val="0"/>
        <w:numPr>
          <w:ilvl w:val="0"/>
          <w:numId w:val="0"/>
        </w:numPr>
        <w:tabs>
          <w:tab w:val="left" w:pos="0"/>
        </w:tabs>
        <w:kinsoku/>
        <w:wordWrap/>
        <w:overflowPunct/>
        <w:topLinePunct w:val="0"/>
        <w:autoSpaceDE/>
        <w:autoSpaceDN/>
        <w:bidi w:val="0"/>
        <w:adjustRightInd w:val="0"/>
        <w:snapToGrid w:val="0"/>
        <w:spacing w:line="400" w:lineRule="exact"/>
        <w:ind w:firstLine="482" w:firstLineChars="200"/>
        <w:jc w:val="both"/>
        <w:textAlignment w:val="auto"/>
        <w:rPr>
          <w:rFonts w:hint="eastAsia" w:ascii="宋体" w:hAnsi="宋体" w:eastAsia="宋体" w:cs="宋体"/>
          <w:b/>
          <w:bCs/>
          <w:sz w:val="24"/>
          <w:szCs w:val="24"/>
          <w:highlight w:val="none"/>
        </w:rPr>
      </w:pPr>
      <w:bookmarkStart w:id="61" w:name="_Toc536202292"/>
      <w:r>
        <w:rPr>
          <w:rFonts w:hint="eastAsia" w:ascii="宋体" w:hAnsi="宋体" w:eastAsia="宋体" w:cs="宋体"/>
          <w:b/>
          <w:bCs/>
          <w:sz w:val="24"/>
          <w:szCs w:val="24"/>
          <w:highlight w:val="none"/>
          <w:lang w:val="en-US" w:eastAsia="zh-CN"/>
        </w:rPr>
        <w:t>3.</w:t>
      </w:r>
      <w:r>
        <w:rPr>
          <w:rFonts w:hint="eastAsia" w:ascii="宋体" w:hAnsi="宋体" w:eastAsia="宋体" w:cs="宋体"/>
          <w:b/>
          <w:bCs/>
          <w:sz w:val="24"/>
          <w:szCs w:val="24"/>
          <w:highlight w:val="none"/>
        </w:rPr>
        <w:t>现场踏勘及</w:t>
      </w:r>
      <w:r>
        <w:rPr>
          <w:rFonts w:hint="eastAsia" w:ascii="宋体" w:hAnsi="宋体" w:eastAsia="宋体" w:cs="宋体"/>
          <w:b/>
          <w:bCs/>
          <w:sz w:val="24"/>
          <w:szCs w:val="24"/>
          <w:highlight w:val="none"/>
          <w:lang w:eastAsia="zh-CN"/>
        </w:rPr>
        <w:t>谈判</w:t>
      </w:r>
      <w:r>
        <w:rPr>
          <w:rFonts w:hint="eastAsia" w:ascii="宋体" w:hAnsi="宋体" w:eastAsia="宋体" w:cs="宋体"/>
          <w:b/>
          <w:bCs/>
          <w:sz w:val="24"/>
          <w:szCs w:val="24"/>
          <w:highlight w:val="none"/>
        </w:rPr>
        <w:t>文件答疑</w:t>
      </w:r>
      <w:bookmarkEnd w:id="61"/>
    </w:p>
    <w:p w14:paraId="0504D159">
      <w:pPr>
        <w:pageBreakBefore w:val="0"/>
        <w:tabs>
          <w:tab w:val="left" w:pos="0"/>
        </w:tabs>
        <w:kinsoku/>
        <w:wordWrap/>
        <w:overflowPunct/>
        <w:topLinePunct w:val="0"/>
        <w:autoSpaceDE/>
        <w:autoSpaceDN/>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招标代理机构将视情况确定是否有必要召开标前答疑会。如果召开标前答疑会，招标代理机构将通知所有已登记备案并报名领取了</w:t>
      </w:r>
      <w:r>
        <w:rPr>
          <w:rFonts w:hint="eastAsia" w:ascii="宋体" w:hAnsi="宋体" w:eastAsia="宋体" w:cs="宋体"/>
          <w:sz w:val="24"/>
          <w:szCs w:val="24"/>
          <w:lang w:eastAsia="zh-CN"/>
        </w:rPr>
        <w:t>谈判</w:t>
      </w:r>
      <w:r>
        <w:rPr>
          <w:rFonts w:hint="eastAsia" w:ascii="宋体" w:hAnsi="宋体" w:eastAsia="宋体" w:cs="宋体"/>
          <w:sz w:val="24"/>
          <w:szCs w:val="24"/>
        </w:rPr>
        <w:t>文件的潜在供应商。在规定的时间，各供应商派技术、预算等相关人员进行现场踏勘和答疑，答疑的问题各供应商以书面形式提交。招标代理机构、采购人共同对各供应商提出的问题进行答复，形成答疑会议纪要。答疑会议纪要与</w:t>
      </w:r>
      <w:r>
        <w:rPr>
          <w:rFonts w:hint="eastAsia" w:ascii="宋体" w:hAnsi="宋体" w:eastAsia="宋体" w:cs="宋体"/>
          <w:sz w:val="24"/>
          <w:szCs w:val="24"/>
          <w:lang w:eastAsia="zh-CN"/>
        </w:rPr>
        <w:t>谈判</w:t>
      </w:r>
      <w:r>
        <w:rPr>
          <w:rFonts w:hint="eastAsia" w:ascii="宋体" w:hAnsi="宋体" w:eastAsia="宋体" w:cs="宋体"/>
          <w:sz w:val="24"/>
          <w:szCs w:val="24"/>
        </w:rPr>
        <w:t>文件中不一致的内容，以答疑会议纪要为准。凡未参加答疑和现场踏勘的供应商，由此造成的偏差由各供应商自行负责。</w:t>
      </w:r>
    </w:p>
    <w:p w14:paraId="3BB89636">
      <w:pPr>
        <w:pageBreakBefore w:val="0"/>
        <w:numPr>
          <w:ilvl w:val="0"/>
          <w:numId w:val="0"/>
        </w:numPr>
        <w:tabs>
          <w:tab w:val="left" w:pos="0"/>
        </w:tabs>
        <w:kinsoku/>
        <w:wordWrap/>
        <w:overflowPunct/>
        <w:topLinePunct w:val="0"/>
        <w:autoSpaceDE/>
        <w:autoSpaceDN/>
        <w:bidi w:val="0"/>
        <w:adjustRightInd w:val="0"/>
        <w:snapToGrid w:val="0"/>
        <w:spacing w:line="400" w:lineRule="exact"/>
        <w:ind w:firstLine="482" w:firstLineChars="200"/>
        <w:jc w:val="both"/>
        <w:textAlignment w:val="auto"/>
        <w:rPr>
          <w:rFonts w:hint="eastAsia" w:ascii="宋体" w:hAnsi="宋体" w:eastAsia="宋体" w:cs="宋体"/>
          <w:b/>
          <w:bCs/>
          <w:sz w:val="24"/>
          <w:szCs w:val="24"/>
          <w:highlight w:val="none"/>
        </w:rPr>
      </w:pPr>
      <w:bookmarkStart w:id="62" w:name="_Toc536202293"/>
      <w:bookmarkStart w:id="63" w:name="_Toc19797"/>
      <w:r>
        <w:rPr>
          <w:rFonts w:hint="eastAsia" w:ascii="宋体" w:hAnsi="宋体" w:eastAsia="宋体" w:cs="宋体"/>
          <w:b/>
          <w:bCs/>
          <w:sz w:val="24"/>
          <w:szCs w:val="24"/>
          <w:highlight w:val="none"/>
          <w:lang w:val="en-US" w:eastAsia="zh-CN"/>
        </w:rPr>
        <w:t>4.</w:t>
      </w:r>
      <w:r>
        <w:rPr>
          <w:rFonts w:hint="eastAsia" w:ascii="宋体" w:hAnsi="宋体" w:eastAsia="宋体" w:cs="宋体"/>
          <w:b/>
          <w:bCs/>
          <w:sz w:val="24"/>
          <w:szCs w:val="24"/>
          <w:highlight w:val="none"/>
        </w:rPr>
        <w:t>竞争性</w:t>
      </w:r>
      <w:r>
        <w:rPr>
          <w:rFonts w:hint="eastAsia" w:ascii="宋体" w:hAnsi="宋体" w:eastAsia="宋体" w:cs="宋体"/>
          <w:b/>
          <w:bCs/>
          <w:sz w:val="24"/>
          <w:szCs w:val="24"/>
          <w:highlight w:val="none"/>
          <w:lang w:eastAsia="zh-CN"/>
        </w:rPr>
        <w:t>谈判</w:t>
      </w:r>
      <w:r>
        <w:rPr>
          <w:rFonts w:hint="eastAsia" w:ascii="宋体" w:hAnsi="宋体" w:eastAsia="宋体" w:cs="宋体"/>
          <w:b/>
          <w:bCs/>
          <w:sz w:val="24"/>
          <w:szCs w:val="24"/>
          <w:highlight w:val="none"/>
        </w:rPr>
        <w:t>文件的澄清</w:t>
      </w:r>
      <w:bookmarkEnd w:id="62"/>
      <w:bookmarkEnd w:id="63"/>
      <w:r>
        <w:rPr>
          <w:rFonts w:hint="eastAsia" w:ascii="宋体" w:hAnsi="宋体" w:eastAsia="宋体" w:cs="宋体"/>
          <w:b/>
          <w:bCs/>
          <w:sz w:val="24"/>
          <w:szCs w:val="24"/>
          <w:highlight w:val="none"/>
          <w:lang w:eastAsia="zh-CN"/>
        </w:rPr>
        <w:t>和修改</w:t>
      </w:r>
    </w:p>
    <w:p w14:paraId="17C9560C">
      <w:pPr>
        <w:pageBreakBefore w:val="0"/>
        <w:kinsoku/>
        <w:wordWrap/>
        <w:overflowPunct/>
        <w:topLinePunct w:val="0"/>
        <w:bidi w:val="0"/>
        <w:snapToGrid w:val="0"/>
        <w:spacing w:line="400" w:lineRule="exact"/>
        <w:ind w:left="0" w:leftChars="0" w:firstLine="480" w:firstLineChars="200"/>
        <w:jc w:val="both"/>
        <w:textAlignment w:val="auto"/>
        <w:rPr>
          <w:rFonts w:hint="eastAsia" w:ascii="宋体" w:hAnsi="宋体" w:eastAsia="宋体" w:cs="宋体"/>
          <w:sz w:val="24"/>
          <w:szCs w:val="24"/>
        </w:rPr>
      </w:pPr>
      <w:bookmarkStart w:id="64" w:name="_Toc31188"/>
      <w:bookmarkStart w:id="65" w:name="_Toc536202295"/>
      <w:r>
        <w:rPr>
          <w:rFonts w:hint="eastAsia" w:ascii="宋体" w:hAnsi="宋体" w:eastAsia="宋体" w:cs="宋体"/>
          <w:sz w:val="24"/>
          <w:szCs w:val="24"/>
          <w:lang w:val="en-US" w:eastAsia="zh-CN"/>
        </w:rPr>
        <w:t>4.1</w:t>
      </w:r>
      <w:r>
        <w:rPr>
          <w:rFonts w:hint="eastAsia" w:ascii="宋体" w:hAnsi="宋体" w:eastAsia="宋体" w:cs="宋体"/>
          <w:sz w:val="24"/>
          <w:szCs w:val="24"/>
        </w:rPr>
        <w:t>采购人在谈判截止时间3个工作日前，可以以书面形式对竞争性谈判文件进行必要的澄清或修改，其内容均为竞争性谈判文件的组成部分，并对采购人及投标人起约束作用。</w:t>
      </w:r>
    </w:p>
    <w:p w14:paraId="0C3CE558">
      <w:pPr>
        <w:pageBreakBefore w:val="0"/>
        <w:kinsoku/>
        <w:wordWrap/>
        <w:overflowPunct/>
        <w:topLinePunct w:val="0"/>
        <w:bidi w:val="0"/>
        <w:snapToGrid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投标人对竞争性谈判文件如有疑问要求澄清，或认为有必要与采购人进行技术交流，应于谈判截止时3个工作日前，以书面形式通知采购代理机构，采购代理机构以书面形式予以答复。</w:t>
      </w:r>
    </w:p>
    <w:p w14:paraId="54821A63">
      <w:pPr>
        <w:pageBreakBefore w:val="0"/>
        <w:kinsoku/>
        <w:wordWrap/>
        <w:overflowPunct/>
        <w:topLinePunct w:val="0"/>
        <w:bidi w:val="0"/>
        <w:snapToGrid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无论是采购代理机构主动对竞争性谈判文件进行必要的修改，或根据投标人的要求对竞争性谈判文件做出的澄清，都将于谈判截止3个工作日前以书面形式发送给所有合格的投标人。</w:t>
      </w:r>
    </w:p>
    <w:p w14:paraId="41072299">
      <w:pPr>
        <w:pageBreakBefore w:val="0"/>
        <w:kinsoku/>
        <w:wordWrap/>
        <w:overflowPunct/>
        <w:topLinePunct w:val="0"/>
        <w:bidi w:val="0"/>
        <w:snapToGrid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4.4</w:t>
      </w:r>
      <w:r>
        <w:rPr>
          <w:rFonts w:hint="eastAsia" w:ascii="宋体" w:hAnsi="宋体" w:eastAsia="宋体" w:cs="宋体"/>
          <w:sz w:val="24"/>
          <w:szCs w:val="24"/>
        </w:rPr>
        <w:t>竞争性谈判文件的澄清或修改内容均以书面形式明确的内容为准。当竞争性谈判文件的澄清、修改、补充等在同一内容的表述上不一致时，以最后发出的书面文件为准。所有补充文件将作为竞争性谈判文件的组成部分，对所有投标人具有约束力。</w:t>
      </w:r>
    </w:p>
    <w:p w14:paraId="646C6787">
      <w:pPr>
        <w:pageBreakBefore w:val="0"/>
        <w:kinsoku/>
        <w:wordWrap/>
        <w:overflowPunct/>
        <w:topLinePunct w:val="0"/>
        <w:bidi w:val="0"/>
        <w:snapToGrid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4.5</w:t>
      </w:r>
      <w:r>
        <w:rPr>
          <w:rFonts w:hint="eastAsia" w:ascii="宋体" w:hAnsi="宋体" w:eastAsia="宋体" w:cs="宋体"/>
          <w:sz w:val="24"/>
          <w:szCs w:val="24"/>
        </w:rPr>
        <w:t>根据采购工作进展实际情况，采购人可酌情延长递交竞争性谈判响应文件的截止时间，若延长将另行以书面形式通知各投标人。</w:t>
      </w:r>
    </w:p>
    <w:p w14:paraId="0E82A559">
      <w:pPr>
        <w:bidi w:val="0"/>
        <w:ind w:firstLine="482" w:firstLineChars="200"/>
        <w:rPr>
          <w:rFonts w:hint="eastAsia" w:ascii="宋体" w:hAnsi="宋体" w:eastAsia="宋体" w:cs="宋体"/>
          <w:b/>
          <w:bCs/>
          <w:kern w:val="2"/>
          <w:sz w:val="24"/>
          <w:szCs w:val="24"/>
          <w:u w:val="none"/>
          <w:lang w:val="en-US" w:eastAsia="zh-CN" w:bidi="ar-SA"/>
        </w:rPr>
      </w:pPr>
      <w:r>
        <w:rPr>
          <w:rFonts w:hint="eastAsia" w:ascii="宋体" w:hAnsi="宋体" w:eastAsia="宋体" w:cs="宋体"/>
          <w:b/>
          <w:bCs/>
          <w:kern w:val="2"/>
          <w:sz w:val="24"/>
          <w:szCs w:val="24"/>
          <w:u w:val="none"/>
          <w:lang w:val="en-US" w:eastAsia="zh-CN" w:bidi="ar-SA"/>
        </w:rPr>
        <w:t>5.质疑</w:t>
      </w:r>
    </w:p>
    <w:p w14:paraId="056134C4">
      <w:pPr>
        <w:pageBreakBefore w:val="0"/>
        <w:kinsoku/>
        <w:wordWrap/>
        <w:overflowPunct/>
        <w:topLinePunct w:val="0"/>
        <w:bidi w:val="0"/>
        <w:snapToGrid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供应商认为</w:t>
      </w:r>
      <w:r>
        <w:rPr>
          <w:rFonts w:hint="eastAsia" w:ascii="宋体" w:hAnsi="宋体" w:eastAsia="宋体" w:cs="宋体"/>
          <w:sz w:val="24"/>
          <w:szCs w:val="24"/>
          <w:lang w:eastAsia="zh-CN"/>
        </w:rPr>
        <w:t>谈判</w:t>
      </w:r>
      <w:r>
        <w:rPr>
          <w:rFonts w:hint="eastAsia" w:ascii="宋体" w:hAnsi="宋体" w:eastAsia="宋体" w:cs="宋体"/>
          <w:sz w:val="24"/>
          <w:szCs w:val="24"/>
        </w:rPr>
        <w:t>文件、招标过程和中标结果使自己的权益受到损害的，可以按《政府采购法》第52条执行。</w:t>
      </w:r>
    </w:p>
    <w:p w14:paraId="6D5EE4BF">
      <w:pPr>
        <w:bidi w:val="0"/>
        <w:ind w:firstLine="482" w:firstLineChars="200"/>
        <w:rPr>
          <w:rFonts w:hint="eastAsia" w:ascii="宋体" w:hAnsi="宋体" w:eastAsia="宋体" w:cs="宋体"/>
          <w:b/>
          <w:bCs/>
          <w:kern w:val="2"/>
          <w:sz w:val="24"/>
          <w:szCs w:val="24"/>
          <w:u w:val="none"/>
          <w:lang w:val="en-US" w:eastAsia="zh-CN" w:bidi="ar-SA"/>
        </w:rPr>
      </w:pPr>
      <w:r>
        <w:rPr>
          <w:rFonts w:hint="eastAsia" w:ascii="宋体" w:hAnsi="宋体" w:eastAsia="宋体" w:cs="宋体"/>
          <w:b/>
          <w:bCs/>
          <w:kern w:val="2"/>
          <w:sz w:val="24"/>
          <w:szCs w:val="24"/>
          <w:u w:val="none"/>
          <w:lang w:val="en-US" w:eastAsia="zh-CN" w:bidi="ar-SA"/>
        </w:rPr>
        <w:t>6.竞争性谈判文件的获取</w:t>
      </w:r>
      <w:bookmarkEnd w:id="64"/>
      <w:bookmarkEnd w:id="65"/>
    </w:p>
    <w:p w14:paraId="73B413A1">
      <w:pPr>
        <w:pageBreakBefore w:val="0"/>
        <w:widowControl/>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供应商必须从代理机构</w:t>
      </w:r>
      <w:r>
        <w:rPr>
          <w:rFonts w:hint="eastAsia" w:ascii="宋体" w:hAnsi="宋体" w:eastAsia="宋体" w:cs="宋体"/>
          <w:sz w:val="24"/>
          <w:szCs w:val="24"/>
          <w:lang w:val="en-US" w:eastAsia="zh-CN"/>
        </w:rPr>
        <w:t>获取</w:t>
      </w:r>
      <w:r>
        <w:rPr>
          <w:rFonts w:hint="eastAsia" w:ascii="宋体" w:hAnsi="宋体" w:eastAsia="宋体" w:cs="宋体"/>
          <w:sz w:val="24"/>
          <w:szCs w:val="24"/>
        </w:rPr>
        <w:t>竞争性</w:t>
      </w:r>
      <w:r>
        <w:rPr>
          <w:rFonts w:hint="eastAsia" w:ascii="宋体" w:hAnsi="宋体" w:eastAsia="宋体" w:cs="宋体"/>
          <w:sz w:val="24"/>
          <w:szCs w:val="24"/>
          <w:lang w:eastAsia="zh-CN"/>
        </w:rPr>
        <w:t>谈判</w:t>
      </w:r>
      <w:r>
        <w:rPr>
          <w:rFonts w:hint="eastAsia" w:ascii="宋体" w:hAnsi="宋体" w:eastAsia="宋体" w:cs="宋体"/>
          <w:sz w:val="24"/>
          <w:szCs w:val="24"/>
        </w:rPr>
        <w:t>文件，供应商自行转让或复制竞争性</w:t>
      </w:r>
      <w:r>
        <w:rPr>
          <w:rFonts w:hint="eastAsia" w:ascii="宋体" w:hAnsi="宋体" w:eastAsia="宋体" w:cs="宋体"/>
          <w:sz w:val="24"/>
          <w:szCs w:val="24"/>
          <w:lang w:eastAsia="zh-CN"/>
        </w:rPr>
        <w:t>谈判</w:t>
      </w:r>
      <w:r>
        <w:rPr>
          <w:rFonts w:hint="eastAsia" w:ascii="宋体" w:hAnsi="宋体" w:eastAsia="宋体" w:cs="宋体"/>
          <w:sz w:val="24"/>
          <w:szCs w:val="24"/>
        </w:rPr>
        <w:t>文件视为无效。竞争性</w:t>
      </w:r>
      <w:r>
        <w:rPr>
          <w:rFonts w:hint="eastAsia" w:ascii="宋体" w:hAnsi="宋体" w:eastAsia="宋体" w:cs="宋体"/>
          <w:sz w:val="24"/>
          <w:szCs w:val="24"/>
          <w:lang w:eastAsia="zh-CN"/>
        </w:rPr>
        <w:t>谈判</w:t>
      </w:r>
      <w:r>
        <w:rPr>
          <w:rFonts w:hint="eastAsia" w:ascii="宋体" w:hAnsi="宋体" w:eastAsia="宋体" w:cs="宋体"/>
          <w:sz w:val="24"/>
          <w:szCs w:val="24"/>
        </w:rPr>
        <w:t>文件仅作为本次竞争性</w:t>
      </w:r>
      <w:r>
        <w:rPr>
          <w:rFonts w:hint="eastAsia" w:ascii="宋体" w:hAnsi="宋体" w:eastAsia="宋体" w:cs="宋体"/>
          <w:sz w:val="24"/>
          <w:szCs w:val="24"/>
          <w:lang w:eastAsia="zh-CN"/>
        </w:rPr>
        <w:t>谈判</w:t>
      </w:r>
      <w:r>
        <w:rPr>
          <w:rFonts w:hint="eastAsia" w:ascii="宋体" w:hAnsi="宋体" w:eastAsia="宋体" w:cs="宋体"/>
          <w:sz w:val="24"/>
          <w:szCs w:val="24"/>
        </w:rPr>
        <w:t>使用。</w:t>
      </w:r>
    </w:p>
    <w:p w14:paraId="1F077260">
      <w:pPr>
        <w:pStyle w:val="5"/>
        <w:pageBreakBefore w:val="0"/>
        <w:kinsoku/>
        <w:wordWrap/>
        <w:overflowPunct/>
        <w:topLinePunct w:val="0"/>
        <w:autoSpaceDE/>
        <w:autoSpaceDN/>
        <w:bidi w:val="0"/>
        <w:spacing w:line="400" w:lineRule="exact"/>
        <w:ind w:left="0" w:leftChars="0" w:firstLine="482" w:firstLineChars="200"/>
        <w:jc w:val="both"/>
        <w:textAlignment w:val="auto"/>
        <w:rPr>
          <w:rFonts w:hint="eastAsia" w:ascii="宋体" w:hAnsi="宋体" w:eastAsia="宋体" w:cs="宋体"/>
          <w:sz w:val="24"/>
          <w:szCs w:val="24"/>
        </w:rPr>
      </w:pPr>
      <w:bookmarkStart w:id="66" w:name="_Toc5095"/>
      <w:bookmarkStart w:id="67" w:name="_Toc536202296"/>
      <w:r>
        <w:rPr>
          <w:rFonts w:hint="eastAsia" w:ascii="宋体" w:hAnsi="宋体" w:eastAsia="宋体" w:cs="宋体"/>
          <w:b/>
          <w:bCs/>
          <w:kern w:val="2"/>
          <w:sz w:val="24"/>
          <w:szCs w:val="24"/>
          <w:u w:val="none"/>
          <w:lang w:val="en-US" w:eastAsia="zh-CN" w:bidi="ar-SA"/>
        </w:rPr>
        <w:t>7.竞争性谈判文件的解释权归代理机构</w:t>
      </w:r>
      <w:bookmarkEnd w:id="66"/>
      <w:bookmarkEnd w:id="67"/>
      <w:r>
        <w:rPr>
          <w:rFonts w:hint="eastAsia" w:ascii="宋体" w:hAnsi="宋体" w:eastAsia="宋体" w:cs="宋体"/>
          <w:sz w:val="24"/>
          <w:szCs w:val="24"/>
        </w:rPr>
        <w:t>（ 如发现招标文件内容与现行法律法规不相符的情况，以现行法律法规为准。)</w:t>
      </w:r>
    </w:p>
    <w:bookmarkEnd w:id="50"/>
    <w:bookmarkEnd w:id="51"/>
    <w:bookmarkEnd w:id="52"/>
    <w:bookmarkEnd w:id="53"/>
    <w:bookmarkEnd w:id="54"/>
    <w:bookmarkEnd w:id="55"/>
    <w:bookmarkEnd w:id="56"/>
    <w:bookmarkEnd w:id="57"/>
    <w:bookmarkEnd w:id="58"/>
    <w:bookmarkEnd w:id="59"/>
    <w:p w14:paraId="4A9861FD">
      <w:pPr>
        <w:pageBreakBefore w:val="0"/>
        <w:widowControl/>
        <w:numPr>
          <w:ilvl w:val="0"/>
          <w:numId w:val="0"/>
        </w:numPr>
        <w:kinsoku/>
        <w:wordWrap/>
        <w:overflowPunct/>
        <w:topLinePunct w:val="0"/>
        <w:autoSpaceDE/>
        <w:autoSpaceDN/>
        <w:bidi w:val="0"/>
        <w:spacing w:line="400" w:lineRule="exact"/>
        <w:jc w:val="center"/>
        <w:textAlignment w:val="auto"/>
        <w:outlineLvl w:val="1"/>
        <w:rPr>
          <w:rFonts w:hint="eastAsia" w:ascii="宋体" w:hAnsi="宋体" w:eastAsia="宋体" w:cs="宋体"/>
          <w:b/>
          <w:bCs/>
          <w:kern w:val="0"/>
          <w:sz w:val="24"/>
          <w:szCs w:val="24"/>
          <w:highlight w:val="none"/>
        </w:rPr>
      </w:pPr>
      <w:bookmarkStart w:id="68" w:name="_Toc536202297"/>
      <w:bookmarkStart w:id="69" w:name="_Toc536429374"/>
      <w:bookmarkStart w:id="70" w:name="_Toc622"/>
      <w:bookmarkStart w:id="71" w:name="_Toc19543338"/>
      <w:bookmarkStart w:id="72" w:name="_Toc536202381"/>
      <w:bookmarkStart w:id="73" w:name="_Toc536429321"/>
      <w:bookmarkStart w:id="74" w:name="_Toc14147"/>
      <w:bookmarkStart w:id="75" w:name="_Toc6730"/>
      <w:bookmarkStart w:id="76" w:name="_Toc18867"/>
      <w:bookmarkStart w:id="77" w:name="_Toc23316588"/>
      <w:bookmarkStart w:id="78" w:name="_Toc35335260"/>
      <w:bookmarkStart w:id="79" w:name="_Toc14189274"/>
      <w:bookmarkStart w:id="80" w:name="_Toc214"/>
      <w:bookmarkStart w:id="81" w:name="_Toc18412203"/>
      <w:bookmarkStart w:id="82" w:name="_Toc23316524"/>
      <w:bookmarkStart w:id="83" w:name="_Toc11198"/>
      <w:bookmarkStart w:id="84" w:name="_Toc23316686"/>
      <w:bookmarkStart w:id="85" w:name="_Toc14189411"/>
      <w:bookmarkStart w:id="86" w:name="_Toc23315664"/>
      <w:r>
        <w:rPr>
          <w:rFonts w:hint="eastAsia" w:ascii="宋体" w:hAnsi="宋体" w:eastAsia="宋体" w:cs="宋体"/>
          <w:b/>
          <w:bCs/>
          <w:kern w:val="0"/>
          <w:sz w:val="24"/>
          <w:szCs w:val="24"/>
          <w:highlight w:val="none"/>
          <w:lang w:eastAsia="zh-CN"/>
        </w:rPr>
        <w:t>三、</w:t>
      </w:r>
      <w:bookmarkEnd w:id="68"/>
      <w:bookmarkEnd w:id="69"/>
      <w:bookmarkEnd w:id="70"/>
      <w:bookmarkEnd w:id="71"/>
      <w:bookmarkEnd w:id="72"/>
      <w:bookmarkEnd w:id="73"/>
      <w:r>
        <w:rPr>
          <w:rFonts w:hint="eastAsia" w:ascii="宋体" w:hAnsi="宋体" w:eastAsia="宋体" w:cs="宋体"/>
          <w:b/>
          <w:bCs/>
          <w:kern w:val="0"/>
          <w:sz w:val="24"/>
          <w:szCs w:val="24"/>
          <w:highlight w:val="none"/>
          <w:lang w:eastAsia="zh-CN"/>
        </w:rPr>
        <w:t>竞争性谈判响应文件及编制要求</w:t>
      </w:r>
      <w:bookmarkEnd w:id="74"/>
      <w:bookmarkEnd w:id="75"/>
      <w:bookmarkEnd w:id="76"/>
    </w:p>
    <w:p w14:paraId="3A8B0F3E">
      <w:pPr>
        <w:bidi w:val="0"/>
        <w:ind w:firstLine="482" w:firstLineChars="200"/>
        <w:rPr>
          <w:rFonts w:hint="eastAsia" w:ascii="宋体" w:hAnsi="宋体" w:eastAsia="宋体" w:cs="宋体"/>
          <w:b/>
          <w:bCs/>
          <w:kern w:val="2"/>
          <w:sz w:val="24"/>
          <w:szCs w:val="24"/>
          <w:u w:val="none"/>
          <w:lang w:val="en-US" w:eastAsia="zh-CN" w:bidi="ar-SA"/>
        </w:rPr>
      </w:pPr>
      <w:bookmarkStart w:id="87" w:name="_Toc536202299"/>
      <w:r>
        <w:rPr>
          <w:rFonts w:hint="eastAsia" w:ascii="宋体" w:hAnsi="宋体" w:eastAsia="宋体" w:cs="宋体"/>
          <w:b/>
          <w:bCs/>
          <w:kern w:val="2"/>
          <w:sz w:val="24"/>
          <w:szCs w:val="24"/>
          <w:u w:val="none"/>
          <w:lang w:val="en-US" w:eastAsia="zh-CN" w:bidi="ar-SA"/>
        </w:rPr>
        <w:t>1.响应文件编制的原则</w:t>
      </w:r>
    </w:p>
    <w:p w14:paraId="3E303EC6">
      <w:pPr>
        <w:pageBreakBefore w:val="0"/>
        <w:widowControl/>
        <w:kinsoku/>
        <w:wordWrap/>
        <w:overflowPunct/>
        <w:topLinePunct w:val="0"/>
        <w:autoSpaceDE/>
        <w:autoSpaceDN/>
        <w:bidi w:val="0"/>
        <w:spacing w:line="400" w:lineRule="exact"/>
        <w:ind w:left="0" w:leftChars="0" w:firstLine="480" w:firstLineChars="200"/>
        <w:jc w:val="both"/>
        <w:textAlignment w:val="auto"/>
        <w:outlineLvl w:val="1"/>
        <w:rPr>
          <w:rFonts w:hint="eastAsia" w:ascii="宋体" w:hAnsi="宋体" w:eastAsia="宋体" w:cs="宋体"/>
          <w:bCs/>
          <w:kern w:val="0"/>
          <w:sz w:val="24"/>
          <w:szCs w:val="24"/>
        </w:rPr>
      </w:pPr>
      <w:bookmarkStart w:id="88" w:name="_Toc14379"/>
      <w:bookmarkStart w:id="89" w:name="_Toc14372"/>
      <w:bookmarkStart w:id="90" w:name="_Toc11706"/>
      <w:r>
        <w:rPr>
          <w:rFonts w:hint="eastAsia" w:ascii="宋体" w:hAnsi="宋体" w:eastAsia="宋体" w:cs="宋体"/>
          <w:bCs/>
          <w:kern w:val="0"/>
          <w:sz w:val="24"/>
          <w:szCs w:val="24"/>
        </w:rPr>
        <w:t>1.1投标人应在认真阅读</w:t>
      </w:r>
      <w:r>
        <w:rPr>
          <w:rFonts w:hint="eastAsia" w:ascii="宋体" w:hAnsi="宋体" w:eastAsia="宋体" w:cs="宋体"/>
          <w:bCs/>
          <w:kern w:val="0"/>
          <w:sz w:val="24"/>
          <w:szCs w:val="24"/>
          <w:lang w:eastAsia="zh-CN"/>
        </w:rPr>
        <w:t>谈判</w:t>
      </w:r>
      <w:r>
        <w:rPr>
          <w:rFonts w:hint="eastAsia" w:ascii="宋体" w:hAnsi="宋体" w:eastAsia="宋体" w:cs="宋体"/>
          <w:bCs/>
          <w:kern w:val="0"/>
          <w:sz w:val="24"/>
          <w:szCs w:val="24"/>
        </w:rPr>
        <w:t>文件所有内容的基础上，按照</w:t>
      </w:r>
      <w:r>
        <w:rPr>
          <w:rFonts w:hint="eastAsia" w:ascii="宋体" w:hAnsi="宋体" w:eastAsia="宋体" w:cs="宋体"/>
          <w:bCs/>
          <w:kern w:val="0"/>
          <w:sz w:val="24"/>
          <w:szCs w:val="24"/>
          <w:lang w:eastAsia="zh-CN"/>
        </w:rPr>
        <w:t>谈判</w:t>
      </w:r>
      <w:r>
        <w:rPr>
          <w:rFonts w:hint="eastAsia" w:ascii="宋体" w:hAnsi="宋体" w:eastAsia="宋体" w:cs="宋体"/>
          <w:bCs/>
          <w:kern w:val="0"/>
          <w:sz w:val="24"/>
          <w:szCs w:val="24"/>
        </w:rPr>
        <w:t>文件的要求编制完整的响应文件。</w:t>
      </w:r>
      <w:r>
        <w:rPr>
          <w:rFonts w:hint="eastAsia" w:ascii="宋体" w:hAnsi="宋体" w:eastAsia="宋体" w:cs="宋体"/>
          <w:bCs/>
          <w:kern w:val="0"/>
          <w:sz w:val="24"/>
          <w:szCs w:val="24"/>
          <w:lang w:eastAsia="zh-CN"/>
        </w:rPr>
        <w:t>谈判</w:t>
      </w:r>
      <w:r>
        <w:rPr>
          <w:rFonts w:hint="eastAsia" w:ascii="宋体" w:hAnsi="宋体" w:eastAsia="宋体" w:cs="宋体"/>
          <w:bCs/>
          <w:kern w:val="0"/>
          <w:sz w:val="24"/>
          <w:szCs w:val="24"/>
        </w:rPr>
        <w:t>文件中对响应文件格式有要求的，应按格式编制并逐项填写内容。投标文件中留有空项的或没有按格式制作的，将被视为不完整响应的投标文件，其投标将有可能被拒绝。</w:t>
      </w:r>
      <w:bookmarkEnd w:id="88"/>
      <w:bookmarkEnd w:id="89"/>
      <w:bookmarkEnd w:id="90"/>
      <w:r>
        <w:rPr>
          <w:rFonts w:hint="eastAsia" w:ascii="宋体" w:hAnsi="宋体" w:eastAsia="宋体" w:cs="宋体"/>
          <w:bCs/>
          <w:kern w:val="0"/>
          <w:sz w:val="24"/>
          <w:szCs w:val="24"/>
        </w:rPr>
        <w:t xml:space="preserve"> </w:t>
      </w:r>
    </w:p>
    <w:p w14:paraId="03D3E69E">
      <w:pPr>
        <w:pageBreakBefore w:val="0"/>
        <w:widowControl/>
        <w:kinsoku/>
        <w:wordWrap/>
        <w:overflowPunct/>
        <w:topLinePunct w:val="0"/>
        <w:autoSpaceDE/>
        <w:autoSpaceDN/>
        <w:bidi w:val="0"/>
        <w:spacing w:line="400" w:lineRule="exact"/>
        <w:ind w:left="0" w:leftChars="0" w:firstLine="480" w:firstLineChars="200"/>
        <w:jc w:val="both"/>
        <w:textAlignment w:val="auto"/>
        <w:outlineLvl w:val="1"/>
        <w:rPr>
          <w:rFonts w:hint="eastAsia" w:ascii="宋体" w:hAnsi="宋体" w:eastAsia="宋体" w:cs="宋体"/>
          <w:bCs/>
          <w:kern w:val="0"/>
          <w:sz w:val="24"/>
          <w:szCs w:val="24"/>
        </w:rPr>
      </w:pPr>
      <w:bookmarkStart w:id="91" w:name="_Toc21971"/>
      <w:bookmarkStart w:id="92" w:name="_Toc1174"/>
      <w:bookmarkStart w:id="93" w:name="_Toc31428"/>
      <w:r>
        <w:rPr>
          <w:rFonts w:hint="eastAsia" w:ascii="宋体" w:hAnsi="宋体" w:eastAsia="宋体" w:cs="宋体"/>
          <w:bCs/>
          <w:kern w:val="0"/>
          <w:sz w:val="24"/>
          <w:szCs w:val="24"/>
        </w:rPr>
        <w:t>1.2投标人必须保证投标文件所提供的全部资料真实可靠，并接受对其中任何资料进一步审查的要求。</w:t>
      </w:r>
      <w:bookmarkEnd w:id="91"/>
      <w:bookmarkEnd w:id="92"/>
      <w:bookmarkEnd w:id="93"/>
    </w:p>
    <w:p w14:paraId="4D618628">
      <w:pPr>
        <w:pageBreakBefore w:val="0"/>
        <w:widowControl/>
        <w:kinsoku/>
        <w:wordWrap/>
        <w:overflowPunct/>
        <w:topLinePunct w:val="0"/>
        <w:autoSpaceDE/>
        <w:autoSpaceDN/>
        <w:bidi w:val="0"/>
        <w:spacing w:line="400" w:lineRule="exact"/>
        <w:ind w:left="0" w:leftChars="0" w:firstLine="480" w:firstLineChars="200"/>
        <w:jc w:val="both"/>
        <w:textAlignment w:val="auto"/>
        <w:outlineLvl w:val="1"/>
        <w:rPr>
          <w:rFonts w:hint="eastAsia" w:ascii="宋体" w:hAnsi="宋体" w:eastAsia="宋体" w:cs="宋体"/>
          <w:sz w:val="24"/>
          <w:szCs w:val="24"/>
        </w:rPr>
      </w:pPr>
      <w:bookmarkStart w:id="94" w:name="_Toc21687"/>
      <w:bookmarkStart w:id="95" w:name="_Toc18807"/>
      <w:bookmarkStart w:id="96" w:name="_Toc19296"/>
      <w:r>
        <w:rPr>
          <w:rFonts w:hint="eastAsia" w:ascii="宋体" w:hAnsi="宋体" w:eastAsia="宋体" w:cs="宋体"/>
          <w:bCs/>
          <w:kern w:val="0"/>
          <w:sz w:val="24"/>
          <w:szCs w:val="24"/>
        </w:rPr>
        <w:t>1.3投标文件须对招标文件中的内容做出实质性和完整性的响应，否则其投标将被视为无效投标，按</w:t>
      </w:r>
      <w:r>
        <w:rPr>
          <w:rFonts w:hint="eastAsia" w:ascii="宋体" w:hAnsi="宋体" w:eastAsia="宋体" w:cs="宋体"/>
          <w:bCs/>
          <w:kern w:val="0"/>
          <w:sz w:val="24"/>
          <w:szCs w:val="24"/>
          <w:lang w:val="en-US" w:eastAsia="zh-CN"/>
        </w:rPr>
        <w:t>无效文件</w:t>
      </w:r>
      <w:r>
        <w:rPr>
          <w:rFonts w:hint="eastAsia" w:ascii="宋体" w:hAnsi="宋体" w:eastAsia="宋体" w:cs="宋体"/>
          <w:bCs/>
          <w:kern w:val="0"/>
          <w:sz w:val="24"/>
          <w:szCs w:val="24"/>
        </w:rPr>
        <w:t>处理。</w:t>
      </w:r>
      <w:bookmarkEnd w:id="94"/>
      <w:bookmarkEnd w:id="95"/>
      <w:bookmarkEnd w:id="96"/>
    </w:p>
    <w:p w14:paraId="7C5207DD">
      <w:pPr>
        <w:bidi w:val="0"/>
        <w:ind w:firstLine="482" w:firstLineChars="200"/>
        <w:rPr>
          <w:rFonts w:hint="eastAsia" w:ascii="宋体" w:hAnsi="宋体" w:eastAsia="宋体" w:cs="宋体"/>
          <w:b/>
          <w:bCs/>
          <w:kern w:val="2"/>
          <w:sz w:val="24"/>
          <w:szCs w:val="24"/>
          <w:u w:val="none"/>
          <w:lang w:val="en-US" w:eastAsia="zh-CN" w:bidi="ar-SA"/>
        </w:rPr>
      </w:pPr>
      <w:r>
        <w:rPr>
          <w:rFonts w:hint="eastAsia" w:ascii="宋体" w:hAnsi="宋体" w:eastAsia="宋体" w:cs="宋体"/>
          <w:b/>
          <w:bCs/>
          <w:kern w:val="2"/>
          <w:sz w:val="24"/>
          <w:szCs w:val="24"/>
          <w:u w:val="none"/>
          <w:lang w:val="en-US" w:eastAsia="zh-CN" w:bidi="ar-SA"/>
        </w:rPr>
        <w:t>2.响应文件构成和格式</w:t>
      </w:r>
    </w:p>
    <w:p w14:paraId="48E0E235">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投标人应按照本须知响应文件构成和格式及</w:t>
      </w:r>
      <w:r>
        <w:rPr>
          <w:rFonts w:hint="eastAsia" w:ascii="宋体" w:hAnsi="宋体" w:eastAsia="宋体" w:cs="宋体"/>
          <w:sz w:val="24"/>
          <w:szCs w:val="24"/>
          <w:lang w:val="en-US" w:eastAsia="zh-CN"/>
        </w:rPr>
        <w:t>谈判文件</w:t>
      </w:r>
      <w:r>
        <w:rPr>
          <w:rFonts w:hint="eastAsia" w:ascii="宋体" w:hAnsi="宋体" w:eastAsia="宋体" w:cs="宋体"/>
          <w:sz w:val="24"/>
          <w:szCs w:val="24"/>
          <w:highlight w:val="none"/>
        </w:rPr>
        <w:t>第</w:t>
      </w:r>
      <w:r>
        <w:rPr>
          <w:rFonts w:hint="eastAsia" w:ascii="宋体" w:hAnsi="宋体" w:eastAsia="宋体" w:cs="宋体"/>
          <w:sz w:val="24"/>
          <w:szCs w:val="24"/>
          <w:highlight w:val="none"/>
          <w:lang w:val="en-US" w:eastAsia="zh-CN"/>
        </w:rPr>
        <w:t>五章</w:t>
      </w:r>
      <w:r>
        <w:rPr>
          <w:rFonts w:hint="eastAsia" w:ascii="宋体" w:hAnsi="宋体" w:eastAsia="宋体" w:cs="宋体"/>
          <w:sz w:val="24"/>
          <w:szCs w:val="24"/>
        </w:rPr>
        <w:t>提供的格式编写投标文件，不得缺少</w:t>
      </w:r>
      <w:r>
        <w:rPr>
          <w:rFonts w:hint="eastAsia" w:ascii="宋体" w:hAnsi="宋体" w:eastAsia="宋体" w:cs="宋体"/>
          <w:sz w:val="24"/>
          <w:szCs w:val="24"/>
          <w:lang w:val="en-US" w:eastAsia="zh-CN"/>
        </w:rPr>
        <w:t>谈判</w:t>
      </w:r>
      <w:r>
        <w:rPr>
          <w:rFonts w:hint="eastAsia" w:ascii="宋体" w:hAnsi="宋体" w:eastAsia="宋体" w:cs="宋体"/>
          <w:sz w:val="24"/>
          <w:szCs w:val="24"/>
        </w:rPr>
        <w:t>文件要求填写的表格或提交的资料。</w:t>
      </w:r>
    </w:p>
    <w:p w14:paraId="3BADF4DF">
      <w:pPr>
        <w:bidi w:val="0"/>
        <w:ind w:firstLine="482" w:firstLineChars="200"/>
        <w:rPr>
          <w:rFonts w:hint="eastAsia" w:ascii="宋体" w:hAnsi="宋体" w:eastAsia="宋体" w:cs="宋体"/>
          <w:b/>
          <w:bCs/>
          <w:kern w:val="2"/>
          <w:sz w:val="24"/>
          <w:szCs w:val="24"/>
          <w:u w:val="none"/>
          <w:lang w:val="en-US" w:eastAsia="zh-CN" w:bidi="ar-SA"/>
        </w:rPr>
      </w:pPr>
      <w:r>
        <w:rPr>
          <w:rFonts w:hint="eastAsia" w:ascii="宋体" w:hAnsi="宋体" w:eastAsia="宋体" w:cs="宋体"/>
          <w:b/>
          <w:bCs/>
          <w:kern w:val="2"/>
          <w:sz w:val="24"/>
          <w:szCs w:val="24"/>
          <w:u w:val="none"/>
          <w:lang w:val="en-US" w:eastAsia="zh-CN" w:bidi="ar-SA"/>
        </w:rPr>
        <w:t>3.谈判报价</w:t>
      </w:r>
      <w:bookmarkEnd w:id="87"/>
    </w:p>
    <w:p w14:paraId="2B8FABF2">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bookmarkStart w:id="97" w:name="_Toc29200"/>
      <w:bookmarkStart w:id="98" w:name="_Toc536202300"/>
      <w:r>
        <w:rPr>
          <w:rFonts w:hint="eastAsia" w:ascii="宋体" w:hAnsi="宋体" w:eastAsia="宋体" w:cs="宋体"/>
          <w:sz w:val="24"/>
          <w:szCs w:val="24"/>
        </w:rPr>
        <w:t>（1）</w:t>
      </w:r>
      <w:r>
        <w:rPr>
          <w:rFonts w:hint="eastAsia" w:ascii="宋体" w:hAnsi="宋体" w:eastAsia="宋体" w:cs="宋体"/>
          <w:sz w:val="24"/>
          <w:szCs w:val="24"/>
          <w:lang w:eastAsia="zh-CN"/>
        </w:rPr>
        <w:t>谈判</w:t>
      </w:r>
      <w:r>
        <w:rPr>
          <w:rFonts w:hint="eastAsia" w:ascii="宋体" w:hAnsi="宋体" w:eastAsia="宋体" w:cs="宋体"/>
          <w:sz w:val="24"/>
          <w:szCs w:val="24"/>
        </w:rPr>
        <w:t>报价为供应商充分考虑</w:t>
      </w:r>
      <w:r>
        <w:rPr>
          <w:rFonts w:hint="eastAsia" w:ascii="宋体" w:hAnsi="宋体" w:eastAsia="宋体" w:cs="宋体"/>
          <w:sz w:val="24"/>
          <w:szCs w:val="24"/>
          <w:lang w:eastAsia="zh-CN"/>
        </w:rPr>
        <w:t>谈判</w:t>
      </w:r>
      <w:r>
        <w:rPr>
          <w:rFonts w:hint="eastAsia" w:ascii="宋体" w:hAnsi="宋体" w:eastAsia="宋体" w:cs="宋体"/>
          <w:sz w:val="24"/>
          <w:szCs w:val="24"/>
        </w:rPr>
        <w:t>文件的各项条款和所掌握的市场情况及本项目的实际情况，根据自身情况自主报价；</w:t>
      </w:r>
    </w:p>
    <w:p w14:paraId="555F8E9C">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（2）供应商应在响应报价表中标明本次招标所要求的货物、服务且验收合格的所有费用</w:t>
      </w:r>
      <w:r>
        <w:rPr>
          <w:rFonts w:hint="eastAsia" w:ascii="宋体" w:hAnsi="宋体" w:eastAsia="宋体" w:cs="宋体"/>
          <w:sz w:val="24"/>
          <w:szCs w:val="24"/>
          <w:lang w:eastAsia="zh-CN"/>
        </w:rPr>
        <w:t>；</w:t>
      </w:r>
    </w:p>
    <w:p w14:paraId="72732F94">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）凡本</w:t>
      </w:r>
      <w:r>
        <w:rPr>
          <w:rFonts w:hint="eastAsia" w:ascii="宋体" w:hAnsi="宋体" w:eastAsia="宋体" w:cs="宋体"/>
          <w:sz w:val="24"/>
          <w:szCs w:val="24"/>
          <w:lang w:eastAsia="zh-CN"/>
        </w:rPr>
        <w:t>谈判</w:t>
      </w:r>
      <w:r>
        <w:rPr>
          <w:rFonts w:hint="eastAsia" w:ascii="宋体" w:hAnsi="宋体" w:eastAsia="宋体" w:cs="宋体"/>
          <w:sz w:val="24"/>
          <w:szCs w:val="24"/>
        </w:rPr>
        <w:t>文件要求（或允许）及供应商认为需要进行报价的各项费用项目，（不论是否要求进入报价）若</w:t>
      </w:r>
      <w:r>
        <w:rPr>
          <w:rFonts w:hint="eastAsia" w:ascii="宋体" w:hAnsi="宋体" w:eastAsia="宋体" w:cs="宋体"/>
          <w:sz w:val="24"/>
          <w:szCs w:val="24"/>
          <w:lang w:eastAsia="zh-CN"/>
        </w:rPr>
        <w:t>谈判</w:t>
      </w:r>
      <w:r>
        <w:rPr>
          <w:rFonts w:hint="eastAsia" w:ascii="宋体" w:hAnsi="宋体" w:eastAsia="宋体" w:cs="宋体"/>
          <w:sz w:val="24"/>
          <w:szCs w:val="24"/>
        </w:rPr>
        <w:t>时未报或未在响应文件中予以说明，采购人将按这些费用已包含在</w:t>
      </w:r>
      <w:r>
        <w:rPr>
          <w:rFonts w:hint="eastAsia" w:ascii="宋体" w:hAnsi="宋体" w:eastAsia="宋体" w:cs="宋体"/>
          <w:sz w:val="24"/>
          <w:szCs w:val="24"/>
          <w:lang w:eastAsia="zh-CN"/>
        </w:rPr>
        <w:t>谈判</w:t>
      </w:r>
      <w:r>
        <w:rPr>
          <w:rFonts w:hint="eastAsia" w:ascii="宋体" w:hAnsi="宋体" w:eastAsia="宋体" w:cs="宋体"/>
          <w:sz w:val="24"/>
          <w:szCs w:val="24"/>
        </w:rPr>
        <w:t>报价中对待；</w:t>
      </w:r>
      <w:r>
        <w:rPr>
          <w:rFonts w:hint="eastAsia" w:ascii="宋体" w:hAnsi="宋体" w:eastAsia="宋体" w:cs="宋体"/>
          <w:spacing w:val="4"/>
          <w:sz w:val="24"/>
          <w:szCs w:val="24"/>
        </w:rPr>
        <w:t>供应商应考虑全部材料的风险，供应商一旦成交，采购人将不再对此部分进行调整；供应商的报价应将此差异考虑在综合单价内，结算时不予调整。</w:t>
      </w:r>
    </w:p>
    <w:p w14:paraId="579262AA">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）响应报价表应有法定代表人或被授权人的签字。</w:t>
      </w:r>
    </w:p>
    <w:p w14:paraId="76884BD0">
      <w:pPr>
        <w:bidi w:val="0"/>
        <w:ind w:firstLine="482" w:firstLineChars="200"/>
        <w:rPr>
          <w:rFonts w:hint="eastAsia" w:ascii="宋体" w:hAnsi="宋体" w:eastAsia="宋体" w:cs="宋体"/>
          <w:b/>
          <w:bCs/>
          <w:kern w:val="2"/>
          <w:sz w:val="24"/>
          <w:szCs w:val="24"/>
          <w:u w:val="none"/>
          <w:lang w:val="en-US" w:eastAsia="zh-CN" w:bidi="ar-SA"/>
        </w:rPr>
      </w:pPr>
      <w:r>
        <w:rPr>
          <w:rFonts w:hint="eastAsia" w:ascii="宋体" w:hAnsi="宋体" w:eastAsia="宋体" w:cs="宋体"/>
          <w:b/>
          <w:bCs/>
          <w:kern w:val="2"/>
          <w:sz w:val="24"/>
          <w:szCs w:val="24"/>
          <w:u w:val="none"/>
          <w:lang w:val="en-US" w:eastAsia="zh-CN" w:bidi="ar-SA"/>
        </w:rPr>
        <w:t>4.谈判货币</w:t>
      </w:r>
      <w:bookmarkEnd w:id="97"/>
      <w:bookmarkEnd w:id="98"/>
    </w:p>
    <w:p w14:paraId="4B28FCE0">
      <w:pPr>
        <w:pageBreakBefore w:val="0"/>
        <w:kinsoku/>
        <w:wordWrap/>
        <w:overflowPunct/>
        <w:topLinePunct w:val="0"/>
        <w:autoSpaceDE/>
        <w:autoSpaceDN/>
        <w:bidi w:val="0"/>
        <w:spacing w:line="400" w:lineRule="exact"/>
        <w:ind w:left="0" w:leftChars="0" w:firstLine="496" w:firstLineChars="200"/>
        <w:jc w:val="both"/>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采购人只接受人民币作为唯一</w:t>
      </w:r>
      <w:r>
        <w:rPr>
          <w:rFonts w:hint="eastAsia" w:ascii="宋体" w:hAnsi="宋体" w:eastAsia="宋体" w:cs="宋体"/>
          <w:spacing w:val="4"/>
          <w:sz w:val="24"/>
          <w:szCs w:val="24"/>
          <w:lang w:eastAsia="zh-CN"/>
        </w:rPr>
        <w:t>谈判</w:t>
      </w:r>
      <w:r>
        <w:rPr>
          <w:rFonts w:hint="eastAsia" w:ascii="宋体" w:hAnsi="宋体" w:eastAsia="宋体" w:cs="宋体"/>
          <w:spacing w:val="4"/>
          <w:sz w:val="24"/>
          <w:szCs w:val="24"/>
        </w:rPr>
        <w:t>货币。以人民币为投标货币。以元为报价单位，保留小数点后两位。</w:t>
      </w:r>
    </w:p>
    <w:p w14:paraId="21A304C8">
      <w:pPr>
        <w:pageBreakBefore w:val="0"/>
        <w:kinsoku/>
        <w:wordWrap/>
        <w:overflowPunct/>
        <w:topLinePunct w:val="0"/>
        <w:autoSpaceDE/>
        <w:autoSpaceDN/>
        <w:bidi w:val="0"/>
        <w:spacing w:line="400" w:lineRule="exact"/>
        <w:ind w:left="0" w:leftChars="0" w:firstLine="482" w:firstLineChars="200"/>
        <w:jc w:val="both"/>
        <w:textAlignment w:val="auto"/>
        <w:rPr>
          <w:rFonts w:hint="eastAsia" w:ascii="宋体" w:hAnsi="宋体" w:eastAsia="宋体" w:cs="宋体"/>
          <w:b/>
          <w:bCs/>
          <w:sz w:val="24"/>
          <w:szCs w:val="24"/>
          <w:lang w:val="en-US" w:eastAsia="zh-CN"/>
        </w:rPr>
      </w:pPr>
      <w:bookmarkStart w:id="99" w:name="_Toc536202302"/>
      <w:r>
        <w:rPr>
          <w:rFonts w:hint="eastAsia" w:ascii="宋体" w:hAnsi="宋体" w:eastAsia="宋体" w:cs="宋体"/>
          <w:b/>
          <w:bCs/>
          <w:sz w:val="24"/>
          <w:szCs w:val="24"/>
          <w:lang w:val="en-US" w:eastAsia="zh-CN"/>
        </w:rPr>
        <w:t>5.响应有效期</w:t>
      </w:r>
      <w:bookmarkEnd w:id="99"/>
    </w:p>
    <w:p w14:paraId="569055F2">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响应文件有效期及法定代表人授权书有效期为递交响应文件截止时间起90个日历日，响应有效期短于此规定期限的响应文件，视为无效文件，其</w:t>
      </w:r>
      <w:r>
        <w:rPr>
          <w:rFonts w:hint="eastAsia" w:ascii="宋体" w:hAnsi="宋体" w:eastAsia="宋体" w:cs="宋体"/>
          <w:sz w:val="24"/>
          <w:szCs w:val="24"/>
          <w:lang w:eastAsia="zh-CN"/>
        </w:rPr>
        <w:t>谈判</w:t>
      </w:r>
      <w:r>
        <w:rPr>
          <w:rFonts w:hint="eastAsia" w:ascii="宋体" w:hAnsi="宋体" w:eastAsia="宋体" w:cs="宋体"/>
          <w:sz w:val="24"/>
          <w:szCs w:val="24"/>
        </w:rPr>
        <w:t>将被拒绝。成交单位的响应文件有效期延长至合同执行完毕。</w:t>
      </w:r>
    </w:p>
    <w:p w14:paraId="4526CC22">
      <w:pPr>
        <w:bidi w:val="0"/>
        <w:ind w:firstLine="482" w:firstLineChars="200"/>
        <w:rPr>
          <w:rFonts w:hint="eastAsia" w:ascii="宋体" w:hAnsi="宋体" w:eastAsia="宋体" w:cs="宋体"/>
          <w:b/>
          <w:bCs/>
          <w:kern w:val="2"/>
          <w:sz w:val="24"/>
          <w:szCs w:val="24"/>
          <w:u w:val="none"/>
          <w:lang w:val="en-US" w:eastAsia="zh-CN" w:bidi="ar-SA"/>
        </w:rPr>
      </w:pPr>
      <w:bookmarkStart w:id="100" w:name="_Toc536202303"/>
      <w:bookmarkStart w:id="101" w:name="_Toc24827"/>
      <w:r>
        <w:rPr>
          <w:rFonts w:hint="eastAsia" w:ascii="宋体" w:hAnsi="宋体" w:eastAsia="宋体" w:cs="宋体"/>
          <w:b/>
          <w:bCs/>
          <w:kern w:val="2"/>
          <w:sz w:val="24"/>
          <w:szCs w:val="24"/>
          <w:u w:val="none"/>
          <w:lang w:val="en-US" w:eastAsia="zh-CN" w:bidi="ar-SA"/>
        </w:rPr>
        <w:t>6.响应文件的格式、装订、密封和签署</w:t>
      </w:r>
      <w:bookmarkEnd w:id="100"/>
      <w:bookmarkEnd w:id="101"/>
    </w:p>
    <w:p w14:paraId="754C1D73">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bookmarkStart w:id="102" w:name="_Toc536202304"/>
      <w:bookmarkStart w:id="103" w:name="_Toc22752"/>
      <w:r>
        <w:rPr>
          <w:rFonts w:hint="eastAsia" w:ascii="宋体" w:hAnsi="宋体" w:eastAsia="宋体" w:cs="宋体"/>
          <w:sz w:val="24"/>
          <w:szCs w:val="24"/>
          <w:lang w:val="en-US" w:eastAsia="zh-CN"/>
        </w:rPr>
        <w:t>6</w:t>
      </w:r>
      <w:r>
        <w:rPr>
          <w:rFonts w:hint="eastAsia" w:ascii="宋体" w:hAnsi="宋体" w:eastAsia="宋体" w:cs="宋体"/>
          <w:sz w:val="24"/>
          <w:szCs w:val="24"/>
        </w:rPr>
        <w:t>.1响应文件的格式</w:t>
      </w:r>
    </w:p>
    <w:p w14:paraId="50551EBF">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供应商须依据招标文件内容和投标文件格式的要求编制投标文件；并编制目录和对应的页码。</w:t>
      </w:r>
    </w:p>
    <w:p w14:paraId="67D8C181">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w:t>
      </w:r>
      <w:r>
        <w:rPr>
          <w:rFonts w:hint="eastAsia" w:ascii="宋体" w:hAnsi="宋体" w:eastAsia="宋体" w:cs="宋体"/>
          <w:sz w:val="24"/>
          <w:szCs w:val="24"/>
        </w:rPr>
        <w:t>响应文</w:t>
      </w:r>
      <w:r>
        <w:rPr>
          <w:rFonts w:hint="eastAsia" w:ascii="宋体" w:hAnsi="宋体" w:eastAsia="宋体" w:cs="宋体"/>
          <w:sz w:val="24"/>
          <w:szCs w:val="24"/>
          <w:lang w:val="en-US" w:eastAsia="zh-CN"/>
        </w:rPr>
        <w:t>件的签署</w:t>
      </w:r>
    </w:p>
    <w:p w14:paraId="66DAB047">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（1）供应商应在投标文件中指定的页面落款处填写供应商全称，并按要求加盖公章及签字(包括投标文件的封面）侧面还需加盖骑缝章。</w:t>
      </w:r>
    </w:p>
    <w:p w14:paraId="74A5C5E6">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（2）响应文件应字迹清楚、内容齐全、不得涂改或增删。如有修改和增删，必须有供应商公章及法定代表人或其授权代表签字。</w:t>
      </w:r>
    </w:p>
    <w:p w14:paraId="29A30CF1">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（3）因响应文件字迹潦草或表达不清所引起的不利后果由供应商承担。</w:t>
      </w:r>
    </w:p>
    <w:p w14:paraId="7EB95983">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本次招标只接受简体中文文字的投标文件；如投标文件中出现外文资料，必须配以中文译文。否则，由此引发的一切责任由供应商自负。</w:t>
      </w:r>
    </w:p>
    <w:p w14:paraId="30CD3D22">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拒绝接受以电话、传真、电子邮件形式的投标。</w:t>
      </w:r>
    </w:p>
    <w:p w14:paraId="2B90C30B">
      <w:pPr>
        <w:bidi w:val="0"/>
        <w:ind w:firstLine="482" w:firstLineChars="200"/>
        <w:rPr>
          <w:rFonts w:hint="eastAsia" w:ascii="宋体" w:hAnsi="宋体" w:eastAsia="宋体" w:cs="宋体"/>
          <w:b/>
          <w:bCs/>
          <w:kern w:val="2"/>
          <w:sz w:val="24"/>
          <w:szCs w:val="24"/>
          <w:u w:val="none"/>
          <w:lang w:val="en-US" w:eastAsia="zh-CN" w:bidi="ar-SA"/>
        </w:rPr>
      </w:pPr>
      <w:r>
        <w:rPr>
          <w:rFonts w:hint="eastAsia" w:ascii="宋体" w:hAnsi="宋体" w:eastAsia="宋体" w:cs="宋体"/>
          <w:b/>
          <w:bCs/>
          <w:kern w:val="2"/>
          <w:sz w:val="24"/>
          <w:szCs w:val="24"/>
          <w:u w:val="none"/>
          <w:lang w:val="en-US" w:eastAsia="zh-CN" w:bidi="ar-SA"/>
        </w:rPr>
        <w:t>7.知识产权</w:t>
      </w:r>
      <w:bookmarkEnd w:id="102"/>
      <w:bookmarkEnd w:id="103"/>
    </w:p>
    <w:p w14:paraId="4F7D5384">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供应商应保证在本项目使用的任何产品和服务（包括部分使用）时，不会产生因第三方提出侵犯其专利权、商标权或其它知识产权而引起的法律和经济纠纷，如因专利权、商标权或其它知识产权而引起法律纠纷和经济纠纷，由供应商承担所有相关责任。</w:t>
      </w:r>
    </w:p>
    <w:p w14:paraId="66A51D99">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.2采购人享有本项目在实施过程中产生的知识成果及知识产权。</w:t>
      </w:r>
    </w:p>
    <w:p w14:paraId="61FFABD4">
      <w:pPr>
        <w:pageBreakBefore w:val="0"/>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3供应商如欲在项目实施过程中采用自有知识成果，需在响应文件中声明，并提供相关知识产权证明文件。使用该知识成果后，供应商须提供开发接口和开发手册等技术文档，并承诺提供无限期技术支持，采购人享有永久使用权。</w:t>
      </w:r>
    </w:p>
    <w:p w14:paraId="501E3678">
      <w:pPr>
        <w:pageBreakBefore w:val="0"/>
        <w:widowControl/>
        <w:numPr>
          <w:ilvl w:val="0"/>
          <w:numId w:val="0"/>
        </w:numPr>
        <w:kinsoku/>
        <w:wordWrap/>
        <w:overflowPunct/>
        <w:topLinePunct w:val="0"/>
        <w:autoSpaceDE/>
        <w:autoSpaceDN/>
        <w:bidi w:val="0"/>
        <w:spacing w:line="400" w:lineRule="exact"/>
        <w:ind w:left="0" w:leftChars="0" w:firstLine="480" w:firstLineChars="200"/>
        <w:jc w:val="both"/>
        <w:textAlignment w:val="auto"/>
        <w:outlineLvl w:val="1"/>
        <w:rPr>
          <w:rFonts w:hint="eastAsia" w:ascii="宋体" w:hAnsi="宋体" w:eastAsia="宋体" w:cs="宋体"/>
          <w:sz w:val="24"/>
          <w:szCs w:val="24"/>
        </w:rPr>
      </w:pPr>
      <w:bookmarkStart w:id="104" w:name="_Toc19604"/>
      <w:bookmarkStart w:id="105" w:name="_Toc22616"/>
      <w:bookmarkStart w:id="106" w:name="_Toc24267"/>
      <w:r>
        <w:rPr>
          <w:rFonts w:hint="eastAsia" w:ascii="宋体" w:hAnsi="宋体" w:eastAsia="宋体" w:cs="宋体"/>
          <w:sz w:val="24"/>
          <w:szCs w:val="24"/>
          <w:lang w:val="en-US" w:eastAsia="zh-CN"/>
        </w:rPr>
        <w:t>7</w:t>
      </w:r>
      <w:r>
        <w:rPr>
          <w:rFonts w:hint="eastAsia" w:ascii="宋体" w:hAnsi="宋体" w:eastAsia="宋体" w:cs="宋体"/>
          <w:sz w:val="24"/>
          <w:szCs w:val="24"/>
        </w:rPr>
        <w:t>.4如供应商所不拥有的知识产权，则在响应报价中必须包括合法获取该知识产权的相关费用。</w:t>
      </w:r>
      <w:bookmarkEnd w:id="104"/>
      <w:bookmarkEnd w:id="105"/>
      <w:bookmarkEnd w:id="106"/>
      <w:bookmarkStart w:id="107" w:name="_Toc4747"/>
      <w:bookmarkStart w:id="108" w:name="_Toc3565"/>
      <w:bookmarkStart w:id="109" w:name="_Toc19543339"/>
      <w:bookmarkStart w:id="110" w:name="_Toc536202382"/>
      <w:bookmarkStart w:id="111" w:name="_Toc536429375"/>
      <w:bookmarkStart w:id="112" w:name="_Toc536429322"/>
      <w:bookmarkStart w:id="113" w:name="_Toc536202305"/>
      <w:bookmarkStart w:id="114" w:name="_Toc3736"/>
    </w:p>
    <w:p w14:paraId="2AF3B426">
      <w:pPr>
        <w:pageBreakBefore w:val="0"/>
        <w:widowControl/>
        <w:numPr>
          <w:ilvl w:val="0"/>
          <w:numId w:val="0"/>
        </w:numPr>
        <w:kinsoku/>
        <w:wordWrap/>
        <w:overflowPunct/>
        <w:topLinePunct w:val="0"/>
        <w:autoSpaceDE/>
        <w:autoSpaceDN/>
        <w:bidi w:val="0"/>
        <w:spacing w:line="400" w:lineRule="exact"/>
        <w:jc w:val="center"/>
        <w:textAlignment w:val="auto"/>
        <w:outlineLvl w:val="1"/>
        <w:rPr>
          <w:rFonts w:hint="eastAsia" w:ascii="宋体" w:hAnsi="宋体" w:eastAsia="宋体" w:cs="宋体"/>
          <w:b/>
          <w:bCs/>
          <w:kern w:val="0"/>
          <w:sz w:val="24"/>
          <w:szCs w:val="24"/>
        </w:rPr>
      </w:pPr>
      <w:bookmarkStart w:id="115" w:name="_Toc21259"/>
      <w:bookmarkStart w:id="116" w:name="_Toc24983"/>
      <w:bookmarkStart w:id="117" w:name="_Toc7257"/>
      <w:r>
        <w:rPr>
          <w:rFonts w:hint="eastAsia" w:ascii="宋体" w:hAnsi="宋体" w:eastAsia="宋体" w:cs="宋体"/>
          <w:b/>
          <w:bCs/>
          <w:kern w:val="0"/>
          <w:sz w:val="24"/>
          <w:szCs w:val="24"/>
          <w:lang w:eastAsia="zh-CN"/>
        </w:rPr>
        <w:t>四、</w:t>
      </w:r>
      <w:r>
        <w:rPr>
          <w:rFonts w:hint="eastAsia" w:ascii="宋体" w:hAnsi="宋体" w:eastAsia="宋体" w:cs="宋体"/>
          <w:b/>
          <w:bCs/>
          <w:kern w:val="0"/>
          <w:sz w:val="24"/>
          <w:szCs w:val="24"/>
        </w:rPr>
        <w:t>响应文件的递交</w:t>
      </w:r>
      <w:bookmarkEnd w:id="107"/>
      <w:bookmarkEnd w:id="108"/>
      <w:bookmarkEnd w:id="109"/>
      <w:bookmarkEnd w:id="110"/>
      <w:bookmarkEnd w:id="111"/>
      <w:bookmarkEnd w:id="112"/>
      <w:bookmarkEnd w:id="113"/>
      <w:r>
        <w:rPr>
          <w:rFonts w:hint="eastAsia" w:ascii="宋体" w:hAnsi="宋体" w:eastAsia="宋体" w:cs="宋体"/>
          <w:b/>
          <w:bCs/>
          <w:kern w:val="0"/>
          <w:sz w:val="24"/>
          <w:szCs w:val="24"/>
        </w:rPr>
        <w:t>、开启</w:t>
      </w:r>
      <w:bookmarkEnd w:id="115"/>
      <w:bookmarkEnd w:id="116"/>
      <w:bookmarkEnd w:id="117"/>
    </w:p>
    <w:bookmarkEnd w:id="77"/>
    <w:bookmarkEnd w:id="78"/>
    <w:bookmarkEnd w:id="79"/>
    <w:bookmarkEnd w:id="80"/>
    <w:bookmarkEnd w:id="81"/>
    <w:bookmarkEnd w:id="82"/>
    <w:bookmarkEnd w:id="83"/>
    <w:bookmarkEnd w:id="84"/>
    <w:bookmarkEnd w:id="85"/>
    <w:bookmarkEnd w:id="86"/>
    <w:bookmarkEnd w:id="114"/>
    <w:p w14:paraId="1B9CC97B">
      <w:pPr>
        <w:bidi w:val="0"/>
        <w:ind w:firstLine="482" w:firstLineChars="200"/>
        <w:rPr>
          <w:rFonts w:hint="eastAsia" w:ascii="宋体" w:hAnsi="宋体" w:eastAsia="宋体" w:cs="宋体"/>
          <w:b/>
          <w:bCs/>
          <w:kern w:val="2"/>
          <w:sz w:val="24"/>
          <w:szCs w:val="24"/>
          <w:u w:val="none"/>
          <w:lang w:val="en-US" w:eastAsia="zh-CN" w:bidi="ar-SA"/>
        </w:rPr>
      </w:pPr>
      <w:bookmarkStart w:id="118" w:name="_Toc3685"/>
      <w:bookmarkStart w:id="119" w:name="_Toc536202306"/>
      <w:bookmarkStart w:id="120" w:name="_Toc23315668"/>
      <w:bookmarkStart w:id="121" w:name="_Toc35335264"/>
      <w:bookmarkStart w:id="122" w:name="_Toc23900"/>
      <w:bookmarkStart w:id="123" w:name="_Toc23316690"/>
      <w:bookmarkStart w:id="124" w:name="_Toc14189415"/>
      <w:bookmarkStart w:id="125" w:name="_Toc18412207"/>
      <w:bookmarkStart w:id="126" w:name="_Toc8901"/>
      <w:bookmarkStart w:id="127" w:name="_Toc23316528"/>
      <w:bookmarkStart w:id="128" w:name="_Toc23316592"/>
      <w:bookmarkStart w:id="129" w:name="_Toc14189282"/>
      <w:bookmarkStart w:id="130" w:name="_Toc25719"/>
      <w:bookmarkStart w:id="131" w:name="_Toc14189418"/>
      <w:bookmarkStart w:id="132" w:name="_Toc23316595"/>
      <w:bookmarkStart w:id="133" w:name="_Toc23316693"/>
      <w:bookmarkStart w:id="134" w:name="_Toc18412210"/>
      <w:bookmarkStart w:id="135" w:name="_Toc424636365"/>
      <w:bookmarkStart w:id="136" w:name="_Toc23316531"/>
      <w:bookmarkStart w:id="137" w:name="_Toc14189285"/>
      <w:bookmarkStart w:id="138" w:name="_Toc23315671"/>
      <w:r>
        <w:rPr>
          <w:rFonts w:hint="eastAsia" w:ascii="宋体" w:hAnsi="宋体" w:eastAsia="宋体" w:cs="宋体"/>
          <w:b/>
          <w:bCs/>
          <w:kern w:val="2"/>
          <w:sz w:val="24"/>
          <w:szCs w:val="24"/>
          <w:u w:val="none"/>
          <w:lang w:val="en-US" w:eastAsia="zh-CN" w:bidi="ar-SA"/>
        </w:rPr>
        <w:t>1.纸质响应文件递交</w:t>
      </w:r>
      <w:bookmarkEnd w:id="118"/>
      <w:bookmarkEnd w:id="119"/>
    </w:p>
    <w:p w14:paraId="4562756B">
      <w:pPr>
        <w:pageBreakBefore w:val="0"/>
        <w:widowControl/>
        <w:tabs>
          <w:tab w:val="left" w:pos="0"/>
        </w:tabs>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1.1供应商必须在竞争性</w:t>
      </w:r>
      <w:r>
        <w:rPr>
          <w:rFonts w:hint="eastAsia" w:ascii="宋体" w:hAnsi="宋体" w:eastAsia="宋体" w:cs="宋体"/>
          <w:sz w:val="24"/>
          <w:szCs w:val="24"/>
          <w:lang w:eastAsia="zh-CN"/>
        </w:rPr>
        <w:t>谈判</w:t>
      </w:r>
      <w:r>
        <w:rPr>
          <w:rFonts w:hint="eastAsia" w:ascii="宋体" w:hAnsi="宋体" w:eastAsia="宋体" w:cs="宋体"/>
          <w:sz w:val="24"/>
          <w:szCs w:val="24"/>
        </w:rPr>
        <w:t>文件规定的响应文件递交截止时间之前，将全部响应文件递交至代理机构项目工作人员；代理机构项目承办人在竞争性</w:t>
      </w:r>
      <w:r>
        <w:rPr>
          <w:rFonts w:hint="eastAsia" w:ascii="宋体" w:hAnsi="宋体" w:eastAsia="宋体" w:cs="宋体"/>
          <w:sz w:val="24"/>
          <w:szCs w:val="24"/>
          <w:lang w:eastAsia="zh-CN"/>
        </w:rPr>
        <w:t>谈判</w:t>
      </w:r>
      <w:r>
        <w:rPr>
          <w:rFonts w:hint="eastAsia" w:ascii="宋体" w:hAnsi="宋体" w:eastAsia="宋体" w:cs="宋体"/>
          <w:sz w:val="24"/>
          <w:szCs w:val="24"/>
        </w:rPr>
        <w:t>文件规定的响应文件递交截止时间前，只负责响应文件的接收、清点、造册登记工作，并请供应商代表签字确认，对其有效性不负任何责任。</w:t>
      </w:r>
    </w:p>
    <w:p w14:paraId="7F0AC450">
      <w:pPr>
        <w:pageBreakBefore w:val="0"/>
        <w:widowControl/>
        <w:tabs>
          <w:tab w:val="left" w:pos="0"/>
        </w:tabs>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1.2代理机构在宣布递交响应文件时间截止之后，拒绝接收任何人送达、递交的响应文件及其他资料；</w:t>
      </w:r>
    </w:p>
    <w:p w14:paraId="7A9E82D8">
      <w:pPr>
        <w:pageBreakBefore w:val="0"/>
        <w:widowControl/>
        <w:tabs>
          <w:tab w:val="left" w:pos="0"/>
        </w:tabs>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1.3代理机构不接受邮寄的响应文件；</w:t>
      </w:r>
    </w:p>
    <w:p w14:paraId="010F8F4D">
      <w:pPr>
        <w:pageBreakBefore w:val="0"/>
        <w:widowControl/>
        <w:tabs>
          <w:tab w:val="left" w:pos="0"/>
        </w:tabs>
        <w:kinsoku/>
        <w:wordWrap/>
        <w:overflowPunct/>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1.4无论供应商成交与否，其响应文件恕不退还。</w:t>
      </w:r>
    </w:p>
    <w:p w14:paraId="6DF8221F">
      <w:pPr>
        <w:pageBreakBefore w:val="0"/>
        <w:kinsoku/>
        <w:wordWrap/>
        <w:overflowPunct/>
        <w:topLinePunct w:val="0"/>
        <w:bidi w:val="0"/>
        <w:adjustRightInd w:val="0"/>
        <w:snapToGrid w:val="0"/>
        <w:spacing w:line="400" w:lineRule="exact"/>
        <w:ind w:left="0" w:leftChars="0" w:firstLine="482" w:firstLineChars="200"/>
        <w:jc w:val="both"/>
        <w:textAlignment w:val="auto"/>
        <w:rPr>
          <w:rFonts w:hint="eastAsia" w:ascii="宋体" w:hAnsi="宋体" w:eastAsia="宋体" w:cs="宋体"/>
          <w:b/>
          <w:kern w:val="0"/>
          <w:sz w:val="24"/>
          <w:szCs w:val="24"/>
        </w:rPr>
      </w:pPr>
      <w:r>
        <w:rPr>
          <w:rFonts w:hint="eastAsia" w:ascii="宋体" w:hAnsi="宋体" w:eastAsia="宋体" w:cs="宋体"/>
          <w:b/>
          <w:bCs/>
          <w:kern w:val="0"/>
          <w:sz w:val="24"/>
          <w:szCs w:val="24"/>
          <w:lang w:val="en-US" w:eastAsia="zh-CN"/>
        </w:rPr>
        <w:t>2</w:t>
      </w:r>
      <w:r>
        <w:rPr>
          <w:rFonts w:hint="eastAsia" w:ascii="宋体" w:hAnsi="宋体" w:eastAsia="宋体" w:cs="宋体"/>
          <w:b/>
          <w:kern w:val="0"/>
          <w:sz w:val="24"/>
          <w:szCs w:val="24"/>
          <w:lang w:val="en-US" w:eastAsia="zh-CN"/>
        </w:rPr>
        <w:t>.</w:t>
      </w:r>
      <w:r>
        <w:rPr>
          <w:rFonts w:hint="eastAsia" w:ascii="宋体" w:hAnsi="宋体" w:eastAsia="宋体" w:cs="宋体"/>
          <w:b/>
          <w:kern w:val="0"/>
          <w:sz w:val="24"/>
          <w:szCs w:val="24"/>
        </w:rPr>
        <w:t>提交竞争性谈判响应文件截止时间、签到、密封核实</w:t>
      </w:r>
    </w:p>
    <w:p w14:paraId="0E1DFFCD">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.1竞争性谈判响应文件须按照竞争性谈判文件规定的时间、地点送达。在提交竞争性谈判响应文件截止时间以后送达的竞争性谈判响应文件，代理机构将拒绝接收投标人的竞争性谈判响应文件。</w:t>
      </w:r>
    </w:p>
    <w:p w14:paraId="787C0FEF">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.2参加报价的投标人代表须在报价投标人签到表中签到。</w:t>
      </w:r>
    </w:p>
    <w:p w14:paraId="46B18893">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3参加报价的投标人代表须在采购代理机构工作人员的主持下及监标人的监督下查验响应文件的密封情况并在报价投标人密封核实情况表中签字确认，投标人代表须对签字确认结果承担相应的法律责任。响应文件经确认无误后，由采购人或采购代理机构当众拆封竞争性谈判文件。</w:t>
      </w:r>
    </w:p>
    <w:p w14:paraId="0D1DAF91">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.4采购代理机构可以按本须知第二项“竞争性谈判文件”第</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条规定，通知因修改竞争性谈判文件而适当延长谈判截止期。在此情况下，采购单位和投标人受谈判截止期制约的所有权利和义务均应延长至新的截止期。</w:t>
      </w:r>
    </w:p>
    <w:p w14:paraId="02A35C83">
      <w:pPr>
        <w:pageBreakBefore w:val="0"/>
        <w:kinsoku/>
        <w:wordWrap/>
        <w:overflowPunct/>
        <w:topLinePunct w:val="0"/>
        <w:bidi w:val="0"/>
        <w:adjustRightInd w:val="0"/>
        <w:snapToGrid w:val="0"/>
        <w:spacing w:line="400" w:lineRule="exact"/>
        <w:ind w:left="0" w:leftChars="0" w:firstLine="482" w:firstLineChars="200"/>
        <w:jc w:val="both"/>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3.</w:t>
      </w:r>
      <w:r>
        <w:rPr>
          <w:rFonts w:hint="eastAsia" w:ascii="宋体" w:hAnsi="宋体" w:eastAsia="宋体" w:cs="宋体"/>
          <w:b/>
          <w:kern w:val="0"/>
          <w:sz w:val="24"/>
          <w:szCs w:val="24"/>
        </w:rPr>
        <w:t>竞争性谈判响应文件的修改和撤回</w:t>
      </w:r>
    </w:p>
    <w:p w14:paraId="3D7B82A8">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.1投标人在递交竞争性谈判响应文件后，谈判截止时间前，可以修改或撤回其竞争性谈判响应文件。但投标人必须在规定的谈判截止期之前将修改或撤回的书面通知递交到采购代理机构。</w:t>
      </w:r>
    </w:p>
    <w:p w14:paraId="130E6171">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.2投标人的修改或撤回通知书应按本须知第</w:t>
      </w:r>
      <w:r>
        <w:rPr>
          <w:rFonts w:hint="eastAsia" w:ascii="宋体" w:hAnsi="宋体" w:eastAsia="宋体" w:cs="宋体"/>
          <w:kern w:val="0"/>
          <w:sz w:val="24"/>
          <w:szCs w:val="24"/>
          <w:lang w:eastAsia="zh-CN"/>
        </w:rPr>
        <w:t>三</w:t>
      </w:r>
      <w:r>
        <w:rPr>
          <w:rFonts w:hint="eastAsia" w:ascii="宋体" w:hAnsi="宋体" w:eastAsia="宋体" w:cs="宋体"/>
          <w:kern w:val="0"/>
          <w:sz w:val="24"/>
          <w:szCs w:val="24"/>
        </w:rPr>
        <w:t>项第</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条响应文件的格式、装订、密封和签署，并在内层封套上加注“修改”或“撤回”字样。</w:t>
      </w:r>
    </w:p>
    <w:p w14:paraId="448873F3">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.3在谈判截止日期之后，投标人不得对其竞争性谈判响应文件做任何修改。从谈判截止期始至竞争性谈判文件确定的竞争性谈判响应文件有效期期满这段时间内，投标人不得撤回其竞争性谈判响应文件。</w:t>
      </w:r>
    </w:p>
    <w:p w14:paraId="02F41E80">
      <w:pPr>
        <w:pageBreakBefore w:val="0"/>
        <w:kinsoku/>
        <w:wordWrap/>
        <w:overflowPunct/>
        <w:topLinePunct w:val="0"/>
        <w:bidi w:val="0"/>
        <w:adjustRightInd w:val="0"/>
        <w:snapToGrid w:val="0"/>
        <w:spacing w:line="400" w:lineRule="exact"/>
        <w:ind w:left="0" w:leftChars="0" w:firstLine="482" w:firstLineChars="200"/>
        <w:jc w:val="both"/>
        <w:textAlignment w:val="auto"/>
        <w:rPr>
          <w:rFonts w:hint="eastAsia" w:ascii="宋体" w:hAnsi="宋体" w:eastAsia="宋体" w:cs="宋体"/>
          <w:sz w:val="24"/>
          <w:szCs w:val="24"/>
        </w:rPr>
      </w:pPr>
      <w:r>
        <w:rPr>
          <w:rFonts w:hint="eastAsia" w:ascii="宋体" w:hAnsi="宋体" w:eastAsia="宋体" w:cs="宋体"/>
          <w:b/>
          <w:kern w:val="0"/>
          <w:sz w:val="24"/>
          <w:szCs w:val="24"/>
          <w:lang w:val="en-US" w:eastAsia="zh-CN"/>
        </w:rPr>
        <w:t>4.</w:t>
      </w:r>
      <w:r>
        <w:rPr>
          <w:rFonts w:hint="eastAsia" w:ascii="宋体" w:hAnsi="宋体" w:eastAsia="宋体" w:cs="宋体"/>
          <w:b/>
          <w:kern w:val="0"/>
          <w:sz w:val="24"/>
          <w:szCs w:val="24"/>
        </w:rPr>
        <w:t>竞争性谈判响应文件的有效性</w:t>
      </w:r>
    </w:p>
    <w:p w14:paraId="6FEC0892">
      <w:pPr>
        <w:pageBreakBefore w:val="0"/>
        <w:kinsoku/>
        <w:wordWrap/>
        <w:overflowPunct/>
        <w:topLinePunct w:val="0"/>
        <w:bidi w:val="0"/>
        <w:adjustRightInd w:val="0"/>
        <w:snapToGrid w:val="0"/>
        <w:spacing w:line="400" w:lineRule="exact"/>
        <w:ind w:left="0" w:leftChars="0" w:firstLine="482" w:firstLineChars="200"/>
        <w:jc w:val="both"/>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4</w:t>
      </w:r>
      <w:r>
        <w:rPr>
          <w:rFonts w:hint="eastAsia" w:ascii="宋体" w:hAnsi="宋体" w:eastAsia="宋体" w:cs="宋体"/>
          <w:b/>
          <w:kern w:val="0"/>
          <w:sz w:val="24"/>
          <w:szCs w:val="24"/>
        </w:rPr>
        <w:t>.1竞争性谈判响应文件有下列情况之一者将视为无效</w:t>
      </w:r>
      <w:r>
        <w:rPr>
          <w:rFonts w:hint="eastAsia" w:ascii="宋体" w:hAnsi="宋体" w:eastAsia="宋体" w:cs="宋体"/>
          <w:b/>
          <w:kern w:val="0"/>
          <w:sz w:val="24"/>
          <w:szCs w:val="24"/>
          <w:lang w:val="en-US" w:eastAsia="zh-CN"/>
        </w:rPr>
        <w:t>文件</w:t>
      </w:r>
      <w:r>
        <w:rPr>
          <w:rFonts w:hint="eastAsia" w:ascii="宋体" w:hAnsi="宋体" w:eastAsia="宋体" w:cs="宋体"/>
          <w:b/>
          <w:kern w:val="0"/>
          <w:sz w:val="24"/>
          <w:szCs w:val="24"/>
        </w:rPr>
        <w:t>：</w:t>
      </w:r>
    </w:p>
    <w:p w14:paraId="742D45E8">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（1）竞争性谈判响应文件未按规定标记、密封的；</w:t>
      </w:r>
    </w:p>
    <w:p w14:paraId="6D60CF0F">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（2）逾期提交电子谈判响应文件、或逾期送达纸质谈判响应文件的；</w:t>
      </w:r>
    </w:p>
    <w:p w14:paraId="33D9C1E6">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（3）纸质谈判响应文件未按谈判文件规定要求密封、装订、签署、盖章的,电子谈判响应文件未按谈判文件规定要求加密、签署、盖章的；</w:t>
      </w:r>
    </w:p>
    <w:p w14:paraId="59CC657C">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（4）未按竞争性谈判文件要求提交资格证明文件或未通过竞争性谈判响应文件有效性审查的；</w:t>
      </w:r>
    </w:p>
    <w:p w14:paraId="761E94AA">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（5）提交的竞争性谈判响应文件有效期短于竞争性谈判文件规定有效期的；</w:t>
      </w:r>
    </w:p>
    <w:p w14:paraId="13794784">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（6）未按谈判小组要求对竞争性谈判响应文件进行澄清（说明或者更正）的；</w:t>
      </w:r>
    </w:p>
    <w:p w14:paraId="398531FA">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（7）谈判小组对竞争性谈判响应文件评审后，认为在有效性、完整性和响应程度方面没有实质性响应竞争性谈判文件的</w:t>
      </w:r>
      <w:r>
        <w:rPr>
          <w:rFonts w:hint="eastAsia" w:ascii="宋体" w:hAnsi="宋体" w:eastAsia="宋体" w:cs="宋体"/>
          <w:sz w:val="24"/>
          <w:szCs w:val="24"/>
        </w:rPr>
        <w:t>或有重大缺项漏项,明显不符合技术规格、技术标准的要求的；</w:t>
      </w:r>
    </w:p>
    <w:p w14:paraId="46DAC617">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kern w:val="0"/>
          <w:sz w:val="24"/>
          <w:szCs w:val="24"/>
        </w:rPr>
        <w:t>（8）重新提交的竞争性谈判响应文件没有实质性响应竞争性谈判文件的。</w:t>
      </w:r>
    </w:p>
    <w:p w14:paraId="6E2A55CB">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（9）投标单位针对同一项目递交两份或多份内容不同的竞争性谈判响应文件，未书面声明哪一份是有效的或出现选择性报价的；</w:t>
      </w:r>
    </w:p>
    <w:p w14:paraId="7061E0D5">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（10）谈判报价与市场价偏离较大，或者谈判报价大于项目预算，低于成本，形成不正当竞争的；</w:t>
      </w:r>
    </w:p>
    <w:p w14:paraId="38EC6D36">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（11）不符合现行法律法规和竞争性谈判文件规定的其他实质性要求的。</w:t>
      </w:r>
    </w:p>
    <w:p w14:paraId="30209A1E">
      <w:pPr>
        <w:pageBreakBefore w:val="0"/>
        <w:kinsoku/>
        <w:wordWrap/>
        <w:overflowPunct/>
        <w:topLinePunct w:val="0"/>
        <w:bidi w:val="0"/>
        <w:adjustRightInd w:val="0"/>
        <w:snapToGrid w:val="0"/>
        <w:spacing w:line="400" w:lineRule="exact"/>
        <w:ind w:left="0" w:leftChars="0" w:firstLine="482" w:firstLineChars="200"/>
        <w:jc w:val="both"/>
        <w:textAlignment w:val="auto"/>
        <w:rPr>
          <w:rFonts w:hint="eastAsia" w:ascii="宋体" w:hAnsi="宋体" w:eastAsia="宋体" w:cs="宋体"/>
          <w:b/>
          <w:kern w:val="0"/>
          <w:sz w:val="24"/>
          <w:szCs w:val="24"/>
        </w:rPr>
      </w:pPr>
      <w:r>
        <w:rPr>
          <w:rFonts w:hint="eastAsia" w:ascii="宋体" w:hAnsi="宋体" w:eastAsia="宋体" w:cs="宋体"/>
          <w:b/>
          <w:kern w:val="0"/>
          <w:sz w:val="24"/>
          <w:szCs w:val="24"/>
          <w:lang w:val="en-US" w:eastAsia="zh-CN"/>
        </w:rPr>
        <w:t>4</w:t>
      </w:r>
      <w:r>
        <w:rPr>
          <w:rFonts w:hint="eastAsia" w:ascii="宋体" w:hAnsi="宋体" w:eastAsia="宋体" w:cs="宋体"/>
          <w:b/>
          <w:kern w:val="0"/>
          <w:sz w:val="24"/>
          <w:szCs w:val="24"/>
        </w:rPr>
        <w:t>.2有下列情形之一的，视为投标人串通投标，其投标无效：</w:t>
      </w:r>
    </w:p>
    <w:p w14:paraId="0E9BBE62">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（1）不同投标人的竞争性谈判响应文件由同一单位或者个人编制；</w:t>
      </w:r>
    </w:p>
    <w:p w14:paraId="52DB1241">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（2）不同投标人委托同一单位或个人办理谈判事宜；</w:t>
      </w:r>
    </w:p>
    <w:p w14:paraId="65068F42">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（3）不同投标人的竞争性谈判响应文件载明的项目管理成员或者联系人员为同一人；</w:t>
      </w:r>
    </w:p>
    <w:p w14:paraId="40A3C834">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（4）不同投标人的竞争性谈判响应文件异常一致或者谈判报价呈规律性差异；</w:t>
      </w:r>
    </w:p>
    <w:p w14:paraId="30303570">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（5）不同投标人的竞争性谈判响应文件互相混装；</w:t>
      </w:r>
    </w:p>
    <w:p w14:paraId="4871783E">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kern w:val="0"/>
          <w:sz w:val="24"/>
          <w:szCs w:val="24"/>
        </w:rPr>
      </w:pPr>
      <w:r>
        <w:rPr>
          <w:rFonts w:hint="eastAsia" w:ascii="宋体" w:hAnsi="宋体" w:eastAsia="宋体" w:cs="宋体"/>
          <w:sz w:val="24"/>
          <w:szCs w:val="24"/>
        </w:rPr>
        <w:t>（6）不同投标人的投标保证金从同一单位或者个人账户转出。</w:t>
      </w:r>
    </w:p>
    <w:p w14:paraId="7F9A339D">
      <w:pPr>
        <w:pageBreakBefore w:val="0"/>
        <w:widowControl/>
        <w:numPr>
          <w:ilvl w:val="0"/>
          <w:numId w:val="0"/>
        </w:numPr>
        <w:kinsoku/>
        <w:wordWrap/>
        <w:overflowPunct/>
        <w:topLinePunct w:val="0"/>
        <w:autoSpaceDE/>
        <w:autoSpaceDN/>
        <w:bidi w:val="0"/>
        <w:spacing w:line="400" w:lineRule="exact"/>
        <w:jc w:val="center"/>
        <w:textAlignment w:val="auto"/>
        <w:outlineLvl w:val="1"/>
        <w:rPr>
          <w:rFonts w:hint="eastAsia" w:ascii="宋体" w:hAnsi="宋体" w:eastAsia="宋体" w:cs="宋体"/>
          <w:b/>
          <w:bCs/>
          <w:kern w:val="0"/>
          <w:sz w:val="24"/>
          <w:szCs w:val="24"/>
          <w:lang w:eastAsia="zh-CN"/>
        </w:rPr>
      </w:pPr>
      <w:bookmarkStart w:id="139" w:name="_Toc14318"/>
      <w:bookmarkStart w:id="140" w:name="_Toc8902"/>
      <w:r>
        <w:rPr>
          <w:rFonts w:hint="eastAsia" w:ascii="宋体" w:hAnsi="宋体" w:eastAsia="宋体" w:cs="宋体"/>
          <w:b/>
          <w:bCs/>
          <w:kern w:val="0"/>
          <w:sz w:val="24"/>
          <w:szCs w:val="24"/>
          <w:lang w:eastAsia="zh-CN"/>
        </w:rPr>
        <w:t>五</w:t>
      </w:r>
      <w:r>
        <w:rPr>
          <w:rFonts w:hint="eastAsia" w:ascii="宋体" w:hAnsi="宋体" w:eastAsia="宋体" w:cs="宋体"/>
          <w:b/>
          <w:bCs/>
          <w:kern w:val="0"/>
          <w:sz w:val="24"/>
          <w:szCs w:val="24"/>
        </w:rPr>
        <w:t>、谈判</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rPr>
        <w:t>评审</w:t>
      </w:r>
      <w:r>
        <w:rPr>
          <w:rFonts w:hint="eastAsia" w:ascii="宋体" w:hAnsi="宋体" w:eastAsia="宋体" w:cs="宋体"/>
          <w:b/>
          <w:bCs/>
          <w:kern w:val="0"/>
          <w:sz w:val="24"/>
          <w:szCs w:val="24"/>
          <w:lang w:eastAsia="zh-CN"/>
        </w:rPr>
        <w:t>、定标</w:t>
      </w:r>
      <w:bookmarkEnd w:id="139"/>
      <w:bookmarkEnd w:id="140"/>
    </w:p>
    <w:p w14:paraId="071C9581">
      <w:pPr>
        <w:pageBreakBefore w:val="0"/>
        <w:kinsoku/>
        <w:wordWrap/>
        <w:overflowPunct/>
        <w:topLinePunct w:val="0"/>
        <w:bidi w:val="0"/>
        <w:spacing w:line="400" w:lineRule="exact"/>
        <w:ind w:left="0" w:leftChars="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1</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谈判</w:t>
      </w:r>
    </w:p>
    <w:p w14:paraId="6104F514">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b w:val="0"/>
          <w:bCs/>
          <w:kern w:val="0"/>
          <w:sz w:val="24"/>
          <w:szCs w:val="24"/>
        </w:rPr>
      </w:pPr>
      <w:r>
        <w:rPr>
          <w:rFonts w:hint="eastAsia" w:ascii="宋体" w:hAnsi="宋体" w:eastAsia="宋体" w:cs="宋体"/>
          <w:sz w:val="24"/>
          <w:szCs w:val="24"/>
        </w:rPr>
        <w:t>1.1</w:t>
      </w:r>
      <w:r>
        <w:rPr>
          <w:rFonts w:hint="eastAsia" w:ascii="宋体" w:hAnsi="宋体" w:eastAsia="宋体" w:cs="宋体"/>
          <w:b w:val="0"/>
          <w:bCs/>
          <w:kern w:val="0"/>
          <w:sz w:val="24"/>
          <w:szCs w:val="24"/>
        </w:rPr>
        <w:t>采购代理机构在</w:t>
      </w:r>
      <w:r>
        <w:rPr>
          <w:rFonts w:hint="eastAsia" w:ascii="宋体" w:hAnsi="宋体" w:eastAsia="宋体" w:cs="宋体"/>
          <w:b w:val="0"/>
          <w:bCs/>
          <w:kern w:val="0"/>
          <w:sz w:val="24"/>
          <w:szCs w:val="24"/>
          <w:lang w:val="en-US" w:eastAsia="zh-CN"/>
        </w:rPr>
        <w:t>谈判</w:t>
      </w:r>
      <w:r>
        <w:rPr>
          <w:rFonts w:hint="eastAsia" w:ascii="宋体" w:hAnsi="宋体" w:eastAsia="宋体" w:cs="宋体"/>
          <w:b w:val="0"/>
          <w:bCs/>
          <w:kern w:val="0"/>
          <w:sz w:val="24"/>
          <w:szCs w:val="24"/>
        </w:rPr>
        <w:t>文件规定的时间和地点组织</w:t>
      </w:r>
      <w:r>
        <w:rPr>
          <w:rFonts w:hint="eastAsia" w:ascii="宋体" w:hAnsi="宋体" w:eastAsia="宋体" w:cs="宋体"/>
          <w:b w:val="0"/>
          <w:bCs/>
          <w:kern w:val="0"/>
          <w:sz w:val="24"/>
          <w:szCs w:val="24"/>
          <w:lang w:val="en-US" w:eastAsia="zh-CN"/>
        </w:rPr>
        <w:t>谈判会议</w:t>
      </w:r>
      <w:r>
        <w:rPr>
          <w:rFonts w:hint="eastAsia" w:ascii="宋体" w:hAnsi="宋体" w:eastAsia="宋体" w:cs="宋体"/>
          <w:b w:val="0"/>
          <w:bCs/>
          <w:kern w:val="0"/>
          <w:sz w:val="24"/>
          <w:szCs w:val="24"/>
        </w:rPr>
        <w:t>。</w:t>
      </w:r>
    </w:p>
    <w:p w14:paraId="1A825CAD">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1.2开标仪式由采购代理机构主持，采购人代表及有关人员参加。</w:t>
      </w:r>
    </w:p>
    <w:p w14:paraId="1FC8A42E">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b w:val="0"/>
          <w:bCs/>
          <w:kern w:val="0"/>
          <w:sz w:val="24"/>
          <w:szCs w:val="24"/>
        </w:rPr>
      </w:pPr>
      <w:r>
        <w:rPr>
          <w:rFonts w:hint="eastAsia" w:ascii="宋体" w:hAnsi="宋体" w:eastAsia="宋体" w:cs="宋体"/>
          <w:b w:val="0"/>
          <w:bCs/>
          <w:kern w:val="0"/>
          <w:sz w:val="24"/>
          <w:szCs w:val="24"/>
        </w:rPr>
        <w:t>1.3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4BAEB73A">
      <w:pPr>
        <w:pageBreakBefore w:val="0"/>
        <w:kinsoku/>
        <w:wordWrap/>
        <w:overflowPunct/>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4</w:t>
      </w:r>
      <w:r>
        <w:rPr>
          <w:rFonts w:hint="eastAsia" w:ascii="宋体" w:hAnsi="宋体" w:eastAsia="宋体" w:cs="宋体"/>
          <w:b w:val="0"/>
          <w:bCs/>
          <w:kern w:val="0"/>
          <w:sz w:val="24"/>
          <w:szCs w:val="24"/>
        </w:rPr>
        <w:t>由</w:t>
      </w:r>
      <w:r>
        <w:rPr>
          <w:rFonts w:hint="eastAsia" w:ascii="宋体" w:hAnsi="宋体" w:eastAsia="宋体" w:cs="宋体"/>
          <w:b w:val="0"/>
          <w:bCs/>
          <w:kern w:val="0"/>
          <w:sz w:val="24"/>
          <w:szCs w:val="24"/>
          <w:lang w:val="en-US" w:eastAsia="zh-CN"/>
        </w:rPr>
        <w:t>谈判</w:t>
      </w:r>
      <w:r>
        <w:rPr>
          <w:rFonts w:hint="eastAsia" w:ascii="宋体" w:hAnsi="宋体" w:eastAsia="宋体" w:cs="宋体"/>
          <w:b w:val="0"/>
          <w:bCs/>
          <w:kern w:val="0"/>
          <w:sz w:val="24"/>
          <w:szCs w:val="24"/>
          <w:lang w:eastAsia="zh-CN"/>
        </w:rPr>
        <w:t>小组</w:t>
      </w:r>
      <w:r>
        <w:rPr>
          <w:rFonts w:hint="eastAsia" w:ascii="宋体" w:hAnsi="宋体" w:eastAsia="宋体" w:cs="宋体"/>
          <w:b w:val="0"/>
          <w:bCs/>
          <w:kern w:val="0"/>
          <w:sz w:val="24"/>
          <w:szCs w:val="24"/>
        </w:rPr>
        <w:t>查验投标人</w:t>
      </w:r>
      <w:r>
        <w:rPr>
          <w:rFonts w:hint="eastAsia" w:ascii="宋体" w:hAnsi="宋体" w:eastAsia="宋体" w:cs="宋体"/>
          <w:color w:val="000000"/>
          <w:sz w:val="24"/>
          <w:szCs w:val="24"/>
        </w:rPr>
        <w:t>必备资格文件，未通过审查的按</w:t>
      </w:r>
      <w:r>
        <w:rPr>
          <w:rFonts w:hint="eastAsia" w:ascii="宋体" w:hAnsi="宋体" w:eastAsia="宋体" w:cs="宋体"/>
          <w:color w:val="000000"/>
          <w:sz w:val="24"/>
          <w:szCs w:val="24"/>
          <w:lang w:val="en-US" w:eastAsia="zh-CN"/>
        </w:rPr>
        <w:t>无效文件</w:t>
      </w:r>
      <w:r>
        <w:rPr>
          <w:rFonts w:hint="eastAsia" w:ascii="宋体" w:hAnsi="宋体" w:eastAsia="宋体" w:cs="宋体"/>
          <w:color w:val="000000"/>
          <w:sz w:val="24"/>
          <w:szCs w:val="24"/>
        </w:rPr>
        <w:t>处理。</w:t>
      </w:r>
    </w:p>
    <w:p w14:paraId="31C467A2">
      <w:pPr>
        <w:pageBreakBefore w:val="0"/>
        <w:widowControl/>
        <w:tabs>
          <w:tab w:val="left" w:pos="0"/>
        </w:tabs>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采购代理机构对开标过程进行摄像、文字记录，并存档备查。</w:t>
      </w:r>
    </w:p>
    <w:p w14:paraId="663AC40F">
      <w:pPr>
        <w:pageBreakBefore w:val="0"/>
        <w:kinsoku/>
        <w:wordWrap/>
        <w:overflowPunct/>
        <w:topLinePunct w:val="0"/>
        <w:bidi w:val="0"/>
        <w:spacing w:line="400" w:lineRule="exact"/>
        <w:ind w:left="0" w:leftChars="0" w:firstLine="482" w:firstLineChars="200"/>
        <w:jc w:val="both"/>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rPr>
        <w:t>谈判小组</w:t>
      </w:r>
    </w:p>
    <w:p w14:paraId="4A863F30">
      <w:pPr>
        <w:pageBreakBefore w:val="0"/>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bookmarkStart w:id="141" w:name="_Toc536202311"/>
      <w:bookmarkStart w:id="142" w:name="_Toc27940"/>
      <w:bookmarkStart w:id="143" w:name="_Toc385958808"/>
      <w:bookmarkStart w:id="144" w:name="_Toc28085"/>
      <w:bookmarkStart w:id="145" w:name="_Toc386129876"/>
      <w:bookmarkStart w:id="146" w:name="_Toc23316687"/>
      <w:bookmarkStart w:id="147" w:name="_Toc6298"/>
      <w:bookmarkStart w:id="148" w:name="_Toc14189412"/>
      <w:bookmarkStart w:id="149" w:name="_Toc18412204"/>
      <w:bookmarkStart w:id="150" w:name="_Toc32697"/>
      <w:bookmarkStart w:id="151" w:name="_Toc23315665"/>
      <w:bookmarkStart w:id="152" w:name="_Toc23316525"/>
      <w:bookmarkStart w:id="153" w:name="_Toc23316589"/>
      <w:bookmarkStart w:id="154" w:name="_Toc35335261"/>
      <w:bookmarkStart w:id="155" w:name="_Toc14189275"/>
      <w:r>
        <w:rPr>
          <w:rFonts w:hint="eastAsia" w:ascii="宋体" w:hAnsi="宋体" w:eastAsia="宋体" w:cs="宋体"/>
          <w:sz w:val="24"/>
          <w:szCs w:val="24"/>
        </w:rPr>
        <w:t>为确保</w:t>
      </w:r>
      <w:r>
        <w:rPr>
          <w:rFonts w:hint="eastAsia" w:ascii="宋体" w:hAnsi="宋体" w:eastAsia="宋体" w:cs="宋体"/>
          <w:sz w:val="24"/>
          <w:szCs w:val="24"/>
          <w:lang w:eastAsia="zh-CN"/>
        </w:rPr>
        <w:t>谈判</w:t>
      </w:r>
      <w:r>
        <w:rPr>
          <w:rFonts w:hint="eastAsia" w:ascii="宋体" w:hAnsi="宋体" w:eastAsia="宋体" w:cs="宋体"/>
          <w:sz w:val="24"/>
          <w:szCs w:val="24"/>
        </w:rPr>
        <w:t>工作公开、公平、公正，依法成立</w:t>
      </w:r>
      <w:r>
        <w:rPr>
          <w:rFonts w:hint="eastAsia" w:ascii="宋体" w:hAnsi="宋体" w:eastAsia="宋体" w:cs="宋体"/>
          <w:sz w:val="24"/>
          <w:szCs w:val="24"/>
          <w:lang w:eastAsia="zh-CN"/>
        </w:rPr>
        <w:t>谈判</w:t>
      </w:r>
      <w:r>
        <w:rPr>
          <w:rFonts w:hint="eastAsia" w:ascii="宋体" w:hAnsi="宋体" w:eastAsia="宋体" w:cs="宋体"/>
          <w:sz w:val="24"/>
          <w:szCs w:val="24"/>
        </w:rPr>
        <w:t>小组。</w:t>
      </w:r>
      <w:r>
        <w:rPr>
          <w:rFonts w:hint="eastAsia" w:ascii="宋体" w:hAnsi="宋体" w:eastAsia="宋体" w:cs="宋体"/>
          <w:sz w:val="24"/>
          <w:szCs w:val="24"/>
          <w:lang w:eastAsia="zh-CN"/>
        </w:rPr>
        <w:t>谈判</w:t>
      </w:r>
      <w:r>
        <w:rPr>
          <w:rFonts w:hint="eastAsia" w:ascii="宋体" w:hAnsi="宋体" w:eastAsia="宋体" w:cs="宋体"/>
          <w:sz w:val="24"/>
          <w:szCs w:val="24"/>
        </w:rPr>
        <w:t>小组由采购人及有关专家组成，其中技术方面的专家不少于</w:t>
      </w:r>
      <w:r>
        <w:rPr>
          <w:rFonts w:hint="eastAsia" w:ascii="宋体" w:hAnsi="宋体" w:eastAsia="宋体" w:cs="宋体"/>
          <w:sz w:val="24"/>
          <w:szCs w:val="24"/>
          <w:lang w:eastAsia="zh-CN"/>
        </w:rPr>
        <w:t>谈判</w:t>
      </w:r>
      <w:r>
        <w:rPr>
          <w:rFonts w:hint="eastAsia" w:ascii="宋体" w:hAnsi="宋体" w:eastAsia="宋体" w:cs="宋体"/>
          <w:sz w:val="24"/>
          <w:szCs w:val="24"/>
        </w:rPr>
        <w:t>小组成员总数的三分之二，专家名单由有关人员在财政部门设立的政府采购评审专家库中随机抽取，</w:t>
      </w:r>
      <w:r>
        <w:rPr>
          <w:rFonts w:hint="eastAsia" w:ascii="宋体" w:hAnsi="宋体" w:eastAsia="宋体" w:cs="宋体"/>
          <w:sz w:val="24"/>
          <w:szCs w:val="24"/>
          <w:lang w:eastAsia="zh-CN"/>
        </w:rPr>
        <w:t>谈判</w:t>
      </w:r>
      <w:r>
        <w:rPr>
          <w:rFonts w:hint="eastAsia" w:ascii="宋体" w:hAnsi="宋体" w:eastAsia="宋体" w:cs="宋体"/>
          <w:sz w:val="24"/>
          <w:szCs w:val="24"/>
        </w:rPr>
        <w:t>小组成员应当遵守并履行下列责任和义务：</w:t>
      </w:r>
    </w:p>
    <w:p w14:paraId="026D5718">
      <w:pPr>
        <w:pageBreakBefore w:val="0"/>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（1）要严格遵守政府采购相关法律制度，依法履行各自职责，公正、客观、审慎地组织和参与评审工作；</w:t>
      </w:r>
    </w:p>
    <w:p w14:paraId="281FAB9F">
      <w:pPr>
        <w:pageBreakBefore w:val="0"/>
        <w:tabs>
          <w:tab w:val="left" w:pos="1200"/>
        </w:tabs>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（2）对所有响应文件逐一进行资格性、符合性审查，并做出评价；</w:t>
      </w:r>
    </w:p>
    <w:p w14:paraId="05241E4D">
      <w:pPr>
        <w:pageBreakBefore w:val="0"/>
        <w:tabs>
          <w:tab w:val="left" w:pos="1200"/>
        </w:tabs>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（3）按</w:t>
      </w:r>
      <w:r>
        <w:rPr>
          <w:rFonts w:hint="eastAsia" w:ascii="宋体" w:hAnsi="宋体" w:eastAsia="宋体" w:cs="宋体"/>
          <w:sz w:val="24"/>
          <w:szCs w:val="24"/>
          <w:lang w:eastAsia="zh-CN"/>
        </w:rPr>
        <w:t>谈判</w:t>
      </w:r>
      <w:r>
        <w:rPr>
          <w:rFonts w:hint="eastAsia" w:ascii="宋体" w:hAnsi="宋体" w:eastAsia="宋体" w:cs="宋体"/>
          <w:sz w:val="24"/>
          <w:szCs w:val="24"/>
        </w:rPr>
        <w:t>文件规定的评审方法和标准，进行比较和评价；对供应商的价格分等客观评分项的评分应当一致；</w:t>
      </w:r>
    </w:p>
    <w:p w14:paraId="5899F7E4">
      <w:pPr>
        <w:pageBreakBefore w:val="0"/>
        <w:tabs>
          <w:tab w:val="left" w:pos="1200"/>
        </w:tabs>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（4）要求供应商对响应文件有关事项作出解释或澄清；</w:t>
      </w:r>
    </w:p>
    <w:p w14:paraId="2DE6644E">
      <w:pPr>
        <w:pageBreakBefore w:val="0"/>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（5）要依法独立评审，按照</w:t>
      </w:r>
      <w:r>
        <w:rPr>
          <w:rFonts w:hint="eastAsia" w:ascii="宋体" w:hAnsi="宋体" w:eastAsia="宋体" w:cs="宋体"/>
          <w:sz w:val="24"/>
          <w:szCs w:val="24"/>
          <w:lang w:eastAsia="zh-CN"/>
        </w:rPr>
        <w:t>谈判</w:t>
      </w:r>
      <w:r>
        <w:rPr>
          <w:rFonts w:hint="eastAsia" w:ascii="宋体" w:hAnsi="宋体" w:eastAsia="宋体" w:cs="宋体"/>
          <w:sz w:val="24"/>
          <w:szCs w:val="24"/>
        </w:rPr>
        <w:t>文件的要求和评标标准进行评标，推荐成交候选供应商名单，对评审意见承担个人责任；</w:t>
      </w:r>
    </w:p>
    <w:p w14:paraId="180E9EBA">
      <w:pPr>
        <w:pageBreakBefore w:val="0"/>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（6）对需要共同认定的事项存在争议的，按照少数服从多数的原则做出结论。持不同意见的</w:t>
      </w:r>
      <w:r>
        <w:rPr>
          <w:rFonts w:hint="eastAsia" w:ascii="宋体" w:hAnsi="宋体" w:eastAsia="宋体" w:cs="宋体"/>
          <w:sz w:val="24"/>
          <w:szCs w:val="24"/>
          <w:lang w:eastAsia="zh-CN"/>
        </w:rPr>
        <w:t>谈判</w:t>
      </w:r>
      <w:r>
        <w:rPr>
          <w:rFonts w:hint="eastAsia" w:ascii="宋体" w:hAnsi="宋体" w:eastAsia="宋体" w:cs="宋体"/>
          <w:sz w:val="24"/>
          <w:szCs w:val="24"/>
        </w:rPr>
        <w:t xml:space="preserve">小组成员应当在评审报告上签署不同意见并说明理由，否则视为同意； </w:t>
      </w:r>
    </w:p>
    <w:p w14:paraId="600F7329">
      <w:pPr>
        <w:pageBreakBefore w:val="0"/>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（7）对评审情况以及在评审过程中获悉的国家秘密、商业秘密负有保密责任；</w:t>
      </w:r>
    </w:p>
    <w:p w14:paraId="0D808AB2">
      <w:pPr>
        <w:pageBreakBefore w:val="0"/>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配合财政部门的投诉处理工作；</w:t>
      </w:r>
    </w:p>
    <w:p w14:paraId="0EA8D36F">
      <w:pPr>
        <w:pageBreakBefore w:val="0"/>
        <w:kinsoku/>
        <w:wordWrap/>
        <w:topLinePunct w:val="0"/>
        <w:autoSpaceDE/>
        <w:autoSpaceDN/>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配合采购人、采购代理机构答复供应商提出的质疑。</w:t>
      </w:r>
    </w:p>
    <w:bookmarkEnd w:id="141"/>
    <w:bookmarkEnd w:id="142"/>
    <w:bookmarkEnd w:id="143"/>
    <w:bookmarkEnd w:id="144"/>
    <w:bookmarkEnd w:id="145"/>
    <w:p w14:paraId="170A49AB">
      <w:pPr>
        <w:pageBreakBefore w:val="0"/>
        <w:kinsoku/>
        <w:wordWrap/>
        <w:overflowPunct/>
        <w:topLinePunct w:val="0"/>
        <w:bidi w:val="0"/>
        <w:spacing w:line="400" w:lineRule="exact"/>
        <w:ind w:left="0" w:leftChars="0" w:firstLine="482" w:firstLineChars="200"/>
        <w:jc w:val="both"/>
        <w:textAlignment w:val="auto"/>
        <w:rPr>
          <w:rFonts w:hint="eastAsia" w:ascii="宋体" w:hAnsi="宋体" w:eastAsia="宋体" w:cs="宋体"/>
          <w:b/>
          <w:bCs/>
          <w:sz w:val="24"/>
          <w:szCs w:val="24"/>
        </w:rPr>
      </w:pPr>
      <w:bookmarkStart w:id="156" w:name="_Toc7843"/>
      <w:bookmarkStart w:id="157" w:name="_Toc18569"/>
      <w:bookmarkStart w:id="158" w:name="_Toc6435"/>
      <w:r>
        <w:rPr>
          <w:rFonts w:hint="eastAsia" w:ascii="宋体" w:hAnsi="宋体" w:eastAsia="宋体" w:cs="宋体"/>
          <w:b/>
          <w:bCs/>
          <w:sz w:val="24"/>
          <w:szCs w:val="24"/>
          <w:lang w:val="en-US" w:eastAsia="zh-CN"/>
        </w:rPr>
        <w:t>3.</w:t>
      </w:r>
      <w:r>
        <w:rPr>
          <w:rFonts w:hint="eastAsia" w:ascii="宋体" w:hAnsi="宋体" w:eastAsia="宋体" w:cs="宋体"/>
          <w:b/>
          <w:bCs/>
          <w:sz w:val="24"/>
          <w:szCs w:val="24"/>
        </w:rPr>
        <w:t>谈判方法及程序</w:t>
      </w:r>
      <w:bookmarkEnd w:id="146"/>
      <w:bookmarkEnd w:id="147"/>
      <w:bookmarkEnd w:id="148"/>
      <w:bookmarkEnd w:id="149"/>
      <w:bookmarkEnd w:id="150"/>
      <w:bookmarkEnd w:id="151"/>
      <w:bookmarkEnd w:id="152"/>
      <w:bookmarkEnd w:id="153"/>
      <w:bookmarkEnd w:id="154"/>
      <w:bookmarkEnd w:id="155"/>
      <w:bookmarkEnd w:id="156"/>
      <w:bookmarkEnd w:id="157"/>
      <w:bookmarkEnd w:id="158"/>
    </w:p>
    <w:p w14:paraId="53E2DEB9">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3.1</w:t>
      </w:r>
      <w:r>
        <w:rPr>
          <w:rFonts w:hint="eastAsia" w:ascii="宋体" w:hAnsi="宋体" w:eastAsia="宋体" w:cs="宋体"/>
          <w:sz w:val="24"/>
          <w:szCs w:val="24"/>
        </w:rPr>
        <w:t>按照《政府采购非招标采购方式管理办法》（财政部第74号令）有关规定，对响应文件中的供应商进行审查。出现下列情形的，响应文件将被视为无效：</w:t>
      </w:r>
    </w:p>
    <w:p w14:paraId="3213A0BE">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（1）未按照谈判文件规定要求格式制作响应文件、签署、盖章的；</w:t>
      </w:r>
    </w:p>
    <w:p w14:paraId="74FDFCB0">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（2）不具备谈判文件中规定要求的。如果谈判小组认为供应商的响应文件存在疑点，可以要求其现场提供原件进行核查，两者出现不同或在规定的时间内未能及时提供原件的，响应文件视为无效；</w:t>
      </w:r>
    </w:p>
    <w:p w14:paraId="6D074942">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（3）响应文件中无投标有效期或有效期达不到谈判文件要求的；</w:t>
      </w:r>
    </w:p>
    <w:p w14:paraId="7F427654">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（4）响应文件的构成缺少其中一项或某项达不到谈判文件要求的；</w:t>
      </w:r>
    </w:p>
    <w:p w14:paraId="334B6B58">
      <w:pPr>
        <w:pStyle w:val="85"/>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（5）供应商单位负责人为同一人或者存在直接控股、管理关系的不同供应商，参加同一合同项下的政府采购活动的；</w:t>
      </w:r>
    </w:p>
    <w:p w14:paraId="17B543E5">
      <w:pPr>
        <w:pStyle w:val="85"/>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（6）投标报价子目出现漏项或数量与谈判文件要求不符的；</w:t>
      </w:r>
    </w:p>
    <w:p w14:paraId="18F6FFCD">
      <w:pPr>
        <w:pStyle w:val="85"/>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（7）投标报价与市场价偏离较大，低于成本，形成不正当竞争的；</w:t>
      </w:r>
    </w:p>
    <w:p w14:paraId="36EE1387">
      <w:pPr>
        <w:pStyle w:val="85"/>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（8）投标内容与谈判文件要求的采购标的、规格型号、采购数量、技术和服务要求等实质性内容出现重大负偏差的；</w:t>
      </w:r>
    </w:p>
    <w:p w14:paraId="1833E4D3">
      <w:pPr>
        <w:pStyle w:val="85"/>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（9）提供虚假技术性能指标的（出现技术指标前后矛盾的，以国家职能部门认定的指标为准）；</w:t>
      </w:r>
    </w:p>
    <w:p w14:paraId="196FE6EB">
      <w:pPr>
        <w:pStyle w:val="85"/>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（10）响应文件在款项结算、质量保证、验收条件等方面的响应与谈判文件要求不一致或附加了采购人和评标委员会难以接受的条件的；</w:t>
      </w:r>
    </w:p>
    <w:p w14:paraId="05838ABA">
      <w:pPr>
        <w:pStyle w:val="85"/>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（11）未响应谈判文件合同主要条款的；</w:t>
      </w:r>
    </w:p>
    <w:p w14:paraId="7EEC3196">
      <w:pPr>
        <w:pStyle w:val="85"/>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（12）政府采购法律法规规定的其他情形。</w:t>
      </w:r>
    </w:p>
    <w:p w14:paraId="367A02CE">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3.2</w:t>
      </w:r>
      <w:r>
        <w:rPr>
          <w:rFonts w:hint="eastAsia" w:ascii="宋体" w:hAnsi="宋体" w:eastAsia="宋体" w:cs="宋体"/>
          <w:sz w:val="24"/>
          <w:szCs w:val="24"/>
        </w:rPr>
        <w:t>有下列情形之一的，视为供应商串通投标，其投标无效：</w:t>
      </w:r>
    </w:p>
    <w:p w14:paraId="30AF59EB">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（1）不同供应商的响应文件由同一单位或者个人编制；</w:t>
      </w:r>
    </w:p>
    <w:p w14:paraId="01C5CA22">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（2）不同供应商委托同一单位或者个人办理响应事宜；</w:t>
      </w:r>
    </w:p>
    <w:p w14:paraId="72132C64">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（3）不同供应商的响应文件载明的项目管理成员或者联系人员为同一人；</w:t>
      </w:r>
    </w:p>
    <w:p w14:paraId="159889CF">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（4）不同供应商的响应文件异常一致或者响应报价呈规律性差异；</w:t>
      </w:r>
    </w:p>
    <w:p w14:paraId="02BF7033">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（5）不同供应商的响应文件相互混装；</w:t>
      </w:r>
    </w:p>
    <w:p w14:paraId="68CD1D71">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（6）不同供应商的响应保证金从同一单位或者个人的账户转出。</w:t>
      </w:r>
    </w:p>
    <w:p w14:paraId="4845021B">
      <w:pPr>
        <w:pageBreakBefore w:val="0"/>
        <w:kinsoku/>
        <w:wordWrap/>
        <w:overflowPunct/>
        <w:topLinePunct w:val="0"/>
        <w:bidi w:val="0"/>
        <w:spacing w:line="400" w:lineRule="exact"/>
        <w:ind w:left="0" w:leftChars="0" w:firstLine="482" w:firstLineChars="200"/>
        <w:jc w:val="both"/>
        <w:textAlignment w:val="auto"/>
        <w:rPr>
          <w:rFonts w:hint="eastAsia" w:ascii="宋体" w:hAnsi="宋体" w:eastAsia="宋体" w:cs="宋体"/>
          <w:b/>
          <w:bCs/>
          <w:sz w:val="24"/>
          <w:szCs w:val="24"/>
        </w:rPr>
      </w:pPr>
      <w:bookmarkStart w:id="159" w:name="_Toc20263"/>
      <w:bookmarkStart w:id="160" w:name="_Toc2180"/>
      <w:bookmarkStart w:id="161" w:name="_Toc411064159"/>
      <w:bookmarkStart w:id="162" w:name="_Toc23315666"/>
      <w:bookmarkStart w:id="163" w:name="_Toc14189276"/>
      <w:bookmarkStart w:id="164" w:name="_Toc23316590"/>
      <w:bookmarkStart w:id="165" w:name="_Toc10833"/>
      <w:bookmarkStart w:id="166" w:name="_Toc23316526"/>
      <w:bookmarkStart w:id="167" w:name="_Toc35335262"/>
      <w:bookmarkStart w:id="168" w:name="_Toc18412205"/>
      <w:bookmarkStart w:id="169" w:name="_Toc28230"/>
      <w:bookmarkStart w:id="170" w:name="_Toc7133"/>
      <w:bookmarkStart w:id="171" w:name="_Toc14189413"/>
      <w:bookmarkStart w:id="172" w:name="_Toc23316688"/>
      <w:r>
        <w:rPr>
          <w:rFonts w:hint="eastAsia" w:ascii="宋体" w:hAnsi="宋体" w:eastAsia="宋体" w:cs="宋体"/>
          <w:b/>
          <w:bCs/>
          <w:sz w:val="24"/>
          <w:szCs w:val="24"/>
          <w:lang w:val="en-US" w:eastAsia="zh-CN"/>
        </w:rPr>
        <w:t>4.</w:t>
      </w:r>
      <w:r>
        <w:rPr>
          <w:rFonts w:hint="eastAsia" w:ascii="宋体" w:hAnsi="宋体" w:eastAsia="宋体" w:cs="宋体"/>
          <w:b/>
          <w:bCs/>
          <w:sz w:val="24"/>
          <w:szCs w:val="24"/>
        </w:rPr>
        <w:t>评审办法（比照最低评标价法）</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06294EFD">
      <w:pPr>
        <w:pageBreakBefore w:val="0"/>
        <w:kinsoku/>
        <w:wordWrap/>
        <w:overflowPunct/>
        <w:topLinePunct w:val="0"/>
        <w:bidi w:val="0"/>
        <w:spacing w:line="400" w:lineRule="exact"/>
        <w:ind w:left="0" w:leftChars="0" w:firstLine="480" w:firstLineChars="200"/>
        <w:jc w:val="both"/>
        <w:textAlignment w:val="auto"/>
        <w:rPr>
          <w:rFonts w:hint="eastAsia" w:ascii="宋体" w:hAnsi="宋体" w:eastAsia="宋体" w:cs="宋体"/>
          <w:sz w:val="24"/>
          <w:szCs w:val="24"/>
          <w:lang w:val="zh-CN"/>
        </w:rPr>
      </w:pPr>
      <w:bookmarkStart w:id="173" w:name="_Toc14189277"/>
      <w:bookmarkStart w:id="174" w:name="_Toc411064160"/>
      <w:r>
        <w:rPr>
          <w:rFonts w:hint="eastAsia" w:ascii="宋体" w:hAnsi="宋体" w:eastAsia="宋体" w:cs="宋体"/>
          <w:sz w:val="24"/>
          <w:szCs w:val="24"/>
          <w:lang w:val="en-US" w:eastAsia="zh-CN"/>
        </w:rPr>
        <w:t>4.1</w:t>
      </w:r>
      <w:r>
        <w:rPr>
          <w:rFonts w:hint="eastAsia" w:ascii="宋体" w:hAnsi="宋体" w:eastAsia="宋体" w:cs="宋体"/>
          <w:sz w:val="24"/>
          <w:szCs w:val="24"/>
          <w:lang w:val="zh-CN"/>
        </w:rPr>
        <w:t>初步评审</w:t>
      </w:r>
      <w:bookmarkEnd w:id="173"/>
      <w:bookmarkEnd w:id="174"/>
    </w:p>
    <w:p w14:paraId="0540FB79">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第一阶段：资格性审查</w:t>
      </w:r>
    </w:p>
    <w:p w14:paraId="0F3CCFD5">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谈判小组依据法律法规和谈判文件的规定，对所有供应商的商务部分中的资格证明（包括信用情况）、投标保证金等进行审查，并确定供应商是否具备谈判资格，填写资格审查表并签字确认。</w:t>
      </w:r>
    </w:p>
    <w:p w14:paraId="54F8D6B9">
      <w:pPr>
        <w:pageBreakBefore w:val="0"/>
        <w:tabs>
          <w:tab w:val="left" w:pos="3962"/>
        </w:tabs>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第二阶段：符合性审查</w:t>
      </w:r>
    </w:p>
    <w:p w14:paraId="4E1952A0">
      <w:pPr>
        <w:pageBreakBefore w:val="0"/>
        <w:kinsoku/>
        <w:wordWrap/>
        <w:overflowPunct w:val="0"/>
        <w:topLinePunct w:val="0"/>
        <w:bidi w:val="0"/>
        <w:adjustRightInd w:val="0"/>
        <w:snapToGrid w:val="0"/>
        <w:spacing w:line="400" w:lineRule="exact"/>
        <w:ind w:left="0"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谈判小组依据谈判文件的规定，对供应商的响应文件的有效性、完整性以及对谈判文件的响应程度进行审查，以确定是否对谈判文件的实质性要求作出响应。应包含以下内容：</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505"/>
        <w:gridCol w:w="3995"/>
        <w:gridCol w:w="1066"/>
        <w:gridCol w:w="1586"/>
      </w:tblGrid>
      <w:tr w14:paraId="0E83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098E1B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27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C2FA5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2027"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54592F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541"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716491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802"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4CFFFA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35E8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tcBorders>
              <w:top w:val="single" w:color="auto" w:sz="4" w:space="0"/>
              <w:left w:val="single" w:color="auto" w:sz="4" w:space="0"/>
              <w:bottom w:val="single" w:color="auto" w:sz="4" w:space="0"/>
              <w:right w:val="single" w:color="auto" w:sz="4" w:space="0"/>
            </w:tcBorders>
            <w:vAlign w:val="top"/>
          </w:tcPr>
          <w:p w14:paraId="603A1E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1</w:t>
            </w:r>
          </w:p>
        </w:tc>
        <w:tc>
          <w:tcPr>
            <w:tcW w:w="1271" w:type="pct"/>
            <w:tcBorders>
              <w:top w:val="single" w:color="auto" w:sz="4" w:space="0"/>
              <w:left w:val="single" w:color="auto" w:sz="4" w:space="0"/>
              <w:bottom w:val="single" w:color="auto" w:sz="4" w:space="0"/>
              <w:right w:val="single" w:color="auto" w:sz="4" w:space="0"/>
            </w:tcBorders>
            <w:vAlign w:val="top"/>
          </w:tcPr>
          <w:p w14:paraId="7038A1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投标文件封面、投标函、法定代表人委托授权书三处的项目名称、项目编号、标段</w:t>
            </w:r>
          </w:p>
        </w:tc>
        <w:tc>
          <w:tcPr>
            <w:tcW w:w="2027" w:type="pct"/>
            <w:tcBorders>
              <w:top w:val="single" w:color="auto" w:sz="4" w:space="0"/>
              <w:left w:val="single" w:color="auto" w:sz="4" w:space="0"/>
              <w:bottom w:val="single" w:color="auto" w:sz="4" w:space="0"/>
              <w:right w:val="single" w:color="auto" w:sz="4" w:space="0"/>
            </w:tcBorders>
            <w:vAlign w:val="center"/>
          </w:tcPr>
          <w:p w14:paraId="1FD544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三处均无遗漏，且与所投项目名称、项目编号、标段完全一致。</w:t>
            </w:r>
          </w:p>
        </w:tc>
        <w:tc>
          <w:tcPr>
            <w:tcW w:w="541" w:type="pct"/>
            <w:tcBorders>
              <w:top w:val="single" w:color="auto" w:sz="4" w:space="0"/>
              <w:left w:val="single" w:color="auto" w:sz="4" w:space="0"/>
              <w:bottom w:val="single" w:color="auto" w:sz="4" w:space="0"/>
              <w:right w:val="single" w:color="auto" w:sz="4" w:space="0"/>
            </w:tcBorders>
            <w:vAlign w:val="top"/>
          </w:tcPr>
          <w:p w14:paraId="62F3C9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2" w:type="pct"/>
            <w:tcBorders>
              <w:top w:val="single" w:color="auto" w:sz="4" w:space="0"/>
              <w:left w:val="single" w:color="auto" w:sz="4" w:space="0"/>
              <w:bottom w:val="single" w:color="auto" w:sz="4" w:space="0"/>
              <w:right w:val="single" w:color="auto" w:sz="4" w:space="0"/>
            </w:tcBorders>
            <w:vAlign w:val="top"/>
          </w:tcPr>
          <w:p w14:paraId="2026A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78171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tcBorders>
              <w:top w:val="single" w:color="auto" w:sz="4" w:space="0"/>
              <w:left w:val="single" w:color="auto" w:sz="4" w:space="0"/>
              <w:bottom w:val="single" w:color="auto" w:sz="4" w:space="0"/>
              <w:right w:val="single" w:color="auto" w:sz="4" w:space="0"/>
            </w:tcBorders>
            <w:vAlign w:val="top"/>
          </w:tcPr>
          <w:p w14:paraId="3136AC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2</w:t>
            </w:r>
          </w:p>
        </w:tc>
        <w:tc>
          <w:tcPr>
            <w:tcW w:w="1271" w:type="pct"/>
            <w:tcBorders>
              <w:top w:val="single" w:color="auto" w:sz="4" w:space="0"/>
              <w:left w:val="single" w:color="auto" w:sz="4" w:space="0"/>
              <w:bottom w:val="single" w:color="auto" w:sz="4" w:space="0"/>
              <w:right w:val="single" w:color="auto" w:sz="4" w:space="0"/>
            </w:tcBorders>
            <w:vAlign w:val="center"/>
          </w:tcPr>
          <w:p w14:paraId="32113D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投标文件签署、盖章</w:t>
            </w:r>
          </w:p>
        </w:tc>
        <w:tc>
          <w:tcPr>
            <w:tcW w:w="2027" w:type="pct"/>
            <w:tcBorders>
              <w:top w:val="single" w:color="auto" w:sz="4" w:space="0"/>
              <w:left w:val="single" w:color="auto" w:sz="4" w:space="0"/>
              <w:bottom w:val="single" w:color="auto" w:sz="4" w:space="0"/>
              <w:right w:val="single" w:color="auto" w:sz="4" w:space="0"/>
            </w:tcBorders>
            <w:vAlign w:val="top"/>
          </w:tcPr>
          <w:p w14:paraId="74CB0A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均按招标文件要求签字、盖章。</w:t>
            </w:r>
          </w:p>
        </w:tc>
        <w:tc>
          <w:tcPr>
            <w:tcW w:w="541" w:type="pct"/>
            <w:tcBorders>
              <w:top w:val="single" w:color="auto" w:sz="4" w:space="0"/>
              <w:left w:val="single" w:color="auto" w:sz="4" w:space="0"/>
              <w:bottom w:val="single" w:color="auto" w:sz="4" w:space="0"/>
              <w:right w:val="single" w:color="auto" w:sz="4" w:space="0"/>
            </w:tcBorders>
            <w:vAlign w:val="top"/>
          </w:tcPr>
          <w:p w14:paraId="277689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2" w:type="pct"/>
            <w:tcBorders>
              <w:top w:val="single" w:color="auto" w:sz="4" w:space="0"/>
              <w:left w:val="single" w:color="auto" w:sz="4" w:space="0"/>
              <w:bottom w:val="single" w:color="auto" w:sz="4" w:space="0"/>
              <w:right w:val="single" w:color="auto" w:sz="4" w:space="0"/>
            </w:tcBorders>
            <w:vAlign w:val="top"/>
          </w:tcPr>
          <w:p w14:paraId="238F78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36C7D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tcBorders>
              <w:top w:val="single" w:color="auto" w:sz="4" w:space="0"/>
              <w:left w:val="single" w:color="auto" w:sz="4" w:space="0"/>
              <w:bottom w:val="single" w:color="auto" w:sz="4" w:space="0"/>
              <w:right w:val="single" w:color="auto" w:sz="4" w:space="0"/>
            </w:tcBorders>
            <w:vAlign w:val="top"/>
          </w:tcPr>
          <w:p w14:paraId="1E0653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3</w:t>
            </w:r>
          </w:p>
        </w:tc>
        <w:tc>
          <w:tcPr>
            <w:tcW w:w="1271" w:type="pct"/>
            <w:tcBorders>
              <w:top w:val="single" w:color="auto" w:sz="4" w:space="0"/>
              <w:left w:val="single" w:color="auto" w:sz="4" w:space="0"/>
              <w:bottom w:val="single" w:color="auto" w:sz="4" w:space="0"/>
              <w:right w:val="single" w:color="auto" w:sz="4" w:space="0"/>
            </w:tcBorders>
            <w:vAlign w:val="center"/>
          </w:tcPr>
          <w:p w14:paraId="3B9074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red"/>
              </w:rPr>
            </w:pPr>
            <w:r>
              <w:rPr>
                <w:rFonts w:hint="eastAsia" w:ascii="宋体" w:hAnsi="宋体" w:eastAsia="宋体" w:cs="宋体"/>
                <w:bCs/>
                <w:color w:val="auto"/>
                <w:kern w:val="0"/>
                <w:sz w:val="24"/>
                <w:szCs w:val="24"/>
                <w:highlight w:val="none"/>
              </w:rPr>
              <w:t>投标文件组成</w:t>
            </w:r>
          </w:p>
        </w:tc>
        <w:tc>
          <w:tcPr>
            <w:tcW w:w="2027" w:type="pct"/>
            <w:tcBorders>
              <w:top w:val="single" w:color="auto" w:sz="4" w:space="0"/>
              <w:left w:val="single" w:color="auto" w:sz="4" w:space="0"/>
              <w:bottom w:val="single" w:color="auto" w:sz="4" w:space="0"/>
              <w:right w:val="single" w:color="auto" w:sz="4" w:space="0"/>
            </w:tcBorders>
            <w:vAlign w:val="top"/>
          </w:tcPr>
          <w:p w14:paraId="29A54D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
                <w:bCs/>
                <w:color w:val="auto"/>
                <w:kern w:val="0"/>
                <w:sz w:val="24"/>
                <w:szCs w:val="24"/>
                <w:highlight w:val="red"/>
              </w:rPr>
            </w:pPr>
            <w:r>
              <w:rPr>
                <w:rFonts w:hint="eastAsia" w:ascii="宋体" w:hAnsi="宋体" w:eastAsia="宋体" w:cs="宋体"/>
                <w:bCs/>
                <w:color w:val="auto"/>
                <w:kern w:val="0"/>
                <w:sz w:val="24"/>
                <w:szCs w:val="24"/>
                <w:highlight w:val="none"/>
              </w:rPr>
              <w:t>符合“响应文件格式”的要求</w:t>
            </w:r>
          </w:p>
        </w:tc>
        <w:tc>
          <w:tcPr>
            <w:tcW w:w="541" w:type="pct"/>
            <w:tcBorders>
              <w:top w:val="single" w:color="auto" w:sz="4" w:space="0"/>
              <w:left w:val="single" w:color="auto" w:sz="4" w:space="0"/>
              <w:bottom w:val="single" w:color="auto" w:sz="4" w:space="0"/>
              <w:right w:val="single" w:color="auto" w:sz="4" w:space="0"/>
            </w:tcBorders>
            <w:vAlign w:val="top"/>
          </w:tcPr>
          <w:p w14:paraId="259A69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2" w:type="pct"/>
            <w:tcBorders>
              <w:top w:val="single" w:color="auto" w:sz="4" w:space="0"/>
              <w:left w:val="single" w:color="auto" w:sz="4" w:space="0"/>
              <w:bottom w:val="single" w:color="auto" w:sz="4" w:space="0"/>
              <w:right w:val="single" w:color="auto" w:sz="4" w:space="0"/>
            </w:tcBorders>
            <w:vAlign w:val="top"/>
          </w:tcPr>
          <w:p w14:paraId="22C49B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75610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tcBorders>
              <w:top w:val="single" w:color="auto" w:sz="4" w:space="0"/>
              <w:left w:val="single" w:color="auto" w:sz="4" w:space="0"/>
              <w:bottom w:val="single" w:color="auto" w:sz="4" w:space="0"/>
              <w:right w:val="single" w:color="auto" w:sz="4" w:space="0"/>
            </w:tcBorders>
            <w:vAlign w:val="top"/>
          </w:tcPr>
          <w:p w14:paraId="5E8E4C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4</w:t>
            </w:r>
          </w:p>
        </w:tc>
        <w:tc>
          <w:tcPr>
            <w:tcW w:w="1271" w:type="pct"/>
            <w:tcBorders>
              <w:top w:val="single" w:color="auto" w:sz="4" w:space="0"/>
              <w:left w:val="single" w:color="auto" w:sz="4" w:space="0"/>
              <w:bottom w:val="single" w:color="auto" w:sz="4" w:space="0"/>
              <w:right w:val="single" w:color="auto" w:sz="4" w:space="0"/>
            </w:tcBorders>
            <w:vAlign w:val="center"/>
          </w:tcPr>
          <w:p w14:paraId="60BCB9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投标文件的计量单位、语言、报价货币、投标有效期</w:t>
            </w:r>
          </w:p>
        </w:tc>
        <w:tc>
          <w:tcPr>
            <w:tcW w:w="2027" w:type="pct"/>
            <w:tcBorders>
              <w:top w:val="single" w:color="auto" w:sz="4" w:space="0"/>
              <w:left w:val="single" w:color="auto" w:sz="4" w:space="0"/>
              <w:bottom w:val="single" w:color="auto" w:sz="4" w:space="0"/>
              <w:right w:val="single" w:color="auto" w:sz="4" w:space="0"/>
            </w:tcBorders>
            <w:vAlign w:val="center"/>
          </w:tcPr>
          <w:p w14:paraId="7050FA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计量单位、语言、报价货币、投标有效期均符合招标文件的要求。</w:t>
            </w:r>
          </w:p>
        </w:tc>
        <w:tc>
          <w:tcPr>
            <w:tcW w:w="541" w:type="pct"/>
            <w:tcBorders>
              <w:top w:val="single" w:color="auto" w:sz="4" w:space="0"/>
              <w:left w:val="single" w:color="auto" w:sz="4" w:space="0"/>
              <w:bottom w:val="single" w:color="auto" w:sz="4" w:space="0"/>
              <w:right w:val="single" w:color="auto" w:sz="4" w:space="0"/>
            </w:tcBorders>
            <w:vAlign w:val="center"/>
          </w:tcPr>
          <w:p w14:paraId="051CCE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
                <w:bCs/>
                <w:color w:val="auto"/>
                <w:kern w:val="0"/>
                <w:sz w:val="24"/>
                <w:szCs w:val="24"/>
                <w:highlight w:val="none"/>
              </w:rPr>
            </w:pPr>
          </w:p>
        </w:tc>
        <w:tc>
          <w:tcPr>
            <w:tcW w:w="802" w:type="pct"/>
            <w:tcBorders>
              <w:top w:val="single" w:color="auto" w:sz="4" w:space="0"/>
              <w:left w:val="single" w:color="auto" w:sz="4" w:space="0"/>
              <w:bottom w:val="single" w:color="auto" w:sz="4" w:space="0"/>
              <w:right w:val="single" w:color="auto" w:sz="4" w:space="0"/>
            </w:tcBorders>
            <w:vAlign w:val="top"/>
          </w:tcPr>
          <w:p w14:paraId="55C247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3CA51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tcBorders>
              <w:top w:val="single" w:color="auto" w:sz="4" w:space="0"/>
              <w:left w:val="single" w:color="auto" w:sz="4" w:space="0"/>
              <w:bottom w:val="single" w:color="auto" w:sz="4" w:space="0"/>
              <w:right w:val="single" w:color="auto" w:sz="4" w:space="0"/>
            </w:tcBorders>
            <w:vAlign w:val="top"/>
          </w:tcPr>
          <w:p w14:paraId="3DE0D6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5</w:t>
            </w:r>
          </w:p>
        </w:tc>
        <w:tc>
          <w:tcPr>
            <w:tcW w:w="1271" w:type="pct"/>
            <w:tcBorders>
              <w:top w:val="single" w:color="auto" w:sz="4" w:space="0"/>
              <w:left w:val="single" w:color="auto" w:sz="4" w:space="0"/>
              <w:bottom w:val="single" w:color="auto" w:sz="4" w:space="0"/>
              <w:right w:val="single" w:color="auto" w:sz="4" w:space="0"/>
            </w:tcBorders>
            <w:vAlign w:val="center"/>
          </w:tcPr>
          <w:p w14:paraId="47E4B8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投标报价</w:t>
            </w:r>
          </w:p>
        </w:tc>
        <w:tc>
          <w:tcPr>
            <w:tcW w:w="2027" w:type="pct"/>
            <w:tcBorders>
              <w:top w:val="single" w:color="auto" w:sz="4" w:space="0"/>
              <w:left w:val="single" w:color="auto" w:sz="4" w:space="0"/>
              <w:bottom w:val="single" w:color="auto" w:sz="4" w:space="0"/>
              <w:right w:val="single" w:color="auto" w:sz="4" w:space="0"/>
            </w:tcBorders>
            <w:vAlign w:val="top"/>
          </w:tcPr>
          <w:p w14:paraId="3B7A22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（1）投标报价符合唯一性要求：</w:t>
            </w:r>
          </w:p>
          <w:p w14:paraId="0BC00F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lang w:val="en-US" w:eastAsia="zh-CN"/>
              </w:rPr>
              <w:t>投标报价</w:t>
            </w:r>
            <w:r>
              <w:rPr>
                <w:rFonts w:hint="eastAsia" w:ascii="宋体" w:hAnsi="宋体" w:eastAsia="宋体" w:cs="宋体"/>
                <w:bCs/>
                <w:color w:val="auto"/>
                <w:kern w:val="0"/>
                <w:sz w:val="24"/>
                <w:szCs w:val="24"/>
                <w:highlight w:val="none"/>
              </w:rPr>
              <w:t>表填写符合要求；</w:t>
            </w:r>
          </w:p>
          <w:p w14:paraId="18D007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（3）未超出采购预算或招标文件规定的最高限价；</w:t>
            </w:r>
          </w:p>
        </w:tc>
        <w:tc>
          <w:tcPr>
            <w:tcW w:w="541" w:type="pct"/>
            <w:tcBorders>
              <w:top w:val="single" w:color="auto" w:sz="4" w:space="0"/>
              <w:left w:val="single" w:color="auto" w:sz="4" w:space="0"/>
              <w:bottom w:val="single" w:color="auto" w:sz="4" w:space="0"/>
              <w:right w:val="single" w:color="auto" w:sz="4" w:space="0"/>
            </w:tcBorders>
            <w:vAlign w:val="top"/>
          </w:tcPr>
          <w:p w14:paraId="6CADE4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2" w:type="pct"/>
            <w:tcBorders>
              <w:top w:val="single" w:color="auto" w:sz="4" w:space="0"/>
              <w:left w:val="single" w:color="auto" w:sz="4" w:space="0"/>
              <w:bottom w:val="single" w:color="auto" w:sz="4" w:space="0"/>
              <w:right w:val="single" w:color="auto" w:sz="4" w:space="0"/>
            </w:tcBorders>
            <w:vAlign w:val="top"/>
          </w:tcPr>
          <w:p w14:paraId="604C15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40889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tcBorders>
              <w:top w:val="single" w:color="auto" w:sz="4" w:space="0"/>
              <w:left w:val="single" w:color="auto" w:sz="4" w:space="0"/>
              <w:bottom w:val="single" w:color="auto" w:sz="4" w:space="0"/>
              <w:right w:val="single" w:color="auto" w:sz="4" w:space="0"/>
            </w:tcBorders>
            <w:vAlign w:val="top"/>
          </w:tcPr>
          <w:p w14:paraId="3233FC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cs="宋体"/>
                <w:bCs/>
                <w:color w:val="auto"/>
                <w:kern w:val="0"/>
                <w:sz w:val="24"/>
                <w:szCs w:val="24"/>
                <w:highlight w:val="none"/>
                <w:lang w:val="en-US" w:eastAsia="zh-CN"/>
              </w:rPr>
              <w:t>6</w:t>
            </w:r>
          </w:p>
        </w:tc>
        <w:tc>
          <w:tcPr>
            <w:tcW w:w="1271" w:type="pct"/>
            <w:tcBorders>
              <w:top w:val="single" w:color="auto" w:sz="4" w:space="0"/>
              <w:left w:val="single" w:color="auto" w:sz="4" w:space="0"/>
              <w:bottom w:val="single" w:color="auto" w:sz="4" w:space="0"/>
              <w:right w:val="single" w:color="auto" w:sz="4" w:space="0"/>
            </w:tcBorders>
            <w:vAlign w:val="center"/>
          </w:tcPr>
          <w:p w14:paraId="427854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招标文件要求的实质性条款</w:t>
            </w:r>
          </w:p>
        </w:tc>
        <w:tc>
          <w:tcPr>
            <w:tcW w:w="2027" w:type="pct"/>
            <w:tcBorders>
              <w:top w:val="single" w:color="auto" w:sz="4" w:space="0"/>
              <w:left w:val="single" w:color="auto" w:sz="4" w:space="0"/>
              <w:bottom w:val="single" w:color="auto" w:sz="4" w:space="0"/>
              <w:right w:val="single" w:color="auto" w:sz="4" w:space="0"/>
            </w:tcBorders>
            <w:vAlign w:val="center"/>
          </w:tcPr>
          <w:p w14:paraId="4BE44A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完全响应招标文件要求的各项实质性条款。</w:t>
            </w:r>
          </w:p>
        </w:tc>
        <w:tc>
          <w:tcPr>
            <w:tcW w:w="541" w:type="pct"/>
            <w:tcBorders>
              <w:top w:val="single" w:color="auto" w:sz="4" w:space="0"/>
              <w:left w:val="single" w:color="auto" w:sz="4" w:space="0"/>
              <w:bottom w:val="single" w:color="auto" w:sz="4" w:space="0"/>
              <w:right w:val="single" w:color="auto" w:sz="4" w:space="0"/>
            </w:tcBorders>
            <w:vAlign w:val="top"/>
          </w:tcPr>
          <w:p w14:paraId="7A6175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2" w:type="pct"/>
            <w:tcBorders>
              <w:top w:val="single" w:color="auto" w:sz="4" w:space="0"/>
              <w:left w:val="single" w:color="auto" w:sz="4" w:space="0"/>
              <w:bottom w:val="single" w:color="auto" w:sz="4" w:space="0"/>
              <w:right w:val="single" w:color="auto" w:sz="4" w:space="0"/>
            </w:tcBorders>
            <w:vAlign w:val="top"/>
          </w:tcPr>
          <w:p w14:paraId="208C78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11BAC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56" w:type="pct"/>
            <w:tcBorders>
              <w:top w:val="single" w:color="auto" w:sz="4" w:space="0"/>
              <w:left w:val="single" w:color="auto" w:sz="4" w:space="0"/>
              <w:bottom w:val="single" w:color="auto" w:sz="4" w:space="0"/>
              <w:right w:val="single" w:color="auto" w:sz="4" w:space="0"/>
            </w:tcBorders>
            <w:vAlign w:val="top"/>
          </w:tcPr>
          <w:p w14:paraId="2B6763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7</w:t>
            </w:r>
          </w:p>
        </w:tc>
        <w:tc>
          <w:tcPr>
            <w:tcW w:w="1271" w:type="pct"/>
            <w:tcBorders>
              <w:top w:val="single" w:color="auto" w:sz="4" w:space="0"/>
              <w:left w:val="single" w:color="auto" w:sz="4" w:space="0"/>
              <w:bottom w:val="single" w:color="auto" w:sz="4" w:space="0"/>
              <w:right w:val="single" w:color="auto" w:sz="4" w:space="0"/>
            </w:tcBorders>
            <w:vAlign w:val="center"/>
          </w:tcPr>
          <w:p w14:paraId="0D8797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合同主要条款响应</w:t>
            </w:r>
          </w:p>
        </w:tc>
        <w:tc>
          <w:tcPr>
            <w:tcW w:w="2027" w:type="pct"/>
            <w:tcBorders>
              <w:top w:val="single" w:color="auto" w:sz="4" w:space="0"/>
              <w:left w:val="single" w:color="auto" w:sz="4" w:space="0"/>
              <w:bottom w:val="single" w:color="auto" w:sz="4" w:space="0"/>
              <w:right w:val="single" w:color="auto" w:sz="4" w:space="0"/>
            </w:tcBorders>
            <w:vAlign w:val="center"/>
          </w:tcPr>
          <w:p w14:paraId="53586D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完整响应招标文件合同主要条款。</w:t>
            </w:r>
          </w:p>
        </w:tc>
        <w:tc>
          <w:tcPr>
            <w:tcW w:w="541" w:type="pct"/>
            <w:tcBorders>
              <w:top w:val="single" w:color="auto" w:sz="4" w:space="0"/>
              <w:left w:val="single" w:color="auto" w:sz="4" w:space="0"/>
              <w:bottom w:val="single" w:color="auto" w:sz="4" w:space="0"/>
              <w:right w:val="single" w:color="auto" w:sz="4" w:space="0"/>
            </w:tcBorders>
            <w:vAlign w:val="top"/>
          </w:tcPr>
          <w:p w14:paraId="16368E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2" w:type="pct"/>
            <w:tcBorders>
              <w:top w:val="single" w:color="auto" w:sz="4" w:space="0"/>
              <w:left w:val="single" w:color="auto" w:sz="4" w:space="0"/>
              <w:bottom w:val="single" w:color="auto" w:sz="4" w:space="0"/>
              <w:right w:val="single" w:color="auto" w:sz="4" w:space="0"/>
            </w:tcBorders>
            <w:vAlign w:val="top"/>
          </w:tcPr>
          <w:p w14:paraId="64FFA0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0E7B6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left w:val="single" w:color="auto" w:sz="4" w:space="0"/>
              <w:bottom w:val="single" w:color="auto" w:sz="4" w:space="0"/>
              <w:right w:val="single" w:color="auto" w:sz="4" w:space="0"/>
            </w:tcBorders>
            <w:vAlign w:val="center"/>
          </w:tcPr>
          <w:p w14:paraId="3FF75D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谈判小组</w:t>
            </w:r>
            <w:r>
              <w:rPr>
                <w:rFonts w:hint="eastAsia" w:ascii="宋体" w:hAnsi="宋体" w:eastAsia="宋体" w:cs="宋体"/>
                <w:b/>
                <w:bCs/>
                <w:color w:val="auto"/>
                <w:kern w:val="0"/>
                <w:sz w:val="24"/>
                <w:szCs w:val="24"/>
                <w:highlight w:val="none"/>
              </w:rPr>
              <w:t>成员：（签字或盖章）</w:t>
            </w:r>
          </w:p>
        </w:tc>
      </w:tr>
    </w:tbl>
    <w:p w14:paraId="764EF663">
      <w:pPr>
        <w:pageBreakBefore w:val="0"/>
        <w:kinsoku/>
        <w:wordWrap/>
        <w:overflowPunct/>
        <w:topLinePunct w:val="0"/>
        <w:autoSpaceDE w:val="0"/>
        <w:autoSpaceDN w:val="0"/>
        <w:bidi w:val="0"/>
        <w:spacing w:line="460" w:lineRule="exact"/>
        <w:ind w:firstLine="482"/>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在资格性和符合性审查同时，对属于不合格或者报价无效的供应商，谈判小组必须提出不合格或者报价无效的事实依据，并出具不合格或者报价无效说明，供应商签字确认，供应商拒绝签字确认的不影响谈判小组作出的不合格或无效报价裁定。</w:t>
      </w:r>
    </w:p>
    <w:p w14:paraId="5C4E927B">
      <w:pPr>
        <w:pageBreakBefore w:val="0"/>
        <w:kinsoku/>
        <w:wordWrap/>
        <w:overflowPunct/>
        <w:topLinePunct w:val="0"/>
        <w:autoSpaceDE w:val="0"/>
        <w:autoSpaceDN w:val="0"/>
        <w:bidi w:val="0"/>
        <w:spacing w:line="4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第三阶段：响应性审查</w:t>
      </w:r>
    </w:p>
    <w:p w14:paraId="30609A71">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按照谈判文件要求，审查业绩、供应商报价、货物清单、规费税金及其报价合理性等，对属于不合格或者报价无效的供应商，采购小组应提出不合格或者报价无效的事实依据，并出具不合格或者报价无效说明，供应商签字确认，供应商拒绝签字确认的，不影响谈判小组作出的不合格或报价无效的裁定。</w:t>
      </w:r>
    </w:p>
    <w:p w14:paraId="790FDDFD">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rPr>
      </w:pPr>
      <w:bookmarkStart w:id="175" w:name="_Toc411064161"/>
      <w:bookmarkStart w:id="176" w:name="_Toc14189278"/>
      <w:r>
        <w:rPr>
          <w:rFonts w:hint="eastAsia" w:ascii="宋体" w:hAnsi="宋体" w:eastAsia="宋体" w:cs="宋体"/>
          <w:sz w:val="24"/>
          <w:szCs w:val="24"/>
          <w:lang w:val="en-US" w:eastAsia="zh-CN"/>
        </w:rPr>
        <w:t>4.2</w:t>
      </w:r>
      <w:r>
        <w:rPr>
          <w:rFonts w:hint="eastAsia" w:ascii="宋体" w:hAnsi="宋体" w:eastAsia="宋体" w:cs="宋体"/>
          <w:sz w:val="24"/>
          <w:szCs w:val="24"/>
          <w:lang w:val="zh-CN"/>
        </w:rPr>
        <w:t>澄清</w:t>
      </w:r>
      <w:bookmarkEnd w:id="175"/>
      <w:bookmarkEnd w:id="176"/>
    </w:p>
    <w:p w14:paraId="17850D1E">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谈判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89BAFEC">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76E4F7F">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）谈判小组判断响应文件的响应性仅基于响应文件本身而不靠外部因素。未响应实质性条款的，谈判小组有权确定其报价无效，供应商不能通过修正、撤销或者澄清不符之处而使其报价成为实质性响应的报价。</w:t>
      </w:r>
    </w:p>
    <w:p w14:paraId="7CC05F18">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rPr>
      </w:pPr>
      <w:bookmarkStart w:id="177" w:name="_Toc14189279"/>
      <w:bookmarkStart w:id="178" w:name="_Toc411064162"/>
      <w:r>
        <w:rPr>
          <w:rFonts w:hint="eastAsia" w:ascii="宋体" w:hAnsi="宋体" w:eastAsia="宋体" w:cs="宋体"/>
          <w:sz w:val="24"/>
          <w:szCs w:val="24"/>
          <w:lang w:val="en-US" w:eastAsia="zh-CN"/>
        </w:rPr>
        <w:t>4.3</w:t>
      </w:r>
      <w:r>
        <w:rPr>
          <w:rFonts w:hint="eastAsia" w:ascii="宋体" w:hAnsi="宋体" w:eastAsia="宋体" w:cs="宋体"/>
          <w:sz w:val="24"/>
          <w:szCs w:val="24"/>
          <w:lang w:val="zh-CN"/>
        </w:rPr>
        <w:t>谈判</w:t>
      </w:r>
      <w:bookmarkEnd w:id="177"/>
      <w:bookmarkEnd w:id="178"/>
    </w:p>
    <w:p w14:paraId="612E9EFF">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zh-CN"/>
        </w:rPr>
        <w:t>）谈判小组所有成员集中与实质性响应谈判文件的单一供应商分别进行谈判，并给予所有参加谈判的供应商平等的谈判机会。谈判小组通过随机方式确定参加谈判供应商的谈判顺序。在谈判中，谈判的任何一方不得透露与谈判有关的其他供应商的技术资料、价格和其他信息。</w:t>
      </w:r>
    </w:p>
    <w:p w14:paraId="31E905BF">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）谈判文件应详细列明采购标的的技术、服务要求，谈判结束后，谈判小组应当要求所有继续参加谈判的供应商在规定时间内提交最终报价，最终报价是供应商响应文件的有效组成部分。</w:t>
      </w:r>
    </w:p>
    <w:p w14:paraId="3DA2165D">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val="zh-CN"/>
        </w:rPr>
        <w:t>）供应商标书内的报价一览表为第一轮报价（即首轮报价）。参加谈判的供应商后一轮报价不得高于其前一轮报价，否则谈判小组有权据此确定其为无效报价，提交最终报价的供应商不得少于三家。</w:t>
      </w:r>
    </w:p>
    <w:p w14:paraId="0145EC35">
      <w:pPr>
        <w:pageBreakBefore w:val="0"/>
        <w:kinsoku/>
        <w:wordWrap/>
        <w:overflowPunct/>
        <w:topLinePunct w:val="0"/>
        <w:bidi w:val="0"/>
        <w:spacing w:line="400" w:lineRule="exact"/>
        <w:ind w:left="0" w:leftChars="0" w:firstLine="482" w:firstLineChars="200"/>
        <w:jc w:val="both"/>
        <w:textAlignment w:val="auto"/>
        <w:rPr>
          <w:rFonts w:hint="eastAsia" w:ascii="宋体" w:hAnsi="宋体" w:eastAsia="宋体" w:cs="宋体"/>
          <w:b/>
          <w:bCs/>
          <w:sz w:val="24"/>
          <w:szCs w:val="24"/>
          <w:lang w:val="zh-CN" w:eastAsia="zh-CN"/>
        </w:rPr>
      </w:pPr>
      <w:bookmarkStart w:id="179" w:name="_Toc411064163"/>
      <w:bookmarkStart w:id="180" w:name="_Toc11420"/>
      <w:bookmarkStart w:id="181" w:name="_Toc24274"/>
      <w:bookmarkStart w:id="182" w:name="_Toc17254"/>
      <w:bookmarkStart w:id="183" w:name="_Toc14189280"/>
      <w:r>
        <w:rPr>
          <w:rFonts w:hint="eastAsia" w:ascii="宋体" w:hAnsi="宋体" w:eastAsia="宋体" w:cs="宋体"/>
          <w:b/>
          <w:bCs/>
          <w:sz w:val="24"/>
          <w:szCs w:val="24"/>
          <w:lang w:val="en-US" w:eastAsia="zh-CN"/>
        </w:rPr>
        <w:t>5.</w:t>
      </w:r>
      <w:r>
        <w:rPr>
          <w:rFonts w:hint="eastAsia" w:ascii="宋体" w:hAnsi="宋体" w:eastAsia="宋体" w:cs="宋体"/>
          <w:b/>
          <w:bCs/>
          <w:sz w:val="24"/>
          <w:szCs w:val="24"/>
          <w:lang w:val="zh-CN" w:eastAsia="zh-CN"/>
        </w:rPr>
        <w:t>确定成交供应商</w:t>
      </w:r>
      <w:bookmarkEnd w:id="179"/>
      <w:bookmarkEnd w:id="180"/>
      <w:bookmarkEnd w:id="181"/>
      <w:bookmarkEnd w:id="182"/>
      <w:bookmarkEnd w:id="183"/>
    </w:p>
    <w:p w14:paraId="44359664">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5.1</w:t>
      </w:r>
      <w:r>
        <w:rPr>
          <w:rFonts w:hint="eastAsia" w:ascii="宋体" w:hAnsi="宋体" w:eastAsia="宋体" w:cs="宋体"/>
          <w:sz w:val="24"/>
          <w:szCs w:val="24"/>
          <w:lang w:val="zh-CN"/>
        </w:rPr>
        <w:t>谈判小组从质量和服务均能满足谈判文件实质性响应要求的供应商中，确定最终报价最低的供应商作为成交供应商。</w:t>
      </w:r>
    </w:p>
    <w:p w14:paraId="4D689355">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GB"/>
        </w:rPr>
      </w:pPr>
      <w:r>
        <w:rPr>
          <w:rFonts w:hint="eastAsia" w:ascii="宋体" w:hAnsi="宋体" w:eastAsia="宋体" w:cs="宋体"/>
          <w:sz w:val="24"/>
          <w:szCs w:val="24"/>
          <w:lang w:val="zh-CN"/>
        </w:rPr>
        <w:t>若两家及以上供应商在最终轮次报价中相同且最低的，以货物质量更优者为成交供应商。</w:t>
      </w:r>
    </w:p>
    <w:p w14:paraId="45D61A2E">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GB"/>
        </w:rPr>
      </w:pPr>
      <w:r>
        <w:rPr>
          <w:rFonts w:hint="eastAsia" w:ascii="宋体" w:hAnsi="宋体" w:eastAsia="宋体" w:cs="宋体"/>
          <w:sz w:val="24"/>
          <w:szCs w:val="24"/>
          <w:lang w:val="zh-CN"/>
        </w:rPr>
        <w:t>谈判小组认为，供应商的报价或者某些分项报价明显不合理或者低于成本，有可能影响货物质量和不能诚信履约的，应当要求其在规定的期限内提供书面文件予以解释说明，并提交相关证明材料；否则，谈判小组可以取消该供应商的谈判资格，按照最终报价由低到高的顺序排在后面的供应商递补，以此类推。</w:t>
      </w:r>
    </w:p>
    <w:p w14:paraId="7268E84C">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5.2</w:t>
      </w:r>
      <w:r>
        <w:rPr>
          <w:rFonts w:hint="eastAsia" w:ascii="宋体" w:hAnsi="宋体" w:eastAsia="宋体" w:cs="宋体"/>
          <w:sz w:val="24"/>
          <w:szCs w:val="24"/>
          <w:lang w:val="zh-CN"/>
        </w:rPr>
        <w:t>成交供应商除因法定不可抗力外不得随意放弃成交资格，否则承担相应法律责任。成交供应商确因不可抗力不能履行政府采购合同，或因被查实存在影响成交结果的违法行为等情形，不符合成交条件的，应予以废标，由采购人依法重新组织采购。</w:t>
      </w:r>
    </w:p>
    <w:p w14:paraId="257BB4DA">
      <w:pPr>
        <w:pageBreakBefore w:val="0"/>
        <w:kinsoku/>
        <w:wordWrap/>
        <w:overflowPunct/>
        <w:topLinePunct w:val="0"/>
        <w:bidi w:val="0"/>
        <w:spacing w:line="400" w:lineRule="exact"/>
        <w:ind w:left="0" w:leftChars="0" w:firstLine="482" w:firstLineChars="200"/>
        <w:jc w:val="both"/>
        <w:textAlignment w:val="auto"/>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6.</w:t>
      </w:r>
      <w:r>
        <w:rPr>
          <w:rFonts w:hint="eastAsia" w:ascii="宋体" w:hAnsi="宋体" w:eastAsia="宋体" w:cs="宋体"/>
          <w:b/>
          <w:bCs/>
          <w:sz w:val="24"/>
          <w:szCs w:val="24"/>
          <w:lang w:val="zh-CN" w:eastAsia="zh-CN"/>
        </w:rPr>
        <w:t>编写评审报告</w:t>
      </w:r>
    </w:p>
    <w:p w14:paraId="532691FA">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谈判小组根据谈判情况编制评审报告，谈判小组成员对评审报告有异议的，应当在评审报告上签署不同意见，并说明理由，否则视为同意。对拒绝说明理由的，须报政府采购监管部门处理，并将其评审情况如实计入考核表。</w:t>
      </w:r>
    </w:p>
    <w:p w14:paraId="725890EA">
      <w:pPr>
        <w:pageBreakBefore w:val="0"/>
        <w:kinsoku/>
        <w:wordWrap/>
        <w:overflowPunct/>
        <w:topLinePunct w:val="0"/>
        <w:bidi w:val="0"/>
        <w:spacing w:line="400" w:lineRule="exact"/>
        <w:ind w:left="0" w:leftChars="0" w:firstLine="482" w:firstLineChars="200"/>
        <w:jc w:val="both"/>
        <w:textAlignment w:val="auto"/>
        <w:rPr>
          <w:rFonts w:hint="eastAsia" w:ascii="宋体" w:hAnsi="宋体" w:eastAsia="宋体" w:cs="宋体"/>
          <w:b/>
          <w:bCs/>
          <w:sz w:val="24"/>
          <w:szCs w:val="24"/>
          <w:lang w:val="en-US" w:eastAsia="zh-CN"/>
        </w:rPr>
      </w:pPr>
      <w:bookmarkStart w:id="184" w:name="_Toc22281"/>
      <w:bookmarkStart w:id="185" w:name="_Toc5438"/>
      <w:bookmarkStart w:id="186" w:name="_Toc14842"/>
      <w:bookmarkStart w:id="187" w:name="_Toc14189281"/>
      <w:bookmarkStart w:id="188" w:name="_Toc18412206"/>
      <w:bookmarkStart w:id="189" w:name="_Toc22011"/>
      <w:bookmarkStart w:id="190" w:name="_Toc23316689"/>
      <w:bookmarkStart w:id="191" w:name="_Toc23315667"/>
      <w:bookmarkStart w:id="192" w:name="_Toc35335263"/>
      <w:bookmarkStart w:id="193" w:name="_Toc23316591"/>
      <w:bookmarkStart w:id="194" w:name="_Toc1055"/>
      <w:bookmarkStart w:id="195" w:name="_Toc23316527"/>
      <w:bookmarkStart w:id="196" w:name="_Toc14189414"/>
      <w:r>
        <w:rPr>
          <w:rFonts w:hint="eastAsia" w:ascii="宋体" w:hAnsi="宋体" w:eastAsia="宋体" w:cs="宋体"/>
          <w:b/>
          <w:bCs/>
          <w:sz w:val="24"/>
          <w:szCs w:val="24"/>
          <w:lang w:val="en-US" w:eastAsia="zh-CN"/>
        </w:rPr>
        <w:t>7.定标</w:t>
      </w:r>
      <w:bookmarkEnd w:id="184"/>
      <w:bookmarkEnd w:id="185"/>
      <w:bookmarkEnd w:id="186"/>
      <w:bookmarkEnd w:id="187"/>
      <w:bookmarkEnd w:id="188"/>
      <w:bookmarkEnd w:id="189"/>
      <w:bookmarkEnd w:id="190"/>
      <w:bookmarkEnd w:id="191"/>
      <w:bookmarkEnd w:id="192"/>
      <w:bookmarkEnd w:id="193"/>
      <w:bookmarkEnd w:id="194"/>
      <w:bookmarkEnd w:id="195"/>
      <w:bookmarkEnd w:id="196"/>
    </w:p>
    <w:p w14:paraId="593C6384">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7.1招标代理机构在评审工作结束后，对评审报告进行审核，在2个工作日内，将评审报告送采购人确认。</w:t>
      </w:r>
    </w:p>
    <w:p w14:paraId="525D6873">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采购人在收到评审报告后5个工作日内，按照评审报告中推荐的成交候选供应商排序第一的确定为成交供应商，也可以书面授权谈判小组直接确定成交供应商。采购人逾期未确定成交供应商且不提出异议的，视为确定评审报告提出的排序第一的供应商为成交供应商。</w:t>
      </w:r>
    </w:p>
    <w:p w14:paraId="71E4C9D4">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7.3在确定成交供应商后，招标代理机构发布成交公告，向确定的成交供应商发出“成交通知书”。</w:t>
      </w:r>
    </w:p>
    <w:p w14:paraId="71B34A05">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7.4招标代理机构不做未成交原因的解释。</w:t>
      </w:r>
    </w:p>
    <w:p w14:paraId="7EC0EC60">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7.5成交人应在接到招标代理机构通知之日起七日内领取成交通知书。</w:t>
      </w:r>
    </w:p>
    <w:p w14:paraId="27321195">
      <w:pPr>
        <w:pageBreakBefore w:val="0"/>
        <w:widowControl/>
        <w:numPr>
          <w:ilvl w:val="0"/>
          <w:numId w:val="0"/>
        </w:numPr>
        <w:kinsoku/>
        <w:wordWrap/>
        <w:overflowPunct/>
        <w:topLinePunct w:val="0"/>
        <w:autoSpaceDE/>
        <w:autoSpaceDN/>
        <w:bidi w:val="0"/>
        <w:spacing w:line="400" w:lineRule="exact"/>
        <w:jc w:val="center"/>
        <w:textAlignment w:val="auto"/>
        <w:outlineLvl w:val="1"/>
        <w:rPr>
          <w:rFonts w:hint="eastAsia" w:ascii="宋体" w:hAnsi="宋体" w:eastAsia="宋体" w:cs="宋体"/>
          <w:b/>
          <w:bCs/>
          <w:kern w:val="0"/>
          <w:sz w:val="24"/>
          <w:szCs w:val="24"/>
          <w:lang w:eastAsia="zh-CN"/>
        </w:rPr>
      </w:pPr>
      <w:bookmarkStart w:id="197" w:name="_Toc3632"/>
      <w:bookmarkStart w:id="198" w:name="_Toc6540"/>
      <w:bookmarkStart w:id="199" w:name="_Toc27672"/>
      <w:r>
        <w:rPr>
          <w:rFonts w:hint="eastAsia" w:ascii="宋体" w:hAnsi="宋体" w:eastAsia="宋体" w:cs="宋体"/>
          <w:b/>
          <w:bCs/>
          <w:kern w:val="0"/>
          <w:sz w:val="24"/>
          <w:szCs w:val="24"/>
          <w:lang w:eastAsia="zh-CN"/>
        </w:rPr>
        <w:t>六、签订政府采购合同</w:t>
      </w:r>
      <w:bookmarkEnd w:id="120"/>
      <w:bookmarkEnd w:id="121"/>
      <w:bookmarkEnd w:id="122"/>
      <w:bookmarkEnd w:id="123"/>
      <w:bookmarkEnd w:id="124"/>
      <w:bookmarkEnd w:id="125"/>
      <w:bookmarkEnd w:id="126"/>
      <w:bookmarkEnd w:id="127"/>
      <w:bookmarkEnd w:id="128"/>
      <w:bookmarkEnd w:id="129"/>
      <w:bookmarkEnd w:id="197"/>
      <w:bookmarkEnd w:id="198"/>
      <w:bookmarkEnd w:id="199"/>
    </w:p>
    <w:p w14:paraId="4949DF66">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1、采购人与成交供应商应当在成交通知书发出之日起30日内，按照谈判文件确定的合同文本签订政府采购合同。</w:t>
      </w:r>
    </w:p>
    <w:p w14:paraId="7AB4574A">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2、采购人不得向成交供应商提出超出谈判文件以外的任何要求作为签订合同的条件，不得与成交供应商订立背离谈判文件确定的合同文本以及采购服务要求实质性内容的协议。</w:t>
      </w:r>
    </w:p>
    <w:p w14:paraId="14D7B0F6">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3、成交供应商拒绝与采购人签订合同的，采购人可以按照评审报告推荐的成交候选人名单排序，确定下一候选人为成交供应商，也可以重新开展政府采购活动。</w:t>
      </w:r>
    </w:p>
    <w:p w14:paraId="68D0A51D">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4、政府采购合同在执行过程中，确需修改、变更时，应当按照相应的审核批准程序办理。</w:t>
      </w:r>
    </w:p>
    <w:p w14:paraId="28BFA5F6">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5、谈判文件、响应文件、澄清等为政府采购合同的组成部分，具有同等法律效力。</w:t>
      </w:r>
    </w:p>
    <w:p w14:paraId="060B874A">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6、采购人按有关规定将政府采购合同报送监管机构备案。</w:t>
      </w:r>
    </w:p>
    <w:p w14:paraId="059962CA">
      <w:pPr>
        <w:pageBreakBefore w:val="0"/>
        <w:widowControl/>
        <w:numPr>
          <w:ilvl w:val="0"/>
          <w:numId w:val="0"/>
        </w:numPr>
        <w:kinsoku/>
        <w:wordWrap/>
        <w:overflowPunct/>
        <w:topLinePunct w:val="0"/>
        <w:autoSpaceDE/>
        <w:autoSpaceDN/>
        <w:bidi w:val="0"/>
        <w:spacing w:line="400" w:lineRule="exact"/>
        <w:jc w:val="center"/>
        <w:textAlignment w:val="auto"/>
        <w:outlineLvl w:val="1"/>
        <w:rPr>
          <w:rFonts w:hint="eastAsia" w:ascii="宋体" w:hAnsi="宋体" w:eastAsia="宋体" w:cs="宋体"/>
          <w:b/>
          <w:bCs/>
          <w:kern w:val="0"/>
          <w:sz w:val="24"/>
          <w:szCs w:val="24"/>
          <w:lang w:eastAsia="zh-CN"/>
        </w:rPr>
      </w:pPr>
      <w:bookmarkStart w:id="200" w:name="_Toc20083"/>
      <w:bookmarkStart w:id="201" w:name="_Toc14189416"/>
      <w:bookmarkStart w:id="202" w:name="_Toc23316529"/>
      <w:bookmarkStart w:id="203" w:name="_Toc22563"/>
      <w:bookmarkStart w:id="204" w:name="_Toc20160"/>
      <w:bookmarkStart w:id="205" w:name="_Toc14689"/>
      <w:bookmarkStart w:id="206" w:name="_Toc23316691"/>
      <w:bookmarkStart w:id="207" w:name="_Toc35335265"/>
      <w:bookmarkStart w:id="208" w:name="_Toc15337"/>
      <w:bookmarkStart w:id="209" w:name="_Toc23316593"/>
      <w:bookmarkStart w:id="210" w:name="_Toc18412208"/>
      <w:bookmarkStart w:id="211" w:name="_Toc23315669"/>
      <w:bookmarkStart w:id="212" w:name="_Toc14189283"/>
      <w:r>
        <w:rPr>
          <w:rFonts w:hint="eastAsia" w:ascii="宋体" w:hAnsi="宋体" w:eastAsia="宋体" w:cs="宋体"/>
          <w:b/>
          <w:bCs/>
          <w:kern w:val="0"/>
          <w:sz w:val="24"/>
          <w:szCs w:val="24"/>
          <w:lang w:eastAsia="zh-CN"/>
        </w:rPr>
        <w:t>七、招标服务费</w:t>
      </w:r>
      <w:bookmarkEnd w:id="200"/>
      <w:bookmarkEnd w:id="201"/>
      <w:bookmarkEnd w:id="202"/>
      <w:bookmarkEnd w:id="203"/>
      <w:bookmarkEnd w:id="204"/>
      <w:bookmarkEnd w:id="205"/>
      <w:bookmarkEnd w:id="206"/>
      <w:bookmarkEnd w:id="207"/>
      <w:bookmarkEnd w:id="208"/>
      <w:bookmarkEnd w:id="209"/>
      <w:bookmarkEnd w:id="210"/>
      <w:bookmarkEnd w:id="211"/>
      <w:bookmarkEnd w:id="212"/>
    </w:p>
    <w:p w14:paraId="3E88B1AC">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bookmarkStart w:id="213" w:name="_Toc4430"/>
      <w:bookmarkStart w:id="214" w:name="_Toc18217"/>
      <w:bookmarkStart w:id="215" w:name="_Toc13557"/>
      <w:r>
        <w:rPr>
          <w:rFonts w:hint="eastAsia" w:ascii="宋体" w:hAnsi="宋体" w:eastAsia="宋体" w:cs="宋体"/>
          <w:sz w:val="24"/>
          <w:szCs w:val="24"/>
          <w:lang w:val="en-US" w:eastAsia="zh-CN"/>
        </w:rPr>
        <w:t>参照国家计委颁发的《招标代理服务收费管理暂行办法》（计价格[2002]1980号）和国家发展改革委员会办公厅颁发的《关于招标代理服务收费有关问题的通知》（发改办价格[2003]857号）的标准收取。。</w:t>
      </w:r>
      <w:bookmarkEnd w:id="213"/>
      <w:bookmarkEnd w:id="214"/>
      <w:bookmarkEnd w:id="215"/>
    </w:p>
    <w:p w14:paraId="6424E6DF">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采购代理机构开户名称：宝泽项目管理有限公司</w:t>
      </w:r>
    </w:p>
    <w:p w14:paraId="42DD1500">
      <w:pPr>
        <w:pageBreakBefore w:val="0"/>
        <w:kinsoku/>
        <w:wordWrap/>
        <w:overflowPunct/>
        <w:topLinePunct w:val="0"/>
        <w:autoSpaceDE w:val="0"/>
        <w:autoSpaceDN w:val="0"/>
        <w:bidi w:val="0"/>
        <w:spacing w:line="400" w:lineRule="exact"/>
        <w:ind w:left="0" w:leftChars="0" w:firstLine="480" w:firstLineChars="200"/>
        <w:jc w:val="both"/>
        <w:textAlignment w:val="auto"/>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开户行名称：328571949577</w:t>
      </w:r>
    </w:p>
    <w:p w14:paraId="34EC7C16">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开户银行：中国银行股份有限公司北京通州新华西街支行</w:t>
      </w:r>
    </w:p>
    <w:p w14:paraId="24F4ACA5">
      <w:pPr>
        <w:pageBreakBefore w:val="0"/>
        <w:kinsoku/>
        <w:wordWrap/>
        <w:overflowPunct/>
        <w:topLinePunct w:val="0"/>
        <w:bidi w:val="0"/>
        <w:adjustRightInd w:val="0"/>
        <w:snapToGrid w:val="0"/>
        <w:spacing w:line="460" w:lineRule="exact"/>
        <w:ind w:firstLine="482" w:firstLineChars="200"/>
        <w:jc w:val="center"/>
        <w:textAlignment w:val="auto"/>
        <w:rPr>
          <w:rFonts w:hint="eastAsia" w:ascii="宋体" w:hAnsi="宋体" w:eastAsia="宋体" w:cs="宋体"/>
          <w:b/>
          <w:kern w:val="0"/>
          <w:sz w:val="24"/>
          <w:szCs w:val="24"/>
          <w:lang w:val="zh-CN" w:eastAsia="zh-CN"/>
        </w:rPr>
      </w:pPr>
      <w:r>
        <w:rPr>
          <w:rFonts w:hint="eastAsia" w:ascii="宋体" w:hAnsi="宋体" w:eastAsia="宋体" w:cs="宋体"/>
          <w:b/>
          <w:kern w:val="0"/>
          <w:sz w:val="24"/>
          <w:szCs w:val="24"/>
          <w:lang w:val="zh-CN" w:eastAsia="zh-CN"/>
        </w:rPr>
        <w:t>八、政府采购政策</w:t>
      </w:r>
    </w:p>
    <w:p w14:paraId="42E365F2">
      <w:pPr>
        <w:pageBreakBefore w:val="0"/>
        <w:kinsoku/>
        <w:wordWrap/>
        <w:overflowPunct/>
        <w:topLinePunct w:val="0"/>
        <w:bidi w:val="0"/>
        <w:spacing w:line="400" w:lineRule="exact"/>
        <w:ind w:left="0" w:leftChars="0" w:firstLine="482" w:firstLineChars="200"/>
        <w:jc w:val="both"/>
        <w:textAlignment w:val="auto"/>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1、</w:t>
      </w:r>
      <w:r>
        <w:rPr>
          <w:rFonts w:hint="eastAsia" w:ascii="宋体" w:hAnsi="宋体" w:eastAsia="宋体" w:cs="宋体"/>
          <w:b/>
          <w:bCs/>
          <w:sz w:val="24"/>
          <w:szCs w:val="24"/>
          <w:lang w:val="zh-CN" w:eastAsia="zh-CN"/>
        </w:rPr>
        <w:t>投标企业政府采购政策</w:t>
      </w:r>
    </w:p>
    <w:p w14:paraId="2E8EF039">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依据《中华人民共和国政府采购法》和《中华人民共和国政府采购法实施条例》的有关规定，落实政府采购“优先购买节能环保产品、扶持小微企业、监狱企业、福利企业”等相关政策：</w:t>
      </w:r>
    </w:p>
    <w:p w14:paraId="4C663CD4">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依据《政府采购促进中小企业发展管理办法》（财库〔2020〕46号）的有关规定，在政府采购活动中投标人为小型和微型企业的，对价格给予10%的价格扣除，用扣除后的价格参与评标（所投的货物/承建的工程/承接的服务由小型和微型提供）；</w:t>
      </w:r>
    </w:p>
    <w:p w14:paraId="0298A5A7">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根据财政部、司法部联合下发的《关于政府采购支持监狱企业发展有关问题的通知》（财库〔2014〕68号）的规定，监狱企业视同小型、微型企业。评标时，对监狱企业给予10%的价格扣除，用扣除后的价格参与评审；</w:t>
      </w:r>
    </w:p>
    <w:p w14:paraId="0DA406CD">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根据财政部、民政部、中国残疾人联合会下发的《关于促进残疾人就业政府采购政策的通知》（财库〔2017〕141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119834B4">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优惠，但不影响投标文件的有效性,对既属于监狱企业、福利企业，同时又满足中小微企业规定的投标单位，其价格优惠仅适用一次。</w:t>
      </w:r>
    </w:p>
    <w:p w14:paraId="397DE3AE">
      <w:pPr>
        <w:pageBreakBefore w:val="0"/>
        <w:kinsoku/>
        <w:wordWrap/>
        <w:overflowPunct/>
        <w:topLinePunct w:val="0"/>
        <w:bidi w:val="0"/>
        <w:spacing w:line="400" w:lineRule="exact"/>
        <w:ind w:left="0" w:leftChars="0" w:firstLine="482" w:firstLineChars="200"/>
        <w:jc w:val="both"/>
        <w:textAlignment w:val="auto"/>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2、</w:t>
      </w:r>
      <w:r>
        <w:rPr>
          <w:rFonts w:hint="eastAsia" w:ascii="宋体" w:hAnsi="宋体" w:eastAsia="宋体" w:cs="宋体"/>
          <w:b/>
          <w:bCs/>
          <w:sz w:val="24"/>
          <w:szCs w:val="24"/>
          <w:lang w:val="zh-CN" w:eastAsia="zh-CN"/>
        </w:rPr>
        <w:t>投标产品政府采购政策</w:t>
      </w:r>
    </w:p>
    <w:p w14:paraId="2CBE62EC">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（1）节能产品</w:t>
      </w:r>
      <w:r>
        <w:rPr>
          <w:rFonts w:hint="eastAsia" w:ascii="宋体" w:hAnsi="宋体" w:eastAsia="宋体" w:cs="宋体"/>
          <w:sz w:val="24"/>
          <w:szCs w:val="24"/>
          <w:lang w:val="zh-CN" w:eastAsia="zh-CN"/>
        </w:rPr>
        <w:t>根据《国务院办公厅关于建立政府强制采购节能产品制度的通知》</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国办发[2007] 51号</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的规定</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以中国政府采购网</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http://www.ccgp.gov.cn/</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公布的最新一期节能产品政府采购清单为准。</w:t>
      </w:r>
    </w:p>
    <w:p w14:paraId="28F4C5C5">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（2）环境标志产品</w:t>
      </w:r>
      <w:r>
        <w:rPr>
          <w:rFonts w:hint="eastAsia" w:ascii="宋体" w:hAnsi="宋体" w:eastAsia="宋体" w:cs="宋体"/>
          <w:sz w:val="24"/>
          <w:szCs w:val="24"/>
          <w:lang w:val="zh-CN" w:eastAsia="zh-CN"/>
        </w:rPr>
        <w:t>根据《环境标志产品政府采购实施的意见》</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财库</w:t>
      </w:r>
      <w:r>
        <w:rPr>
          <w:rFonts w:hint="eastAsia" w:ascii="宋体" w:hAnsi="宋体" w:eastAsia="宋体" w:cs="宋体"/>
          <w:sz w:val="24"/>
          <w:szCs w:val="24"/>
          <w:lang w:val="en-US" w:eastAsia="zh-CN"/>
        </w:rPr>
        <w:t>[2006]90</w:t>
      </w:r>
      <w:r>
        <w:rPr>
          <w:rFonts w:hint="eastAsia" w:ascii="宋体" w:hAnsi="宋体" w:eastAsia="宋体" w:cs="宋体"/>
          <w:sz w:val="24"/>
          <w:szCs w:val="24"/>
          <w:lang w:val="zh-CN" w:eastAsia="zh-CN"/>
        </w:rPr>
        <w:t>号</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的规定</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以中国政府采购网</w:t>
      </w:r>
      <w:r>
        <w:rPr>
          <w:rFonts w:hint="eastAsia" w:ascii="宋体" w:hAnsi="宋体" w:eastAsia="宋体" w:cs="宋体"/>
          <w:sz w:val="24"/>
          <w:szCs w:val="24"/>
          <w:lang w:val="en-US" w:eastAsia="zh-CN"/>
        </w:rPr>
        <w:t>（http://www.ccgp.gov.cn/）</w:t>
      </w:r>
      <w:r>
        <w:rPr>
          <w:rFonts w:hint="eastAsia" w:ascii="宋体" w:hAnsi="宋体" w:eastAsia="宋体" w:cs="宋体"/>
          <w:sz w:val="24"/>
          <w:szCs w:val="24"/>
          <w:lang w:val="zh-CN" w:eastAsia="zh-CN"/>
        </w:rPr>
        <w:t>公布的最新一期环境标志产品政府采购清单为准。</w:t>
      </w:r>
    </w:p>
    <w:p w14:paraId="3C518829">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eastAsia="zh-CN"/>
        </w:rPr>
        <w:t>投标供应商在谈判响应文件中对所投标产品为节能、环保、环境标志产品清单中的产品，在投标报价时须对此类产品单独分项报价，计算出小计及占投标报价总金额的百分比，并提供属于清单内产品的证明资料（从中国政府采购网上下载的网页公告等），未提供节能、环保、环境标志产品优惠明细表及属于清单内产品的证明资料的不给予优惠。</w:t>
      </w:r>
    </w:p>
    <w:p w14:paraId="4E5928A7">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val="zh-CN" w:eastAsia="zh-CN"/>
        </w:rPr>
        <w:t>若节能、环保、环境标志清单内的产品仅是构成投标产品的部件、组件或零件的，则该投标产品不享受鼓励优惠政策。</w:t>
      </w:r>
    </w:p>
    <w:p w14:paraId="66DE0F0C">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同一标段的节能、环保、环境标志产品部分优惠只对属于清单内的非强制类产品进行优惠，强制类产品不给予优惠。</w:t>
      </w:r>
    </w:p>
    <w:p w14:paraId="191508AF">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lang w:val="zh-CN" w:eastAsia="zh-CN"/>
        </w:rPr>
        <w:t>节能、环保、环境标志产品不重复优惠；同时列入清单和省级清单的产品不重复优惠。</w:t>
      </w:r>
    </w:p>
    <w:p w14:paraId="623CC495">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eastAsia="zh-CN"/>
        </w:rPr>
        <w:t>获得上述认证的产品在投标时应提供有效证明材料。以上所有证明文件复印件须加盖投标供应商公章并注明“与原件一致”，否则不予优惠。</w:t>
      </w:r>
    </w:p>
    <w:p w14:paraId="12E219E6">
      <w:pPr>
        <w:pageBreakBefore w:val="0"/>
        <w:kinsoku/>
        <w:wordWrap/>
        <w:overflowPunct/>
        <w:topLinePunct w:val="0"/>
        <w:bidi w:val="0"/>
        <w:spacing w:line="400" w:lineRule="exact"/>
        <w:ind w:left="0" w:leftChars="0" w:firstLine="482" w:firstLineChars="200"/>
        <w:jc w:val="both"/>
        <w:textAlignment w:val="auto"/>
        <w:rPr>
          <w:rFonts w:hint="eastAsia" w:ascii="宋体" w:hAnsi="宋体" w:eastAsia="宋体" w:cs="宋体"/>
          <w:b/>
          <w:bCs/>
          <w:sz w:val="24"/>
          <w:szCs w:val="24"/>
          <w:lang w:val="zh-CN" w:eastAsia="zh-CN"/>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lang w:val="zh-CN" w:eastAsia="zh-CN"/>
        </w:rPr>
        <w:t>价格优惠比例</w:t>
      </w:r>
    </w:p>
    <w:p w14:paraId="3FCD146F">
      <w:pPr>
        <w:pageBreakBefore w:val="0"/>
        <w:kinsoku/>
        <w:wordWrap/>
        <w:overflowPunct/>
        <w:topLinePunct w:val="0"/>
        <w:bidi w:val="0"/>
        <w:spacing w:line="460" w:lineRule="exact"/>
        <w:ind w:firstLine="472" w:firstLineChars="196"/>
        <w:textAlignment w:val="auto"/>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zh-CN"/>
        </w:rPr>
        <w:t>投标企业优惠比例（</w:t>
      </w:r>
      <w:r>
        <w:rPr>
          <w:rFonts w:hint="eastAsia" w:ascii="宋体" w:hAnsi="宋体" w:eastAsia="宋体" w:cs="宋体"/>
          <w:b/>
          <w:sz w:val="24"/>
          <w:lang w:val="en-US" w:eastAsia="zh-CN"/>
        </w:rPr>
        <w:t>本项目不享受</w:t>
      </w:r>
      <w:r>
        <w:rPr>
          <w:rFonts w:hint="eastAsia" w:ascii="宋体" w:hAnsi="宋体" w:eastAsia="宋体" w:cs="宋体"/>
          <w:b/>
          <w:sz w:val="24"/>
          <w:lang w:val="zh-CN"/>
        </w:rPr>
        <w:t>）</w:t>
      </w:r>
    </w:p>
    <w:p w14:paraId="6E0D4147">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符合谈判文件规定的小微企业、监狱企业或</w:t>
      </w:r>
      <w:r>
        <w:rPr>
          <w:rFonts w:hint="eastAsia" w:ascii="宋体" w:hAnsi="宋体" w:eastAsia="宋体" w:cs="宋体"/>
          <w:sz w:val="24"/>
          <w:szCs w:val="24"/>
          <w:lang w:val="en-US" w:eastAsia="zh-CN"/>
        </w:rPr>
        <w:t>残疾人福利性单位</w:t>
      </w:r>
      <w:r>
        <w:rPr>
          <w:rFonts w:hint="eastAsia" w:ascii="宋体" w:hAnsi="宋体" w:eastAsia="宋体" w:cs="宋体"/>
          <w:sz w:val="24"/>
          <w:szCs w:val="24"/>
          <w:lang w:val="zh-CN" w:eastAsia="zh-CN"/>
        </w:rPr>
        <w:t>优惠条件的供应商，价格给予</w:t>
      </w:r>
      <w:r>
        <w:rPr>
          <w:rFonts w:hint="eastAsia" w:ascii="宋体" w:hAnsi="宋体" w:eastAsia="宋体" w:cs="宋体"/>
          <w:sz w:val="24"/>
          <w:szCs w:val="24"/>
          <w:lang w:val="en-US" w:eastAsia="zh-CN"/>
        </w:rPr>
        <w:t>10</w:t>
      </w:r>
      <w:r>
        <w:rPr>
          <w:rFonts w:hint="eastAsia" w:ascii="宋体" w:hAnsi="宋体" w:eastAsia="宋体" w:cs="宋体"/>
          <w:sz w:val="24"/>
          <w:szCs w:val="24"/>
          <w:lang w:val="zh-CN" w:eastAsia="zh-CN"/>
        </w:rPr>
        <w:t>%的扣除（不重复优惠，最高为</w:t>
      </w:r>
      <w:r>
        <w:rPr>
          <w:rFonts w:hint="eastAsia" w:ascii="宋体" w:hAnsi="宋体" w:eastAsia="宋体" w:cs="宋体"/>
          <w:sz w:val="24"/>
          <w:szCs w:val="24"/>
          <w:lang w:val="en-US" w:eastAsia="zh-CN"/>
        </w:rPr>
        <w:t>10</w:t>
      </w:r>
      <w:r>
        <w:rPr>
          <w:rFonts w:hint="eastAsia" w:ascii="宋体" w:hAnsi="宋体" w:eastAsia="宋体" w:cs="宋体"/>
          <w:sz w:val="24"/>
          <w:szCs w:val="24"/>
          <w:lang w:val="zh-CN" w:eastAsia="zh-CN"/>
        </w:rPr>
        <w:t>%），用扣除后的价格参与评审。</w:t>
      </w:r>
    </w:p>
    <w:p w14:paraId="1E6688D8">
      <w:pPr>
        <w:pageBreakBefore w:val="0"/>
        <w:kinsoku/>
        <w:wordWrap/>
        <w:overflowPunct/>
        <w:topLinePunct w:val="0"/>
        <w:bidi w:val="0"/>
        <w:spacing w:line="460" w:lineRule="exact"/>
        <w:ind w:firstLine="472" w:firstLineChars="196"/>
        <w:textAlignment w:val="auto"/>
        <w:rPr>
          <w:rFonts w:hint="eastAsia" w:ascii="宋体" w:hAnsi="宋体" w:eastAsia="宋体" w:cs="宋体"/>
          <w:sz w:val="24"/>
          <w:lang w:val="zh-CN"/>
        </w:rPr>
      </w:pPr>
      <w:r>
        <w:rPr>
          <w:rFonts w:hint="eastAsia" w:ascii="宋体" w:hAnsi="宋体" w:eastAsia="宋体" w:cs="宋体"/>
          <w:b/>
          <w:sz w:val="24"/>
        </w:rPr>
        <w:t>（2）</w:t>
      </w:r>
      <w:r>
        <w:rPr>
          <w:rFonts w:hint="eastAsia" w:ascii="宋体" w:hAnsi="宋体" w:eastAsia="宋体" w:cs="宋体"/>
          <w:b/>
          <w:sz w:val="24"/>
          <w:lang w:val="zh-CN"/>
        </w:rPr>
        <w:t>投标产品优惠比例</w:t>
      </w:r>
    </w:p>
    <w:p w14:paraId="1AF60D89">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投标产品为节能、环保、环境标志产品清单中的产品，符合谈判文件要求的，价格给予</w:t>
      </w:r>
      <w:r>
        <w:rPr>
          <w:rFonts w:hint="eastAsia" w:ascii="宋体" w:hAnsi="宋体" w:eastAsia="宋体" w:cs="宋体"/>
          <w:sz w:val="24"/>
          <w:szCs w:val="24"/>
          <w:lang w:val="en-US" w:eastAsia="zh-CN"/>
        </w:rPr>
        <w:t>10</w:t>
      </w:r>
      <w:r>
        <w:rPr>
          <w:rFonts w:hint="eastAsia" w:ascii="宋体" w:hAnsi="宋体" w:eastAsia="宋体" w:cs="宋体"/>
          <w:sz w:val="24"/>
          <w:szCs w:val="24"/>
          <w:lang w:val="zh-CN" w:eastAsia="zh-CN"/>
        </w:rPr>
        <w:t>%的扣除（不重复优惠，最高为</w:t>
      </w:r>
      <w:r>
        <w:rPr>
          <w:rFonts w:hint="eastAsia" w:ascii="宋体" w:hAnsi="宋体" w:eastAsia="宋体" w:cs="宋体"/>
          <w:sz w:val="24"/>
          <w:szCs w:val="24"/>
          <w:lang w:val="en-US" w:eastAsia="zh-CN"/>
        </w:rPr>
        <w:t>10</w:t>
      </w:r>
      <w:r>
        <w:rPr>
          <w:rFonts w:hint="eastAsia" w:ascii="宋体" w:hAnsi="宋体" w:eastAsia="宋体" w:cs="宋体"/>
          <w:sz w:val="24"/>
          <w:szCs w:val="24"/>
          <w:lang w:val="zh-CN" w:eastAsia="zh-CN"/>
        </w:rPr>
        <w:t>%），用扣除后的价格参与评审。</w:t>
      </w:r>
    </w:p>
    <w:p w14:paraId="533245E5">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谈判小组根据原始谈判记录和谈判结果编写谈判结果报告，报采购人。</w:t>
      </w:r>
    </w:p>
    <w:p w14:paraId="2BE53ACD">
      <w:pPr>
        <w:pageBreakBefore w:val="0"/>
        <w:widowControl/>
        <w:numPr>
          <w:ilvl w:val="0"/>
          <w:numId w:val="0"/>
        </w:numPr>
        <w:kinsoku/>
        <w:wordWrap/>
        <w:overflowPunct/>
        <w:topLinePunct w:val="0"/>
        <w:autoSpaceDE/>
        <w:autoSpaceDN/>
        <w:bidi w:val="0"/>
        <w:spacing w:line="460" w:lineRule="exact"/>
        <w:jc w:val="center"/>
        <w:textAlignment w:val="auto"/>
        <w:outlineLvl w:val="1"/>
        <w:rPr>
          <w:rFonts w:hint="eastAsia" w:ascii="宋体" w:hAnsi="宋体" w:eastAsia="宋体" w:cs="宋体"/>
          <w:b/>
          <w:bCs/>
          <w:kern w:val="0"/>
          <w:sz w:val="24"/>
          <w:szCs w:val="24"/>
        </w:rPr>
      </w:pPr>
      <w:bookmarkStart w:id="216" w:name="_Toc28094"/>
      <w:bookmarkStart w:id="217" w:name="_Toc536429379"/>
      <w:bookmarkStart w:id="218" w:name="_Toc19543343"/>
      <w:bookmarkStart w:id="219" w:name="_Toc536429326"/>
      <w:bookmarkStart w:id="220" w:name="_Toc536202317"/>
      <w:bookmarkStart w:id="221" w:name="_Toc536202386"/>
      <w:bookmarkStart w:id="222" w:name="_Toc20921"/>
      <w:bookmarkStart w:id="223" w:name="_Toc664"/>
      <w:bookmarkStart w:id="224" w:name="_Toc15930"/>
      <w:bookmarkStart w:id="225" w:name="_Toc11491"/>
      <w:r>
        <w:rPr>
          <w:rFonts w:hint="eastAsia" w:ascii="宋体" w:hAnsi="宋体" w:eastAsia="宋体" w:cs="宋体"/>
          <w:b/>
          <w:bCs/>
          <w:kern w:val="0"/>
          <w:sz w:val="24"/>
          <w:szCs w:val="24"/>
          <w:lang w:eastAsia="zh-CN"/>
        </w:rPr>
        <w:t>九、</w:t>
      </w:r>
      <w:r>
        <w:rPr>
          <w:rFonts w:hint="eastAsia" w:ascii="宋体" w:hAnsi="宋体" w:eastAsia="宋体" w:cs="宋体"/>
          <w:b/>
          <w:bCs/>
          <w:kern w:val="0"/>
          <w:sz w:val="24"/>
          <w:szCs w:val="24"/>
        </w:rPr>
        <w:t>质疑和投诉</w:t>
      </w:r>
      <w:bookmarkEnd w:id="216"/>
      <w:bookmarkEnd w:id="217"/>
      <w:bookmarkEnd w:id="218"/>
      <w:bookmarkEnd w:id="219"/>
      <w:bookmarkEnd w:id="220"/>
      <w:bookmarkEnd w:id="221"/>
      <w:bookmarkEnd w:id="222"/>
      <w:bookmarkEnd w:id="223"/>
      <w:bookmarkEnd w:id="224"/>
      <w:bookmarkEnd w:id="225"/>
    </w:p>
    <w:p w14:paraId="5152B95C">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质疑或投诉的接收和处理应当按照《中华人民共和国政府采购法》及其实施条例、《政府采购质疑和投诉办法》、《财政部关于加强政府采购供应商投诉受理审查工作的通知》等的相关规定办理。</w:t>
      </w:r>
    </w:p>
    <w:p w14:paraId="7C347BA7">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172DD7A1">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（1）对采购文件提出质疑的，为收到采购文件之日或者采购文件公告期限届满之日；</w:t>
      </w:r>
    </w:p>
    <w:p w14:paraId="4F80A8DF">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（2）对采购过程提出质疑的，为各采购程序环节结束之日；</w:t>
      </w:r>
    </w:p>
    <w:p w14:paraId="434D8598">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（3）对中标或者成交结果提出质疑的，为中标或者成交结果公告期限届满之日。</w:t>
      </w:r>
    </w:p>
    <w:p w14:paraId="553B2177">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2.供应商应当在法定质疑期内一次性提出针对同一采购程序环节的质疑。</w:t>
      </w:r>
    </w:p>
    <w:p w14:paraId="6EABE03E">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3.质疑函应当包括下列主要内容：</w:t>
      </w:r>
    </w:p>
    <w:p w14:paraId="20F6420C">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（1）供应商的姓名或者名称、地址、邮编、联系人及联系电话；</w:t>
      </w:r>
    </w:p>
    <w:p w14:paraId="1073A972">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（2）质疑项目的名称、编号；</w:t>
      </w:r>
    </w:p>
    <w:p w14:paraId="00564C8E">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（3）具体、明确的质疑事项和与质疑事项相关的请求；</w:t>
      </w:r>
    </w:p>
    <w:p w14:paraId="0EAE2302">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（4）事实依据；</w:t>
      </w:r>
    </w:p>
    <w:p w14:paraId="328A2C94">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（5）必要的法律依据；</w:t>
      </w:r>
    </w:p>
    <w:p w14:paraId="5C92EBAA">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（6）提出质疑的日期。</w:t>
      </w:r>
    </w:p>
    <w:p w14:paraId="4993CCFC">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599A59F2">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5.质疑函内容不得含有虚假、恶意成份。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15FED4F6">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 xml:space="preserve">6.质疑函接收方式：由自然人本人或法定代表人或者其授权代表携带书面原件及身份证明原件到现场递交，否则不予受理。 </w:t>
      </w:r>
    </w:p>
    <w:p w14:paraId="04A1218C">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b w:val="0"/>
          <w:bCs w:val="0"/>
          <w:color w:val="auto"/>
          <w:sz w:val="24"/>
          <w:szCs w:val="24"/>
          <w:lang w:val="zh-CN" w:eastAsia="zh-CN"/>
        </w:rPr>
      </w:pPr>
      <w:r>
        <w:rPr>
          <w:rFonts w:hint="eastAsia" w:ascii="宋体" w:hAnsi="宋体" w:eastAsia="宋体" w:cs="宋体"/>
          <w:sz w:val="24"/>
          <w:szCs w:val="24"/>
          <w:lang w:val="zh-CN" w:eastAsia="zh-CN"/>
        </w:rPr>
        <w:t>7.质疑受理部门：</w:t>
      </w:r>
      <w:r>
        <w:rPr>
          <w:rFonts w:hint="eastAsia" w:ascii="宋体" w:hAnsi="宋体" w:eastAsia="宋体" w:cs="宋体"/>
          <w:b w:val="0"/>
          <w:bCs w:val="0"/>
          <w:color w:val="auto"/>
          <w:sz w:val="24"/>
          <w:szCs w:val="24"/>
          <w:lang w:val="en-US" w:eastAsia="zh-CN"/>
        </w:rPr>
        <w:t>宝泽项目管理有限公司</w:t>
      </w:r>
    </w:p>
    <w:p w14:paraId="089A8538">
      <w:pPr>
        <w:pageBreakBefore w:val="0"/>
        <w:kinsoku/>
        <w:wordWrap/>
        <w:overflowPunct/>
        <w:topLinePunct w:val="0"/>
        <w:autoSpaceDE w:val="0"/>
        <w:autoSpaceDN w:val="0"/>
        <w:bidi w:val="0"/>
        <w:spacing w:line="400" w:lineRule="exact"/>
        <w:ind w:left="0" w:leftChars="0" w:firstLine="480" w:firstLineChars="200"/>
        <w:jc w:val="both"/>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zh-CN" w:eastAsia="zh-CN"/>
        </w:rPr>
        <w:t>质疑受理电话：13629256096</w:t>
      </w:r>
    </w:p>
    <w:p w14:paraId="22104BE9">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val="zh-CN" w:eastAsia="zh-CN"/>
        </w:rPr>
        <w:t>提交质疑函地点：</w:t>
      </w:r>
      <w:r>
        <w:rPr>
          <w:rFonts w:hint="eastAsia" w:ascii="宋体" w:hAnsi="宋体" w:eastAsia="宋体" w:cs="宋体"/>
          <w:b w:val="0"/>
          <w:bCs w:val="0"/>
          <w:color w:val="auto"/>
          <w:sz w:val="24"/>
          <w:szCs w:val="24"/>
          <w:lang w:val="en-US" w:eastAsia="zh-CN"/>
        </w:rPr>
        <w:t>陕西省西安市未央区未央路二府庄1号荣豪大厦1幢20楼5-154室</w:t>
      </w:r>
    </w:p>
    <w:p w14:paraId="4996A16F">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lang w:val="zh-CN" w:eastAsia="zh-CN"/>
        </w:rPr>
        <w:t>本次采购活动中，采购代理机构对质疑函回复的书面文件的送达方式为现场取件。</w:t>
      </w:r>
    </w:p>
    <w:p w14:paraId="3D59CD6E">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如所质疑的问题比较复杂，采购人或者采购代理机构在规定的答复时间内无法回复，应事先告知提出质疑的供应商，同时向同级政府采购监督管理部门报告。</w:t>
      </w:r>
    </w:p>
    <w:p w14:paraId="0B3FB0E2">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10</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质疑供应商对采购人、采购代理机构的答复不满意，或者采购人、采购代理机构未在规定的时间内作出答复的，可以在答复期满后15个工作日内向采购人的同级政府采购监督管理部门投诉。</w:t>
      </w:r>
    </w:p>
    <w:p w14:paraId="2977E59C">
      <w:pPr>
        <w:pageBreakBefore w:val="0"/>
        <w:kinsoku/>
        <w:wordWrap/>
        <w:overflowPunct/>
        <w:topLinePunct w:val="0"/>
        <w:autoSpaceDE w:val="0"/>
        <w:autoSpaceDN w:val="0"/>
        <w:bidi w:val="0"/>
        <w:spacing w:line="400" w:lineRule="exact"/>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11</w:t>
      </w:r>
      <w:r>
        <w:rPr>
          <w:rFonts w:hint="eastAsia" w:ascii="宋体" w:hAnsi="宋体" w:eastAsia="宋体" w:cs="宋体"/>
          <w:sz w:val="24"/>
          <w:szCs w:val="24"/>
          <w:lang w:val="en-US" w:eastAsia="zh-CN"/>
        </w:rPr>
        <w:t>.</w:t>
      </w:r>
      <w:r>
        <w:rPr>
          <w:rFonts w:hint="eastAsia" w:ascii="宋体" w:hAnsi="宋体" w:eastAsia="宋体" w:cs="宋体"/>
          <w:sz w:val="24"/>
          <w:szCs w:val="24"/>
          <w:lang w:val="zh-CN" w:eastAsia="zh-CN"/>
        </w:rPr>
        <w:t>质疑函应当使用中文。</w:t>
      </w:r>
    </w:p>
    <w:p w14:paraId="30FDFFA8">
      <w:pPr>
        <w:pageBreakBefore w:val="0"/>
        <w:widowControl/>
        <w:numPr>
          <w:ilvl w:val="0"/>
          <w:numId w:val="0"/>
        </w:numPr>
        <w:kinsoku/>
        <w:wordWrap/>
        <w:overflowPunct/>
        <w:topLinePunct w:val="0"/>
        <w:autoSpaceDE/>
        <w:autoSpaceDN/>
        <w:bidi w:val="0"/>
        <w:spacing w:line="460" w:lineRule="exact"/>
        <w:jc w:val="center"/>
        <w:textAlignment w:val="auto"/>
        <w:outlineLvl w:val="1"/>
        <w:rPr>
          <w:rFonts w:hint="eastAsia" w:ascii="宋体" w:hAnsi="宋体" w:eastAsia="宋体" w:cs="宋体"/>
          <w:b/>
          <w:bCs/>
          <w:kern w:val="0"/>
          <w:sz w:val="24"/>
          <w:szCs w:val="24"/>
          <w:lang w:val="en-US" w:eastAsia="zh-CN"/>
        </w:rPr>
      </w:pPr>
      <w:bookmarkStart w:id="226" w:name="_Toc35335266"/>
      <w:bookmarkStart w:id="227" w:name="_Toc14254"/>
      <w:bookmarkStart w:id="228" w:name="_Toc14189417"/>
      <w:bookmarkStart w:id="229" w:name="_Toc23316594"/>
      <w:bookmarkStart w:id="230" w:name="_Toc23278"/>
      <w:bookmarkStart w:id="231" w:name="_Toc5578"/>
      <w:bookmarkStart w:id="232" w:name="_Toc10942"/>
      <w:bookmarkStart w:id="233" w:name="_Toc23316692"/>
      <w:bookmarkStart w:id="234" w:name="_Toc29452"/>
      <w:bookmarkStart w:id="235" w:name="_Toc23316530"/>
      <w:bookmarkStart w:id="236" w:name="_Toc23315670"/>
      <w:bookmarkStart w:id="237" w:name="_Toc18412209"/>
      <w:bookmarkStart w:id="238" w:name="_Toc14189284"/>
      <w:r>
        <w:rPr>
          <w:rFonts w:hint="eastAsia" w:ascii="宋体" w:hAnsi="宋体" w:eastAsia="宋体" w:cs="宋体"/>
          <w:b/>
          <w:bCs/>
          <w:kern w:val="0"/>
          <w:sz w:val="24"/>
          <w:szCs w:val="24"/>
          <w:lang w:val="en-US" w:eastAsia="zh-CN"/>
        </w:rPr>
        <w:t>十、其他</w:t>
      </w:r>
      <w:bookmarkEnd w:id="226"/>
      <w:bookmarkEnd w:id="227"/>
      <w:bookmarkEnd w:id="228"/>
      <w:bookmarkEnd w:id="229"/>
      <w:bookmarkEnd w:id="230"/>
      <w:bookmarkEnd w:id="231"/>
      <w:bookmarkEnd w:id="232"/>
      <w:bookmarkEnd w:id="233"/>
      <w:bookmarkEnd w:id="234"/>
      <w:bookmarkEnd w:id="235"/>
      <w:bookmarkEnd w:id="236"/>
      <w:bookmarkEnd w:id="237"/>
      <w:bookmarkEnd w:id="238"/>
    </w:p>
    <w:p w14:paraId="48571BAE">
      <w:pPr>
        <w:pageBreakBefore w:val="0"/>
        <w:kinsoku/>
        <w:wordWrap/>
        <w:overflowPunct/>
        <w:topLinePunct w:val="0"/>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（一）第一次公告后，谈判过程中出现下列情况之一的，按谈判失败处理：</w:t>
      </w:r>
    </w:p>
    <w:p w14:paraId="218A4F78">
      <w:pPr>
        <w:pageBreakBefore w:val="0"/>
        <w:kinsoku/>
        <w:wordWrap/>
        <w:overflowPunct/>
        <w:topLinePunct w:val="0"/>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因情况变化，不再符合规定的竞争谈判判采购方式适用情形的；</w:t>
      </w:r>
    </w:p>
    <w:p w14:paraId="058B58AE">
      <w:pPr>
        <w:pageBreakBefore w:val="0"/>
        <w:kinsoku/>
        <w:wordWrap/>
        <w:overflowPunct/>
        <w:topLinePunct w:val="0"/>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出现影响采购公正的违法、违规行为的；</w:t>
      </w:r>
    </w:p>
    <w:p w14:paraId="4F06ED11">
      <w:pPr>
        <w:pageBreakBefore w:val="0"/>
        <w:kinsoku/>
        <w:wordWrap/>
        <w:overflowPunct/>
        <w:topLinePunct w:val="0"/>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11CBB4FC">
      <w:pPr>
        <w:pageBreakBefore w:val="0"/>
        <w:kinsoku/>
        <w:wordWrap/>
        <w:overflowPunct/>
        <w:topLinePunct w:val="0"/>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因重大变故，采购任务取消的。</w:t>
      </w:r>
    </w:p>
    <w:p w14:paraId="59F8B500">
      <w:pPr>
        <w:pageBreakBefore w:val="0"/>
        <w:kinsoku/>
        <w:wordWrap/>
        <w:overflowPunct/>
        <w:topLinePunct w:val="0"/>
        <w:bidi w:val="0"/>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谈判失败后，除采购任务取消外，将重新组织采购。</w:t>
      </w:r>
    </w:p>
    <w:p w14:paraId="607D2ABD">
      <w:pPr>
        <w:pageBreakBefore w:val="0"/>
        <w:kinsoku/>
        <w:wordWrap/>
        <w:topLinePunct w:val="0"/>
        <w:bidi w:val="0"/>
        <w:spacing w:line="460" w:lineRule="exact"/>
        <w:textAlignment w:val="auto"/>
        <w:rPr>
          <w:rFonts w:hint="eastAsia" w:ascii="宋体" w:hAnsi="宋体" w:eastAsia="宋体"/>
        </w:rPr>
      </w:pPr>
      <w:r>
        <w:rPr>
          <w:rFonts w:hint="eastAsia" w:ascii="宋体" w:hAnsi="宋体" w:eastAsia="宋体"/>
        </w:rPr>
        <w:br w:type="page"/>
      </w:r>
    </w:p>
    <w:p w14:paraId="3C6B0CF3">
      <w:pPr>
        <w:bidi w:val="0"/>
        <w:jc w:val="center"/>
        <w:rPr>
          <w:rFonts w:hint="eastAsia" w:ascii="宋体" w:hAnsi="宋体" w:eastAsia="宋体" w:cs="宋体"/>
          <w:b/>
          <w:bCs/>
          <w:sz w:val="32"/>
          <w:szCs w:val="32"/>
          <w:lang w:val="en-US" w:eastAsia="zh-CN"/>
        </w:rPr>
      </w:pPr>
      <w:bookmarkStart w:id="239" w:name="_Toc7363"/>
      <w:r>
        <w:rPr>
          <w:rFonts w:hint="eastAsia" w:ascii="宋体" w:hAnsi="宋体" w:eastAsia="宋体" w:cs="宋体"/>
          <w:b/>
          <w:bCs/>
          <w:sz w:val="32"/>
          <w:szCs w:val="32"/>
          <w:lang w:val="en-US" w:eastAsia="zh-CN"/>
        </w:rPr>
        <w:t>第三章  采购</w:t>
      </w:r>
      <w:r>
        <w:rPr>
          <w:rFonts w:hint="eastAsia" w:ascii="宋体" w:hAnsi="宋体" w:eastAsia="宋体" w:cs="宋体"/>
          <w:b/>
          <w:bCs/>
          <w:sz w:val="32"/>
          <w:szCs w:val="32"/>
        </w:rPr>
        <w:t>内容及技术</w:t>
      </w:r>
      <w:r>
        <w:rPr>
          <w:rFonts w:hint="eastAsia" w:ascii="宋体" w:hAnsi="宋体" w:eastAsia="宋体" w:cs="宋体"/>
          <w:b/>
          <w:bCs/>
          <w:sz w:val="32"/>
          <w:szCs w:val="32"/>
          <w:lang w:eastAsia="zh-CN"/>
        </w:rPr>
        <w:t>、</w:t>
      </w:r>
      <w:r>
        <w:rPr>
          <w:rFonts w:hint="eastAsia" w:ascii="宋体" w:hAnsi="宋体" w:eastAsia="宋体" w:cs="宋体"/>
          <w:b/>
          <w:bCs/>
          <w:sz w:val="32"/>
          <w:szCs w:val="32"/>
          <w:lang w:val="en-US" w:eastAsia="zh-CN"/>
        </w:rPr>
        <w:t>商务</w:t>
      </w:r>
      <w:r>
        <w:rPr>
          <w:rFonts w:hint="eastAsia" w:ascii="宋体" w:hAnsi="宋体" w:eastAsia="宋体" w:cs="宋体"/>
          <w:b/>
          <w:bCs/>
          <w:sz w:val="32"/>
          <w:szCs w:val="32"/>
        </w:rPr>
        <w:t>要求</w:t>
      </w:r>
      <w:bookmarkEnd w:id="130"/>
      <w:bookmarkEnd w:id="131"/>
      <w:bookmarkEnd w:id="132"/>
      <w:bookmarkEnd w:id="133"/>
      <w:bookmarkEnd w:id="134"/>
      <w:bookmarkEnd w:id="135"/>
      <w:bookmarkEnd w:id="136"/>
      <w:bookmarkEnd w:id="137"/>
      <w:bookmarkEnd w:id="138"/>
      <w:bookmarkEnd w:id="239"/>
    </w:p>
    <w:p w14:paraId="0F5E73C4">
      <w:pPr>
        <w:keepNext w:val="0"/>
        <w:keepLines w:val="0"/>
        <w:pageBreakBefore w:val="0"/>
        <w:kinsoku/>
        <w:wordWrap/>
        <w:overflowPunct/>
        <w:topLinePunct w:val="0"/>
        <w:bidi w:val="0"/>
        <w:spacing w:line="400" w:lineRule="exact"/>
        <w:ind w:right="0" w:firstLine="482" w:firstLineChars="200"/>
        <w:jc w:val="both"/>
        <w:rPr>
          <w:rFonts w:hint="eastAsia" w:ascii="宋体" w:hAnsi="宋体" w:eastAsia="宋体" w:cs="宋体"/>
          <w:b/>
          <w:bCs/>
          <w:sz w:val="24"/>
          <w:szCs w:val="24"/>
        </w:rPr>
      </w:pPr>
      <w:bookmarkStart w:id="240" w:name="_Toc217446094"/>
      <w:r>
        <w:rPr>
          <w:rFonts w:hint="eastAsia" w:ascii="宋体" w:hAnsi="宋体" w:eastAsia="宋体" w:cs="宋体"/>
          <w:b/>
          <w:bCs/>
          <w:sz w:val="24"/>
          <w:szCs w:val="24"/>
        </w:rPr>
        <w:t>1.</w:t>
      </w:r>
      <w:r>
        <w:rPr>
          <w:rFonts w:hint="eastAsia" w:ascii="宋体" w:hAnsi="宋体" w:eastAsia="宋体" w:cs="宋体"/>
          <w:b/>
          <w:bCs/>
          <w:sz w:val="24"/>
          <w:szCs w:val="24"/>
          <w:lang w:val="en-US" w:eastAsia="zh-CN"/>
        </w:rPr>
        <w:t>项目设计范围及要求</w:t>
      </w:r>
    </w:p>
    <w:bookmarkEnd w:id="240"/>
    <w:p w14:paraId="29C4569E">
      <w:pPr>
        <w:pStyle w:val="5"/>
        <w:pageBreakBefore w:val="0"/>
        <w:kinsoku/>
        <w:wordWrap/>
        <w:overflowPunct/>
        <w:topLinePunct w:val="0"/>
        <w:bidi w:val="0"/>
        <w:spacing w:line="460" w:lineRule="exact"/>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1、项目名称：镇坪县上竹镇2025年以工代赈示范项目及上竹镇发龙村六、七组联网路项目前期设计编制服务</w:t>
      </w:r>
    </w:p>
    <w:p w14:paraId="58E32FC6">
      <w:pPr>
        <w:pStyle w:val="5"/>
        <w:pageBreakBefore w:val="0"/>
        <w:kinsoku/>
        <w:wordWrap/>
        <w:overflowPunct/>
        <w:topLinePunct w:val="0"/>
        <w:bidi w:val="0"/>
        <w:spacing w:line="460" w:lineRule="exact"/>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2、采购预算：250,000.00元</w:t>
      </w:r>
    </w:p>
    <w:p w14:paraId="21FE6FB5">
      <w:pPr>
        <w:pStyle w:val="5"/>
        <w:pageBreakBefore w:val="0"/>
        <w:kinsoku/>
        <w:wordWrap/>
        <w:overflowPunct/>
        <w:topLinePunct w:val="0"/>
        <w:bidi w:val="0"/>
        <w:spacing w:line="460" w:lineRule="exact"/>
        <w:ind w:left="0"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项目设计范围：镇坪县上竹镇2025年以工代赈示范项目及上竹镇发龙村六、七组联网路项目前期设计编制服务，为满足上竹镇及发龙村六、七组基础设施提升需求村容村貌得到大幅改善，现拟对镇坪县上竹镇2025年以工代赈示范项目及上竹镇发龙村六、七组联网路项目前期设计编制服务进行高标准设计，项目总投资620万元，本设计项目预算资金25万元。本项目为以工代赈示范项目，主要设计内容包括道路、联网路编制服务等工程。包含初步设计、施工图设计及后期服务。（具体设计内容以采购人提供资料为准）。</w:t>
      </w:r>
    </w:p>
    <w:p w14:paraId="0C805442">
      <w:pPr>
        <w:keepNext w:val="0"/>
        <w:keepLines w:val="0"/>
        <w:pageBreakBefore w:val="0"/>
        <w:kinsoku/>
        <w:wordWrap/>
        <w:overflowPunct/>
        <w:topLinePunct w:val="0"/>
        <w:bidi w:val="0"/>
        <w:spacing w:line="400" w:lineRule="exact"/>
        <w:ind w:right="0"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rPr>
        <w:t>2.</w:t>
      </w:r>
      <w:r>
        <w:rPr>
          <w:rFonts w:hint="eastAsia" w:ascii="宋体" w:hAnsi="宋体" w:eastAsia="宋体" w:cs="宋体"/>
          <w:b/>
          <w:bCs/>
          <w:sz w:val="24"/>
          <w:szCs w:val="24"/>
          <w:lang w:val="en-US" w:eastAsia="zh-CN"/>
        </w:rPr>
        <w:t>技术要求</w:t>
      </w:r>
    </w:p>
    <w:p w14:paraId="62066CEB">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 技术与工作要求</w:t>
      </w:r>
    </w:p>
    <w:p w14:paraId="152F8888">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2.1.1对承担的项目具有较高的实践和理论研究能力，近年承担过相关方案设计；</w:t>
      </w:r>
    </w:p>
    <w:p w14:paraId="50470C87">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2.1.2团队人员至少在相关行业具有</w:t>
      </w:r>
      <w:r>
        <w:rPr>
          <w:rFonts w:hint="eastAsia" w:ascii="宋体" w:hAnsi="宋体" w:cs="宋体"/>
          <w:sz w:val="24"/>
          <w:szCs w:val="24"/>
          <w:lang w:val="en-US" w:eastAsia="zh-CN"/>
        </w:rPr>
        <w:t>类似</w:t>
      </w:r>
      <w:r>
        <w:rPr>
          <w:rFonts w:hint="eastAsia" w:ascii="宋体" w:hAnsi="宋体" w:eastAsia="宋体" w:cs="宋体"/>
          <w:sz w:val="24"/>
          <w:szCs w:val="24"/>
          <w:lang w:val="en-US" w:eastAsia="zh-CN"/>
        </w:rPr>
        <w:t>经验，对本省内相关市政情况较为熟悉；</w:t>
      </w:r>
    </w:p>
    <w:p w14:paraId="6D2A77D7">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2.1.3团队人员熟悉承担项目涉及领域内的有关法律、法规、标准、技术规范及政策；</w:t>
      </w:r>
    </w:p>
    <w:p w14:paraId="367460D7">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2.1.4团队负责人及其成员履约过程中不得随意更换，确需调整时，须书面提请采购人同意。</w:t>
      </w:r>
    </w:p>
    <w:p w14:paraId="7ED514E7">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2.1.5有关数据来源要准确无误，实事求是。</w:t>
      </w:r>
    </w:p>
    <w:p w14:paraId="551CE0B5">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2.1.6工作符合陕西省市政相关要求。</w:t>
      </w:r>
    </w:p>
    <w:p w14:paraId="484C9956">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2.1.7做好相关保密工作，确保相关资料和信息不外泄。</w:t>
      </w:r>
    </w:p>
    <w:p w14:paraId="071B581B">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 编制成果提交要求</w:t>
      </w:r>
    </w:p>
    <w:p w14:paraId="4501699E">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2.2.1全部成果（包括设计成果、图纸、调查数据及其处理结果）均应制作成计算机文件，文本文件采用Microsoft word的格式文件，图形采用jpg的格式文件，调查数据及处理结果采用Microsoft Excel的格式文件，提供以上计算机文件光盘一套。</w:t>
      </w:r>
    </w:p>
    <w:p w14:paraId="751FDBDE">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2.2.2报告纸必须清晰完整。</w:t>
      </w:r>
    </w:p>
    <w:p w14:paraId="2530BC25">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2.2.3报告成果所使用的文字必须为简体中文。</w:t>
      </w:r>
    </w:p>
    <w:p w14:paraId="40D29A7C">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 服务保证</w:t>
      </w:r>
    </w:p>
    <w:p w14:paraId="11A36992">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2.3.1成交供应商须按照国家相关政策法规以及相关文件精神，即合理安排，真实评估，符合有关技术标准要求。 </w:t>
      </w:r>
    </w:p>
    <w:p w14:paraId="4F4DCF71">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2.3.2做好设计工作，合理安排人员时间，按照既定方案，力争提前保质保量完成本项目设计范围内的相关工作任务。 </w:t>
      </w:r>
    </w:p>
    <w:p w14:paraId="7682509F">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2.3.3成交供应商在设计及建设阶段应视情况而定开展相应工作。</w:t>
      </w:r>
    </w:p>
    <w:p w14:paraId="20CFFA0A">
      <w:pPr>
        <w:keepNext w:val="0"/>
        <w:keepLines w:val="0"/>
        <w:pageBreakBefore w:val="0"/>
        <w:widowControl/>
        <w:kinsoku/>
        <w:wordWrap/>
        <w:overflowPunct/>
        <w:topLinePunct w:val="0"/>
        <w:autoSpaceDE w:val="0"/>
        <w:autoSpaceDN w:val="0"/>
        <w:bidi w:val="0"/>
        <w:spacing w:line="400" w:lineRule="exact"/>
        <w:ind w:right="0" w:firstLine="482" w:firstLineChars="200"/>
        <w:jc w:val="both"/>
        <w:textAlignment w:val="bottom"/>
        <w:rPr>
          <w:rFonts w:hint="eastAsia" w:ascii="宋体" w:hAnsi="宋体" w:eastAsia="宋体" w:cs="宋体"/>
          <w:b/>
          <w:sz w:val="24"/>
          <w:szCs w:val="24"/>
        </w:rPr>
      </w:pPr>
      <w:r>
        <w:rPr>
          <w:rFonts w:hint="eastAsia" w:ascii="宋体" w:hAnsi="宋体" w:eastAsia="宋体" w:cs="宋体"/>
          <w:b/>
          <w:sz w:val="24"/>
          <w:szCs w:val="24"/>
          <w:lang w:val="en-US" w:eastAsia="zh-CN"/>
        </w:rPr>
        <w:t>3.质量</w:t>
      </w:r>
      <w:r>
        <w:rPr>
          <w:rFonts w:hint="eastAsia" w:ascii="宋体" w:hAnsi="宋体" w:eastAsia="宋体" w:cs="宋体"/>
          <w:b/>
          <w:sz w:val="24"/>
          <w:szCs w:val="24"/>
        </w:rPr>
        <w:t>要求</w:t>
      </w:r>
    </w:p>
    <w:p w14:paraId="740B72F8">
      <w:pPr>
        <w:pStyle w:val="5"/>
        <w:keepNext w:val="0"/>
        <w:keepLines w:val="0"/>
        <w:pageBreakBefore w:val="0"/>
        <w:kinsoku/>
        <w:wordWrap/>
        <w:overflowPunct/>
        <w:topLinePunct w:val="0"/>
        <w:bidi w:val="0"/>
        <w:spacing w:line="400" w:lineRule="exact"/>
        <w:ind w:left="0" w:leftChars="0" w:right="0" w:firstLine="482" w:firstLineChars="20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3.1强制采购的节能产品：</w:t>
      </w:r>
      <w:r>
        <w:rPr>
          <w:rFonts w:hint="eastAsia" w:ascii="宋体" w:hAnsi="宋体" w:eastAsia="宋体" w:cs="宋体"/>
          <w:sz w:val="24"/>
          <w:szCs w:val="24"/>
          <w:lang w:val="en-US" w:eastAsia="zh-CN"/>
        </w:rPr>
        <w:t>无</w:t>
      </w:r>
    </w:p>
    <w:p w14:paraId="6EA81891">
      <w:pPr>
        <w:pStyle w:val="5"/>
        <w:keepNext w:val="0"/>
        <w:keepLines w:val="0"/>
        <w:pageBreakBefore w:val="0"/>
        <w:kinsoku/>
        <w:wordWrap/>
        <w:overflowPunct/>
        <w:topLinePunct w:val="0"/>
        <w:bidi w:val="0"/>
        <w:spacing w:line="400" w:lineRule="exact"/>
        <w:ind w:left="0" w:leftChars="0" w:right="0" w:firstLine="482" w:firstLineChars="200"/>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3.2服务方案要求</w:t>
      </w:r>
    </w:p>
    <w:p w14:paraId="72660BC0">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服务方案应当根据实际情况出发综合考量，全面细致、科学合理、具备可操作性。</w:t>
      </w:r>
    </w:p>
    <w:p w14:paraId="4656FCF7">
      <w:pPr>
        <w:pStyle w:val="5"/>
        <w:keepNext w:val="0"/>
        <w:keepLines w:val="0"/>
        <w:pageBreakBefore w:val="0"/>
        <w:kinsoku/>
        <w:wordWrap/>
        <w:overflowPunct/>
        <w:topLinePunct w:val="0"/>
        <w:bidi w:val="0"/>
        <w:spacing w:line="400" w:lineRule="exact"/>
        <w:ind w:left="0" w:leftChars="0" w:right="0"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3.3质量要求</w:t>
      </w:r>
    </w:p>
    <w:p w14:paraId="295B4CDD">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依据设计项目的要求，本项目的设计成果必须符合工程设计规范。</w:t>
      </w:r>
    </w:p>
    <w:p w14:paraId="0D916CAC">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有国家企业标准、规范的，应当符合国家企业标准、规范；没有国家企业标准、规范的，应当符合相关行业或地方企业标准、规范或团体企业标准、规范或企业标准、规范。</w:t>
      </w:r>
    </w:p>
    <w:p w14:paraId="111EAA20">
      <w:pPr>
        <w:pStyle w:val="5"/>
        <w:keepNext w:val="0"/>
        <w:keepLines w:val="0"/>
        <w:pageBreakBefore w:val="0"/>
        <w:kinsoku/>
        <w:wordWrap/>
        <w:overflowPunct/>
        <w:topLinePunct w:val="0"/>
        <w:bidi w:val="0"/>
        <w:spacing w:line="400" w:lineRule="exact"/>
        <w:ind w:left="0" w:leftChars="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必须执行：国家（行业）强制性标准。</w:t>
      </w:r>
    </w:p>
    <w:p w14:paraId="22177B76">
      <w:pPr>
        <w:keepNext w:val="0"/>
        <w:keepLines w:val="0"/>
        <w:pageBreakBefore w:val="0"/>
        <w:widowControl/>
        <w:kinsoku/>
        <w:wordWrap/>
        <w:overflowPunct/>
        <w:topLinePunct w:val="0"/>
        <w:autoSpaceDE w:val="0"/>
        <w:autoSpaceDN w:val="0"/>
        <w:bidi w:val="0"/>
        <w:spacing w:line="400" w:lineRule="exact"/>
        <w:ind w:right="0" w:firstLine="482" w:firstLineChars="200"/>
        <w:jc w:val="both"/>
        <w:textAlignment w:val="bottom"/>
        <w:rPr>
          <w:rFonts w:hint="eastAsia" w:ascii="宋体" w:hAnsi="宋体" w:eastAsia="宋体" w:cs="宋体"/>
          <w:b/>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商务要求</w:t>
      </w:r>
    </w:p>
    <w:p w14:paraId="29D01443">
      <w:pPr>
        <w:numPr>
          <w:ilvl w:val="0"/>
          <w:numId w:val="0"/>
        </w:numPr>
        <w:bidi w:val="0"/>
        <w:jc w:val="left"/>
        <w:rPr>
          <w:rFonts w:ascii="宋体" w:hAnsi="宋体" w:eastAsia="宋体" w:cs="宋体"/>
          <w:sz w:val="24"/>
          <w:szCs w:val="24"/>
        </w:rPr>
      </w:pPr>
      <w:bookmarkStart w:id="241" w:name="_Toc23316596"/>
      <w:bookmarkStart w:id="242" w:name="_Toc23316532"/>
      <w:bookmarkStart w:id="243" w:name="_Toc23315672"/>
      <w:bookmarkStart w:id="244" w:name="_Toc12337"/>
      <w:bookmarkStart w:id="245" w:name="_Toc23316694"/>
      <w:bookmarkStart w:id="246" w:name="_Toc3837039"/>
      <w:r>
        <w:rPr>
          <w:rFonts w:ascii="宋体" w:hAnsi="宋体" w:eastAsia="宋体" w:cs="宋体"/>
          <w:sz w:val="24"/>
          <w:szCs w:val="24"/>
        </w:rPr>
        <w:t>一、服务期：合同签订后 30 日历天内提交相关成果文件；</w:t>
      </w:r>
    </w:p>
    <w:p w14:paraId="2548D9D4">
      <w:pPr>
        <w:numPr>
          <w:ilvl w:val="0"/>
          <w:numId w:val="0"/>
        </w:numPr>
        <w:bidi w:val="0"/>
        <w:jc w:val="left"/>
        <w:rPr>
          <w:rFonts w:ascii="宋体" w:hAnsi="宋体" w:eastAsia="宋体" w:cs="宋体"/>
          <w:sz w:val="24"/>
          <w:szCs w:val="24"/>
        </w:rPr>
      </w:pPr>
      <w:r>
        <w:rPr>
          <w:rFonts w:ascii="宋体" w:hAnsi="宋体" w:eastAsia="宋体" w:cs="宋体"/>
          <w:sz w:val="24"/>
          <w:szCs w:val="24"/>
        </w:rPr>
        <w:t xml:space="preserve">二、服务地点：采购人指定地点； </w:t>
      </w:r>
    </w:p>
    <w:p w14:paraId="47556EC0">
      <w:pPr>
        <w:numPr>
          <w:ilvl w:val="0"/>
          <w:numId w:val="0"/>
        </w:numPr>
        <w:bidi w:val="0"/>
        <w:jc w:val="left"/>
        <w:rPr>
          <w:rFonts w:ascii="宋体" w:hAnsi="宋体" w:eastAsia="宋体" w:cs="宋体"/>
          <w:sz w:val="24"/>
          <w:szCs w:val="24"/>
        </w:rPr>
      </w:pPr>
      <w:r>
        <w:rPr>
          <w:rFonts w:ascii="宋体" w:hAnsi="宋体" w:eastAsia="宋体" w:cs="宋体"/>
          <w:sz w:val="24"/>
          <w:szCs w:val="24"/>
        </w:rPr>
        <w:t>三、付款方式：具体以甲乙双方协商为准。</w:t>
      </w:r>
    </w:p>
    <w:p w14:paraId="092B72EC">
      <w:pPr>
        <w:numPr>
          <w:ilvl w:val="0"/>
          <w:numId w:val="0"/>
        </w:numPr>
        <w:bidi w:val="0"/>
        <w:jc w:val="left"/>
        <w:rPr>
          <w:rFonts w:ascii="宋体" w:hAnsi="宋体" w:eastAsia="宋体" w:cs="宋体"/>
          <w:sz w:val="24"/>
          <w:szCs w:val="24"/>
        </w:rPr>
      </w:pPr>
      <w:r>
        <w:rPr>
          <w:rFonts w:ascii="宋体" w:hAnsi="宋体" w:eastAsia="宋体" w:cs="宋体"/>
          <w:sz w:val="24"/>
          <w:szCs w:val="24"/>
        </w:rPr>
        <w:t>四、质量要求：按国家行业标准、规范和合同约定的技术标准进行设计。</w:t>
      </w:r>
    </w:p>
    <w:p w14:paraId="7E5A84C8">
      <w:pPr>
        <w:numPr>
          <w:ilvl w:val="0"/>
          <w:numId w:val="0"/>
        </w:numPr>
        <w:bidi w:val="0"/>
        <w:jc w:val="left"/>
        <w:rPr>
          <w:rFonts w:ascii="宋体" w:hAnsi="宋体" w:eastAsia="宋体" w:cs="宋体"/>
          <w:sz w:val="24"/>
          <w:szCs w:val="24"/>
        </w:rPr>
      </w:pPr>
      <w:r>
        <w:rPr>
          <w:rFonts w:ascii="宋体" w:hAnsi="宋体" w:eastAsia="宋体" w:cs="宋体"/>
          <w:sz w:val="24"/>
          <w:szCs w:val="24"/>
        </w:rPr>
        <w:t>五、履约保证</w:t>
      </w:r>
    </w:p>
    <w:p w14:paraId="330CE0E9">
      <w:pPr>
        <w:numPr>
          <w:ilvl w:val="0"/>
          <w:numId w:val="0"/>
        </w:numPr>
        <w:bidi w:val="0"/>
        <w:jc w:val="left"/>
        <w:rPr>
          <w:rFonts w:ascii="宋体" w:hAnsi="宋体" w:eastAsia="宋体" w:cs="宋体"/>
          <w:sz w:val="24"/>
          <w:szCs w:val="24"/>
        </w:rPr>
      </w:pPr>
      <w:r>
        <w:rPr>
          <w:rFonts w:ascii="宋体" w:hAnsi="宋体" w:eastAsia="宋体" w:cs="宋体"/>
          <w:sz w:val="24"/>
          <w:szCs w:val="24"/>
        </w:rPr>
        <w:t xml:space="preserve"> 1、成交公告公示期结束后 25 日内，成交供应商主动与采购方联系并签订合同书，超过25 日未签订合同书视为成交供应商主动放弃，由此引发的一切后果由中标方承担。</w:t>
      </w:r>
    </w:p>
    <w:p w14:paraId="5215B7C7">
      <w:pPr>
        <w:numPr>
          <w:ilvl w:val="0"/>
          <w:numId w:val="0"/>
        </w:numPr>
        <w:bidi w:val="0"/>
        <w:jc w:val="left"/>
        <w:rPr>
          <w:rFonts w:ascii="宋体" w:hAnsi="宋体" w:eastAsia="宋体" w:cs="宋体"/>
          <w:sz w:val="24"/>
          <w:szCs w:val="24"/>
        </w:rPr>
      </w:pPr>
      <w:r>
        <w:rPr>
          <w:rFonts w:ascii="宋体" w:hAnsi="宋体" w:eastAsia="宋体" w:cs="宋体"/>
          <w:sz w:val="24"/>
          <w:szCs w:val="24"/>
        </w:rPr>
        <w:t>2、提供的服务等，能满足</w:t>
      </w:r>
      <w:r>
        <w:rPr>
          <w:rFonts w:hint="eastAsia" w:ascii="宋体" w:hAnsi="宋体" w:eastAsia="宋体" w:cs="宋体"/>
          <w:sz w:val="24"/>
          <w:szCs w:val="24"/>
          <w:lang w:val="en-US" w:eastAsia="zh-CN"/>
        </w:rPr>
        <w:t>镇坪县重点项目储备统建中心</w:t>
      </w:r>
      <w:r>
        <w:rPr>
          <w:rFonts w:ascii="宋体" w:hAnsi="宋体" w:eastAsia="宋体" w:cs="宋体"/>
          <w:sz w:val="24"/>
          <w:szCs w:val="24"/>
        </w:rPr>
        <w:t xml:space="preserve">业务发展的需要，符合国家与行业相关规定与要求。若无法满足上述所有需求，在签订合同书 7 个工作日之内，供应商需采取可行的方法进行修正与补救，并不得要求采购方承担任何费用。若供应商在上述规定的时间之内没有执行修正与补救措施，或经过修正与补救后仍然无法满足采购方上述所有需求，采购方有权单方面解除采购合同，并且不承担任何责任与后果，同时追究供应商的违约责任，对采购方造成损失的可继续追偿。 </w:t>
      </w:r>
    </w:p>
    <w:p w14:paraId="49894455">
      <w:pPr>
        <w:numPr>
          <w:ilvl w:val="0"/>
          <w:numId w:val="0"/>
        </w:numPr>
        <w:bidi w:val="0"/>
        <w:jc w:val="left"/>
        <w:rPr>
          <w:rFonts w:ascii="宋体" w:hAnsi="宋体" w:eastAsia="宋体" w:cs="宋体"/>
          <w:sz w:val="24"/>
          <w:szCs w:val="24"/>
        </w:rPr>
      </w:pPr>
      <w:r>
        <w:rPr>
          <w:rFonts w:ascii="宋体" w:hAnsi="宋体" w:eastAsia="宋体" w:cs="宋体"/>
          <w:sz w:val="24"/>
          <w:szCs w:val="24"/>
        </w:rPr>
        <w:t xml:space="preserve">3、供应商的磋商响应文件为签订正式书面合同书可分割的部分，供应商应履行相应的责任。 </w:t>
      </w:r>
    </w:p>
    <w:p w14:paraId="3740CC4A">
      <w:pPr>
        <w:numPr>
          <w:ilvl w:val="0"/>
          <w:numId w:val="0"/>
        </w:numPr>
        <w:bidi w:val="0"/>
        <w:jc w:val="left"/>
        <w:rPr>
          <w:rFonts w:ascii="宋体" w:hAnsi="宋体" w:eastAsia="宋体" w:cs="宋体"/>
          <w:sz w:val="24"/>
          <w:szCs w:val="24"/>
        </w:rPr>
      </w:pPr>
      <w:r>
        <w:rPr>
          <w:rFonts w:ascii="宋体" w:hAnsi="宋体" w:eastAsia="宋体" w:cs="宋体"/>
          <w:sz w:val="24"/>
          <w:szCs w:val="24"/>
        </w:rPr>
        <w:t xml:space="preserve">六、违约责任 </w:t>
      </w:r>
    </w:p>
    <w:p w14:paraId="77AA81F7">
      <w:pPr>
        <w:numPr>
          <w:ilvl w:val="0"/>
          <w:numId w:val="0"/>
        </w:numPr>
        <w:bidi w:val="0"/>
        <w:jc w:val="left"/>
        <w:rPr>
          <w:rFonts w:ascii="宋体" w:hAnsi="宋体" w:eastAsia="宋体" w:cs="宋体"/>
          <w:sz w:val="24"/>
          <w:szCs w:val="24"/>
        </w:rPr>
      </w:pPr>
      <w:r>
        <w:rPr>
          <w:rFonts w:ascii="宋体" w:hAnsi="宋体" w:eastAsia="宋体" w:cs="宋体"/>
          <w:sz w:val="24"/>
          <w:szCs w:val="24"/>
        </w:rPr>
        <w:t xml:space="preserve">1、按《中华人民共和国民法典》中的相关条款执行。 </w:t>
      </w:r>
    </w:p>
    <w:p w14:paraId="23FF26F7">
      <w:pPr>
        <w:numPr>
          <w:ilvl w:val="0"/>
          <w:numId w:val="0"/>
        </w:numPr>
        <w:bidi w:val="0"/>
        <w:jc w:val="left"/>
        <w:rPr>
          <w:rFonts w:ascii="宋体" w:hAnsi="宋体" w:eastAsia="宋体" w:cs="宋体"/>
          <w:sz w:val="24"/>
          <w:szCs w:val="24"/>
        </w:rPr>
      </w:pPr>
      <w:r>
        <w:rPr>
          <w:rFonts w:ascii="宋体" w:hAnsi="宋体" w:eastAsia="宋体" w:cs="宋体"/>
          <w:sz w:val="24"/>
          <w:szCs w:val="24"/>
        </w:rPr>
        <w:t>2、未按合同要求提供服务不能满足服务要求，采购人有权终止合同，同时报请政府采购管理部门对其违约行为进行追究。</w:t>
      </w:r>
    </w:p>
    <w:p w14:paraId="0D611ED2">
      <w:pPr>
        <w:numPr>
          <w:ilvl w:val="0"/>
          <w:numId w:val="0"/>
        </w:numPr>
        <w:bidi w:val="0"/>
        <w:jc w:val="left"/>
        <w:rPr>
          <w:rFonts w:ascii="宋体" w:hAnsi="宋体" w:eastAsia="宋体" w:cs="宋体"/>
          <w:sz w:val="24"/>
          <w:szCs w:val="24"/>
        </w:rPr>
      </w:pPr>
    </w:p>
    <w:p w14:paraId="6D5A5EC9">
      <w:pPr>
        <w:numPr>
          <w:ilvl w:val="0"/>
          <w:numId w:val="0"/>
        </w:numPr>
        <w:bidi w:val="0"/>
        <w:jc w:val="left"/>
        <w:rPr>
          <w:rFonts w:ascii="宋体" w:hAnsi="宋体" w:eastAsia="宋体" w:cs="宋体"/>
          <w:sz w:val="24"/>
          <w:szCs w:val="24"/>
        </w:rPr>
      </w:pPr>
    </w:p>
    <w:p w14:paraId="4C8D6A37">
      <w:pPr>
        <w:numPr>
          <w:ilvl w:val="0"/>
          <w:numId w:val="0"/>
        </w:numPr>
        <w:bidi w:val="0"/>
        <w:jc w:val="left"/>
        <w:rPr>
          <w:rFonts w:ascii="宋体" w:hAnsi="宋体" w:eastAsia="宋体" w:cs="宋体"/>
          <w:sz w:val="24"/>
          <w:szCs w:val="24"/>
        </w:rPr>
      </w:pPr>
    </w:p>
    <w:p w14:paraId="79931945">
      <w:pPr>
        <w:numPr>
          <w:ilvl w:val="0"/>
          <w:numId w:val="0"/>
        </w:numPr>
        <w:bidi w:val="0"/>
        <w:jc w:val="left"/>
        <w:rPr>
          <w:rFonts w:ascii="宋体" w:hAnsi="宋体" w:eastAsia="宋体" w:cs="宋体"/>
          <w:sz w:val="24"/>
          <w:szCs w:val="24"/>
        </w:rPr>
      </w:pPr>
    </w:p>
    <w:p w14:paraId="71837471">
      <w:pPr>
        <w:numPr>
          <w:ilvl w:val="0"/>
          <w:numId w:val="0"/>
        </w:numPr>
        <w:bidi w:val="0"/>
        <w:jc w:val="left"/>
        <w:rPr>
          <w:rFonts w:ascii="宋体" w:hAnsi="宋体" w:eastAsia="宋体" w:cs="宋体"/>
          <w:sz w:val="24"/>
          <w:szCs w:val="24"/>
        </w:rPr>
      </w:pPr>
    </w:p>
    <w:p w14:paraId="51B4AE12">
      <w:pPr>
        <w:numPr>
          <w:ilvl w:val="0"/>
          <w:numId w:val="0"/>
        </w:numPr>
        <w:bidi w:val="0"/>
        <w:jc w:val="left"/>
        <w:rPr>
          <w:rFonts w:ascii="宋体" w:hAnsi="宋体" w:eastAsia="宋体" w:cs="宋体"/>
          <w:sz w:val="24"/>
          <w:szCs w:val="24"/>
        </w:rPr>
      </w:pPr>
    </w:p>
    <w:p w14:paraId="3B9396CD">
      <w:pPr>
        <w:pStyle w:val="2"/>
        <w:rPr>
          <w:rFonts w:ascii="宋体" w:hAnsi="宋体" w:eastAsia="宋体" w:cs="宋体"/>
          <w:sz w:val="24"/>
          <w:szCs w:val="24"/>
        </w:rPr>
      </w:pPr>
    </w:p>
    <w:p w14:paraId="09DD84FC"/>
    <w:p w14:paraId="5DAA64CF">
      <w:pPr>
        <w:numPr>
          <w:ilvl w:val="0"/>
          <w:numId w:val="0"/>
        </w:numPr>
        <w:bidi w:val="0"/>
        <w:jc w:val="left"/>
        <w:rPr>
          <w:rFonts w:ascii="宋体" w:hAnsi="宋体" w:eastAsia="宋体" w:cs="宋体"/>
          <w:sz w:val="24"/>
          <w:szCs w:val="24"/>
        </w:rPr>
      </w:pPr>
    </w:p>
    <w:p w14:paraId="2510C4F4">
      <w:pPr>
        <w:numPr>
          <w:ilvl w:val="0"/>
          <w:numId w:val="0"/>
        </w:numPr>
        <w:bidi w:val="0"/>
        <w:jc w:val="left"/>
        <w:rPr>
          <w:rFonts w:ascii="宋体" w:hAnsi="宋体" w:eastAsia="宋体" w:cs="宋体"/>
          <w:sz w:val="24"/>
          <w:szCs w:val="24"/>
        </w:rPr>
      </w:pPr>
    </w:p>
    <w:p w14:paraId="0991E948">
      <w:pPr>
        <w:numPr>
          <w:ilvl w:val="0"/>
          <w:numId w:val="0"/>
        </w:numPr>
        <w:bidi w:val="0"/>
        <w:jc w:val="center"/>
        <w:rPr>
          <w:rFonts w:hint="eastAsia" w:ascii="宋体" w:hAnsi="宋体" w:eastAsia="宋体" w:cs="宋体"/>
          <w:b/>
          <w:bCs/>
          <w:sz w:val="32"/>
          <w:szCs w:val="32"/>
        </w:rPr>
      </w:pPr>
      <w:r>
        <w:rPr>
          <w:rFonts w:hint="eastAsia" w:ascii="宋体" w:hAnsi="宋体" w:eastAsia="宋体" w:cs="宋体"/>
          <w:b/>
          <w:bCs/>
          <w:kern w:val="2"/>
          <w:sz w:val="32"/>
          <w:szCs w:val="32"/>
          <w:lang w:val="en-US" w:eastAsia="zh-CN" w:bidi="ar-SA"/>
        </w:rPr>
        <w:t xml:space="preserve">第四章 </w:t>
      </w:r>
      <w:r>
        <w:rPr>
          <w:rFonts w:hint="eastAsia" w:ascii="宋体" w:hAnsi="宋体" w:eastAsia="宋体" w:cs="宋体"/>
          <w:b/>
          <w:bCs/>
          <w:sz w:val="32"/>
          <w:szCs w:val="32"/>
        </w:rPr>
        <w:t xml:space="preserve"> </w:t>
      </w:r>
      <w:bookmarkStart w:id="247" w:name="_Toc28932"/>
      <w:r>
        <w:rPr>
          <w:rFonts w:hint="eastAsia" w:ascii="宋体" w:hAnsi="宋体" w:eastAsia="宋体" w:cs="宋体"/>
          <w:b/>
          <w:bCs/>
          <w:sz w:val="32"/>
          <w:szCs w:val="32"/>
          <w:lang w:val="en-US" w:eastAsia="zh-CN"/>
        </w:rPr>
        <w:t>拟签订</w:t>
      </w:r>
      <w:r>
        <w:rPr>
          <w:rFonts w:hint="eastAsia" w:ascii="宋体" w:hAnsi="宋体" w:eastAsia="宋体" w:cs="宋体"/>
          <w:b/>
          <w:bCs/>
          <w:sz w:val="32"/>
          <w:szCs w:val="32"/>
        </w:rPr>
        <w:t>合同主要条款</w:t>
      </w:r>
      <w:bookmarkEnd w:id="241"/>
      <w:bookmarkEnd w:id="242"/>
      <w:bookmarkEnd w:id="243"/>
      <w:bookmarkEnd w:id="244"/>
      <w:bookmarkEnd w:id="245"/>
      <w:bookmarkEnd w:id="246"/>
      <w:bookmarkEnd w:id="247"/>
    </w:p>
    <w:p w14:paraId="62365941">
      <w:pPr>
        <w:keepNext w:val="0"/>
        <w:keepLines w:val="0"/>
        <w:pageBreakBefore w:val="0"/>
        <w:widowControl/>
        <w:kinsoku/>
        <w:wordWrap/>
        <w:overflowPunct/>
        <w:topLinePunct w:val="0"/>
        <w:autoSpaceDE/>
        <w:autoSpaceDN/>
        <w:bidi w:val="0"/>
        <w:spacing w:beforeAutospacing="0" w:afterAutospacing="0" w:line="400" w:lineRule="exact"/>
        <w:jc w:val="center"/>
        <w:textAlignment w:val="auto"/>
        <w:rPr>
          <w:rFonts w:hint="eastAsia" w:ascii="宋体" w:hAnsi="宋体" w:eastAsia="宋体" w:cs="宋体"/>
          <w:snapToGrid w:val="0"/>
          <w:kern w:val="0"/>
          <w:sz w:val="24"/>
          <w:szCs w:val="24"/>
          <w:lang w:val="en-US" w:eastAsia="zh-CN" w:bidi="ar-SA"/>
        </w:rPr>
      </w:pPr>
      <w:bookmarkStart w:id="248" w:name="_Toc23315673"/>
      <w:bookmarkStart w:id="249" w:name="_Toc23316597"/>
      <w:bookmarkStart w:id="250" w:name="_Toc23316695"/>
      <w:bookmarkStart w:id="251" w:name="_Toc14189287"/>
      <w:bookmarkStart w:id="252" w:name="_Toc23316533"/>
      <w:bookmarkStart w:id="253" w:name="_Toc18412211"/>
      <w:bookmarkStart w:id="254" w:name="_Toc31168"/>
      <w:bookmarkStart w:id="255" w:name="_Toc17715"/>
      <w:bookmarkStart w:id="256" w:name="_Toc14189420"/>
      <w:r>
        <w:rPr>
          <w:rFonts w:hint="eastAsia" w:ascii="宋体" w:hAnsi="宋体" w:eastAsia="宋体" w:cs="宋体"/>
          <w:b/>
          <w:bCs/>
          <w:snapToGrid w:val="0"/>
          <w:kern w:val="0"/>
          <w:sz w:val="24"/>
          <w:szCs w:val="24"/>
          <w:lang w:val="en-US" w:eastAsia="zh-CN" w:bidi="ar-SA"/>
        </w:rPr>
        <w:t>建设工程设计合同</w:t>
      </w:r>
    </w:p>
    <w:p w14:paraId="5F683099">
      <w:pPr>
        <w:keepNext w:val="0"/>
        <w:keepLines w:val="0"/>
        <w:pageBreakBefore w:val="0"/>
        <w:widowControl/>
        <w:kinsoku/>
        <w:wordWrap/>
        <w:overflowPunct/>
        <w:topLinePunct w:val="0"/>
        <w:autoSpaceDE/>
        <w:autoSpaceDN/>
        <w:bidi w:val="0"/>
        <w:spacing w:beforeAutospacing="0" w:afterAutospacing="0" w:line="400" w:lineRule="exact"/>
        <w:ind w:left="0" w:leftChars="0" w:firstLine="480" w:firstLineChars="200"/>
        <w:jc w:val="both"/>
        <w:textAlignment w:val="auto"/>
        <w:rPr>
          <w:rFonts w:hint="eastAsia" w:ascii="宋体" w:hAnsi="宋体" w:eastAsia="宋体" w:cs="宋体"/>
          <w:b/>
          <w:bCs/>
          <w:snapToGrid w:val="0"/>
          <w:kern w:val="0"/>
          <w:sz w:val="24"/>
          <w:szCs w:val="24"/>
          <w:u w:val="single"/>
          <w:lang w:val="en-US" w:eastAsia="zh-CN" w:bidi="ar-SA"/>
        </w:rPr>
      </w:pPr>
      <w:r>
        <w:rPr>
          <w:rFonts w:hint="eastAsia" w:ascii="宋体" w:hAnsi="宋体" w:eastAsia="宋体" w:cs="宋体"/>
          <w:snapToGrid w:val="0"/>
          <w:kern w:val="0"/>
          <w:sz w:val="24"/>
          <w:szCs w:val="24"/>
          <w:lang w:val="en-US" w:eastAsia="zh-CN" w:bidi="ar-SA"/>
        </w:rPr>
        <w:t>委托方：</w:t>
      </w:r>
      <w:r>
        <w:rPr>
          <w:rFonts w:hint="eastAsia" w:ascii="宋体" w:hAnsi="宋体" w:eastAsia="宋体" w:cs="宋体"/>
          <w:b/>
          <w:bCs/>
          <w:snapToGrid w:val="0"/>
          <w:kern w:val="0"/>
          <w:sz w:val="24"/>
          <w:szCs w:val="24"/>
          <w:u w:val="single"/>
          <w:lang w:val="en-US" w:eastAsia="zh-CN" w:bidi="ar-SA"/>
        </w:rPr>
        <w:t>镇坪县重点项目储备统建中心</w:t>
      </w:r>
    </w:p>
    <w:p w14:paraId="5A6D8439">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jc w:val="both"/>
        <w:textAlignment w:val="auto"/>
        <w:rPr>
          <w:rFonts w:hint="eastAsia" w:ascii="宋体" w:hAnsi="宋体" w:eastAsia="宋体" w:cs="宋体"/>
          <w:b/>
          <w:bCs/>
          <w:snapToGrid w:val="0"/>
          <w:kern w:val="0"/>
          <w:sz w:val="24"/>
          <w:szCs w:val="24"/>
          <w:lang w:val="en-US" w:eastAsia="zh-CN"/>
        </w:rPr>
      </w:pPr>
      <w:r>
        <w:rPr>
          <w:rFonts w:hint="eastAsia" w:ascii="宋体" w:hAnsi="宋体" w:eastAsia="宋体" w:cs="宋体"/>
          <w:snapToGrid w:val="0"/>
          <w:kern w:val="0"/>
          <w:sz w:val="24"/>
          <w:szCs w:val="24"/>
        </w:rPr>
        <w:t>受托方：</w:t>
      </w:r>
      <w:r>
        <w:rPr>
          <w:rFonts w:hint="eastAsia" w:ascii="宋体" w:hAnsi="宋体" w:eastAsia="宋体" w:cs="宋体"/>
          <w:b/>
          <w:sz w:val="24"/>
          <w:szCs w:val="24"/>
          <w:u w:val="single"/>
          <w:lang w:val="en-US" w:eastAsia="zh-CN"/>
        </w:rPr>
        <w:t xml:space="preserve">                          </w:t>
      </w:r>
    </w:p>
    <w:p w14:paraId="4F83998A">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委托人委托受托人承担《</w:t>
      </w:r>
      <w:r>
        <w:rPr>
          <w:rFonts w:hint="eastAsia" w:ascii="宋体" w:hAnsi="宋体" w:eastAsia="宋体" w:cs="宋体"/>
          <w:kern w:val="0"/>
          <w:sz w:val="24"/>
          <w:szCs w:val="24"/>
          <w:u w:val="single"/>
          <w:lang w:val="en-US" w:eastAsia="zh-CN" w:bidi="ar-SA"/>
        </w:rPr>
        <w:t xml:space="preserve">                  工程</w:t>
      </w:r>
      <w:r>
        <w:rPr>
          <w:rFonts w:hint="eastAsia" w:ascii="宋体" w:hAnsi="宋体" w:eastAsia="宋体" w:cs="宋体"/>
          <w:snapToGrid w:val="0"/>
          <w:kern w:val="0"/>
          <w:sz w:val="24"/>
          <w:szCs w:val="24"/>
          <w:lang w:val="en-US" w:eastAsia="zh-CN" w:bidi="ar-SA"/>
        </w:rPr>
        <w:t>》设计工作，工程地点为陕西省安康市镇坪县，经双方协商一致，签订本合同，共同执行。</w:t>
      </w:r>
    </w:p>
    <w:p w14:paraId="7B84256B">
      <w:pPr>
        <w:keepNext w:val="0"/>
        <w:keepLines w:val="0"/>
        <w:pageBreakBefore w:val="0"/>
        <w:widowControl/>
        <w:kinsoku/>
        <w:wordWrap/>
        <w:overflowPunct/>
        <w:topLinePunct w:val="0"/>
        <w:autoSpaceDE/>
        <w:autoSpaceDN/>
        <w:bidi w:val="0"/>
        <w:spacing w:beforeAutospacing="0" w:afterAutospacing="0" w:line="400" w:lineRule="exact"/>
        <w:ind w:left="0" w:leftChars="0" w:firstLine="482" w:firstLineChars="200"/>
        <w:jc w:val="both"/>
        <w:textAlignment w:val="auto"/>
        <w:outlineLvl w:val="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第一条  本合同签订依据</w:t>
      </w:r>
    </w:p>
    <w:p w14:paraId="538919C1">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1.1 《中华人民共和国民法典》。</w:t>
      </w:r>
    </w:p>
    <w:p w14:paraId="74825C66">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1.2 国家及地方有关建设工程项目工程设计管理法规和规章。</w:t>
      </w:r>
    </w:p>
    <w:p w14:paraId="58546EA0">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1.3 建设工程项目批准文件。</w:t>
      </w:r>
    </w:p>
    <w:p w14:paraId="5F53FD4E">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1.4 建设部、国家工商行政管理局编制的《建设工程设计合同（二）》标准文本（GF-2000-0210）。</w:t>
      </w:r>
    </w:p>
    <w:p w14:paraId="58BEFDE1">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2"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第二条  服务依据</w:t>
      </w:r>
    </w:p>
    <w:p w14:paraId="07C6817A">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2.1 委托人给受托人的委托书</w:t>
      </w:r>
    </w:p>
    <w:p w14:paraId="521041CD">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2.2 委托人提交的基础资料</w:t>
      </w:r>
    </w:p>
    <w:p w14:paraId="185CB6C7">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snapToGrid w:val="0"/>
          <w:kern w:val="0"/>
          <w:sz w:val="24"/>
          <w:szCs w:val="24"/>
          <w:lang w:val="en-US" w:eastAsia="zh-CN" w:bidi="ar-SA"/>
        </w:rPr>
        <w:t>2.3 受托人采用的主要技术标准是：国家和地方相关法律、法规，现行的标准、规范和技术要求</w:t>
      </w:r>
    </w:p>
    <w:p w14:paraId="00014D87">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2" w:firstLineChars="200"/>
        <w:jc w:val="both"/>
        <w:textAlignment w:val="auto"/>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第三条  合同文件的优先次序</w:t>
      </w:r>
    </w:p>
    <w:p w14:paraId="24119FBA">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构成本合同的文件可视为是能互相说明的，如果合同文件存在歧义或不一致，则根据如下优先次序来判断：</w:t>
      </w:r>
    </w:p>
    <w:p w14:paraId="5D62069F">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3.1合同书（含：合同附件及补充协议等）</w:t>
      </w:r>
    </w:p>
    <w:p w14:paraId="3E608D53">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3.2委托人要求</w:t>
      </w:r>
    </w:p>
    <w:p w14:paraId="4CEB43ED">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3.3 双方认可的书面往来文件。</w:t>
      </w:r>
    </w:p>
    <w:p w14:paraId="7840D2C6">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2" w:firstLineChars="200"/>
        <w:jc w:val="both"/>
        <w:textAlignment w:val="auto"/>
        <w:outlineLvl w:val="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第四条  本合同项目的名称、规模、阶段、投资及服务内容</w:t>
      </w:r>
    </w:p>
    <w:p w14:paraId="0712064B">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2" w:firstLineChars="200"/>
        <w:jc w:val="both"/>
        <w:textAlignment w:val="auto"/>
        <w:rPr>
          <w:rFonts w:hint="eastAsia" w:ascii="宋体" w:hAnsi="宋体" w:eastAsia="宋体" w:cs="宋体"/>
          <w:kern w:val="0"/>
          <w:sz w:val="24"/>
          <w:szCs w:val="24"/>
          <w:u w:val="single"/>
          <w:lang w:val="en-US" w:eastAsia="zh-CN" w:bidi="ar-SA"/>
        </w:rPr>
      </w:pPr>
      <w:r>
        <w:rPr>
          <w:rFonts w:hint="eastAsia" w:ascii="宋体" w:hAnsi="宋体" w:eastAsia="宋体" w:cs="宋体"/>
          <w:b/>
          <w:bCs/>
          <w:snapToGrid w:val="0"/>
          <w:kern w:val="0"/>
          <w:sz w:val="24"/>
          <w:szCs w:val="24"/>
          <w:u w:val="none"/>
          <w:lang w:val="en-US" w:eastAsia="zh-CN" w:bidi="ar-SA"/>
        </w:rPr>
        <w:t>项目名称：</w:t>
      </w:r>
      <w:r>
        <w:rPr>
          <w:rFonts w:hint="eastAsia" w:ascii="宋体" w:hAnsi="宋体" w:eastAsia="宋体" w:cs="宋体"/>
          <w:kern w:val="0"/>
          <w:sz w:val="24"/>
          <w:szCs w:val="24"/>
          <w:u w:val="single"/>
          <w:lang w:val="en-US" w:eastAsia="zh-CN" w:bidi="ar-SA"/>
        </w:rPr>
        <w:t xml:space="preserve">                        </w:t>
      </w:r>
    </w:p>
    <w:p w14:paraId="7DA3F765">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2" w:firstLineChars="200"/>
        <w:jc w:val="both"/>
        <w:textAlignment w:val="auto"/>
        <w:rPr>
          <w:rFonts w:hint="eastAsia" w:ascii="宋体" w:hAnsi="宋体" w:eastAsia="宋体" w:cs="宋体"/>
          <w:b/>
          <w:bCs/>
          <w:snapToGrid w:val="0"/>
          <w:kern w:val="0"/>
          <w:sz w:val="24"/>
          <w:szCs w:val="24"/>
          <w:u w:val="single"/>
          <w:lang w:val="en-US" w:eastAsia="zh-CN" w:bidi="ar-SA"/>
        </w:rPr>
      </w:pPr>
      <w:r>
        <w:rPr>
          <w:rFonts w:hint="eastAsia" w:ascii="宋体" w:hAnsi="宋体" w:eastAsia="宋体" w:cs="宋体"/>
          <w:b/>
          <w:bCs/>
          <w:snapToGrid w:val="0"/>
          <w:kern w:val="0"/>
          <w:sz w:val="24"/>
          <w:szCs w:val="24"/>
          <w:lang w:val="en-US" w:eastAsia="zh-CN" w:bidi="ar-SA"/>
        </w:rPr>
        <w:t>项目阶段：</w:t>
      </w:r>
      <w:r>
        <w:rPr>
          <w:rFonts w:hint="eastAsia" w:ascii="宋体" w:hAnsi="宋体" w:eastAsia="宋体" w:cs="宋体"/>
          <w:snapToGrid w:val="0"/>
          <w:kern w:val="0"/>
          <w:sz w:val="24"/>
          <w:szCs w:val="24"/>
          <w:u w:val="single"/>
          <w:lang w:val="en-US" w:eastAsia="zh-CN" w:bidi="ar-SA"/>
        </w:rPr>
        <w:t>初步设计、施工图</w:t>
      </w:r>
      <w:r>
        <w:rPr>
          <w:rFonts w:hint="eastAsia" w:ascii="宋体" w:hAnsi="宋体" w:eastAsia="宋体" w:cs="宋体"/>
          <w:bCs/>
          <w:snapToGrid w:val="0"/>
          <w:kern w:val="0"/>
          <w:sz w:val="24"/>
          <w:szCs w:val="24"/>
          <w:u w:val="single"/>
          <w:lang w:val="en-US" w:eastAsia="zh-CN" w:bidi="ar-SA"/>
        </w:rPr>
        <w:t>。</w:t>
      </w:r>
    </w:p>
    <w:p w14:paraId="09B0F611">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2" w:firstLineChars="200"/>
        <w:jc w:val="both"/>
        <w:textAlignment w:val="auto"/>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工程投资：</w:t>
      </w:r>
      <w:r>
        <w:rPr>
          <w:rFonts w:hint="eastAsia" w:ascii="宋体" w:hAnsi="宋体" w:eastAsia="宋体" w:cs="宋体"/>
          <w:snapToGrid w:val="0"/>
          <w:kern w:val="0"/>
          <w:sz w:val="24"/>
          <w:szCs w:val="24"/>
          <w:u w:val="single"/>
          <w:lang w:val="en-US" w:eastAsia="zh-CN" w:bidi="ar-SA"/>
        </w:rPr>
        <w:t>约*万元</w:t>
      </w:r>
      <w:r>
        <w:rPr>
          <w:rFonts w:hint="eastAsia" w:ascii="宋体" w:hAnsi="宋体" w:eastAsia="宋体" w:cs="宋体"/>
          <w:snapToGrid w:val="0"/>
          <w:kern w:val="0"/>
          <w:sz w:val="24"/>
          <w:szCs w:val="24"/>
          <w:lang w:val="en-US" w:eastAsia="zh-CN" w:bidi="ar-SA"/>
        </w:rPr>
        <w:t>。</w:t>
      </w:r>
    </w:p>
    <w:p w14:paraId="23631DA2">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2" w:firstLineChars="200"/>
        <w:jc w:val="both"/>
        <w:textAlignment w:val="auto"/>
        <w:rPr>
          <w:rFonts w:hint="eastAsia" w:ascii="宋体" w:hAnsi="宋体" w:eastAsia="宋体" w:cs="宋体"/>
          <w:snapToGrid w:val="0"/>
          <w:kern w:val="0"/>
          <w:sz w:val="24"/>
          <w:szCs w:val="24"/>
          <w:u w:val="single"/>
          <w:lang w:val="en-US" w:eastAsia="zh-CN" w:bidi="ar-SA"/>
        </w:rPr>
      </w:pPr>
      <w:r>
        <w:rPr>
          <w:rFonts w:hint="eastAsia" w:ascii="宋体" w:hAnsi="宋体" w:eastAsia="宋体" w:cs="宋体"/>
          <w:b/>
          <w:bCs/>
          <w:snapToGrid w:val="0"/>
          <w:kern w:val="0"/>
          <w:sz w:val="24"/>
          <w:szCs w:val="24"/>
          <w:lang w:val="en-US" w:eastAsia="zh-CN" w:bidi="ar-SA"/>
        </w:rPr>
        <w:t>服务内容：</w:t>
      </w:r>
      <w:r>
        <w:rPr>
          <w:rFonts w:hint="eastAsia" w:ascii="宋体" w:hAnsi="宋体" w:eastAsia="宋体" w:cs="宋体"/>
          <w:snapToGrid w:val="0"/>
          <w:kern w:val="0"/>
          <w:sz w:val="24"/>
          <w:szCs w:val="24"/>
          <w:u w:val="single"/>
          <w:lang w:val="en-US" w:eastAsia="zh-CN" w:bidi="ar-SA"/>
        </w:rPr>
        <w:t>受托人按照委托人相关要求进行</w:t>
      </w:r>
      <w:r>
        <w:rPr>
          <w:rFonts w:hint="eastAsia" w:ascii="宋体" w:hAnsi="宋体" w:eastAsia="宋体" w:cs="宋体"/>
          <w:kern w:val="0"/>
          <w:sz w:val="24"/>
          <w:szCs w:val="24"/>
          <w:u w:val="single"/>
          <w:lang w:val="en-US" w:eastAsia="zh-CN" w:bidi="ar-SA"/>
        </w:rPr>
        <w:t xml:space="preserve">         项目</w:t>
      </w:r>
      <w:r>
        <w:rPr>
          <w:rFonts w:hint="eastAsia" w:ascii="宋体" w:hAnsi="宋体" w:eastAsia="宋体" w:cs="宋体"/>
          <w:snapToGrid w:val="0"/>
          <w:kern w:val="0"/>
          <w:sz w:val="24"/>
          <w:szCs w:val="24"/>
          <w:u w:val="single"/>
          <w:lang w:val="en-US" w:eastAsia="zh-CN" w:bidi="ar-SA"/>
        </w:rPr>
        <w:t>的测量、设计及预算编制工作。</w:t>
      </w:r>
    </w:p>
    <w:p w14:paraId="1DE2D79C">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2" w:firstLineChars="200"/>
        <w:jc w:val="both"/>
        <w:textAlignment w:val="auto"/>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第五条  委托人向受托人提交的有关资料、文件及时间</w:t>
      </w:r>
    </w:p>
    <w:p w14:paraId="4BC04EAE">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5.1提交资料、文件：双方洽谈。</w:t>
      </w:r>
    </w:p>
    <w:p w14:paraId="66C02DC8">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5.2资料、文件提交时间：按项目进度及时提交。</w:t>
      </w:r>
    </w:p>
    <w:p w14:paraId="10540ADD">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2" w:firstLineChars="200"/>
        <w:jc w:val="both"/>
        <w:textAlignment w:val="auto"/>
        <w:outlineLvl w:val="0"/>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第六条  受托人向委托人交付的技术文件、份数、地点及时间</w:t>
      </w:r>
    </w:p>
    <w:p w14:paraId="4BFBE688">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6.1纸质设计文件8份。</w:t>
      </w:r>
    </w:p>
    <w:p w14:paraId="56AEA60D">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b/>
          <w:bCs/>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6.2文件交付地点：镇坪县。</w:t>
      </w:r>
    </w:p>
    <w:p w14:paraId="305ED3F9">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bCs/>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6.3文件交付时间：按委托方要求，结合项目设计实际情况，及时提交。</w:t>
      </w:r>
    </w:p>
    <w:p w14:paraId="4B379E49">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2" w:firstLineChars="200"/>
        <w:jc w:val="both"/>
        <w:textAlignment w:val="auto"/>
        <w:outlineLvl w:val="0"/>
        <w:rPr>
          <w:rFonts w:hint="eastAsia" w:ascii="宋体" w:hAnsi="宋体" w:eastAsia="宋体" w:cs="宋体"/>
          <w:bCs/>
          <w:snapToGrid w:val="0"/>
          <w:kern w:val="0"/>
          <w:sz w:val="24"/>
          <w:szCs w:val="24"/>
          <w:lang w:val="en-US" w:eastAsia="zh-CN" w:bidi="ar-SA"/>
        </w:rPr>
      </w:pPr>
      <w:r>
        <w:rPr>
          <w:rFonts w:hint="eastAsia" w:ascii="宋体" w:hAnsi="宋体" w:eastAsia="宋体" w:cs="宋体"/>
          <w:b/>
          <w:snapToGrid w:val="0"/>
          <w:kern w:val="0"/>
          <w:sz w:val="24"/>
          <w:szCs w:val="24"/>
          <w:lang w:val="en-US" w:eastAsia="zh-CN" w:bidi="ar-SA"/>
        </w:rPr>
        <w:t>第七条  费用</w:t>
      </w:r>
    </w:p>
    <w:p w14:paraId="1F07A34D">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7.1费用计算依据：按国家发展计划委员会、建设部计价格【2002】10号文件《工程勘察设计收费标准》（2002年修订本）计算，并结合市场及本项目具体情况调整。</w:t>
      </w:r>
    </w:p>
    <w:p w14:paraId="4F99195C">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u w:val="single"/>
          <w:lang w:val="en-US" w:eastAsia="zh-CN" w:bidi="ar-SA"/>
        </w:rPr>
      </w:pPr>
      <w:r>
        <w:rPr>
          <w:rFonts w:hint="eastAsia" w:ascii="宋体" w:hAnsi="宋体" w:eastAsia="宋体" w:cs="宋体"/>
          <w:snapToGrid w:val="0"/>
          <w:kern w:val="0"/>
          <w:sz w:val="24"/>
          <w:szCs w:val="24"/>
          <w:lang w:val="en-US" w:eastAsia="zh-CN" w:bidi="ar-SA"/>
        </w:rPr>
        <w:t>7.2经双方协定，本工程项目设计费为：</w:t>
      </w:r>
      <w:r>
        <w:rPr>
          <w:rFonts w:hint="eastAsia" w:ascii="宋体" w:hAnsi="宋体" w:eastAsia="宋体" w:cs="宋体"/>
          <w:snapToGrid w:val="0"/>
          <w:kern w:val="0"/>
          <w:sz w:val="24"/>
          <w:szCs w:val="24"/>
          <w:u w:val="single"/>
          <w:lang w:val="en-US" w:eastAsia="zh-CN" w:bidi="ar-SA"/>
        </w:rPr>
        <w:t xml:space="preserve">                </w:t>
      </w:r>
      <w:r>
        <w:rPr>
          <w:rFonts w:hint="eastAsia" w:ascii="宋体" w:hAnsi="宋体" w:eastAsia="宋体" w:cs="宋体"/>
          <w:snapToGrid w:val="0"/>
          <w:kern w:val="0"/>
          <w:sz w:val="24"/>
          <w:szCs w:val="24"/>
          <w:lang w:val="en-US" w:eastAsia="zh-CN" w:bidi="ar-SA"/>
        </w:rPr>
        <w:t>。</w:t>
      </w:r>
    </w:p>
    <w:p w14:paraId="138097E0">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7.3受托方提供相应的票据等。</w:t>
      </w:r>
    </w:p>
    <w:p w14:paraId="279FEDB8">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2" w:firstLineChars="200"/>
        <w:jc w:val="both"/>
        <w:textAlignment w:val="auto"/>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第八条  支付方式</w:t>
      </w:r>
    </w:p>
    <w:p w14:paraId="32A16B3A">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本项目设计工作总费用按以下方式支付：依据工程建设进度支付。</w:t>
      </w:r>
    </w:p>
    <w:p w14:paraId="6411E298">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2" w:firstLineChars="200"/>
        <w:jc w:val="both"/>
        <w:textAlignment w:val="auto"/>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第九条  双方责任</w:t>
      </w:r>
    </w:p>
    <w:p w14:paraId="31CE5C5C">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9.1  委托人责任</w:t>
      </w:r>
    </w:p>
    <w:p w14:paraId="002D54F4">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9.1.1 委托人按本合同第五条规定的内容，在规定的时间内向受托人提交基础资料及文件，并对其完整性、正确性及时限负责。委托人不得要求受托人违反国家有关标准进行工程设计。</w:t>
      </w:r>
    </w:p>
    <w:p w14:paraId="7CDDD264">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9.1.2 委托人变更委托工程设计项目、规模、条件或应提交的资料错误，或所提交资料作较大修改，以致造成受托人工程设计返工时，双方除另行协商签订补充协议、重新明确有关条款外，委托人应按受托人所耗工作量向受托人支付返工费，并承担因此而发生的相应费用，如修改工作费、出案印制费及参与审查、办公中的各类费用。</w:t>
      </w:r>
    </w:p>
    <w:p w14:paraId="6F1C7A9A">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在未签订合同前委托人已同意，受托人为委托人所做的各项工程设计工作，委托人应支付相应工程设计费。</w:t>
      </w:r>
    </w:p>
    <w:p w14:paraId="5A32CF4E">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9.1.3 在合同履行期间，委托人要求终止或解除合同，受托人未开始工程设计工作的，不退还委托人已付的定金；已开始工程设计工作的，委托人应根据受托人已进行的实际工作量，不足一半时，按该阶段工程设计费的一半支付；超过一半时，按该阶段工程设计费的全部支付。</w:t>
      </w:r>
    </w:p>
    <w:p w14:paraId="0D7C1BFA">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9.1.4 委托人必须按合同规定支付首付款，收到首付款作为受托人进行工程设计开工的标志。未收到首付款，受托人有权推迟工程设计工作的开工时间，且交付文件的时间顺延。</w:t>
      </w:r>
    </w:p>
    <w:p w14:paraId="45AC607A">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9.1.5 委托人应按本合同规定的金额和日期向受托人支付工程设计费，每逾期支付一天，应承担应支付金额千分之二的逾期违约金，且受托人提交技术文件的时间顺延。逾期超过10天以上时，受托人有权暂停履行下阶段工作，并书面通知委托人。委托人的上级或工程设计审批部门对技术文件不审批或本合同项目停缓建，委托人均应支付应付的工程设计费。</w:t>
      </w:r>
    </w:p>
    <w:p w14:paraId="7C7BF94E">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9.1.6 委托人要求受托人比合同规定时间提前交付技术文件时，须征得受托人同意，不得严重背离合理工程设计周期，且委托人应支付赶工费。</w:t>
      </w:r>
    </w:p>
    <w:p w14:paraId="72D86B74">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9.1.7 委托人应为受托人派驻现场的工作人员提供工作、生活及交通等方面的便利条件及必要的劳动保护装备。</w:t>
      </w:r>
    </w:p>
    <w:p w14:paraId="1AC36BEC">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9.2  受托人责任</w:t>
      </w:r>
    </w:p>
    <w:p w14:paraId="0A89188E">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9.2.1 受托人应按国家规定和合同约定的技术规范、标准进行工程设计，按本合同第六条规定的内容、时间及份数向委托人交付技术文件(出现9.1.1、9.1.2、9.1.4、9.1.5规定有关交付技术文件顺延的情况除外)，并对提交的技术文件的质量负责。</w:t>
      </w:r>
    </w:p>
    <w:p w14:paraId="7486270B">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9.2.2 负责对委托人开展的本工程项目下阶段工作提供相关技术支持。</w:t>
      </w:r>
    </w:p>
    <w:p w14:paraId="43809149">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9.2.3 受托人对技术文件出现的遗漏或错误负责修改或补充。</w:t>
      </w:r>
    </w:p>
    <w:p w14:paraId="6B89B0BC">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9.2.4 由于受托人原因，延误了技术文件交付时间，每延误一天，应减收该项目应收工程设计费的千分之二。</w:t>
      </w:r>
    </w:p>
    <w:p w14:paraId="68C2926F">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9.2.5 合同生效后，受托人要求终止或解除合同，受托人应双倍返还委托人已支付的定金。</w:t>
      </w:r>
    </w:p>
    <w:p w14:paraId="6DA504AB">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9.2.6 受托人交付技术文件后，按规定参加有关上级的工程设计审查，并根据审查结论负责不超过原定范围的内容做必要调整补充。</w:t>
      </w:r>
    </w:p>
    <w:p w14:paraId="1D6A3897">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2" w:firstLineChars="200"/>
        <w:jc w:val="both"/>
        <w:textAlignment w:val="auto"/>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第十条  保密</w:t>
      </w:r>
    </w:p>
    <w:p w14:paraId="0DC77828">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双方均应保护双方的知识产权，未经双方同意，任何一方均不得对对方的资料及文件擅自修改、复制或第三人转让或用于本合同项目外的项目。如发生以上情况，泄密方承担一切由此引起的后果并承担赔偿责任。</w:t>
      </w:r>
    </w:p>
    <w:p w14:paraId="38B3752F">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2" w:firstLineChars="200"/>
        <w:jc w:val="both"/>
        <w:textAlignment w:val="auto"/>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第十一条  仲裁</w:t>
      </w:r>
    </w:p>
    <w:p w14:paraId="68141B03">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本合同在履行过程中发生的争议，由双方当事人协商解决，协商不成的按下列第</w:t>
      </w:r>
      <w:r>
        <w:rPr>
          <w:rFonts w:hint="eastAsia" w:ascii="宋体" w:hAnsi="宋体" w:eastAsia="宋体" w:cs="宋体"/>
          <w:snapToGrid w:val="0"/>
          <w:kern w:val="0"/>
          <w:sz w:val="24"/>
          <w:szCs w:val="24"/>
          <w:u w:val="single"/>
          <w:lang w:val="en-US" w:eastAsia="zh-CN" w:bidi="ar-SA"/>
        </w:rPr>
        <w:t>（一）</w:t>
      </w:r>
      <w:r>
        <w:rPr>
          <w:rFonts w:hint="eastAsia" w:ascii="宋体" w:hAnsi="宋体" w:eastAsia="宋体" w:cs="宋体"/>
          <w:snapToGrid w:val="0"/>
          <w:kern w:val="0"/>
          <w:sz w:val="24"/>
          <w:szCs w:val="24"/>
          <w:lang w:val="en-US" w:eastAsia="zh-CN" w:bidi="ar-SA"/>
        </w:rPr>
        <w:t>种方式解决：</w:t>
      </w:r>
    </w:p>
    <w:p w14:paraId="2924DF5B">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（一）提交</w:t>
      </w:r>
      <w:r>
        <w:rPr>
          <w:rFonts w:hint="eastAsia" w:ascii="宋体" w:hAnsi="宋体" w:eastAsia="宋体" w:cs="宋体"/>
          <w:snapToGrid w:val="0"/>
          <w:kern w:val="0"/>
          <w:sz w:val="24"/>
          <w:szCs w:val="24"/>
          <w:u w:val="single"/>
          <w:lang w:val="en-US" w:eastAsia="zh-CN" w:bidi="ar-SA"/>
        </w:rPr>
        <w:t>镇坪县</w:t>
      </w:r>
      <w:r>
        <w:rPr>
          <w:rFonts w:hint="eastAsia" w:ascii="宋体" w:hAnsi="宋体" w:eastAsia="宋体" w:cs="宋体"/>
          <w:snapToGrid w:val="0"/>
          <w:kern w:val="0"/>
          <w:sz w:val="24"/>
          <w:szCs w:val="24"/>
          <w:lang w:val="en-US" w:eastAsia="zh-CN" w:bidi="ar-SA"/>
        </w:rPr>
        <w:t>仲裁委员会仲裁；</w:t>
      </w:r>
    </w:p>
    <w:p w14:paraId="6150C74A">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（二）依法向人民法院起诉。</w:t>
      </w:r>
    </w:p>
    <w:p w14:paraId="7AE53EE0">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2" w:firstLineChars="200"/>
        <w:jc w:val="both"/>
        <w:textAlignment w:val="auto"/>
        <w:rPr>
          <w:rFonts w:hint="eastAsia" w:ascii="宋体" w:hAnsi="宋体" w:eastAsia="宋体" w:cs="宋体"/>
          <w:b/>
          <w:bCs/>
          <w:snapToGrid w:val="0"/>
          <w:kern w:val="0"/>
          <w:sz w:val="24"/>
          <w:szCs w:val="24"/>
          <w:lang w:val="en-US" w:eastAsia="zh-CN" w:bidi="ar-SA"/>
        </w:rPr>
      </w:pPr>
      <w:r>
        <w:rPr>
          <w:rFonts w:hint="eastAsia" w:ascii="宋体" w:hAnsi="宋体" w:eastAsia="宋体" w:cs="宋体"/>
          <w:b/>
          <w:bCs/>
          <w:snapToGrid w:val="0"/>
          <w:kern w:val="0"/>
          <w:sz w:val="24"/>
          <w:szCs w:val="24"/>
          <w:lang w:val="en-US" w:eastAsia="zh-CN" w:bidi="ar-SA"/>
        </w:rPr>
        <w:t>第十二条  合同生效及其他</w:t>
      </w:r>
    </w:p>
    <w:p w14:paraId="3A03CA4E">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12.1委托人要求受托人派专人长期驻项目现场进行配合与解决有关问题时，双方应另行签订技术咨询服务合同。</w:t>
      </w:r>
    </w:p>
    <w:p w14:paraId="6864F11A">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12.2受托人为本合同项目的服务至项目批复为止。</w:t>
      </w:r>
    </w:p>
    <w:p w14:paraId="57BC09C6">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12.3本工程项目中，受托人不得指定建筑材料、设备的生产厂或供货商。委托人需要受托人配合建筑材料，设备的加工订货时，所需费用由委托人承担。</w:t>
      </w:r>
    </w:p>
    <w:p w14:paraId="380D9234">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12.4委托人委托受托人配合引进项目的设计任务，从询价、对外谈判、国内外技术考察直至建成投产的各个阶段，应吸收承担有关设计任务的受托人员参加。出国费用，除制装费外，其他费用由委托人支付。</w:t>
      </w:r>
    </w:p>
    <w:p w14:paraId="170BD3FE">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12.5委托人委托受托人承担本合同内容以外的工作服务，另行签订协议并支付费用。</w:t>
      </w:r>
    </w:p>
    <w:p w14:paraId="32CEE431">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12.6由于不可抗力因素致使合同无法履行时，双方应及时协商解决。</w:t>
      </w:r>
    </w:p>
    <w:p w14:paraId="28F5DCF2">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12.7本合同双方签字盖章即生效，一式肆份，委托人贰份，受托人贰份。</w:t>
      </w:r>
    </w:p>
    <w:p w14:paraId="453368A4">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12.8本合同生效后，按规定应到项目所在地省级建设行政主管部门规定的审查部门备案；双方认为必要时，到工商行政管理部门鉴证。双方履行完合同规定的义务后，本合同即行终止。</w:t>
      </w:r>
    </w:p>
    <w:p w14:paraId="1401946C">
      <w:pPr>
        <w:keepNext w:val="0"/>
        <w:keepLines w:val="0"/>
        <w:pageBreakBefore w:val="0"/>
        <w:widowControl w:val="0"/>
        <w:kinsoku/>
        <w:wordWrap/>
        <w:overflowPunct/>
        <w:topLinePunct w:val="0"/>
        <w:autoSpaceDE/>
        <w:autoSpaceDN/>
        <w:bidi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12.9双方认可的来往传真、电报、会议纪要、附件等，均为合同的组成部分，与本合同具有同等法律效力。</w:t>
      </w:r>
    </w:p>
    <w:p w14:paraId="166257B7">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12.10未尽事宜，经双方协商一致，签订补充协议，补充协议与本合同具有同等效力。</w:t>
      </w:r>
    </w:p>
    <w:p w14:paraId="7392F1CB">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ind w:left="0" w:leftChars="0" w:firstLine="480" w:firstLineChars="200"/>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（以下无内容）</w:t>
      </w:r>
    </w:p>
    <w:p w14:paraId="20550EBE">
      <w:pPr>
        <w:keepNext w:val="0"/>
        <w:keepLines w:val="0"/>
        <w:widowControl/>
        <w:suppressLineNumbers w:val="0"/>
        <w:jc w:val="left"/>
        <w:rPr>
          <w:rFonts w:hint="eastAsia" w:ascii="宋体" w:hAnsi="宋体" w:eastAsia="宋体" w:cs="宋体"/>
          <w:snapToGrid w:val="0"/>
          <w:kern w:val="0"/>
          <w:sz w:val="24"/>
          <w:szCs w:val="24"/>
          <w:lang w:val="en-US" w:eastAsia="zh-CN" w:bidi="ar-SA"/>
        </w:rPr>
      </w:pPr>
    </w:p>
    <w:p w14:paraId="695158CC">
      <w:pPr>
        <w:keepNext w:val="0"/>
        <w:keepLines w:val="0"/>
        <w:widowControl/>
        <w:suppressLineNumbers w:val="0"/>
        <w:jc w:val="left"/>
        <w:rPr>
          <w:rFonts w:hint="eastAsia" w:ascii="宋体" w:hAnsi="宋体" w:eastAsia="宋体" w:cs="宋体"/>
          <w:snapToGrid w:val="0"/>
          <w:kern w:val="0"/>
          <w:sz w:val="24"/>
          <w:szCs w:val="24"/>
          <w:lang w:val="en-US" w:eastAsia="zh-CN" w:bidi="ar-SA"/>
        </w:rPr>
      </w:pPr>
    </w:p>
    <w:p w14:paraId="674A24F1">
      <w:pPr>
        <w:keepNext w:val="0"/>
        <w:keepLines w:val="0"/>
        <w:widowControl/>
        <w:suppressLineNumbers w:val="0"/>
        <w:jc w:val="left"/>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委托人名称：</w:t>
      </w:r>
      <w:r>
        <w:rPr>
          <w:rFonts w:hint="eastAsia" w:ascii="宋体" w:hAnsi="宋体" w:eastAsia="宋体" w:cs="宋体"/>
          <w:color w:val="000000"/>
          <w:kern w:val="0"/>
          <w:sz w:val="24"/>
          <w:szCs w:val="24"/>
          <w:lang w:val="en-US" w:eastAsia="zh-CN" w:bidi="ar"/>
        </w:rPr>
        <w:t>镇坪县重点项目储备统建中心</w:t>
      </w:r>
      <w:r>
        <w:rPr>
          <w:rFonts w:hint="eastAsia" w:ascii="宋体" w:hAnsi="宋体" w:eastAsia="宋体" w:cs="宋体"/>
          <w:snapToGrid w:val="0"/>
          <w:kern w:val="0"/>
          <w:sz w:val="24"/>
          <w:szCs w:val="24"/>
          <w:lang w:val="en-US" w:eastAsia="zh-CN" w:bidi="ar-SA"/>
        </w:rPr>
        <w:t>（盖章）   受托人名称： （盖章）</w:t>
      </w:r>
    </w:p>
    <w:p w14:paraId="0AAA1D35">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法人代表（或）                                   法人代表（或）</w:t>
      </w:r>
    </w:p>
    <w:p w14:paraId="3E1A04D4">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委托代理人：                                     委托代理人：</w:t>
      </w:r>
    </w:p>
    <w:p w14:paraId="7EB08D2B">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住    所：                                       住    所：</w:t>
      </w:r>
    </w:p>
    <w:p w14:paraId="7E35DDFA">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邮政编码：                                       邮政编码：</w:t>
      </w:r>
    </w:p>
    <w:p w14:paraId="10F59589">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电    话：                                       电    话：</w:t>
      </w:r>
    </w:p>
    <w:p w14:paraId="704A6947">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传    真：                                       传    真：</w:t>
      </w:r>
    </w:p>
    <w:p w14:paraId="1F73044A">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开户银行：                                       开户银行：</w:t>
      </w:r>
    </w:p>
    <w:p w14:paraId="086D7951">
      <w:pPr>
        <w:keepNext w:val="0"/>
        <w:keepLines w:val="0"/>
        <w:pageBreakBefore w:val="0"/>
        <w:widowControl/>
        <w:kinsoku/>
        <w:wordWrap/>
        <w:overflowPunct/>
        <w:topLinePunct w:val="0"/>
        <w:autoSpaceDE/>
        <w:autoSpaceDN/>
        <w:bidi w:val="0"/>
        <w:adjustRightInd w:val="0"/>
        <w:snapToGrid w:val="0"/>
        <w:spacing w:beforeAutospacing="0" w:afterAutospacing="0" w:line="400" w:lineRule="exact"/>
        <w:jc w:val="both"/>
        <w:textAlignment w:val="auto"/>
        <w:rPr>
          <w:rFonts w:hint="eastAsia" w:ascii="宋体" w:hAnsi="宋体" w:eastAsia="宋体" w:cs="宋体"/>
          <w:snapToGrid w:val="0"/>
          <w:kern w:val="0"/>
          <w:sz w:val="24"/>
          <w:szCs w:val="24"/>
          <w:lang w:val="en-US" w:eastAsia="zh-CN" w:bidi="ar-SA"/>
        </w:rPr>
      </w:pPr>
      <w:r>
        <w:rPr>
          <w:rFonts w:hint="eastAsia" w:ascii="宋体" w:hAnsi="宋体" w:eastAsia="宋体" w:cs="宋体"/>
          <w:snapToGrid w:val="0"/>
          <w:kern w:val="0"/>
          <w:sz w:val="24"/>
          <w:szCs w:val="24"/>
          <w:lang w:val="en-US" w:eastAsia="zh-CN" w:bidi="ar-SA"/>
        </w:rPr>
        <w:t>帐    号：                                       帐    号：</w:t>
      </w:r>
    </w:p>
    <w:p w14:paraId="2E2948A2">
      <w:pPr>
        <w:keepNext w:val="0"/>
        <w:keepLines w:val="0"/>
        <w:pageBreakBefore w:val="0"/>
        <w:widowControl w:val="0"/>
        <w:kinsoku/>
        <w:wordWrap/>
        <w:overflowPunct/>
        <w:topLinePunct w:val="0"/>
        <w:autoSpaceDE/>
        <w:autoSpaceDN/>
        <w:bidi w:val="0"/>
        <w:spacing w:beforeAutospacing="0" w:afterAutospacing="0" w:line="400" w:lineRule="exact"/>
        <w:jc w:val="both"/>
        <w:textAlignment w:val="auto"/>
        <w:rPr>
          <w:rFonts w:hint="eastAsia" w:ascii="宋体" w:hAnsi="宋体" w:eastAsia="宋体" w:cs="宋体"/>
          <w:snapToGrid w:val="0"/>
          <w:sz w:val="24"/>
          <w:szCs w:val="24"/>
        </w:rPr>
        <w:sectPr>
          <w:footerReference r:id="rId9" w:type="default"/>
          <w:pgSz w:w="11906" w:h="16838"/>
          <w:pgMar w:top="1134"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89" w:charSpace="0"/>
        </w:sectPr>
      </w:pPr>
      <w:r>
        <w:rPr>
          <w:rFonts w:hint="eastAsia" w:ascii="宋体" w:hAnsi="宋体" w:eastAsia="宋体" w:cs="宋体"/>
          <w:snapToGrid w:val="0"/>
          <w:sz w:val="24"/>
          <w:szCs w:val="24"/>
        </w:rPr>
        <w:t xml:space="preserve">年    月    日                  </w:t>
      </w:r>
      <w:r>
        <w:rPr>
          <w:rFonts w:hint="eastAsia" w:ascii="宋体" w:hAnsi="宋体" w:eastAsia="宋体" w:cs="宋体"/>
          <w:snapToGrid w:val="0"/>
          <w:sz w:val="24"/>
          <w:szCs w:val="24"/>
          <w:lang w:val="en-US" w:eastAsia="zh-CN"/>
        </w:rPr>
        <w:t xml:space="preserve">          </w:t>
      </w:r>
      <w:r>
        <w:rPr>
          <w:rFonts w:hint="eastAsia" w:ascii="宋体" w:hAnsi="宋体" w:eastAsia="宋体" w:cs="宋体"/>
          <w:snapToGrid w:val="0"/>
          <w:sz w:val="24"/>
          <w:szCs w:val="24"/>
        </w:rPr>
        <w:t xml:space="preserve"> </w:t>
      </w:r>
      <w:r>
        <w:rPr>
          <w:rFonts w:hint="eastAsia" w:ascii="宋体" w:hAnsi="宋体" w:eastAsia="宋体" w:cs="宋体"/>
          <w:snapToGrid w:val="0"/>
          <w:sz w:val="24"/>
          <w:szCs w:val="24"/>
          <w:lang w:val="en-US" w:eastAsia="zh-CN"/>
        </w:rPr>
        <w:t xml:space="preserve">  </w:t>
      </w:r>
      <w:r>
        <w:rPr>
          <w:rFonts w:hint="eastAsia" w:ascii="宋体" w:hAnsi="宋体" w:eastAsia="宋体" w:cs="宋体"/>
          <w:snapToGrid w:val="0"/>
          <w:sz w:val="24"/>
          <w:szCs w:val="24"/>
        </w:rPr>
        <w:t xml:space="preserve">    年    月    日</w:t>
      </w:r>
    </w:p>
    <w:p w14:paraId="6A3398DF">
      <w:pPr>
        <w:pStyle w:val="2"/>
        <w:rPr>
          <w:rFonts w:hint="eastAsia"/>
        </w:rPr>
      </w:pPr>
    </w:p>
    <w:p w14:paraId="397D16E6">
      <w:pPr>
        <w:bidi w:val="0"/>
        <w:jc w:val="center"/>
        <w:rPr>
          <w:rFonts w:hint="eastAsia" w:ascii="宋体" w:hAnsi="宋体" w:eastAsia="宋体" w:cs="宋体"/>
          <w:b/>
          <w:bCs/>
          <w:sz w:val="32"/>
          <w:szCs w:val="32"/>
        </w:rPr>
      </w:pPr>
      <w:r>
        <w:rPr>
          <w:rFonts w:hint="eastAsia" w:ascii="宋体" w:hAnsi="宋体" w:eastAsia="宋体" w:cs="宋体"/>
          <w:b/>
          <w:bCs/>
          <w:sz w:val="32"/>
          <w:szCs w:val="32"/>
        </w:rPr>
        <w:t>第五章 响应文件格式</w:t>
      </w:r>
      <w:bookmarkEnd w:id="248"/>
      <w:bookmarkEnd w:id="249"/>
      <w:bookmarkEnd w:id="250"/>
      <w:bookmarkEnd w:id="251"/>
      <w:bookmarkEnd w:id="252"/>
      <w:bookmarkEnd w:id="253"/>
      <w:bookmarkEnd w:id="254"/>
      <w:bookmarkEnd w:id="255"/>
      <w:bookmarkEnd w:id="256"/>
    </w:p>
    <w:p w14:paraId="1F0F35DE">
      <w:pPr>
        <w:jc w:val="right"/>
        <w:rPr>
          <w:rFonts w:hint="eastAsia" w:ascii="宋体" w:hAnsi="宋体" w:eastAsia="宋体" w:cs="宋体"/>
          <w:b/>
          <w:color w:val="auto"/>
          <w:sz w:val="36"/>
          <w:szCs w:val="36"/>
          <w:bdr w:val="single" w:color="auto" w:sz="4" w:space="0"/>
          <w:shd w:val="pct10" w:color="auto" w:fill="FFFFFF"/>
        </w:rPr>
      </w:pPr>
    </w:p>
    <w:p w14:paraId="0BDE059E">
      <w:pPr>
        <w:jc w:val="right"/>
        <w:rPr>
          <w:rFonts w:hint="eastAsia" w:ascii="宋体" w:hAnsi="宋体" w:eastAsia="宋体" w:cs="宋体"/>
          <w:b/>
          <w:color w:val="auto"/>
          <w:sz w:val="36"/>
          <w:szCs w:val="36"/>
          <w:bdr w:val="single" w:color="auto" w:sz="4" w:space="0"/>
          <w:shd w:val="pct10" w:color="auto" w:fill="FFFFFF"/>
        </w:rPr>
      </w:pPr>
      <w:r>
        <w:rPr>
          <w:rFonts w:hint="eastAsia" w:ascii="宋体" w:hAnsi="宋体" w:eastAsia="宋体" w:cs="宋体"/>
          <w:b/>
          <w:color w:val="auto"/>
          <w:sz w:val="36"/>
          <w:szCs w:val="36"/>
          <w:bdr w:val="single" w:color="auto" w:sz="4" w:space="0"/>
          <w:shd w:val="pct10" w:color="auto" w:fill="FFFFFF"/>
        </w:rPr>
        <w:t>政府采购项目</w:t>
      </w:r>
    </w:p>
    <w:p w14:paraId="736426B9">
      <w:pPr>
        <w:ind w:right="728"/>
        <w:rPr>
          <w:rFonts w:hint="eastAsia" w:ascii="宋体" w:hAnsi="宋体" w:eastAsia="宋体" w:cs="宋体"/>
          <w:bCs/>
          <w:color w:val="auto"/>
          <w:sz w:val="32"/>
          <w:szCs w:val="32"/>
        </w:rPr>
      </w:pPr>
    </w:p>
    <w:p w14:paraId="0EA99983">
      <w:pPr>
        <w:ind w:right="728"/>
        <w:rPr>
          <w:rFonts w:hint="eastAsia" w:ascii="宋体" w:hAnsi="宋体" w:eastAsia="宋体" w:cs="宋体"/>
          <w:b/>
          <w:color w:val="auto"/>
          <w:sz w:val="36"/>
          <w:szCs w:val="36"/>
          <w:bdr w:val="single" w:color="auto" w:sz="4" w:space="0"/>
          <w:shd w:val="pct10" w:color="auto" w:fill="FFFFFF"/>
        </w:rPr>
      </w:pPr>
      <w:r>
        <w:rPr>
          <w:rFonts w:hint="eastAsia" w:ascii="宋体" w:hAnsi="宋体" w:eastAsia="宋体" w:cs="宋体"/>
          <w:bCs/>
          <w:color w:val="auto"/>
          <w:sz w:val="32"/>
          <w:szCs w:val="32"/>
          <w:lang w:val="en-US" w:eastAsia="zh-CN"/>
        </w:rPr>
        <w:t>项目</w:t>
      </w:r>
      <w:r>
        <w:rPr>
          <w:rFonts w:hint="eastAsia" w:ascii="宋体" w:hAnsi="宋体" w:eastAsia="宋体" w:cs="宋体"/>
          <w:bCs/>
          <w:color w:val="auto"/>
          <w:sz w:val="32"/>
          <w:szCs w:val="32"/>
        </w:rPr>
        <w:t>编号:</w:t>
      </w:r>
    </w:p>
    <w:p w14:paraId="790A255E">
      <w:pPr>
        <w:spacing w:line="600" w:lineRule="exact"/>
        <w:jc w:val="center"/>
        <w:rPr>
          <w:rFonts w:hint="eastAsia" w:ascii="宋体" w:hAnsi="宋体" w:eastAsia="宋体" w:cs="宋体"/>
          <w:b/>
          <w:color w:val="auto"/>
          <w:sz w:val="36"/>
          <w:szCs w:val="36"/>
        </w:rPr>
      </w:pPr>
    </w:p>
    <w:p w14:paraId="4F5F393A">
      <w:pPr>
        <w:spacing w:line="600" w:lineRule="exact"/>
        <w:jc w:val="center"/>
        <w:rPr>
          <w:rFonts w:hint="eastAsia" w:ascii="宋体" w:hAnsi="宋体" w:eastAsia="宋体" w:cs="宋体"/>
          <w:b/>
          <w:color w:val="auto"/>
          <w:sz w:val="36"/>
          <w:szCs w:val="36"/>
        </w:rPr>
      </w:pPr>
    </w:p>
    <w:p w14:paraId="2B8EFBE1">
      <w:pPr>
        <w:spacing w:line="600" w:lineRule="exact"/>
        <w:jc w:val="center"/>
        <w:rPr>
          <w:rFonts w:hint="eastAsia" w:ascii="宋体" w:hAnsi="宋体" w:eastAsia="宋体" w:cs="宋体"/>
          <w:b/>
          <w:color w:val="auto"/>
          <w:sz w:val="36"/>
          <w:szCs w:val="36"/>
        </w:rPr>
      </w:pPr>
    </w:p>
    <w:p w14:paraId="7EEBA878">
      <w:pPr>
        <w:spacing w:line="360" w:lineRule="auto"/>
        <w:jc w:val="center"/>
        <w:rPr>
          <w:rFonts w:hint="eastAsia" w:ascii="宋体" w:hAnsi="宋体" w:eastAsia="宋体" w:cs="宋体"/>
          <w:b/>
          <w:color w:val="auto"/>
          <w:w w:val="90"/>
          <w:sz w:val="56"/>
          <w:szCs w:val="56"/>
        </w:rPr>
      </w:pPr>
      <w:r>
        <w:rPr>
          <w:rFonts w:hint="eastAsia" w:ascii="宋体" w:hAnsi="宋体" w:eastAsia="宋体" w:cs="宋体"/>
          <w:b/>
          <w:color w:val="auto"/>
          <w:w w:val="90"/>
          <w:sz w:val="56"/>
          <w:szCs w:val="56"/>
          <w:u w:val="single"/>
          <w:lang w:val="en-US" w:eastAsia="zh-CN"/>
        </w:rPr>
        <w:t>（项目名称）</w:t>
      </w:r>
    </w:p>
    <w:p w14:paraId="5F4D58D7">
      <w:pPr>
        <w:spacing w:line="360" w:lineRule="auto"/>
        <w:jc w:val="center"/>
        <w:rPr>
          <w:rFonts w:hint="eastAsia" w:ascii="宋体" w:hAnsi="宋体" w:eastAsia="宋体" w:cs="宋体"/>
          <w:b/>
          <w:color w:val="auto"/>
          <w:w w:val="90"/>
          <w:sz w:val="56"/>
          <w:szCs w:val="56"/>
        </w:rPr>
      </w:pPr>
    </w:p>
    <w:p w14:paraId="72BD1710">
      <w:pPr>
        <w:spacing w:line="360" w:lineRule="auto"/>
        <w:jc w:val="center"/>
        <w:rPr>
          <w:rFonts w:hint="eastAsia" w:ascii="宋体" w:hAnsi="宋体" w:eastAsia="宋体" w:cs="宋体"/>
          <w:b/>
          <w:color w:val="auto"/>
          <w:sz w:val="28"/>
          <w:szCs w:val="28"/>
        </w:rPr>
      </w:pPr>
      <w:r>
        <w:rPr>
          <w:rFonts w:hint="eastAsia" w:ascii="宋体" w:hAnsi="宋体" w:eastAsia="宋体" w:cs="宋体"/>
          <w:color w:val="auto"/>
          <w:sz w:val="72"/>
          <w:szCs w:val="72"/>
          <w:lang w:eastAsia="zh-CN"/>
        </w:rPr>
        <w:t>响应</w:t>
      </w:r>
      <w:r>
        <w:rPr>
          <w:rFonts w:hint="eastAsia" w:ascii="宋体" w:hAnsi="宋体" w:eastAsia="宋体" w:cs="宋体"/>
          <w:color w:val="auto"/>
          <w:sz w:val="72"/>
          <w:szCs w:val="72"/>
        </w:rPr>
        <w:t>文件</w:t>
      </w:r>
    </w:p>
    <w:p w14:paraId="4D99334C">
      <w:pPr>
        <w:rPr>
          <w:rFonts w:hint="eastAsia" w:ascii="宋体" w:hAnsi="宋体" w:eastAsia="宋体" w:cs="宋体"/>
          <w:bCs/>
          <w:color w:val="auto"/>
          <w:sz w:val="18"/>
          <w:szCs w:val="18"/>
        </w:rPr>
      </w:pPr>
    </w:p>
    <w:p w14:paraId="514C74A4">
      <w:pPr>
        <w:jc w:val="center"/>
        <w:rPr>
          <w:rFonts w:hint="eastAsia" w:ascii="宋体" w:hAnsi="宋体" w:eastAsia="宋体" w:cs="宋体"/>
          <w:bCs/>
          <w:color w:val="auto"/>
          <w:sz w:val="28"/>
          <w:szCs w:val="28"/>
          <w:lang w:val="en-US" w:eastAsia="zh-CN"/>
        </w:rPr>
      </w:pPr>
      <w:r>
        <w:rPr>
          <w:rFonts w:hint="eastAsia" w:ascii="宋体" w:hAnsi="宋体" w:eastAsia="宋体" w:cs="宋体"/>
          <w:bCs/>
          <w:color w:val="auto"/>
          <w:sz w:val="28"/>
          <w:szCs w:val="28"/>
          <w:lang w:val="en-US" w:eastAsia="zh-CN"/>
        </w:rPr>
        <w:t>正（副）本</w:t>
      </w:r>
    </w:p>
    <w:p w14:paraId="3E279ECE">
      <w:pPr>
        <w:spacing w:line="480" w:lineRule="auto"/>
        <w:rPr>
          <w:rFonts w:hint="eastAsia" w:ascii="宋体" w:hAnsi="宋体" w:eastAsia="宋体" w:cs="宋体"/>
          <w:bCs/>
          <w:color w:val="auto"/>
          <w:sz w:val="36"/>
          <w:szCs w:val="36"/>
        </w:rPr>
      </w:pPr>
    </w:p>
    <w:p w14:paraId="6CC88890">
      <w:pPr>
        <w:spacing w:line="480" w:lineRule="auto"/>
        <w:rPr>
          <w:rFonts w:hint="eastAsia" w:ascii="宋体" w:hAnsi="宋体" w:eastAsia="宋体" w:cs="宋体"/>
          <w:bCs/>
          <w:color w:val="auto"/>
          <w:sz w:val="36"/>
          <w:szCs w:val="36"/>
        </w:rPr>
      </w:pPr>
    </w:p>
    <w:p w14:paraId="01A89E66">
      <w:pPr>
        <w:spacing w:line="480" w:lineRule="auto"/>
        <w:ind w:firstLine="480" w:firstLineChars="20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供        应       商：</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（盖章）</w:t>
      </w:r>
    </w:p>
    <w:p w14:paraId="3986E561">
      <w:pPr>
        <w:spacing w:line="480" w:lineRule="auto"/>
        <w:ind w:firstLine="480" w:firstLineChars="20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法定代表人或被授权人：</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（签字）</w:t>
      </w:r>
    </w:p>
    <w:p w14:paraId="55F6968C">
      <w:pPr>
        <w:spacing w:line="48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年   月</w:t>
      </w:r>
      <w:bookmarkStart w:id="257" w:name="_Toc30735"/>
      <w:r>
        <w:rPr>
          <w:rFonts w:hint="eastAsia" w:ascii="宋体" w:hAnsi="宋体" w:eastAsia="宋体" w:cs="宋体"/>
          <w:bCs/>
          <w:color w:val="auto"/>
          <w:sz w:val="24"/>
          <w:szCs w:val="24"/>
        </w:rPr>
        <w:t xml:space="preserve">    日</w:t>
      </w:r>
      <w:bookmarkEnd w:id="257"/>
      <w:bookmarkStart w:id="258" w:name="_Toc14189288"/>
      <w:bookmarkStart w:id="259" w:name="_Toc14189421"/>
      <w:bookmarkStart w:id="260" w:name="_Toc18412212"/>
      <w:bookmarkStart w:id="261" w:name="_Toc8364"/>
    </w:p>
    <w:p w14:paraId="7C806795">
      <w:pPr>
        <w:pStyle w:val="4"/>
        <w:rPr>
          <w:rFonts w:hint="eastAsia" w:ascii="宋体" w:hAnsi="宋体" w:eastAsia="宋体" w:cs="宋体"/>
          <w:b w:val="0"/>
          <w:color w:val="auto"/>
          <w:sz w:val="36"/>
        </w:rPr>
        <w:sectPr>
          <w:pgSz w:w="11906" w:h="16838"/>
          <w:pgMar w:top="1134"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89" w:charSpace="0"/>
        </w:sectPr>
      </w:pPr>
    </w:p>
    <w:p w14:paraId="0D4F0F66">
      <w:pPr>
        <w:spacing w:line="520" w:lineRule="exact"/>
        <w:jc w:val="center"/>
        <w:rPr>
          <w:rFonts w:hint="eastAsia" w:ascii="宋体" w:hAnsi="宋体" w:eastAsia="宋体" w:cs="宋体"/>
          <w:b/>
          <w:sz w:val="48"/>
          <w:szCs w:val="48"/>
        </w:rPr>
      </w:pPr>
    </w:p>
    <w:p w14:paraId="0A2F9409">
      <w:pPr>
        <w:spacing w:line="520" w:lineRule="exact"/>
        <w:jc w:val="center"/>
        <w:rPr>
          <w:rFonts w:ascii="宋体" w:hAnsi="宋体" w:eastAsia="宋体" w:cs="宋体"/>
          <w:b/>
          <w:sz w:val="48"/>
          <w:szCs w:val="48"/>
        </w:rPr>
      </w:pPr>
      <w:r>
        <w:rPr>
          <w:rFonts w:hint="eastAsia" w:ascii="宋体" w:hAnsi="宋体" w:eastAsia="宋体" w:cs="宋体"/>
          <w:b/>
          <w:sz w:val="48"/>
          <w:szCs w:val="48"/>
        </w:rPr>
        <w:t>目   录</w:t>
      </w:r>
    </w:p>
    <w:p w14:paraId="5347139E">
      <w:pPr>
        <w:ind w:firstLine="1606" w:firstLineChars="500"/>
        <w:rPr>
          <w:rFonts w:ascii="宋体" w:hAnsi="宋体" w:eastAsia="宋体" w:cs="宋体"/>
          <w:b/>
          <w:sz w:val="32"/>
          <w:szCs w:val="32"/>
        </w:rPr>
      </w:pPr>
    </w:p>
    <w:p w14:paraId="347097A4">
      <w:pPr>
        <w:pStyle w:val="18"/>
        <w:ind w:left="560"/>
        <w:rPr>
          <w:sz w:val="30"/>
          <w:szCs w:val="30"/>
        </w:rPr>
      </w:pPr>
      <w:bookmarkStart w:id="262" w:name="_Toc23315674"/>
      <w:r>
        <w:rPr>
          <w:rFonts w:hint="eastAsia"/>
          <w:sz w:val="30"/>
          <w:szCs w:val="30"/>
        </w:rPr>
        <w:t>一、投标函</w:t>
      </w:r>
      <w:bookmarkEnd w:id="262"/>
    </w:p>
    <w:p w14:paraId="01518A65">
      <w:pPr>
        <w:pStyle w:val="18"/>
        <w:ind w:left="560"/>
        <w:rPr>
          <w:sz w:val="30"/>
          <w:szCs w:val="30"/>
        </w:rPr>
      </w:pPr>
      <w:bookmarkStart w:id="263" w:name="_Toc23315675"/>
      <w:r>
        <w:rPr>
          <w:rFonts w:hint="eastAsia"/>
          <w:sz w:val="30"/>
          <w:szCs w:val="30"/>
        </w:rPr>
        <w:t>二、报价一览表</w:t>
      </w:r>
      <w:bookmarkEnd w:id="263"/>
    </w:p>
    <w:p w14:paraId="42BA8275">
      <w:pPr>
        <w:pStyle w:val="18"/>
        <w:ind w:left="560"/>
        <w:rPr>
          <w:rFonts w:hint="eastAsia"/>
          <w:sz w:val="30"/>
          <w:szCs w:val="30"/>
        </w:rPr>
      </w:pPr>
      <w:bookmarkStart w:id="264" w:name="_Toc23315678"/>
      <w:r>
        <w:rPr>
          <w:rFonts w:hint="eastAsia"/>
          <w:sz w:val="30"/>
          <w:szCs w:val="30"/>
          <w:lang w:eastAsia="zh-CN"/>
        </w:rPr>
        <w:t>三</w:t>
      </w:r>
      <w:r>
        <w:rPr>
          <w:rFonts w:hint="eastAsia"/>
          <w:sz w:val="30"/>
          <w:szCs w:val="30"/>
        </w:rPr>
        <w:t>、</w:t>
      </w:r>
      <w:bookmarkEnd w:id="264"/>
      <w:r>
        <w:rPr>
          <w:rFonts w:hint="eastAsia"/>
          <w:sz w:val="30"/>
          <w:szCs w:val="30"/>
          <w:lang w:eastAsia="zh-CN"/>
        </w:rPr>
        <w:t>供应商</w:t>
      </w:r>
      <w:r>
        <w:rPr>
          <w:rFonts w:hint="eastAsia"/>
          <w:sz w:val="30"/>
          <w:szCs w:val="30"/>
        </w:rPr>
        <w:t>资质证明文件</w:t>
      </w:r>
    </w:p>
    <w:p w14:paraId="21E993CB">
      <w:pPr>
        <w:pStyle w:val="18"/>
        <w:ind w:left="560"/>
        <w:rPr>
          <w:rFonts w:hint="eastAsia"/>
          <w:sz w:val="30"/>
          <w:szCs w:val="30"/>
          <w:lang w:eastAsia="zh-CN"/>
        </w:rPr>
      </w:pPr>
      <w:r>
        <w:rPr>
          <w:rFonts w:hint="eastAsia"/>
          <w:sz w:val="30"/>
          <w:szCs w:val="30"/>
          <w:lang w:eastAsia="zh-CN"/>
        </w:rPr>
        <w:t>四、</w:t>
      </w:r>
      <w:r>
        <w:rPr>
          <w:rFonts w:hint="eastAsia"/>
          <w:sz w:val="30"/>
          <w:szCs w:val="30"/>
          <w:lang w:val="en-US" w:eastAsia="zh-CN"/>
        </w:rPr>
        <w:t>商务响应偏离表</w:t>
      </w:r>
    </w:p>
    <w:p w14:paraId="2ECF4D0F">
      <w:pPr>
        <w:pStyle w:val="18"/>
        <w:ind w:left="560"/>
        <w:rPr>
          <w:rFonts w:hint="eastAsia"/>
          <w:bCs/>
          <w:sz w:val="30"/>
          <w:szCs w:val="30"/>
        </w:rPr>
      </w:pPr>
      <w:bookmarkStart w:id="265" w:name="_Toc23315679"/>
      <w:r>
        <w:rPr>
          <w:rFonts w:hint="eastAsia"/>
          <w:sz w:val="30"/>
          <w:szCs w:val="30"/>
        </w:rPr>
        <w:t>五、</w:t>
      </w:r>
      <w:bookmarkEnd w:id="265"/>
      <w:r>
        <w:rPr>
          <w:rFonts w:hint="eastAsia"/>
          <w:bCs/>
          <w:sz w:val="30"/>
          <w:szCs w:val="30"/>
          <w:lang w:val="en-US" w:eastAsia="zh-CN"/>
        </w:rPr>
        <w:t>技术服务方案</w:t>
      </w:r>
    </w:p>
    <w:p w14:paraId="721B01A5">
      <w:pPr>
        <w:pStyle w:val="18"/>
        <w:ind w:left="560"/>
        <w:rPr>
          <w:sz w:val="30"/>
          <w:szCs w:val="30"/>
        </w:rPr>
      </w:pPr>
      <w:bookmarkStart w:id="266" w:name="_Toc12490"/>
      <w:bookmarkStart w:id="267" w:name="_Toc23434"/>
      <w:bookmarkStart w:id="268" w:name="_Toc23315682"/>
      <w:r>
        <w:rPr>
          <w:rFonts w:hint="eastAsia"/>
          <w:sz w:val="30"/>
          <w:szCs w:val="30"/>
          <w:lang w:eastAsia="zh-CN"/>
        </w:rPr>
        <w:t>六</w:t>
      </w:r>
      <w:r>
        <w:rPr>
          <w:rFonts w:hint="eastAsia"/>
          <w:sz w:val="30"/>
          <w:szCs w:val="30"/>
        </w:rPr>
        <w:t>、</w:t>
      </w:r>
      <w:bookmarkEnd w:id="266"/>
      <w:bookmarkEnd w:id="267"/>
      <w:bookmarkEnd w:id="268"/>
      <w:r>
        <w:rPr>
          <w:rFonts w:hint="eastAsia"/>
          <w:sz w:val="30"/>
          <w:szCs w:val="30"/>
        </w:rPr>
        <w:t>投标单位拒绝政府采购领域商业贿赂承诺书</w:t>
      </w:r>
    </w:p>
    <w:p w14:paraId="4C6D89DF">
      <w:pPr>
        <w:rPr>
          <w:rFonts w:hint="eastAsia" w:ascii="宋体" w:hAnsi="宋体" w:eastAsia="宋体"/>
          <w:b/>
          <w:bCs w:val="0"/>
          <w:lang w:eastAsia="zh-CN"/>
        </w:rPr>
      </w:pPr>
      <w:bookmarkStart w:id="269" w:name="_Toc30120"/>
      <w:bookmarkStart w:id="270" w:name="_Toc23316598"/>
      <w:bookmarkStart w:id="271" w:name="_Toc23316696"/>
      <w:bookmarkStart w:id="272" w:name="_Toc23315683"/>
      <w:bookmarkStart w:id="273" w:name="_Toc4360"/>
      <w:bookmarkStart w:id="274" w:name="_Toc35335270"/>
      <w:bookmarkStart w:id="275" w:name="_Toc903"/>
      <w:bookmarkStart w:id="276" w:name="_Toc14826"/>
      <w:bookmarkStart w:id="277" w:name="_Toc23316534"/>
      <w:bookmarkStart w:id="278" w:name="_Toc17080"/>
    </w:p>
    <w:p w14:paraId="3A10FAD4">
      <w:pPr>
        <w:rPr>
          <w:rFonts w:hint="eastAsia" w:ascii="宋体" w:hAnsi="宋体" w:eastAsia="宋体"/>
          <w:b/>
          <w:bCs w:val="0"/>
          <w:lang w:eastAsia="zh-CN"/>
        </w:rPr>
      </w:pPr>
    </w:p>
    <w:p w14:paraId="7BBE56B0">
      <w:pPr>
        <w:rPr>
          <w:rFonts w:hint="eastAsia" w:ascii="宋体" w:hAnsi="宋体" w:eastAsia="宋体"/>
          <w:b/>
          <w:bCs w:val="0"/>
          <w:lang w:eastAsia="zh-CN"/>
        </w:rPr>
      </w:pPr>
    </w:p>
    <w:p w14:paraId="2021FECD">
      <w:pPr>
        <w:rPr>
          <w:rFonts w:hint="eastAsia" w:ascii="宋体" w:hAnsi="宋体" w:eastAsia="宋体"/>
          <w:b/>
          <w:bCs w:val="0"/>
          <w:lang w:eastAsia="zh-CN"/>
        </w:rPr>
      </w:pPr>
    </w:p>
    <w:p w14:paraId="4078C925">
      <w:pPr>
        <w:rPr>
          <w:rFonts w:hint="eastAsia" w:ascii="宋体" w:hAnsi="宋体" w:eastAsia="宋体"/>
          <w:b/>
          <w:bCs w:val="0"/>
          <w:lang w:eastAsia="zh-CN"/>
        </w:rPr>
      </w:pPr>
    </w:p>
    <w:p w14:paraId="0568808B">
      <w:pPr>
        <w:rPr>
          <w:rFonts w:hint="eastAsia" w:ascii="宋体" w:hAnsi="宋体" w:eastAsia="宋体"/>
          <w:b/>
          <w:bCs w:val="0"/>
          <w:lang w:eastAsia="zh-CN"/>
        </w:rPr>
      </w:pPr>
    </w:p>
    <w:p w14:paraId="35C5FE3C">
      <w:pPr>
        <w:rPr>
          <w:rFonts w:hint="eastAsia" w:ascii="宋体" w:hAnsi="宋体" w:eastAsia="宋体"/>
          <w:b/>
          <w:bCs w:val="0"/>
          <w:lang w:eastAsia="zh-CN"/>
        </w:rPr>
      </w:pPr>
    </w:p>
    <w:p w14:paraId="334C81B3">
      <w:pPr>
        <w:rPr>
          <w:rFonts w:hint="eastAsia" w:ascii="宋体" w:hAnsi="宋体" w:eastAsia="宋体"/>
          <w:b/>
          <w:bCs w:val="0"/>
          <w:lang w:eastAsia="zh-CN"/>
        </w:rPr>
      </w:pPr>
    </w:p>
    <w:p w14:paraId="2A04A4A1">
      <w:pPr>
        <w:pStyle w:val="4"/>
        <w:keepNext/>
        <w:keepLines/>
        <w:pageBreakBefore w:val="0"/>
        <w:widowControl/>
        <w:kinsoku/>
        <w:wordWrap/>
        <w:overflowPunct/>
        <w:topLinePunct w:val="0"/>
        <w:autoSpaceDE/>
        <w:autoSpaceDN/>
        <w:bidi w:val="0"/>
        <w:adjustRightInd/>
        <w:snapToGrid/>
        <w:spacing w:after="196" w:afterLines="50"/>
        <w:jc w:val="center"/>
        <w:textAlignment w:val="auto"/>
        <w:rPr>
          <w:rFonts w:hint="eastAsia" w:ascii="宋体" w:hAnsi="宋体" w:eastAsia="宋体"/>
          <w:b/>
          <w:bCs w:val="0"/>
          <w:lang w:eastAsia="zh-CN"/>
        </w:rPr>
        <w:sectPr>
          <w:pgSz w:w="11906" w:h="16838"/>
          <w:pgMar w:top="1247"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89" w:charSpace="0"/>
        </w:sectPr>
      </w:pPr>
    </w:p>
    <w:p w14:paraId="67234CA4">
      <w:pPr>
        <w:bidi w:val="0"/>
        <w:jc w:val="center"/>
        <w:rPr>
          <w:rFonts w:hint="eastAsia" w:ascii="宋体" w:hAnsi="宋体" w:eastAsia="宋体" w:cs="宋体"/>
          <w:b/>
          <w:bCs/>
          <w:sz w:val="32"/>
          <w:szCs w:val="32"/>
        </w:rPr>
      </w:pPr>
      <w:r>
        <w:rPr>
          <w:rFonts w:hint="eastAsia" w:ascii="宋体" w:hAnsi="宋体" w:eastAsia="宋体" w:cs="宋体"/>
          <w:b/>
          <w:bCs/>
          <w:sz w:val="32"/>
          <w:szCs w:val="32"/>
          <w:lang w:eastAsia="zh-CN"/>
        </w:rPr>
        <w:t>一、</w:t>
      </w:r>
      <w:r>
        <w:rPr>
          <w:rFonts w:hint="eastAsia" w:ascii="宋体" w:hAnsi="宋体" w:eastAsia="宋体" w:cs="宋体"/>
          <w:b/>
          <w:bCs/>
          <w:sz w:val="32"/>
          <w:szCs w:val="32"/>
        </w:rPr>
        <w:t>投标函（格式）</w:t>
      </w:r>
      <w:bookmarkEnd w:id="258"/>
      <w:bookmarkEnd w:id="259"/>
      <w:bookmarkEnd w:id="260"/>
      <w:bookmarkEnd w:id="269"/>
      <w:bookmarkEnd w:id="270"/>
      <w:bookmarkEnd w:id="271"/>
      <w:bookmarkEnd w:id="272"/>
      <w:bookmarkEnd w:id="273"/>
      <w:bookmarkEnd w:id="274"/>
      <w:bookmarkEnd w:id="275"/>
      <w:bookmarkEnd w:id="276"/>
      <w:bookmarkEnd w:id="277"/>
      <w:bookmarkEnd w:id="278"/>
    </w:p>
    <w:p w14:paraId="1F83AD6E">
      <w:pPr>
        <w:spacing w:line="480" w:lineRule="exact"/>
        <w:ind w:right="560"/>
        <w:rPr>
          <w:rFonts w:hint="eastAsia" w:cs="仿宋" w:asciiTheme="minorEastAsia" w:hAnsiTheme="minorEastAsia" w:eastAsiaTheme="minorEastAsia"/>
          <w:bCs/>
          <w:sz w:val="24"/>
          <w:szCs w:val="24"/>
          <w:lang w:eastAsia="zh-CN"/>
        </w:rPr>
      </w:pPr>
      <w:r>
        <w:rPr>
          <w:rFonts w:hint="eastAsia" w:cs="仿宋" w:asciiTheme="minorEastAsia" w:hAnsiTheme="minorEastAsia" w:eastAsiaTheme="minorEastAsia"/>
          <w:bCs/>
          <w:sz w:val="24"/>
        </w:rPr>
        <w:t>致：</w:t>
      </w:r>
      <w:r>
        <w:rPr>
          <w:rFonts w:hint="eastAsia" w:cs="仿宋" w:asciiTheme="minorEastAsia" w:hAnsiTheme="minorEastAsia" w:eastAsiaTheme="minorEastAsia"/>
          <w:bCs/>
          <w:sz w:val="24"/>
          <w:lang w:val="en-US" w:eastAsia="zh-CN"/>
        </w:rPr>
        <w:t>宝泽项目管理有限公司</w:t>
      </w:r>
    </w:p>
    <w:p w14:paraId="5D4F7CD5">
      <w:pPr>
        <w:spacing w:line="480" w:lineRule="exact"/>
        <w:ind w:firstLine="470" w:firstLineChars="196"/>
        <w:rPr>
          <w:rFonts w:cs="仿宋" w:asciiTheme="minorEastAsia" w:hAnsiTheme="minorEastAsia" w:eastAsiaTheme="minorEastAsia"/>
          <w:bCs/>
          <w:sz w:val="24"/>
        </w:rPr>
      </w:pPr>
      <w:r>
        <w:rPr>
          <w:rFonts w:hint="eastAsia" w:cs="仿宋" w:asciiTheme="minorEastAsia" w:hAnsiTheme="minorEastAsia" w:eastAsiaTheme="minorEastAsia"/>
          <w:bCs/>
          <w:sz w:val="24"/>
        </w:rPr>
        <w:t>根据贵单位</w:t>
      </w:r>
      <w:r>
        <w:rPr>
          <w:rFonts w:hint="eastAsia" w:cs="仿宋" w:asciiTheme="minorEastAsia" w:hAnsiTheme="minorEastAsia" w:eastAsiaTheme="minorEastAsia"/>
          <w:bCs/>
          <w:sz w:val="24"/>
          <w:u w:val="single"/>
        </w:rPr>
        <w:t xml:space="preserve">        （项目名称）</w:t>
      </w:r>
      <w:r>
        <w:rPr>
          <w:rFonts w:hint="eastAsia" w:cs="仿宋" w:asciiTheme="minorEastAsia" w:hAnsiTheme="minorEastAsia" w:eastAsiaTheme="minorEastAsia"/>
          <w:bCs/>
          <w:sz w:val="24"/>
        </w:rPr>
        <w:t>项目的谈判公告，我方代表</w:t>
      </w:r>
      <w:r>
        <w:rPr>
          <w:rFonts w:hint="eastAsia" w:cs="仿宋" w:asciiTheme="minorEastAsia" w:hAnsiTheme="minorEastAsia" w:eastAsiaTheme="minorEastAsia"/>
          <w:bCs/>
          <w:sz w:val="24"/>
          <w:u w:val="single"/>
        </w:rPr>
        <w:t xml:space="preserve">  （姓名、职务）</w:t>
      </w:r>
      <w:r>
        <w:rPr>
          <w:rFonts w:hint="eastAsia" w:cs="仿宋" w:asciiTheme="minorEastAsia" w:hAnsiTheme="minorEastAsia" w:eastAsiaTheme="minorEastAsia"/>
          <w:bCs/>
          <w:sz w:val="24"/>
        </w:rPr>
        <w:t>经正式授权并代表</w:t>
      </w:r>
      <w:r>
        <w:rPr>
          <w:rFonts w:hint="eastAsia" w:cs="仿宋" w:asciiTheme="minorEastAsia" w:hAnsiTheme="minorEastAsia" w:eastAsiaTheme="minorEastAsia"/>
          <w:bCs/>
          <w:sz w:val="24"/>
          <w:u w:val="single"/>
        </w:rPr>
        <w:t xml:space="preserve">     （供应商名称）</w:t>
      </w:r>
      <w:r>
        <w:rPr>
          <w:rFonts w:hint="eastAsia" w:cs="仿宋" w:asciiTheme="minorEastAsia" w:hAnsiTheme="minorEastAsia" w:eastAsiaTheme="minorEastAsia"/>
          <w:bCs/>
          <w:sz w:val="24"/>
        </w:rPr>
        <w:t>就该项目进行投标。</w:t>
      </w:r>
    </w:p>
    <w:p w14:paraId="3AC4EEBE">
      <w:pPr>
        <w:spacing w:line="480" w:lineRule="exact"/>
        <w:ind w:firstLine="470" w:firstLineChars="196"/>
        <w:rPr>
          <w:rFonts w:cs="仿宋" w:asciiTheme="minorEastAsia" w:hAnsiTheme="minorEastAsia" w:eastAsiaTheme="minorEastAsia"/>
          <w:bCs/>
          <w:sz w:val="24"/>
        </w:rPr>
      </w:pPr>
      <w:r>
        <w:rPr>
          <w:rFonts w:hint="eastAsia" w:cs="仿宋" w:asciiTheme="minorEastAsia" w:hAnsiTheme="minorEastAsia" w:eastAsiaTheme="minorEastAsia"/>
          <w:bCs/>
          <w:sz w:val="24"/>
        </w:rPr>
        <w:t>在此，我方郑重声明以下诸点，并负法律责任：</w:t>
      </w:r>
    </w:p>
    <w:p w14:paraId="2D85A4E8">
      <w:pPr>
        <w:spacing w:line="480" w:lineRule="exact"/>
        <w:ind w:firstLine="470" w:firstLineChars="196"/>
        <w:rPr>
          <w:rFonts w:cs="仿宋" w:asciiTheme="minorEastAsia" w:hAnsiTheme="minorEastAsia" w:eastAsiaTheme="minorEastAsia"/>
          <w:bCs/>
          <w:sz w:val="24"/>
        </w:rPr>
      </w:pPr>
      <w:r>
        <w:rPr>
          <w:rFonts w:hint="eastAsia" w:cs="仿宋" w:asciiTheme="minorEastAsia" w:hAnsiTheme="minorEastAsia" w:eastAsiaTheme="minorEastAsia"/>
          <w:bCs/>
          <w:sz w:val="24"/>
        </w:rPr>
        <w:t>1、按照谈判文件中的一切要求，提供完全满足采购需求的合格服务保障。</w:t>
      </w:r>
    </w:p>
    <w:p w14:paraId="3C9B15BB">
      <w:pPr>
        <w:spacing w:line="480" w:lineRule="exact"/>
        <w:ind w:firstLine="470" w:firstLineChars="196"/>
        <w:rPr>
          <w:rFonts w:cs="仿宋" w:asciiTheme="minorEastAsia" w:hAnsiTheme="minorEastAsia" w:eastAsiaTheme="minorEastAsia"/>
          <w:bCs/>
          <w:sz w:val="24"/>
        </w:rPr>
      </w:pPr>
      <w:r>
        <w:rPr>
          <w:rFonts w:hint="eastAsia" w:cs="仿宋" w:asciiTheme="minorEastAsia" w:hAnsiTheme="minorEastAsia" w:eastAsiaTheme="minorEastAsia"/>
          <w:bCs/>
          <w:sz w:val="24"/>
        </w:rPr>
        <w:t>2、如若成交，将根据谈判文件的要求、响应文件及承诺条件，全面签约并履行合同规定的责任和义务</w:t>
      </w:r>
    </w:p>
    <w:p w14:paraId="1014E89E">
      <w:pPr>
        <w:spacing w:line="480" w:lineRule="exact"/>
        <w:ind w:firstLine="470" w:firstLineChars="196"/>
        <w:rPr>
          <w:rFonts w:cs="仿宋" w:asciiTheme="minorEastAsia" w:hAnsiTheme="minorEastAsia" w:eastAsiaTheme="minorEastAsia"/>
          <w:bCs/>
          <w:sz w:val="24"/>
        </w:rPr>
      </w:pPr>
      <w:r>
        <w:rPr>
          <w:rFonts w:hint="eastAsia" w:cs="仿宋" w:asciiTheme="minorEastAsia" w:hAnsiTheme="minorEastAsia" w:eastAsiaTheme="minorEastAsia"/>
          <w:bCs/>
          <w:sz w:val="24"/>
          <w:lang w:val="en-US" w:eastAsia="zh-CN"/>
        </w:rPr>
        <w:t>3</w:t>
      </w:r>
      <w:r>
        <w:rPr>
          <w:rFonts w:hint="eastAsia" w:cs="仿宋" w:asciiTheme="minorEastAsia" w:hAnsiTheme="minorEastAsia" w:eastAsiaTheme="minorEastAsia"/>
          <w:bCs/>
          <w:sz w:val="24"/>
        </w:rPr>
        <w:t>、按照谈判文件要求，我方投标</w:t>
      </w:r>
      <w:r>
        <w:rPr>
          <w:rFonts w:hint="eastAsia" w:cs="仿宋" w:asciiTheme="minorEastAsia" w:hAnsiTheme="minorEastAsia" w:eastAsiaTheme="minorEastAsia"/>
          <w:bCs/>
          <w:sz w:val="24"/>
          <w:lang w:val="en-US" w:eastAsia="zh-CN"/>
        </w:rPr>
        <w:t>总价</w:t>
      </w:r>
      <w:r>
        <w:rPr>
          <w:rFonts w:hint="eastAsia" w:cs="仿宋" w:asciiTheme="minorEastAsia" w:hAnsiTheme="minorEastAsia" w:eastAsiaTheme="minorEastAsia"/>
          <w:bCs/>
          <w:sz w:val="24"/>
        </w:rPr>
        <w:t>为：</w:t>
      </w:r>
      <w:r>
        <w:rPr>
          <w:rFonts w:hint="eastAsia" w:cs="仿宋" w:asciiTheme="minorEastAsia" w:hAnsiTheme="minorEastAsia" w:eastAsiaTheme="minorEastAsia"/>
          <w:bCs/>
          <w:sz w:val="24"/>
          <w:lang w:val="zh-CN"/>
        </w:rPr>
        <w:t>总价</w:t>
      </w:r>
      <w:r>
        <w:rPr>
          <w:rFonts w:hint="eastAsia" w:cs="仿宋" w:asciiTheme="minorEastAsia" w:hAnsiTheme="minorEastAsia" w:eastAsiaTheme="minorEastAsia"/>
          <w:bCs/>
          <w:sz w:val="24"/>
        </w:rPr>
        <w:t>(大写) 人民币</w:t>
      </w:r>
      <w:r>
        <w:rPr>
          <w:rFonts w:hint="eastAsia" w:cs="仿宋" w:asciiTheme="minorEastAsia" w:hAnsiTheme="minorEastAsia" w:eastAsiaTheme="minorEastAsia"/>
          <w:bCs/>
          <w:sz w:val="24"/>
          <w:u w:val="single"/>
        </w:rPr>
        <w:t xml:space="preserve">       </w:t>
      </w:r>
      <w:r>
        <w:rPr>
          <w:rFonts w:hint="eastAsia" w:cs="仿宋" w:asciiTheme="minorEastAsia" w:hAnsiTheme="minorEastAsia" w:eastAsiaTheme="minorEastAsia"/>
          <w:bCs/>
          <w:sz w:val="24"/>
        </w:rPr>
        <w:t xml:space="preserve"> ，</w:t>
      </w:r>
      <w:r>
        <w:rPr>
          <w:rFonts w:hint="eastAsia" w:cs="仿宋" w:asciiTheme="minorEastAsia" w:hAnsiTheme="minorEastAsia" w:eastAsiaTheme="minorEastAsia"/>
          <w:bCs/>
          <w:sz w:val="24"/>
          <w:lang w:val="en-US" w:eastAsia="zh-CN"/>
        </w:rPr>
        <w:t>小写</w:t>
      </w:r>
      <w:r>
        <w:rPr>
          <w:rFonts w:hint="eastAsia" w:cs="仿宋" w:asciiTheme="minorEastAsia" w:hAnsiTheme="minorEastAsia" w:eastAsiaTheme="minorEastAsia"/>
          <w:bCs/>
          <w:sz w:val="24"/>
          <w:u w:val="single"/>
        </w:rPr>
        <w:t xml:space="preserve">        </w:t>
      </w:r>
      <w:r>
        <w:rPr>
          <w:rFonts w:hint="eastAsia" w:cs="仿宋" w:asciiTheme="minorEastAsia" w:hAnsiTheme="minorEastAsia" w:eastAsiaTheme="minorEastAsia"/>
          <w:bCs/>
          <w:sz w:val="24"/>
        </w:rPr>
        <w:t xml:space="preserve"> 。该报价一次报死，不受市场因素的影响。</w:t>
      </w:r>
    </w:p>
    <w:p w14:paraId="4117FC90">
      <w:pPr>
        <w:spacing w:line="480" w:lineRule="exact"/>
        <w:ind w:firstLine="470" w:firstLineChars="196"/>
        <w:rPr>
          <w:rFonts w:cs="仿宋" w:asciiTheme="minorEastAsia" w:hAnsiTheme="minorEastAsia" w:eastAsiaTheme="minorEastAsia"/>
          <w:bCs/>
          <w:sz w:val="24"/>
        </w:rPr>
      </w:pPr>
      <w:r>
        <w:rPr>
          <w:rFonts w:hint="eastAsia" w:cs="仿宋" w:asciiTheme="minorEastAsia" w:hAnsiTheme="minorEastAsia" w:eastAsiaTheme="minorEastAsia"/>
          <w:bCs/>
          <w:sz w:val="24"/>
          <w:lang w:val="en-US" w:eastAsia="zh-CN"/>
        </w:rPr>
        <w:t>4</w:t>
      </w:r>
      <w:r>
        <w:rPr>
          <w:rFonts w:hint="eastAsia" w:cs="仿宋" w:asciiTheme="minorEastAsia" w:hAnsiTheme="minorEastAsia" w:eastAsiaTheme="minorEastAsia"/>
          <w:bCs/>
          <w:sz w:val="24"/>
        </w:rPr>
        <w:t>、我方已详细审查全部谈判文件，完全理解并同意放弃提出对这方面有不明及误解质疑的权力。</w:t>
      </w:r>
    </w:p>
    <w:p w14:paraId="4F2B4D97">
      <w:pPr>
        <w:spacing w:line="480" w:lineRule="exact"/>
        <w:ind w:firstLine="470" w:firstLineChars="196"/>
        <w:rPr>
          <w:rFonts w:cs="仿宋" w:asciiTheme="minorEastAsia" w:hAnsiTheme="minorEastAsia" w:eastAsiaTheme="minorEastAsia"/>
          <w:bCs/>
          <w:sz w:val="24"/>
        </w:rPr>
      </w:pPr>
      <w:r>
        <w:rPr>
          <w:rFonts w:hint="eastAsia" w:cs="仿宋" w:asciiTheme="minorEastAsia" w:hAnsiTheme="minorEastAsia" w:eastAsiaTheme="minorEastAsia"/>
          <w:bCs/>
          <w:sz w:val="24"/>
          <w:lang w:val="en-US" w:eastAsia="zh-CN"/>
        </w:rPr>
        <w:t>5</w:t>
      </w:r>
      <w:r>
        <w:rPr>
          <w:rFonts w:hint="eastAsia" w:cs="仿宋" w:asciiTheme="minorEastAsia" w:hAnsiTheme="minorEastAsia" w:eastAsiaTheme="minorEastAsia"/>
          <w:bCs/>
          <w:sz w:val="24"/>
        </w:rPr>
        <w:t>、我方同意按照要求提供投标有关的一切数据或资料。</w:t>
      </w:r>
    </w:p>
    <w:p w14:paraId="60A22001">
      <w:pPr>
        <w:spacing w:line="480" w:lineRule="exact"/>
        <w:ind w:firstLine="470" w:firstLineChars="196"/>
        <w:rPr>
          <w:rFonts w:cs="仿宋" w:asciiTheme="minorEastAsia" w:hAnsiTheme="minorEastAsia" w:eastAsiaTheme="minorEastAsia"/>
          <w:bCs/>
          <w:sz w:val="24"/>
        </w:rPr>
      </w:pPr>
      <w:r>
        <w:rPr>
          <w:rFonts w:hint="eastAsia" w:cs="仿宋" w:asciiTheme="minorEastAsia" w:hAnsiTheme="minorEastAsia" w:eastAsiaTheme="minorEastAsia"/>
          <w:bCs/>
          <w:sz w:val="24"/>
          <w:lang w:val="en-US" w:eastAsia="zh-CN"/>
        </w:rPr>
        <w:t>6</w:t>
      </w:r>
      <w:r>
        <w:rPr>
          <w:rFonts w:hint="eastAsia" w:cs="仿宋" w:asciiTheme="minorEastAsia" w:hAnsiTheme="minorEastAsia" w:eastAsiaTheme="minorEastAsia"/>
          <w:bCs/>
          <w:sz w:val="24"/>
        </w:rPr>
        <w:t>、我方完全理解最低报价不是成交的唯一条件，采购人有权选择质优价廉的服务。</w:t>
      </w:r>
    </w:p>
    <w:p w14:paraId="2EC2D24F">
      <w:pPr>
        <w:spacing w:line="480" w:lineRule="exact"/>
        <w:ind w:firstLine="470" w:firstLineChars="196"/>
        <w:rPr>
          <w:rFonts w:cs="仿宋" w:asciiTheme="minorEastAsia" w:hAnsiTheme="minorEastAsia" w:eastAsiaTheme="minorEastAsia"/>
          <w:bCs/>
          <w:sz w:val="24"/>
        </w:rPr>
      </w:pPr>
      <w:r>
        <w:rPr>
          <w:rFonts w:hint="eastAsia" w:cs="仿宋" w:asciiTheme="minorEastAsia" w:hAnsiTheme="minorEastAsia" w:eastAsiaTheme="minorEastAsia"/>
          <w:bCs/>
          <w:sz w:val="24"/>
          <w:lang w:val="en-US" w:eastAsia="zh-CN"/>
        </w:rPr>
        <w:t>7</w:t>
      </w:r>
      <w:r>
        <w:rPr>
          <w:rFonts w:hint="eastAsia" w:cs="仿宋" w:asciiTheme="minorEastAsia" w:hAnsiTheme="minorEastAsia" w:eastAsiaTheme="minorEastAsia"/>
          <w:bCs/>
          <w:sz w:val="24"/>
        </w:rPr>
        <w:t>、我方同意按谈判文件规定，遵守贵方有关招标的各项规定。</w:t>
      </w:r>
    </w:p>
    <w:p w14:paraId="691CAFDE">
      <w:pPr>
        <w:spacing w:line="480" w:lineRule="exact"/>
        <w:ind w:firstLine="470" w:firstLineChars="196"/>
        <w:rPr>
          <w:rFonts w:cs="仿宋" w:asciiTheme="minorEastAsia" w:hAnsiTheme="minorEastAsia" w:eastAsiaTheme="minorEastAsia"/>
          <w:bCs/>
          <w:sz w:val="24"/>
        </w:rPr>
      </w:pPr>
      <w:r>
        <w:rPr>
          <w:rFonts w:hint="eastAsia" w:cs="仿宋" w:asciiTheme="minorEastAsia" w:hAnsiTheme="minorEastAsia" w:eastAsiaTheme="minorEastAsia"/>
          <w:bCs/>
          <w:sz w:val="24"/>
          <w:lang w:val="en-US" w:eastAsia="zh-CN"/>
        </w:rPr>
        <w:t>8</w:t>
      </w:r>
      <w:r>
        <w:rPr>
          <w:rFonts w:hint="eastAsia" w:cs="仿宋" w:asciiTheme="minorEastAsia" w:hAnsiTheme="minorEastAsia" w:eastAsiaTheme="minorEastAsia"/>
          <w:bCs/>
          <w:sz w:val="24"/>
        </w:rPr>
        <w:t>、若我方成交，我方保证按有关规定向贵方支付招标服务费。</w:t>
      </w:r>
    </w:p>
    <w:p w14:paraId="067E3D8B">
      <w:pPr>
        <w:spacing w:line="480" w:lineRule="exact"/>
        <w:ind w:firstLine="470" w:firstLineChars="196"/>
        <w:rPr>
          <w:rFonts w:cs="仿宋" w:asciiTheme="minorEastAsia" w:hAnsiTheme="minorEastAsia" w:eastAsiaTheme="minorEastAsia"/>
          <w:bCs/>
          <w:sz w:val="24"/>
        </w:rPr>
      </w:pPr>
      <w:r>
        <w:rPr>
          <w:rFonts w:hint="eastAsia" w:cs="仿宋" w:asciiTheme="minorEastAsia" w:hAnsiTheme="minorEastAsia" w:eastAsiaTheme="minorEastAsia"/>
          <w:bCs/>
          <w:sz w:val="24"/>
          <w:lang w:val="en-US" w:eastAsia="zh-CN"/>
        </w:rPr>
        <w:t>9</w:t>
      </w:r>
      <w:r>
        <w:rPr>
          <w:rFonts w:hint="eastAsia" w:cs="仿宋" w:asciiTheme="minorEastAsia" w:hAnsiTheme="minorEastAsia" w:eastAsiaTheme="minorEastAsia"/>
          <w:bCs/>
          <w:sz w:val="24"/>
        </w:rPr>
        <w:t>、投标有效期为自开标日起</w:t>
      </w:r>
      <w:r>
        <w:rPr>
          <w:rFonts w:hint="eastAsia" w:cs="仿宋" w:asciiTheme="minorEastAsia" w:hAnsiTheme="minorEastAsia" w:eastAsiaTheme="minorEastAsia"/>
          <w:bCs/>
          <w:sz w:val="24"/>
          <w:u w:val="single"/>
        </w:rPr>
        <w:t xml:space="preserve">     </w:t>
      </w:r>
      <w:r>
        <w:rPr>
          <w:rFonts w:hint="eastAsia" w:cs="仿宋" w:asciiTheme="minorEastAsia" w:hAnsiTheme="minorEastAsia" w:eastAsiaTheme="minorEastAsia"/>
          <w:bCs/>
          <w:sz w:val="24"/>
        </w:rPr>
        <w:t>个日历日。</w:t>
      </w:r>
    </w:p>
    <w:p w14:paraId="0D1EF382">
      <w:pPr>
        <w:spacing w:line="480" w:lineRule="exact"/>
        <w:ind w:firstLine="470" w:firstLineChars="196"/>
        <w:rPr>
          <w:rFonts w:cs="仿宋" w:asciiTheme="minorEastAsia" w:hAnsiTheme="minorEastAsia" w:eastAsiaTheme="minorEastAsia"/>
          <w:bCs/>
          <w:sz w:val="24"/>
        </w:rPr>
      </w:pPr>
      <w:r>
        <w:rPr>
          <w:rFonts w:cs="仿宋" w:asciiTheme="minorEastAsia" w:hAnsiTheme="minorEastAsia" w:eastAsiaTheme="minorEastAsia"/>
          <w:bCs/>
          <w:sz w:val="24"/>
        </w:rPr>
        <w:t>1</w:t>
      </w:r>
      <w:r>
        <w:rPr>
          <w:rFonts w:hint="eastAsia" w:cs="仿宋" w:asciiTheme="minorEastAsia" w:hAnsiTheme="minorEastAsia" w:eastAsiaTheme="minorEastAsia"/>
          <w:bCs/>
          <w:sz w:val="24"/>
          <w:lang w:val="en-US" w:eastAsia="zh-CN"/>
        </w:rPr>
        <w:t>0</w:t>
      </w:r>
      <w:r>
        <w:rPr>
          <w:rFonts w:hint="eastAsia" w:cs="仿宋" w:asciiTheme="minorEastAsia" w:hAnsiTheme="minorEastAsia" w:eastAsiaTheme="minorEastAsia"/>
          <w:bCs/>
          <w:sz w:val="24"/>
        </w:rPr>
        <w:t>、所有关于本项目的函电，请按下列地址联系：</w:t>
      </w:r>
    </w:p>
    <w:p w14:paraId="2C067E45">
      <w:pPr>
        <w:spacing w:line="480" w:lineRule="exact"/>
        <w:ind w:firstLine="480" w:firstLineChars="200"/>
        <w:rPr>
          <w:rFonts w:cs="仿宋" w:asciiTheme="minorEastAsia" w:hAnsiTheme="minorEastAsia" w:eastAsiaTheme="minorEastAsia"/>
          <w:bCs/>
          <w:sz w:val="22"/>
          <w:szCs w:val="24"/>
          <w:u w:val="single"/>
        </w:rPr>
      </w:pPr>
      <w:r>
        <w:rPr>
          <w:rFonts w:hint="eastAsia" w:cs="仿宋" w:asciiTheme="minorEastAsia" w:hAnsiTheme="minorEastAsia" w:eastAsiaTheme="minorEastAsia"/>
          <w:bCs/>
          <w:sz w:val="24"/>
        </w:rPr>
        <w:t>供应商名称（公章）：</w:t>
      </w:r>
      <w:r>
        <w:rPr>
          <w:rFonts w:hint="eastAsia" w:cs="仿宋" w:asciiTheme="minorEastAsia" w:hAnsiTheme="minorEastAsia" w:eastAsiaTheme="minorEastAsia"/>
          <w:bCs/>
          <w:sz w:val="24"/>
          <w:u w:val="single"/>
        </w:rPr>
        <w:t xml:space="preserve">                                </w:t>
      </w:r>
    </w:p>
    <w:p w14:paraId="2C8A1DE8">
      <w:pPr>
        <w:spacing w:line="480" w:lineRule="exact"/>
        <w:ind w:firstLine="480" w:firstLineChars="200"/>
        <w:rPr>
          <w:rFonts w:cs="仿宋" w:asciiTheme="minorEastAsia" w:hAnsiTheme="minorEastAsia" w:eastAsiaTheme="minorEastAsia"/>
          <w:bCs/>
          <w:sz w:val="24"/>
          <w:u w:val="single"/>
        </w:rPr>
      </w:pPr>
      <w:r>
        <w:rPr>
          <w:rFonts w:hint="eastAsia" w:cs="仿宋" w:asciiTheme="minorEastAsia" w:hAnsiTheme="minorEastAsia" w:eastAsiaTheme="minorEastAsia"/>
          <w:bCs/>
          <w:sz w:val="24"/>
        </w:rPr>
        <w:t>详 细 地 址：</w:t>
      </w:r>
      <w:r>
        <w:rPr>
          <w:rFonts w:hint="eastAsia" w:cs="仿宋" w:asciiTheme="minorEastAsia" w:hAnsiTheme="minorEastAsia" w:eastAsiaTheme="minorEastAsia"/>
          <w:bCs/>
          <w:sz w:val="24"/>
          <w:u w:val="single"/>
        </w:rPr>
        <w:t xml:space="preserve">                                      </w:t>
      </w:r>
    </w:p>
    <w:p w14:paraId="41300905">
      <w:pPr>
        <w:spacing w:line="480" w:lineRule="exact"/>
        <w:ind w:firstLine="480" w:firstLineChars="200"/>
        <w:rPr>
          <w:rFonts w:cs="仿宋" w:asciiTheme="minorEastAsia" w:hAnsiTheme="minorEastAsia" w:eastAsiaTheme="minorEastAsia"/>
          <w:bCs/>
          <w:sz w:val="24"/>
          <w:u w:val="single"/>
        </w:rPr>
      </w:pPr>
      <w:r>
        <w:rPr>
          <w:rFonts w:hint="eastAsia" w:cs="仿宋" w:asciiTheme="minorEastAsia" w:hAnsiTheme="minorEastAsia" w:eastAsiaTheme="minorEastAsia"/>
          <w:bCs/>
          <w:sz w:val="24"/>
        </w:rPr>
        <w:t>邮 政 编 码：</w:t>
      </w:r>
      <w:r>
        <w:rPr>
          <w:rFonts w:hint="eastAsia" w:cs="仿宋" w:asciiTheme="minorEastAsia" w:hAnsiTheme="minorEastAsia" w:eastAsiaTheme="minorEastAsia"/>
          <w:bCs/>
          <w:sz w:val="24"/>
          <w:u w:val="single"/>
        </w:rPr>
        <w:t xml:space="preserve">                   </w:t>
      </w:r>
      <w:r>
        <w:rPr>
          <w:rFonts w:hint="eastAsia" w:cs="仿宋" w:asciiTheme="minorEastAsia" w:hAnsiTheme="minorEastAsia" w:eastAsiaTheme="minorEastAsia"/>
          <w:bCs/>
          <w:sz w:val="24"/>
          <w:lang w:val="zh-CN"/>
        </w:rPr>
        <w:t>传       真：</w:t>
      </w:r>
      <w:r>
        <w:rPr>
          <w:rFonts w:hint="eastAsia" w:cs="仿宋" w:asciiTheme="minorEastAsia" w:hAnsiTheme="minorEastAsia" w:eastAsiaTheme="minorEastAsia"/>
          <w:bCs/>
          <w:sz w:val="24"/>
          <w:u w:val="single"/>
          <w:lang w:val="zh-CN"/>
        </w:rPr>
        <w:t xml:space="preserve">                 </w:t>
      </w:r>
    </w:p>
    <w:p w14:paraId="0CD79103">
      <w:pPr>
        <w:spacing w:line="480" w:lineRule="exact"/>
        <w:ind w:firstLine="480" w:firstLineChars="200"/>
        <w:rPr>
          <w:rFonts w:cs="仿宋" w:asciiTheme="minorEastAsia" w:hAnsiTheme="minorEastAsia" w:eastAsiaTheme="minorEastAsia"/>
          <w:bCs/>
          <w:sz w:val="24"/>
          <w:u w:val="single"/>
        </w:rPr>
      </w:pPr>
      <w:r>
        <w:rPr>
          <w:rFonts w:hint="eastAsia" w:cs="仿宋" w:asciiTheme="minorEastAsia" w:hAnsiTheme="minorEastAsia" w:eastAsiaTheme="minorEastAsia"/>
          <w:bCs/>
          <w:sz w:val="24"/>
          <w:lang w:val="zh-CN"/>
        </w:rPr>
        <w:t>电       话：</w:t>
      </w:r>
      <w:r>
        <w:rPr>
          <w:rFonts w:hint="eastAsia" w:cs="仿宋" w:asciiTheme="minorEastAsia" w:hAnsiTheme="minorEastAsia" w:eastAsiaTheme="minorEastAsia"/>
          <w:bCs/>
          <w:sz w:val="24"/>
          <w:u w:val="single"/>
          <w:lang w:val="zh-CN"/>
        </w:rPr>
        <w:t xml:space="preserve">                   </w:t>
      </w:r>
      <w:r>
        <w:rPr>
          <w:rFonts w:hint="eastAsia" w:cs="仿宋" w:asciiTheme="minorEastAsia" w:hAnsiTheme="minorEastAsia" w:eastAsiaTheme="minorEastAsia"/>
          <w:bCs/>
          <w:sz w:val="24"/>
          <w:lang w:val="zh-CN"/>
        </w:rPr>
        <w:t>帐       号：</w:t>
      </w:r>
      <w:r>
        <w:rPr>
          <w:rFonts w:hint="eastAsia" w:cs="仿宋" w:asciiTheme="minorEastAsia" w:hAnsiTheme="minorEastAsia" w:eastAsiaTheme="minorEastAsia"/>
          <w:bCs/>
          <w:sz w:val="24"/>
          <w:u w:val="single"/>
          <w:lang w:val="zh-CN"/>
        </w:rPr>
        <w:t xml:space="preserve">                </w:t>
      </w:r>
    </w:p>
    <w:p w14:paraId="2FC8F369">
      <w:pPr>
        <w:spacing w:line="480" w:lineRule="exact"/>
        <w:ind w:firstLine="480" w:firstLineChars="200"/>
        <w:rPr>
          <w:rFonts w:cs="仿宋" w:asciiTheme="minorEastAsia" w:hAnsiTheme="minorEastAsia" w:eastAsiaTheme="minorEastAsia"/>
          <w:bCs/>
        </w:rPr>
      </w:pPr>
      <w:r>
        <w:rPr>
          <w:rFonts w:hint="eastAsia" w:cs="仿宋" w:asciiTheme="minorEastAsia" w:hAnsiTheme="minorEastAsia" w:eastAsiaTheme="minorEastAsia"/>
          <w:bCs/>
          <w:sz w:val="24"/>
          <w:lang w:val="zh-CN"/>
        </w:rPr>
        <w:t>开 户 银 行：</w:t>
      </w:r>
      <w:r>
        <w:rPr>
          <w:rFonts w:hint="eastAsia" w:cs="仿宋" w:asciiTheme="minorEastAsia" w:hAnsiTheme="minorEastAsia" w:eastAsiaTheme="minorEastAsia"/>
          <w:bCs/>
          <w:sz w:val="24"/>
          <w:u w:val="single"/>
          <w:lang w:val="zh-CN"/>
        </w:rPr>
        <w:t xml:space="preserve">                   </w:t>
      </w:r>
      <w:r>
        <w:rPr>
          <w:rFonts w:hint="eastAsia" w:cs="仿宋" w:asciiTheme="minorEastAsia" w:hAnsiTheme="minorEastAsia" w:eastAsiaTheme="minorEastAsia"/>
          <w:bCs/>
          <w:sz w:val="24"/>
        </w:rPr>
        <w:t>电 子 邮 件：</w:t>
      </w:r>
      <w:r>
        <w:rPr>
          <w:rFonts w:hint="eastAsia" w:cs="仿宋" w:asciiTheme="minorEastAsia" w:hAnsiTheme="minorEastAsia" w:eastAsiaTheme="minorEastAsia"/>
          <w:bCs/>
          <w:sz w:val="24"/>
          <w:u w:val="single"/>
        </w:rPr>
        <w:t xml:space="preserve">              </w:t>
      </w:r>
      <w:r>
        <w:rPr>
          <w:rFonts w:hint="eastAsia" w:cs="仿宋" w:asciiTheme="minorEastAsia" w:hAnsiTheme="minorEastAsia" w:eastAsiaTheme="minorEastAsia"/>
          <w:bCs/>
          <w:u w:val="single"/>
        </w:rPr>
        <w:t xml:space="preserve">     </w:t>
      </w:r>
    </w:p>
    <w:bookmarkEnd w:id="261"/>
    <w:p w14:paraId="698C621D">
      <w:pPr>
        <w:spacing w:line="240" w:lineRule="auto"/>
        <w:jc w:val="left"/>
        <w:rPr>
          <w:rFonts w:ascii="宋体" w:hAnsi="宋体" w:eastAsia="宋体"/>
          <w:bCs/>
          <w:sz w:val="32"/>
          <w:szCs w:val="32"/>
        </w:rPr>
      </w:pPr>
      <w:bookmarkStart w:id="279" w:name="_Toc30983"/>
      <w:bookmarkStart w:id="280" w:name="_Toc20794"/>
      <w:bookmarkStart w:id="281" w:name="_Toc13642252"/>
      <w:bookmarkStart w:id="282" w:name="_Toc15789"/>
      <w:bookmarkStart w:id="283" w:name="_Toc536429334"/>
      <w:bookmarkStart w:id="284" w:name="_Toc536202394"/>
      <w:bookmarkStart w:id="285" w:name="_Toc23315684"/>
      <w:bookmarkStart w:id="286" w:name="_Toc23316697"/>
      <w:bookmarkStart w:id="287" w:name="_Toc536202325"/>
      <w:bookmarkStart w:id="288" w:name="_Toc536429387"/>
      <w:bookmarkStart w:id="289" w:name="_Toc23316599"/>
      <w:bookmarkStart w:id="290" w:name="_Toc23316535"/>
      <w:r>
        <w:rPr>
          <w:rFonts w:ascii="宋体" w:hAnsi="宋体" w:eastAsia="宋体"/>
          <w:b/>
        </w:rPr>
        <w:br w:type="page"/>
      </w:r>
    </w:p>
    <w:p w14:paraId="03B0DDCC">
      <w:pPr>
        <w:bidi w:val="0"/>
        <w:jc w:val="center"/>
        <w:rPr>
          <w:rFonts w:hint="eastAsia" w:ascii="宋体" w:hAnsi="宋体" w:eastAsia="宋体" w:cs="宋体"/>
          <w:b/>
          <w:bCs/>
          <w:sz w:val="32"/>
          <w:szCs w:val="32"/>
          <w:lang w:val="en-US" w:eastAsia="zh-CN"/>
        </w:rPr>
      </w:pPr>
      <w:bookmarkStart w:id="291" w:name="_Toc16745"/>
      <w:bookmarkStart w:id="292" w:name="_Toc20183"/>
      <w:bookmarkStart w:id="293" w:name="_Toc35335271"/>
      <w:bookmarkStart w:id="294" w:name="_Toc22662"/>
      <w:r>
        <w:rPr>
          <w:rFonts w:hint="eastAsia" w:ascii="宋体" w:hAnsi="宋体" w:eastAsia="宋体" w:cs="宋体"/>
          <w:b/>
          <w:bCs/>
          <w:sz w:val="32"/>
          <w:szCs w:val="32"/>
          <w:lang w:val="en-US" w:eastAsia="zh-CN"/>
        </w:rPr>
        <w:t>二、</w:t>
      </w:r>
      <w:bookmarkEnd w:id="279"/>
      <w:r>
        <w:rPr>
          <w:rFonts w:hint="eastAsia" w:ascii="宋体" w:hAnsi="宋体" w:eastAsia="宋体" w:cs="宋体"/>
          <w:b/>
          <w:bCs/>
          <w:sz w:val="32"/>
          <w:szCs w:val="32"/>
          <w:lang w:val="en-US" w:eastAsia="zh-CN"/>
        </w:rPr>
        <w:t>报价一览表</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767AFAE3">
      <w:pPr>
        <w:widowControl w:val="0"/>
        <w:spacing w:line="240" w:lineRule="auto"/>
        <w:rPr>
          <w:rFonts w:ascii="宋体" w:hAnsi="宋体" w:eastAsia="宋体"/>
          <w:sz w:val="24"/>
          <w:szCs w:val="24"/>
        </w:rPr>
      </w:pPr>
      <w:bookmarkStart w:id="295" w:name="_Toc536202395"/>
      <w:bookmarkStart w:id="296" w:name="_Toc536429388"/>
      <w:bookmarkStart w:id="297" w:name="_Toc536202326"/>
      <w:bookmarkStart w:id="298" w:name="_Toc536429335"/>
      <w:r>
        <w:rPr>
          <w:rFonts w:hint="eastAsia" w:ascii="宋体" w:hAnsi="宋体" w:eastAsia="宋体"/>
          <w:sz w:val="24"/>
          <w:szCs w:val="24"/>
        </w:rPr>
        <w:t>供应商名称：</w:t>
      </w:r>
      <w:bookmarkEnd w:id="295"/>
      <w:bookmarkEnd w:id="296"/>
      <w:bookmarkEnd w:id="297"/>
      <w:bookmarkEnd w:id="298"/>
      <w:r>
        <w:rPr>
          <w:rFonts w:hint="eastAsia" w:ascii="宋体" w:hAnsi="宋体" w:eastAsia="宋体"/>
          <w:sz w:val="24"/>
          <w:szCs w:val="24"/>
        </w:rPr>
        <w:t xml:space="preserve">                                          </w:t>
      </w:r>
    </w:p>
    <w:tbl>
      <w:tblPr>
        <w:tblStyle w:val="35"/>
        <w:tblW w:w="9197" w:type="dxa"/>
        <w:tblInd w:w="0" w:type="dxa"/>
        <w:tblLayout w:type="fixed"/>
        <w:tblCellMar>
          <w:top w:w="0" w:type="dxa"/>
          <w:left w:w="0" w:type="dxa"/>
          <w:bottom w:w="0" w:type="dxa"/>
          <w:right w:w="0" w:type="dxa"/>
        </w:tblCellMar>
      </w:tblPr>
      <w:tblGrid>
        <w:gridCol w:w="4006"/>
        <w:gridCol w:w="2084"/>
        <w:gridCol w:w="1575"/>
        <w:gridCol w:w="1532"/>
      </w:tblGrid>
      <w:tr w14:paraId="5B80DB0B">
        <w:tblPrEx>
          <w:tblCellMar>
            <w:top w:w="0" w:type="dxa"/>
            <w:left w:w="0" w:type="dxa"/>
            <w:bottom w:w="0" w:type="dxa"/>
            <w:right w:w="0" w:type="dxa"/>
          </w:tblCellMar>
        </w:tblPrEx>
        <w:trPr>
          <w:trHeight w:val="2085" w:hRule="atLeast"/>
        </w:trPr>
        <w:tc>
          <w:tcPr>
            <w:tcW w:w="4006" w:type="dxa"/>
            <w:tcBorders>
              <w:top w:val="single" w:color="auto" w:sz="8" w:space="0"/>
              <w:left w:val="single" w:color="auto" w:sz="8" w:space="0"/>
              <w:bottom w:val="single" w:color="auto" w:sz="8" w:space="0"/>
              <w:right w:val="single" w:color="auto" w:sz="8" w:space="0"/>
              <w:tl2br w:val="single" w:color="auto" w:sz="4" w:space="0"/>
            </w:tcBorders>
          </w:tcPr>
          <w:p w14:paraId="74414B39">
            <w:pPr>
              <w:keepNext w:val="0"/>
              <w:keepLines w:val="0"/>
              <w:widowControl/>
              <w:suppressLineNumbers w:val="0"/>
              <w:spacing w:before="100" w:beforeAutospacing="1" w:after="100" w:afterAutospacing="1" w:line="460" w:lineRule="atLeast"/>
              <w:ind w:left="0" w:right="0" w:firstLine="2880" w:firstLineChars="1200"/>
              <w:rPr>
                <w:rFonts w:hint="default" w:ascii="宋体" w:hAnsi="宋体" w:eastAsia="宋体" w:cs="仿宋"/>
                <w:b w:val="0"/>
                <w:bCs w:val="0"/>
                <w:kern w:val="0"/>
                <w:sz w:val="24"/>
                <w:szCs w:val="24"/>
              </w:rPr>
            </w:pPr>
            <w:bookmarkStart w:id="299" w:name="_Hlk502055010"/>
            <w:r>
              <w:rPr>
                <w:rFonts w:hint="eastAsia" w:ascii="宋体" w:hAnsi="宋体" w:eastAsia="宋体" w:cs="仿宋"/>
                <w:b w:val="0"/>
                <w:bCs w:val="0"/>
                <w:kern w:val="0"/>
                <w:sz w:val="24"/>
                <w:szCs w:val="24"/>
              </w:rPr>
              <w:t>报价内容</w:t>
            </w:r>
          </w:p>
          <w:p w14:paraId="679AED83">
            <w:pPr>
              <w:keepNext w:val="0"/>
              <w:keepLines w:val="0"/>
              <w:widowControl/>
              <w:suppressLineNumbers w:val="0"/>
              <w:spacing w:before="100" w:beforeAutospacing="1" w:after="100" w:afterAutospacing="1" w:line="460" w:lineRule="atLeast"/>
              <w:ind w:left="0" w:right="0"/>
              <w:rPr>
                <w:rFonts w:hint="eastAsia" w:ascii="宋体" w:hAnsi="宋体" w:eastAsia="宋体" w:cs="仿宋"/>
                <w:b w:val="0"/>
                <w:bCs w:val="0"/>
                <w:kern w:val="0"/>
                <w:sz w:val="24"/>
                <w:szCs w:val="24"/>
              </w:rPr>
            </w:pPr>
            <w:r>
              <w:rPr>
                <w:rFonts w:hint="eastAsia" w:ascii="宋体" w:hAnsi="宋体" w:eastAsia="宋体" w:cs="仿宋"/>
                <w:b w:val="0"/>
                <w:bCs w:val="0"/>
                <w:kern w:val="0"/>
                <w:sz w:val="24"/>
                <w:szCs w:val="24"/>
              </w:rPr>
              <w:t> </w:t>
            </w:r>
          </w:p>
          <w:p w14:paraId="429D38F7">
            <w:pPr>
              <w:keepNext w:val="0"/>
              <w:keepLines w:val="0"/>
              <w:widowControl/>
              <w:suppressLineNumbers w:val="0"/>
              <w:spacing w:before="100" w:beforeAutospacing="1" w:after="100" w:afterAutospacing="1" w:line="460" w:lineRule="atLeast"/>
              <w:ind w:left="0" w:right="0" w:firstLine="240" w:firstLineChars="100"/>
              <w:rPr>
                <w:rFonts w:hint="default" w:ascii="宋体" w:hAnsi="宋体" w:eastAsia="宋体" w:cs="仿宋"/>
                <w:bCs/>
                <w:kern w:val="0"/>
                <w:sz w:val="24"/>
                <w:szCs w:val="24"/>
              </w:rPr>
            </w:pPr>
            <w:r>
              <w:rPr>
                <w:rFonts w:hint="default" w:ascii="宋体" w:hAnsi="宋体" w:eastAsia="宋体" w:cs="仿宋"/>
                <w:b w:val="0"/>
                <w:bCs w:val="0"/>
                <w:kern w:val="0"/>
                <w:sz w:val="24"/>
                <w:szCs w:val="24"/>
              </w:rPr>
              <w:t>项目名称</w:t>
            </w:r>
          </w:p>
        </w:tc>
        <w:tc>
          <w:tcPr>
            <w:tcW w:w="208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75663FD">
            <w:pPr>
              <w:keepNext w:val="0"/>
              <w:keepLines w:val="0"/>
              <w:widowControl/>
              <w:suppressLineNumbers w:val="0"/>
              <w:spacing w:before="100" w:beforeAutospacing="1" w:after="100" w:afterAutospacing="1" w:line="440" w:lineRule="exact"/>
              <w:ind w:left="0" w:right="0"/>
              <w:jc w:val="center"/>
              <w:rPr>
                <w:rFonts w:hint="default" w:ascii="宋体" w:hAnsi="宋体" w:eastAsia="宋体" w:cs="仿宋"/>
                <w:bCs/>
                <w:kern w:val="0"/>
                <w:sz w:val="24"/>
                <w:szCs w:val="24"/>
                <w:highlight w:val="none"/>
                <w:lang w:val="en-US" w:eastAsia="zh-CN"/>
              </w:rPr>
            </w:pPr>
            <w:r>
              <w:rPr>
                <w:rFonts w:hint="eastAsia" w:ascii="宋体" w:hAnsi="宋体" w:eastAsia="宋体" w:cs="仿宋"/>
                <w:bCs/>
                <w:kern w:val="0"/>
                <w:sz w:val="24"/>
                <w:szCs w:val="24"/>
                <w:highlight w:val="none"/>
                <w:lang w:val="en-US" w:eastAsia="zh-CN"/>
              </w:rPr>
              <w:t>投标总报价</w:t>
            </w:r>
          </w:p>
          <w:p w14:paraId="591B652A">
            <w:pPr>
              <w:keepNext w:val="0"/>
              <w:keepLines w:val="0"/>
              <w:widowControl/>
              <w:suppressLineNumbers w:val="0"/>
              <w:spacing w:before="100" w:beforeAutospacing="1" w:after="100" w:afterAutospacing="1" w:line="440" w:lineRule="exact"/>
              <w:ind w:left="0" w:right="0"/>
              <w:jc w:val="center"/>
              <w:rPr>
                <w:rFonts w:hint="eastAsia" w:ascii="宋体" w:hAnsi="宋体" w:eastAsia="宋体" w:cs="仿宋"/>
                <w:bCs/>
                <w:kern w:val="0"/>
                <w:sz w:val="24"/>
                <w:szCs w:val="24"/>
                <w:lang w:eastAsia="zh-CN"/>
              </w:rPr>
            </w:pPr>
            <w:r>
              <w:rPr>
                <w:rFonts w:hint="eastAsia" w:ascii="宋体" w:hAnsi="宋体" w:eastAsia="宋体" w:cs="仿宋"/>
                <w:bCs/>
                <w:kern w:val="0"/>
                <w:sz w:val="24"/>
                <w:szCs w:val="24"/>
                <w:highlight w:val="none"/>
                <w:lang w:eastAsia="zh-CN"/>
              </w:rPr>
              <w:t>（元）</w:t>
            </w:r>
          </w:p>
        </w:tc>
        <w:tc>
          <w:tcPr>
            <w:tcW w:w="1575"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14:paraId="54080283">
            <w:pPr>
              <w:keepNext w:val="0"/>
              <w:keepLines w:val="0"/>
              <w:widowControl/>
              <w:suppressLineNumbers w:val="0"/>
              <w:spacing w:before="100" w:beforeAutospacing="1" w:after="100" w:afterAutospacing="1" w:line="440" w:lineRule="exact"/>
              <w:ind w:left="0" w:right="0"/>
              <w:jc w:val="center"/>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合同履行期</w:t>
            </w:r>
          </w:p>
          <w:p w14:paraId="0D96D13F">
            <w:pPr>
              <w:keepNext w:val="0"/>
              <w:keepLines w:val="0"/>
              <w:widowControl/>
              <w:suppressLineNumbers w:val="0"/>
              <w:spacing w:before="100" w:beforeAutospacing="1" w:after="100" w:afterAutospacing="1" w:line="440" w:lineRule="exact"/>
              <w:ind w:left="0" w:right="0"/>
              <w:jc w:val="center"/>
              <w:rPr>
                <w:rFonts w:hint="eastAsia" w:ascii="宋体" w:hAnsi="宋体" w:eastAsia="宋体" w:cs="仿宋"/>
                <w:bCs/>
                <w:kern w:val="0"/>
                <w:sz w:val="24"/>
                <w:szCs w:val="24"/>
                <w:lang w:eastAsia="zh-CN"/>
              </w:rPr>
            </w:pPr>
            <w:r>
              <w:rPr>
                <w:rFonts w:hint="eastAsia" w:ascii="宋体" w:hAnsi="宋体" w:eastAsia="宋体" w:cs="宋体"/>
                <w:bCs/>
                <w:kern w:val="0"/>
                <w:sz w:val="24"/>
                <w:szCs w:val="24"/>
                <w:lang w:val="en-US" w:eastAsia="zh-CN"/>
              </w:rPr>
              <w:t>（月）</w:t>
            </w:r>
          </w:p>
        </w:tc>
        <w:tc>
          <w:tcPr>
            <w:tcW w:w="1532"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14:paraId="6A557CAF">
            <w:pPr>
              <w:keepNext w:val="0"/>
              <w:keepLines w:val="0"/>
              <w:widowControl/>
              <w:suppressLineNumbers w:val="0"/>
              <w:spacing w:before="100" w:beforeAutospacing="1" w:after="100" w:afterAutospacing="1" w:line="440" w:lineRule="exact"/>
              <w:ind w:left="0" w:right="0"/>
              <w:jc w:val="center"/>
              <w:rPr>
                <w:rFonts w:hint="eastAsia" w:ascii="宋体" w:hAnsi="宋体" w:eastAsia="宋体" w:cs="仿宋"/>
                <w:bCs/>
                <w:kern w:val="0"/>
                <w:sz w:val="24"/>
                <w:szCs w:val="24"/>
                <w:lang w:eastAsia="zh-CN"/>
              </w:rPr>
            </w:pPr>
            <w:r>
              <w:rPr>
                <w:rFonts w:hint="eastAsia" w:ascii="宋体" w:hAnsi="宋体" w:eastAsia="宋体" w:cs="仿宋"/>
                <w:bCs/>
                <w:kern w:val="0"/>
                <w:sz w:val="24"/>
                <w:szCs w:val="24"/>
                <w:lang w:val="en-US" w:eastAsia="zh-CN"/>
              </w:rPr>
              <w:t>备注</w:t>
            </w:r>
          </w:p>
        </w:tc>
      </w:tr>
      <w:tr w14:paraId="218DE74E">
        <w:tblPrEx>
          <w:tblCellMar>
            <w:top w:w="0" w:type="dxa"/>
            <w:left w:w="0" w:type="dxa"/>
            <w:bottom w:w="0" w:type="dxa"/>
            <w:right w:w="0" w:type="dxa"/>
          </w:tblCellMar>
        </w:tblPrEx>
        <w:trPr>
          <w:trHeight w:val="2068" w:hRule="atLeast"/>
        </w:trPr>
        <w:tc>
          <w:tcPr>
            <w:tcW w:w="400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505D18C">
            <w:pPr>
              <w:keepNext w:val="0"/>
              <w:keepLines w:val="0"/>
              <w:widowControl/>
              <w:suppressLineNumbers w:val="0"/>
              <w:spacing w:before="100" w:beforeAutospacing="1" w:after="100" w:afterAutospacing="1" w:line="500" w:lineRule="atLeast"/>
              <w:ind w:left="0" w:right="0"/>
              <w:jc w:val="center"/>
              <w:rPr>
                <w:rFonts w:hint="default" w:ascii="宋体" w:hAnsi="宋体" w:eastAsia="宋体" w:cs="仿宋"/>
                <w:bCs/>
                <w:kern w:val="0"/>
                <w:sz w:val="24"/>
                <w:szCs w:val="24"/>
              </w:rPr>
            </w:pPr>
            <w:r>
              <w:rPr>
                <w:rFonts w:hint="eastAsia" w:ascii="宋体" w:hAnsi="宋体" w:eastAsia="宋体" w:cs="仿宋"/>
                <w:bCs/>
                <w:kern w:val="0"/>
                <w:sz w:val="24"/>
                <w:szCs w:val="24"/>
              </w:rPr>
              <w:t> </w:t>
            </w:r>
          </w:p>
        </w:tc>
        <w:tc>
          <w:tcPr>
            <w:tcW w:w="2084"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40E21A2">
            <w:pPr>
              <w:keepNext w:val="0"/>
              <w:keepLines w:val="0"/>
              <w:widowControl w:val="0"/>
              <w:suppressLineNumbers w:val="0"/>
              <w:spacing w:before="100" w:beforeAutospacing="1" w:after="100" w:afterAutospacing="1" w:line="500" w:lineRule="atLeast"/>
              <w:ind w:left="280" w:right="0"/>
              <w:jc w:val="center"/>
              <w:rPr>
                <w:rFonts w:hint="default" w:ascii="宋体" w:hAnsi="宋体" w:eastAsia="宋体" w:cs="仿宋"/>
                <w:bCs/>
                <w:kern w:val="0"/>
                <w:sz w:val="24"/>
                <w:szCs w:val="24"/>
              </w:rPr>
            </w:pPr>
          </w:p>
        </w:tc>
        <w:tc>
          <w:tcPr>
            <w:tcW w:w="1575" w:type="dxa"/>
            <w:tcBorders>
              <w:top w:val="single" w:color="auto" w:sz="4" w:space="0"/>
              <w:left w:val="single" w:color="auto" w:sz="8" w:space="0"/>
              <w:bottom w:val="single" w:color="auto" w:sz="8" w:space="0"/>
              <w:right w:val="single" w:color="auto" w:sz="4" w:space="0"/>
            </w:tcBorders>
            <w:tcMar>
              <w:top w:w="0" w:type="dxa"/>
              <w:left w:w="108" w:type="dxa"/>
              <w:bottom w:w="0" w:type="dxa"/>
              <w:right w:w="108" w:type="dxa"/>
            </w:tcMar>
            <w:vAlign w:val="center"/>
          </w:tcPr>
          <w:p w14:paraId="59D00D0D">
            <w:pPr>
              <w:keepNext w:val="0"/>
              <w:keepLines w:val="0"/>
              <w:widowControl/>
              <w:suppressLineNumbers w:val="0"/>
              <w:spacing w:before="100" w:beforeAutospacing="1" w:after="100" w:afterAutospacing="1" w:line="460" w:lineRule="atLeast"/>
              <w:ind w:left="0" w:right="0"/>
              <w:jc w:val="left"/>
              <w:rPr>
                <w:rFonts w:hint="default" w:ascii="宋体" w:hAnsi="宋体" w:eastAsia="宋体" w:cs="仿宋"/>
                <w:bCs/>
                <w:kern w:val="0"/>
                <w:sz w:val="24"/>
                <w:szCs w:val="24"/>
              </w:rPr>
            </w:pPr>
          </w:p>
        </w:tc>
        <w:tc>
          <w:tcPr>
            <w:tcW w:w="1532" w:type="dxa"/>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14:paraId="1C7C8FA9">
            <w:pPr>
              <w:keepNext w:val="0"/>
              <w:keepLines w:val="0"/>
              <w:widowControl/>
              <w:suppressLineNumbers w:val="0"/>
              <w:spacing w:before="100" w:beforeAutospacing="1" w:after="100" w:afterAutospacing="1" w:line="460" w:lineRule="atLeast"/>
              <w:ind w:left="0" w:right="0"/>
              <w:jc w:val="left"/>
              <w:rPr>
                <w:rFonts w:hint="default" w:ascii="宋体" w:hAnsi="宋体" w:eastAsia="宋体" w:cs="仿宋"/>
                <w:bCs/>
                <w:kern w:val="0"/>
                <w:sz w:val="24"/>
                <w:szCs w:val="24"/>
              </w:rPr>
            </w:pPr>
          </w:p>
        </w:tc>
      </w:tr>
      <w:bookmarkEnd w:id="299"/>
    </w:tbl>
    <w:p w14:paraId="51EAF5D5">
      <w:pPr>
        <w:widowControl w:val="0"/>
        <w:adjustRightInd w:val="0"/>
        <w:snapToGrid w:val="0"/>
        <w:spacing w:line="480" w:lineRule="auto"/>
        <w:jc w:val="left"/>
        <w:rPr>
          <w:rFonts w:ascii="宋体" w:hAnsi="宋体" w:eastAsia="宋体" w:cs="宋体"/>
          <w:sz w:val="24"/>
          <w:szCs w:val="24"/>
        </w:rPr>
      </w:pPr>
      <w:r>
        <w:rPr>
          <w:rFonts w:hint="eastAsia" w:ascii="宋体" w:hAnsi="宋体" w:eastAsia="宋体" w:cs="宋体"/>
          <w:sz w:val="24"/>
          <w:szCs w:val="24"/>
        </w:rPr>
        <w:t>备注</w:t>
      </w:r>
      <w:r>
        <w:rPr>
          <w:rFonts w:ascii="宋体" w:hAnsi="宋体" w:eastAsia="宋体" w:cs="宋体"/>
          <w:sz w:val="24"/>
          <w:szCs w:val="24"/>
        </w:rPr>
        <w:t>：</w:t>
      </w:r>
    </w:p>
    <w:p w14:paraId="3C1C3719">
      <w:pPr>
        <w:widowControl w:val="0"/>
        <w:adjustRightInd w:val="0"/>
        <w:snapToGrid w:val="0"/>
        <w:spacing w:line="48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投标人所报的价格应考虑到可能发生的所有与完成本项目相关服务及履行合同义务有关的一切费用</w:t>
      </w:r>
      <w:r>
        <w:rPr>
          <w:rFonts w:hint="eastAsia" w:ascii="宋体" w:hAnsi="宋体" w:eastAsia="宋体" w:cs="宋体"/>
          <w:kern w:val="0"/>
          <w:sz w:val="24"/>
          <w:szCs w:val="24"/>
          <w:lang w:val="en-US" w:eastAsia="zh-CN" w:bidi="ar"/>
        </w:rPr>
        <w:t>。</w:t>
      </w:r>
    </w:p>
    <w:p w14:paraId="50739CF7">
      <w:pPr>
        <w:widowControl w:val="0"/>
        <w:adjustRightInd w:val="0"/>
        <w:snapToGrid w:val="0"/>
        <w:spacing w:line="480" w:lineRule="auto"/>
        <w:jc w:val="left"/>
        <w:rPr>
          <w:rFonts w:ascii="宋体" w:hAnsi="宋体" w:eastAsia="宋体" w:cs="宋体"/>
          <w:sz w:val="24"/>
          <w:szCs w:val="24"/>
        </w:rPr>
      </w:pPr>
    </w:p>
    <w:p w14:paraId="447CD205">
      <w:pPr>
        <w:pStyle w:val="7"/>
        <w:rPr>
          <w:lang w:val="en-US" w:eastAsia="zh-CN" w:bidi="ar-SA"/>
        </w:rPr>
      </w:pPr>
    </w:p>
    <w:p w14:paraId="53D600DE">
      <w:pPr>
        <w:widowControl w:val="0"/>
        <w:adjustRightInd w:val="0"/>
        <w:snapToGrid w:val="0"/>
        <w:spacing w:line="480" w:lineRule="auto"/>
        <w:jc w:val="left"/>
        <w:rPr>
          <w:rFonts w:ascii="宋体" w:hAnsi="宋体" w:eastAsia="宋体"/>
          <w:sz w:val="24"/>
          <w:szCs w:val="24"/>
          <w:u w:val="single"/>
        </w:rPr>
      </w:pPr>
      <w:r>
        <w:rPr>
          <w:rFonts w:hint="eastAsia" w:ascii="宋体" w:hAnsi="宋体" w:eastAsia="宋体" w:cs="宋体"/>
          <w:sz w:val="24"/>
          <w:szCs w:val="24"/>
        </w:rPr>
        <w:t>供应商（单位名称及公章）：____________________________</w:t>
      </w:r>
    </w:p>
    <w:p w14:paraId="41172945">
      <w:pPr>
        <w:widowControl w:val="0"/>
        <w:adjustRightInd w:val="0"/>
        <w:snapToGrid w:val="0"/>
        <w:spacing w:line="480" w:lineRule="auto"/>
        <w:rPr>
          <w:rFonts w:ascii="宋体" w:hAnsi="宋体" w:eastAsia="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被授权人（签字）：____________________________</w:t>
      </w:r>
    </w:p>
    <w:p w14:paraId="498FE92C">
      <w:pPr>
        <w:widowControl w:val="0"/>
        <w:adjustRightInd w:val="0"/>
        <w:snapToGrid w:val="0"/>
        <w:spacing w:line="480" w:lineRule="auto"/>
        <w:rPr>
          <w:rFonts w:ascii="宋体" w:hAnsi="宋体" w:eastAsia="宋体"/>
          <w:sz w:val="24"/>
          <w:szCs w:val="24"/>
        </w:rPr>
      </w:pPr>
      <w:r>
        <w:rPr>
          <w:rFonts w:hint="eastAsia" w:ascii="宋体" w:hAnsi="宋体" w:eastAsia="宋体" w:cs="宋体"/>
          <w:sz w:val="24"/>
          <w:szCs w:val="24"/>
        </w:rPr>
        <w:t>日</w:t>
      </w:r>
      <w:r>
        <w:rPr>
          <w:rFonts w:ascii="宋体" w:hAnsi="宋体" w:eastAsia="宋体" w:cs="宋体"/>
          <w:sz w:val="24"/>
          <w:szCs w:val="24"/>
        </w:rPr>
        <w:t xml:space="preserve">    </w:t>
      </w:r>
      <w:r>
        <w:rPr>
          <w:rFonts w:hint="eastAsia" w:ascii="宋体" w:hAnsi="宋体" w:eastAsia="宋体" w:cs="宋体"/>
          <w:sz w:val="24"/>
          <w:szCs w:val="24"/>
        </w:rPr>
        <w:t>期：_______年_______月_______日</w:t>
      </w:r>
    </w:p>
    <w:p w14:paraId="14FA0EA7">
      <w:pPr>
        <w:widowControl w:val="0"/>
        <w:kinsoku w:val="0"/>
        <w:spacing w:line="480" w:lineRule="auto"/>
        <w:jc w:val="left"/>
        <w:rPr>
          <w:rFonts w:ascii="宋体" w:hAnsi="宋体" w:eastAsia="宋体"/>
          <w:sz w:val="24"/>
          <w:szCs w:val="24"/>
        </w:rPr>
      </w:pPr>
    </w:p>
    <w:p w14:paraId="2A3BFBFC">
      <w:pPr>
        <w:spacing w:line="240" w:lineRule="auto"/>
        <w:jc w:val="left"/>
        <w:rPr>
          <w:rFonts w:ascii="宋体" w:hAnsi="宋体" w:eastAsia="宋体"/>
          <w:bCs/>
          <w:sz w:val="24"/>
          <w:szCs w:val="24"/>
        </w:rPr>
      </w:pPr>
      <w:bookmarkStart w:id="300" w:name="_Toc536429336"/>
      <w:bookmarkStart w:id="301" w:name="_Toc13642253"/>
      <w:bookmarkStart w:id="302" w:name="_Toc23316698"/>
      <w:bookmarkStart w:id="303" w:name="_Toc536429389"/>
      <w:bookmarkStart w:id="304" w:name="_Toc23316536"/>
      <w:bookmarkStart w:id="305" w:name="_Toc23677"/>
      <w:bookmarkStart w:id="306" w:name="_Toc23315685"/>
      <w:bookmarkStart w:id="307" w:name="_Toc23316600"/>
      <w:bookmarkStart w:id="308" w:name="_Toc536202327"/>
      <w:bookmarkStart w:id="309" w:name="_Toc23694"/>
      <w:bookmarkStart w:id="310" w:name="_Toc536202396"/>
      <w:r>
        <w:rPr>
          <w:rFonts w:ascii="宋体" w:hAnsi="宋体" w:eastAsia="宋体"/>
          <w:b/>
          <w:sz w:val="24"/>
          <w:szCs w:val="24"/>
        </w:rPr>
        <w:br w:type="page"/>
      </w:r>
    </w:p>
    <w:bookmarkEnd w:id="300"/>
    <w:bookmarkEnd w:id="301"/>
    <w:bookmarkEnd w:id="302"/>
    <w:bookmarkEnd w:id="303"/>
    <w:bookmarkEnd w:id="304"/>
    <w:bookmarkEnd w:id="305"/>
    <w:bookmarkEnd w:id="306"/>
    <w:bookmarkEnd w:id="307"/>
    <w:bookmarkEnd w:id="308"/>
    <w:bookmarkEnd w:id="309"/>
    <w:bookmarkEnd w:id="310"/>
    <w:p w14:paraId="1DA198BB">
      <w:pPr>
        <w:adjustRightInd w:val="0"/>
        <w:snapToGrid w:val="0"/>
        <w:spacing w:line="400" w:lineRule="exact"/>
        <w:jc w:val="center"/>
        <w:rPr>
          <w:rFonts w:hint="eastAsia" w:ascii="宋体" w:hAnsi="宋体" w:eastAsia="宋体" w:cs="宋体"/>
          <w:b/>
          <w:bCs/>
          <w:color w:val="000000" w:themeColor="text1"/>
          <w:sz w:val="30"/>
          <w:szCs w:val="30"/>
          <w14:textFill>
            <w14:solidFill>
              <w14:schemeClr w14:val="tx1"/>
            </w14:solidFill>
          </w14:textFill>
        </w:rPr>
      </w:pPr>
      <w:bookmarkStart w:id="311" w:name="_Toc8710"/>
      <w:bookmarkStart w:id="312" w:name="_Toc11272"/>
      <w:bookmarkStart w:id="313" w:name="_Toc29999"/>
      <w:bookmarkStart w:id="314" w:name="_Toc19543353"/>
      <w:bookmarkStart w:id="315" w:name="_Toc10667"/>
      <w:r>
        <w:rPr>
          <w:rFonts w:hint="eastAsia" w:ascii="宋体" w:hAnsi="宋体" w:eastAsia="宋体" w:cs="宋体"/>
          <w:b/>
          <w:bCs/>
          <w:color w:val="000000" w:themeColor="text1"/>
          <w:sz w:val="30"/>
          <w:szCs w:val="30"/>
          <w14:textFill>
            <w14:solidFill>
              <w14:schemeClr w14:val="tx1"/>
            </w14:solidFill>
          </w14:textFill>
        </w:rPr>
        <w:t>分项报价表</w:t>
      </w:r>
    </w:p>
    <w:p w14:paraId="060B758B">
      <w:pPr>
        <w:adjustRightInd w:val="0"/>
        <w:snapToGrid w:val="0"/>
        <w:spacing w:line="400" w:lineRule="exact"/>
        <w:jc w:val="center"/>
        <w:rPr>
          <w:rFonts w:hint="eastAsia" w:ascii="宋体" w:hAnsi="宋体" w:eastAsia="宋体" w:cs="宋体"/>
          <w:b/>
          <w:bCs/>
          <w:color w:val="000000" w:themeColor="text1"/>
          <w:sz w:val="32"/>
          <w:szCs w:val="32"/>
          <w14:textFill>
            <w14:solidFill>
              <w14:schemeClr w14:val="tx1"/>
            </w14:solidFill>
          </w14:textFill>
        </w:rPr>
      </w:pPr>
    </w:p>
    <w:p w14:paraId="59E16686">
      <w:pPr>
        <w:adjustRightInd w:val="0"/>
        <w:snapToGrid w:val="0"/>
        <w:ind w:firstLine="640" w:firstLineChars="2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共  页，第  页</w:t>
      </w:r>
    </w:p>
    <w:tbl>
      <w:tblPr>
        <w:tblStyle w:val="35"/>
        <w:tblW w:w="8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573"/>
        <w:gridCol w:w="1197"/>
        <w:gridCol w:w="1223"/>
        <w:gridCol w:w="1223"/>
        <w:gridCol w:w="1224"/>
        <w:gridCol w:w="879"/>
      </w:tblGrid>
      <w:tr w14:paraId="7D9DC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699" w:type="dxa"/>
            <w:vAlign w:val="center"/>
          </w:tcPr>
          <w:p w14:paraId="21A57B1F">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573" w:type="dxa"/>
            <w:vAlign w:val="center"/>
          </w:tcPr>
          <w:p w14:paraId="66962A45">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分项</w:t>
            </w:r>
            <w:r>
              <w:rPr>
                <w:rFonts w:hint="eastAsia" w:ascii="宋体" w:hAnsi="宋体" w:eastAsia="宋体" w:cs="宋体"/>
                <w:color w:val="000000" w:themeColor="text1"/>
                <w:sz w:val="24"/>
                <w:szCs w:val="24"/>
                <w14:textFill>
                  <w14:solidFill>
                    <w14:schemeClr w14:val="tx1"/>
                  </w14:solidFill>
                </w14:textFill>
              </w:rPr>
              <w:t>内容</w:t>
            </w:r>
          </w:p>
        </w:tc>
        <w:tc>
          <w:tcPr>
            <w:tcW w:w="1197" w:type="dxa"/>
            <w:vAlign w:val="center"/>
          </w:tcPr>
          <w:p w14:paraId="4625F9B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单位</w:t>
            </w:r>
          </w:p>
        </w:tc>
        <w:tc>
          <w:tcPr>
            <w:tcW w:w="1223" w:type="dxa"/>
            <w:vAlign w:val="center"/>
          </w:tcPr>
          <w:p w14:paraId="39696438">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数量</w:t>
            </w:r>
          </w:p>
        </w:tc>
        <w:tc>
          <w:tcPr>
            <w:tcW w:w="1223" w:type="dxa"/>
            <w:vAlign w:val="center"/>
          </w:tcPr>
          <w:p w14:paraId="6DEA32DA">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单价</w:t>
            </w:r>
          </w:p>
        </w:tc>
        <w:tc>
          <w:tcPr>
            <w:tcW w:w="1224" w:type="dxa"/>
            <w:vAlign w:val="center"/>
          </w:tcPr>
          <w:p w14:paraId="464AA17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小计</w:t>
            </w:r>
          </w:p>
        </w:tc>
        <w:tc>
          <w:tcPr>
            <w:tcW w:w="879" w:type="dxa"/>
            <w:vAlign w:val="center"/>
          </w:tcPr>
          <w:p w14:paraId="57876730">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备注</w:t>
            </w:r>
          </w:p>
        </w:tc>
      </w:tr>
      <w:tr w14:paraId="697C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4851A04C">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573" w:type="dxa"/>
            <w:vAlign w:val="center"/>
          </w:tcPr>
          <w:p w14:paraId="2D83965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197" w:type="dxa"/>
            <w:vAlign w:val="center"/>
          </w:tcPr>
          <w:p w14:paraId="4B1CE6CB">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3D175A7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096FCA58">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4" w:type="dxa"/>
            <w:vAlign w:val="center"/>
          </w:tcPr>
          <w:p w14:paraId="0F120157">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879" w:type="dxa"/>
          </w:tcPr>
          <w:p w14:paraId="33C2F2C5">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0BF9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76A4CF93">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573" w:type="dxa"/>
            <w:vAlign w:val="center"/>
          </w:tcPr>
          <w:p w14:paraId="5D28BCE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197" w:type="dxa"/>
            <w:vAlign w:val="center"/>
          </w:tcPr>
          <w:p w14:paraId="4E9E42CE">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1E79709B">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0278E0BC">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4" w:type="dxa"/>
            <w:vAlign w:val="center"/>
          </w:tcPr>
          <w:p w14:paraId="12F4988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879" w:type="dxa"/>
          </w:tcPr>
          <w:p w14:paraId="0FBFDF78">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45D1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6660F8CE">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573" w:type="dxa"/>
            <w:vAlign w:val="center"/>
          </w:tcPr>
          <w:p w14:paraId="5AF7436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197" w:type="dxa"/>
            <w:vAlign w:val="center"/>
          </w:tcPr>
          <w:p w14:paraId="32D314DE">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242AE63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3339606B">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4" w:type="dxa"/>
            <w:vAlign w:val="center"/>
          </w:tcPr>
          <w:p w14:paraId="0B91F81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879" w:type="dxa"/>
          </w:tcPr>
          <w:p w14:paraId="22CEF21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0629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270F0435">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573" w:type="dxa"/>
            <w:vAlign w:val="center"/>
          </w:tcPr>
          <w:p w14:paraId="7B0D7D2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197" w:type="dxa"/>
            <w:vAlign w:val="center"/>
          </w:tcPr>
          <w:p w14:paraId="35CFF960">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49554BBF">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6D6A2B6A">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4" w:type="dxa"/>
            <w:vAlign w:val="center"/>
          </w:tcPr>
          <w:p w14:paraId="0AC92CC7">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879" w:type="dxa"/>
          </w:tcPr>
          <w:p w14:paraId="0EA3B12E">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65165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5F717CC0">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573" w:type="dxa"/>
            <w:vAlign w:val="center"/>
          </w:tcPr>
          <w:p w14:paraId="6D0C3143">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197" w:type="dxa"/>
            <w:vAlign w:val="center"/>
          </w:tcPr>
          <w:p w14:paraId="01147C52">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6A31826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5764B63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4" w:type="dxa"/>
            <w:vAlign w:val="center"/>
          </w:tcPr>
          <w:p w14:paraId="55129980">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879" w:type="dxa"/>
          </w:tcPr>
          <w:p w14:paraId="31234266">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7C741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74185E67">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573" w:type="dxa"/>
            <w:vAlign w:val="center"/>
          </w:tcPr>
          <w:p w14:paraId="683B2802">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197" w:type="dxa"/>
            <w:vAlign w:val="center"/>
          </w:tcPr>
          <w:p w14:paraId="08293A0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31843466">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52B217F0">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4" w:type="dxa"/>
            <w:vAlign w:val="center"/>
          </w:tcPr>
          <w:p w14:paraId="5DE406F2">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879" w:type="dxa"/>
          </w:tcPr>
          <w:p w14:paraId="0480DC4E">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4318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21261B4F">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573" w:type="dxa"/>
            <w:vAlign w:val="center"/>
          </w:tcPr>
          <w:p w14:paraId="7920C8D7">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197" w:type="dxa"/>
            <w:vAlign w:val="center"/>
          </w:tcPr>
          <w:p w14:paraId="7B6AC5F3">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291BA56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692643B2">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4" w:type="dxa"/>
            <w:vAlign w:val="center"/>
          </w:tcPr>
          <w:p w14:paraId="4EC2E52A">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879" w:type="dxa"/>
          </w:tcPr>
          <w:p w14:paraId="54415B0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184E4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00A57A58">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573" w:type="dxa"/>
            <w:vAlign w:val="center"/>
          </w:tcPr>
          <w:p w14:paraId="67BFA0C6">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197" w:type="dxa"/>
            <w:vAlign w:val="center"/>
          </w:tcPr>
          <w:p w14:paraId="5FDB3A4E">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5E7959A0">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07F72956">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4" w:type="dxa"/>
            <w:vAlign w:val="center"/>
          </w:tcPr>
          <w:p w14:paraId="6C19420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879" w:type="dxa"/>
          </w:tcPr>
          <w:p w14:paraId="36352A2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0E1DA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27CD4CF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573" w:type="dxa"/>
            <w:vAlign w:val="center"/>
          </w:tcPr>
          <w:p w14:paraId="0334802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197" w:type="dxa"/>
            <w:vAlign w:val="center"/>
          </w:tcPr>
          <w:p w14:paraId="5D9B4D0A">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7677D838">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29D27F8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4" w:type="dxa"/>
            <w:vAlign w:val="center"/>
          </w:tcPr>
          <w:p w14:paraId="40A971F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879" w:type="dxa"/>
          </w:tcPr>
          <w:p w14:paraId="759B195D">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25377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632C700A">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573" w:type="dxa"/>
            <w:vAlign w:val="center"/>
          </w:tcPr>
          <w:p w14:paraId="29EFC7EE">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197" w:type="dxa"/>
            <w:vAlign w:val="center"/>
          </w:tcPr>
          <w:p w14:paraId="74317A2B">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04FCC3D5">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07378B92">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4" w:type="dxa"/>
            <w:vAlign w:val="center"/>
          </w:tcPr>
          <w:p w14:paraId="0079BC6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879" w:type="dxa"/>
          </w:tcPr>
          <w:p w14:paraId="2BFE6434">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r>
      <w:tr w14:paraId="19D3E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9" w:type="dxa"/>
            <w:vAlign w:val="center"/>
          </w:tcPr>
          <w:p w14:paraId="78268CF9">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573" w:type="dxa"/>
            <w:vAlign w:val="center"/>
          </w:tcPr>
          <w:p w14:paraId="76395643">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197" w:type="dxa"/>
            <w:vAlign w:val="center"/>
          </w:tcPr>
          <w:p w14:paraId="26BB7BA3">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04F43DB1">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3" w:type="dxa"/>
            <w:vAlign w:val="center"/>
          </w:tcPr>
          <w:p w14:paraId="48EC2C90">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1224" w:type="dxa"/>
            <w:vAlign w:val="center"/>
          </w:tcPr>
          <w:p w14:paraId="7B5304EF">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c>
          <w:tcPr>
            <w:tcW w:w="879" w:type="dxa"/>
          </w:tcPr>
          <w:p w14:paraId="449BAE2B">
            <w:pPr>
              <w:keepNext w:val="0"/>
              <w:keepLines w:val="0"/>
              <w:widowControl/>
              <w:suppressLineNumbers w:val="0"/>
              <w:adjustRightInd w:val="0"/>
              <w:snapToGrid w:val="0"/>
              <w:spacing w:before="0" w:beforeAutospacing="0" w:after="0" w:afterAutospacing="0"/>
              <w:ind w:left="0" w:right="0"/>
              <w:jc w:val="center"/>
              <w:rPr>
                <w:rFonts w:hint="eastAsia" w:ascii="宋体" w:hAnsi="宋体" w:eastAsia="宋体" w:cs="宋体"/>
                <w:color w:val="000000" w:themeColor="text1"/>
                <w:sz w:val="24"/>
                <w:szCs w:val="24"/>
                <w14:textFill>
                  <w14:solidFill>
                    <w14:schemeClr w14:val="tx1"/>
                  </w14:solidFill>
                </w14:textFill>
              </w:rPr>
            </w:pPr>
          </w:p>
        </w:tc>
      </w:tr>
    </w:tbl>
    <w:p w14:paraId="5B8DAE8E">
      <w:pPr>
        <w:pStyle w:val="26"/>
        <w:spacing w:line="160" w:lineRule="exact"/>
        <w:ind w:left="-274" w:leftChars="-98"/>
        <w:rPr>
          <w:rFonts w:hint="eastAsia" w:ascii="宋体" w:hAnsi="宋体" w:eastAsia="宋体" w:cs="宋体"/>
          <w:color w:val="000000" w:themeColor="text1"/>
          <w:sz w:val="24"/>
          <w:szCs w:val="24"/>
          <w14:textFill>
            <w14:solidFill>
              <w14:schemeClr w14:val="tx1"/>
            </w14:solidFill>
          </w14:textFill>
        </w:rPr>
      </w:pPr>
    </w:p>
    <w:p w14:paraId="028C3C0E">
      <w:pPr>
        <w:pStyle w:val="26"/>
        <w:ind w:left="-274" w:leftChars="-98" w:firstLine="360" w:firstLineChars="15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 本表中的“合计”与“报价</w:t>
      </w:r>
      <w:r>
        <w:rPr>
          <w:rFonts w:hint="eastAsia" w:ascii="宋体" w:hAnsi="宋体" w:eastAsia="宋体" w:cs="宋体"/>
          <w:color w:val="000000" w:themeColor="text1"/>
          <w:sz w:val="24"/>
          <w:szCs w:val="24"/>
          <w:lang w:val="en-US" w:eastAsia="zh-CN"/>
          <w14:textFill>
            <w14:solidFill>
              <w14:schemeClr w14:val="tx1"/>
            </w14:solidFill>
          </w14:textFill>
        </w:rPr>
        <w:t>一览表</w:t>
      </w:r>
      <w:r>
        <w:rPr>
          <w:rFonts w:hint="eastAsia" w:ascii="宋体" w:hAnsi="宋体" w:eastAsia="宋体" w:cs="宋体"/>
          <w:color w:val="000000" w:themeColor="text1"/>
          <w:sz w:val="24"/>
          <w:szCs w:val="24"/>
          <w14:textFill>
            <w14:solidFill>
              <w14:schemeClr w14:val="tx1"/>
            </w14:solidFill>
          </w14:textFill>
        </w:rPr>
        <w:t>”中的“总价”一致，各子项分别报价。</w:t>
      </w:r>
    </w:p>
    <w:p w14:paraId="03FC5CC6">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1.投标人可根据实际情况自行扩展表格细项。</w:t>
      </w:r>
    </w:p>
    <w:p w14:paraId="2BA93EAE">
      <w:pPr>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2.所投货币为人民币。</w:t>
      </w:r>
    </w:p>
    <w:p w14:paraId="15B48985">
      <w:pPr>
        <w:pStyle w:val="20"/>
        <w:rPr>
          <w:rFonts w:hint="eastAsia" w:ascii="宋体" w:hAnsi="宋体" w:eastAsia="宋体" w:cs="宋体"/>
        </w:rPr>
      </w:pPr>
    </w:p>
    <w:p w14:paraId="76A4805F">
      <w:pPr>
        <w:pStyle w:val="20"/>
        <w:rPr>
          <w:rFonts w:hint="eastAsia" w:ascii="宋体" w:hAnsi="宋体" w:eastAsia="宋体" w:cs="宋体"/>
        </w:rPr>
      </w:pPr>
    </w:p>
    <w:p w14:paraId="34B83B80">
      <w:pPr>
        <w:adjustRightInd w:val="0"/>
        <w:snapToGrid w:val="0"/>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供应商（单位名称及公章）：____________________________</w:t>
      </w:r>
    </w:p>
    <w:p w14:paraId="27C9F21D">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被授权人（签字）：____________________________</w:t>
      </w:r>
    </w:p>
    <w:p w14:paraId="6DB4E1AE">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日    期：_______年_______月_______日</w:t>
      </w:r>
    </w:p>
    <w:p w14:paraId="460C41A1">
      <w:pPr>
        <w:pStyle w:val="5"/>
        <w:rPr>
          <w:rFonts w:hint="eastAsia" w:ascii="宋体" w:hAnsi="宋体" w:eastAsia="宋体" w:cs="宋体"/>
          <w:b w:val="0"/>
          <w:bCs w:val="0"/>
          <w:sz w:val="24"/>
          <w:szCs w:val="24"/>
        </w:rPr>
      </w:pPr>
    </w:p>
    <w:p w14:paraId="2B176C61">
      <w:pPr>
        <w:pStyle w:val="5"/>
        <w:rPr>
          <w:rFonts w:hint="eastAsia" w:ascii="宋体" w:hAnsi="宋体" w:eastAsia="宋体" w:cs="宋体"/>
          <w:b w:val="0"/>
          <w:bCs w:val="0"/>
          <w:sz w:val="24"/>
          <w:szCs w:val="24"/>
          <w:lang w:eastAsia="zh-CN"/>
        </w:rPr>
        <w:sectPr>
          <w:pgSz w:w="11906" w:h="16838"/>
          <w:pgMar w:top="1247"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89" w:charSpace="0"/>
        </w:sectPr>
      </w:pPr>
    </w:p>
    <w:p w14:paraId="0A5CF3EC">
      <w:pPr>
        <w:bidi w:val="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三、供应商资质证明文件</w:t>
      </w:r>
      <w:bookmarkEnd w:id="311"/>
      <w:bookmarkEnd w:id="312"/>
      <w:bookmarkEnd w:id="313"/>
    </w:p>
    <w:p w14:paraId="23B4BD75">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lang w:val="en-US" w:eastAsia="zh-CN" w:bidi="zh-CN"/>
        </w:rPr>
      </w:pPr>
    </w:p>
    <w:p w14:paraId="4D5A949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0" w:rightChars="0"/>
        <w:jc w:val="both"/>
        <w:textAlignment w:val="auto"/>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（1）具有独立承担民事责任能力的法人、其他组织或自然人，提供年检有效的统一社会信用代码的营业执照或其他合法组织登记证书，自然人参与的提供其身份证明；</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（2）法定代表人参加投标时，提供本人身份证复印件；授权代表参加投标时，提供法定代表人授权委托书、法定代表人和被授权人身份证复印件；</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（3）</w:t>
      </w:r>
      <w:r>
        <w:rPr>
          <w:rFonts w:hint="eastAsia" w:ascii="宋体" w:hAnsi="宋体" w:eastAsia="宋体" w:cs="宋体"/>
          <w:color w:val="auto"/>
          <w:sz w:val="24"/>
          <w:szCs w:val="24"/>
          <w:highlight w:val="yellow"/>
          <w:lang w:val="en-US" w:eastAsia="zh-CN" w:bidi="zh-CN"/>
        </w:rPr>
        <w:t>供应商须具备建设行政主管部门颁发的工程设计综合甲级资质或工程设计公路行业（公路）专业设计乙级及以上资质，并在人员、设备、资金等方面具备相应能力；</w:t>
      </w:r>
      <w:r>
        <w:rPr>
          <w:rFonts w:hint="eastAsia" w:ascii="宋体" w:hAnsi="宋体" w:eastAsia="宋体" w:cs="宋体"/>
          <w:color w:val="auto"/>
          <w:sz w:val="24"/>
          <w:szCs w:val="24"/>
          <w:highlight w:val="yellow"/>
          <w:lang w:val="en-US" w:eastAsia="zh-CN" w:bidi="zh-CN"/>
        </w:rPr>
        <w:br w:type="textWrapping"/>
      </w:r>
      <w:r>
        <w:rPr>
          <w:rFonts w:hint="eastAsia" w:ascii="宋体" w:hAnsi="宋体" w:eastAsia="宋体" w:cs="宋体"/>
          <w:color w:val="auto"/>
          <w:sz w:val="24"/>
          <w:szCs w:val="24"/>
          <w:lang w:val="en-US" w:eastAsia="zh-CN" w:bidi="zh-CN"/>
        </w:rPr>
        <w:t>（4）财务状况报告：提供2023或2024年度财务审计报告(成立时间至提交投标文件截止时间不足1年的可提供成立后任意时段的资产负债表），或提交投标文件截止时间近三个月内或其基本存款账户开户银行出具的资信证明及基本存款账户开户许可证（基本账户信息表）；</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（5）社会保障资金缴纳证明：自2024年6月1日以来已缴存的至少1个月的社会保障资金缴存单据或社保机构开具的社会保险参保缴费情况证明。依法不需要缴纳社会保障资金的供应商应提供相关文件证明；</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（6）税收缴纳证明：自2024年6月1日以来不少于1个月的完税证明（任意税种）；依法免税的供应商应提供相关文件证明；</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7）参加本次政府采购活动前三年内在经营活动中没有重大违纪，以及未被列入失信被执行人、重大税收违法案件当事人名单（或重大税收违法失信主体名单）、政府采购严重违法失信行为记录名单的书面声明；</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8）通过“信用中国”网站（www.creditchina.gov.cn）和中国政府采购网（www.ccgp.gov.cn）等渠道查询相关主体信用记录，对列入失信被执行人、重大税收违法案件当事人名单（或重大税收违法失信主体名单）、政府采购严重违法失信行为记录名单的供应商，将拒绝其参与政府采购活动；</w:t>
      </w:r>
      <w:r>
        <w:rPr>
          <w:rFonts w:hint="eastAsia" w:ascii="宋体" w:hAnsi="宋体" w:eastAsia="宋体" w:cs="宋体"/>
          <w:color w:val="auto"/>
          <w:sz w:val="24"/>
          <w:szCs w:val="24"/>
          <w:lang w:val="en-US" w:eastAsia="zh-CN" w:bidi="zh-CN"/>
        </w:rPr>
        <w:br w:type="textWrapping"/>
      </w:r>
      <w:r>
        <w:rPr>
          <w:rFonts w:hint="eastAsia" w:ascii="宋体" w:hAnsi="宋体" w:eastAsia="宋体" w:cs="宋体"/>
          <w:color w:val="auto"/>
          <w:sz w:val="24"/>
          <w:szCs w:val="24"/>
          <w:lang w:val="en-US" w:eastAsia="zh-CN" w:bidi="zh-CN"/>
        </w:rPr>
        <w:t>（9）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716C105C">
      <w:pPr>
        <w:keepNext w:val="0"/>
        <w:keepLines w:val="0"/>
        <w:pageBreakBefore w:val="0"/>
        <w:widowControl/>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kern w:val="0"/>
          <w:sz w:val="24"/>
          <w:szCs w:val="24"/>
        </w:rPr>
      </w:pPr>
      <w:r>
        <w:rPr>
          <w:rFonts w:hint="eastAsia" w:ascii="宋体" w:hAnsi="宋体" w:eastAsia="宋体" w:cs="宋体"/>
          <w:kern w:val="0"/>
          <w:sz w:val="24"/>
          <w:szCs w:val="24"/>
        </w:rPr>
        <w:t>（注：以上资格证明文件投标人必须完全提供，且胶装于投标文件中，一项不合格即按照无效响应处理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w:t>
      </w:r>
    </w:p>
    <w:p w14:paraId="18CA2450">
      <w:pPr>
        <w:pStyle w:val="5"/>
        <w:rPr>
          <w:rFonts w:hint="eastAsia"/>
        </w:rPr>
      </w:pPr>
    </w:p>
    <w:p w14:paraId="37B46286">
      <w:pPr>
        <w:rPr>
          <w:rFonts w:hint="eastAsia"/>
        </w:rPr>
        <w:sectPr>
          <w:pgSz w:w="11906" w:h="16838"/>
          <w:pgMar w:top="1247"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89" w:charSpace="0"/>
        </w:sectPr>
      </w:pPr>
    </w:p>
    <w:p w14:paraId="47E88801">
      <w:pPr>
        <w:pStyle w:val="2"/>
        <w:rPr>
          <w:rFonts w:hint="eastAsia"/>
        </w:rPr>
      </w:pPr>
    </w:p>
    <w:p w14:paraId="58D5A4D1">
      <w:pPr>
        <w:tabs>
          <w:tab w:val="left" w:pos="210"/>
        </w:tabs>
        <w:spacing w:line="420" w:lineRule="exact"/>
        <w:jc w:val="center"/>
        <w:rPr>
          <w:rFonts w:hint="eastAsia" w:ascii="宋体" w:hAnsi="宋体" w:eastAsia="宋体" w:cs="宋体"/>
          <w:b/>
          <w:color w:val="000000"/>
          <w:kern w:val="0"/>
          <w:sz w:val="32"/>
          <w:szCs w:val="32"/>
        </w:rPr>
      </w:pPr>
      <w:r>
        <w:rPr>
          <w:rFonts w:hint="eastAsia" w:ascii="宋体" w:hAnsi="宋体" w:eastAsia="宋体" w:cs="宋体"/>
          <w:b/>
          <w:color w:val="000000"/>
          <w:kern w:val="0"/>
          <w:sz w:val="32"/>
          <w:szCs w:val="32"/>
        </w:rPr>
        <w:t xml:space="preserve"> 法定代表人证明书</w:t>
      </w:r>
    </w:p>
    <w:p w14:paraId="1D57B5A8">
      <w:pPr>
        <w:tabs>
          <w:tab w:val="left" w:pos="210"/>
        </w:tabs>
        <w:spacing w:line="320" w:lineRule="exact"/>
        <w:jc w:val="center"/>
        <w:rPr>
          <w:rFonts w:hint="eastAsia" w:ascii="宋体" w:hAnsi="宋体" w:eastAsia="宋体" w:cs="宋体"/>
          <w:b/>
          <w:color w:val="000000"/>
          <w:kern w:val="0"/>
          <w:sz w:val="32"/>
          <w:szCs w:val="32"/>
        </w:rPr>
      </w:pPr>
    </w:p>
    <w:tbl>
      <w:tblPr>
        <w:tblStyle w:val="35"/>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97"/>
        <w:gridCol w:w="2159"/>
        <w:gridCol w:w="457"/>
        <w:gridCol w:w="2161"/>
        <w:gridCol w:w="2118"/>
      </w:tblGrid>
      <w:tr w14:paraId="6152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9360" w:type="dxa"/>
            <w:gridSpan w:val="6"/>
            <w:vAlign w:val="center"/>
          </w:tcPr>
          <w:p w14:paraId="4D79EE58">
            <w:pPr>
              <w:keepNext w:val="0"/>
              <w:keepLines w:val="0"/>
              <w:widowControl/>
              <w:suppressLineNumbers w:val="0"/>
              <w:tabs>
                <w:tab w:val="left" w:pos="210"/>
              </w:tabs>
              <w:spacing w:before="0" w:beforeAutospacing="0" w:after="0" w:afterAutospacing="0" w:line="320" w:lineRule="exact"/>
              <w:ind w:left="0" w:right="0"/>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致：</w:t>
            </w:r>
            <w:r>
              <w:rPr>
                <w:rFonts w:hint="eastAsia" w:ascii="宋体" w:hAnsi="宋体" w:eastAsia="宋体" w:cs="宋体"/>
                <w:color w:val="000000"/>
                <w:kern w:val="0"/>
                <w:sz w:val="24"/>
                <w:szCs w:val="24"/>
                <w:lang w:eastAsia="zh-CN"/>
              </w:rPr>
              <w:t>宝泽项目管理有限公司</w:t>
            </w:r>
          </w:p>
        </w:tc>
      </w:tr>
      <w:tr w14:paraId="4955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68" w:type="dxa"/>
            <w:vMerge w:val="restart"/>
            <w:vAlign w:val="center"/>
          </w:tcPr>
          <w:p w14:paraId="2A20FD0A">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w:t>
            </w:r>
          </w:p>
          <w:p w14:paraId="771F564B">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p w14:paraId="6BE7AD89">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业</w:t>
            </w:r>
          </w:p>
          <w:p w14:paraId="425D9FAA">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p w14:paraId="20523027">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w:t>
            </w:r>
          </w:p>
          <w:p w14:paraId="5BDCDB38">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p w14:paraId="673AAC7D">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人</w:t>
            </w:r>
          </w:p>
        </w:tc>
        <w:tc>
          <w:tcPr>
            <w:tcW w:w="1897" w:type="dxa"/>
            <w:vAlign w:val="center"/>
          </w:tcPr>
          <w:p w14:paraId="22B39DD0">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企业名称</w:t>
            </w:r>
          </w:p>
        </w:tc>
        <w:tc>
          <w:tcPr>
            <w:tcW w:w="6895" w:type="dxa"/>
            <w:gridSpan w:val="4"/>
            <w:vAlign w:val="center"/>
          </w:tcPr>
          <w:p w14:paraId="0170376D">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1D7C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68" w:type="dxa"/>
            <w:vMerge w:val="continue"/>
            <w:vAlign w:val="center"/>
          </w:tcPr>
          <w:p w14:paraId="22EC08D9">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1897" w:type="dxa"/>
            <w:vAlign w:val="center"/>
          </w:tcPr>
          <w:p w14:paraId="639EBCEF">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法定地址</w:t>
            </w:r>
          </w:p>
        </w:tc>
        <w:tc>
          <w:tcPr>
            <w:tcW w:w="6895" w:type="dxa"/>
            <w:gridSpan w:val="4"/>
            <w:vAlign w:val="center"/>
          </w:tcPr>
          <w:p w14:paraId="185591B9">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3F55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68" w:type="dxa"/>
            <w:vMerge w:val="continue"/>
            <w:vAlign w:val="center"/>
          </w:tcPr>
          <w:p w14:paraId="70FB695E">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1897" w:type="dxa"/>
            <w:vAlign w:val="center"/>
          </w:tcPr>
          <w:p w14:paraId="2F5566D7">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邮政编码</w:t>
            </w:r>
          </w:p>
        </w:tc>
        <w:tc>
          <w:tcPr>
            <w:tcW w:w="6895" w:type="dxa"/>
            <w:gridSpan w:val="4"/>
            <w:vAlign w:val="center"/>
          </w:tcPr>
          <w:p w14:paraId="76A3EB47">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7BD10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68" w:type="dxa"/>
            <w:vMerge w:val="continue"/>
            <w:vAlign w:val="center"/>
          </w:tcPr>
          <w:p w14:paraId="03EB6144">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1897" w:type="dxa"/>
            <w:vAlign w:val="center"/>
          </w:tcPr>
          <w:p w14:paraId="2E672B9A">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工商登记机关</w:t>
            </w:r>
          </w:p>
        </w:tc>
        <w:tc>
          <w:tcPr>
            <w:tcW w:w="6895" w:type="dxa"/>
            <w:gridSpan w:val="4"/>
            <w:vAlign w:val="center"/>
          </w:tcPr>
          <w:p w14:paraId="4BAB4CDF">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068F0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568" w:type="dxa"/>
            <w:vMerge w:val="continue"/>
            <w:vAlign w:val="center"/>
          </w:tcPr>
          <w:p w14:paraId="54203E70">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1897" w:type="dxa"/>
            <w:vAlign w:val="center"/>
          </w:tcPr>
          <w:p w14:paraId="32760DAF">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税务登记机关</w:t>
            </w:r>
          </w:p>
        </w:tc>
        <w:tc>
          <w:tcPr>
            <w:tcW w:w="6895" w:type="dxa"/>
            <w:gridSpan w:val="4"/>
            <w:vAlign w:val="center"/>
          </w:tcPr>
          <w:p w14:paraId="4113F31D">
            <w:pPr>
              <w:keepNext w:val="0"/>
              <w:keepLines w:val="0"/>
              <w:widowControl/>
              <w:suppressLineNumbers w:val="0"/>
              <w:tabs>
                <w:tab w:val="left" w:pos="210"/>
              </w:tabs>
              <w:spacing w:before="0" w:beforeAutospacing="0" w:after="0" w:afterAutospacing="0" w:line="320" w:lineRule="exact"/>
              <w:ind w:left="0" w:right="0"/>
              <w:rPr>
                <w:rFonts w:hint="eastAsia" w:ascii="宋体" w:hAnsi="宋体" w:eastAsia="宋体" w:cs="宋体"/>
                <w:color w:val="000000"/>
                <w:kern w:val="0"/>
                <w:sz w:val="24"/>
                <w:szCs w:val="24"/>
              </w:rPr>
            </w:pPr>
          </w:p>
        </w:tc>
      </w:tr>
      <w:tr w14:paraId="44FD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68" w:type="dxa"/>
            <w:vMerge w:val="continue"/>
            <w:vAlign w:val="center"/>
          </w:tcPr>
          <w:p w14:paraId="1F170F35">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1897" w:type="dxa"/>
            <w:vAlign w:val="center"/>
          </w:tcPr>
          <w:p w14:paraId="05F01C39">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机构代码证号</w:t>
            </w:r>
          </w:p>
        </w:tc>
        <w:tc>
          <w:tcPr>
            <w:tcW w:w="6895" w:type="dxa"/>
            <w:gridSpan w:val="4"/>
            <w:vAlign w:val="center"/>
          </w:tcPr>
          <w:p w14:paraId="1DA329F7">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7518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68" w:type="dxa"/>
            <w:vMerge w:val="restart"/>
            <w:vAlign w:val="center"/>
          </w:tcPr>
          <w:p w14:paraId="4AB2C4A8">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w:t>
            </w:r>
          </w:p>
        </w:tc>
        <w:tc>
          <w:tcPr>
            <w:tcW w:w="1897" w:type="dxa"/>
            <w:vAlign w:val="center"/>
          </w:tcPr>
          <w:p w14:paraId="3C496E42">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2616" w:type="dxa"/>
            <w:gridSpan w:val="2"/>
            <w:vAlign w:val="center"/>
          </w:tcPr>
          <w:p w14:paraId="5B9E05AD">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161" w:type="dxa"/>
            <w:vAlign w:val="center"/>
          </w:tcPr>
          <w:p w14:paraId="4AD091B2">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性别</w:t>
            </w:r>
          </w:p>
        </w:tc>
        <w:tc>
          <w:tcPr>
            <w:tcW w:w="2118" w:type="dxa"/>
            <w:vAlign w:val="center"/>
          </w:tcPr>
          <w:p w14:paraId="7BF970CD">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136E4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568" w:type="dxa"/>
            <w:vMerge w:val="continue"/>
            <w:vAlign w:val="center"/>
          </w:tcPr>
          <w:p w14:paraId="4E7A564E">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1897" w:type="dxa"/>
            <w:vAlign w:val="center"/>
          </w:tcPr>
          <w:p w14:paraId="5820969F">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职务</w:t>
            </w:r>
          </w:p>
        </w:tc>
        <w:tc>
          <w:tcPr>
            <w:tcW w:w="2616" w:type="dxa"/>
            <w:gridSpan w:val="2"/>
            <w:vAlign w:val="center"/>
          </w:tcPr>
          <w:p w14:paraId="59C4B015">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2161" w:type="dxa"/>
            <w:vAlign w:val="center"/>
          </w:tcPr>
          <w:p w14:paraId="03D2E0B1">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联系电话</w:t>
            </w:r>
          </w:p>
        </w:tc>
        <w:tc>
          <w:tcPr>
            <w:tcW w:w="2118" w:type="dxa"/>
            <w:vAlign w:val="center"/>
          </w:tcPr>
          <w:p w14:paraId="7FC9C97C">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208E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68" w:type="dxa"/>
            <w:vMerge w:val="continue"/>
            <w:vAlign w:val="center"/>
          </w:tcPr>
          <w:p w14:paraId="33B27D1B">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1897" w:type="dxa"/>
            <w:vAlign w:val="center"/>
          </w:tcPr>
          <w:p w14:paraId="7C634E0A">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传真</w:t>
            </w:r>
          </w:p>
        </w:tc>
        <w:tc>
          <w:tcPr>
            <w:tcW w:w="6895" w:type="dxa"/>
            <w:gridSpan w:val="4"/>
            <w:vAlign w:val="center"/>
          </w:tcPr>
          <w:p w14:paraId="1B227054">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r>
      <w:tr w14:paraId="13998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9" w:hRule="atLeast"/>
          <w:jc w:val="center"/>
        </w:trPr>
        <w:tc>
          <w:tcPr>
            <w:tcW w:w="568" w:type="dxa"/>
            <w:vMerge w:val="restart"/>
            <w:vAlign w:val="center"/>
          </w:tcPr>
          <w:p w14:paraId="45773B10">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法定代表人身份证复印件</w:t>
            </w:r>
          </w:p>
        </w:tc>
        <w:tc>
          <w:tcPr>
            <w:tcW w:w="4056" w:type="dxa"/>
            <w:gridSpan w:val="2"/>
            <w:vMerge w:val="restart"/>
            <w:vAlign w:val="center"/>
          </w:tcPr>
          <w:p w14:paraId="692927AA">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（粘贴处）</w:t>
            </w:r>
          </w:p>
        </w:tc>
        <w:tc>
          <w:tcPr>
            <w:tcW w:w="4736" w:type="dxa"/>
            <w:gridSpan w:val="3"/>
            <w:vAlign w:val="center"/>
          </w:tcPr>
          <w:p w14:paraId="6B82B7C3">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法定代表人签字或盖章</w:t>
            </w:r>
          </w:p>
        </w:tc>
      </w:tr>
      <w:tr w14:paraId="7C64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4" w:hRule="atLeast"/>
          <w:jc w:val="center"/>
        </w:trPr>
        <w:tc>
          <w:tcPr>
            <w:tcW w:w="568" w:type="dxa"/>
            <w:vMerge w:val="continue"/>
            <w:vAlign w:val="center"/>
          </w:tcPr>
          <w:p w14:paraId="538E88D5">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4056" w:type="dxa"/>
            <w:gridSpan w:val="2"/>
            <w:vMerge w:val="continue"/>
            <w:vAlign w:val="center"/>
          </w:tcPr>
          <w:p w14:paraId="1180DA42">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tc>
        <w:tc>
          <w:tcPr>
            <w:tcW w:w="4736" w:type="dxa"/>
            <w:gridSpan w:val="3"/>
            <w:vAlign w:val="bottom"/>
          </w:tcPr>
          <w:p w14:paraId="7D652C94">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（公章）</w:t>
            </w:r>
          </w:p>
          <w:p w14:paraId="073FDE94">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p w14:paraId="288C229D">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p w14:paraId="53074DD9">
            <w:pPr>
              <w:keepNext w:val="0"/>
              <w:keepLines w:val="0"/>
              <w:widowControl/>
              <w:suppressLineNumbers w:val="0"/>
              <w:tabs>
                <w:tab w:val="left" w:pos="210"/>
              </w:tabs>
              <w:spacing w:before="0" w:beforeAutospacing="0" w:after="0" w:afterAutospacing="0" w:line="320" w:lineRule="exact"/>
              <w:ind w:left="0" w:right="0"/>
              <w:jc w:val="center"/>
              <w:rPr>
                <w:rFonts w:hint="eastAsia" w:ascii="宋体" w:hAnsi="宋体" w:eastAsia="宋体" w:cs="宋体"/>
                <w:color w:val="000000"/>
                <w:kern w:val="0"/>
                <w:sz w:val="24"/>
                <w:szCs w:val="24"/>
              </w:rPr>
            </w:pPr>
          </w:p>
          <w:p w14:paraId="0B02BEA4">
            <w:pPr>
              <w:keepNext w:val="0"/>
              <w:keepLines w:val="0"/>
              <w:widowControl/>
              <w:suppressLineNumbers w:val="0"/>
              <w:tabs>
                <w:tab w:val="left" w:pos="210"/>
              </w:tabs>
              <w:spacing w:before="0" w:beforeAutospacing="0" w:after="0" w:afterAutospacing="0" w:line="320" w:lineRule="exact"/>
              <w:ind w:left="0" w:right="0"/>
              <w:jc w:val="righ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年  月  日 </w:t>
            </w:r>
          </w:p>
        </w:tc>
      </w:tr>
    </w:tbl>
    <w:p w14:paraId="522C369E">
      <w:pPr>
        <w:tabs>
          <w:tab w:val="left" w:pos="210"/>
        </w:tabs>
        <w:spacing w:line="420" w:lineRule="exact"/>
        <w:jc w:val="center"/>
        <w:rPr>
          <w:rFonts w:hint="eastAsia" w:ascii="宋体" w:hAnsi="宋体" w:eastAsia="宋体" w:cs="宋体"/>
          <w:b/>
          <w:color w:val="000000"/>
          <w:kern w:val="0"/>
          <w:sz w:val="32"/>
          <w:szCs w:val="32"/>
          <w:lang w:eastAsia="zh-CN"/>
        </w:rPr>
      </w:pPr>
      <w:bookmarkStart w:id="316" w:name="_Toc10261"/>
      <w:bookmarkStart w:id="317" w:name="_Toc22461"/>
      <w:bookmarkStart w:id="318" w:name="_Toc19543356"/>
      <w:bookmarkStart w:id="319" w:name="_Toc13614"/>
    </w:p>
    <w:p w14:paraId="63DCD670">
      <w:pPr>
        <w:tabs>
          <w:tab w:val="left" w:pos="210"/>
        </w:tabs>
        <w:spacing w:line="420" w:lineRule="exact"/>
        <w:jc w:val="center"/>
        <w:rPr>
          <w:rFonts w:hint="eastAsia" w:ascii="宋体" w:hAnsi="宋体" w:eastAsia="宋体" w:cs="宋体"/>
          <w:b/>
          <w:color w:val="000000"/>
          <w:kern w:val="0"/>
          <w:sz w:val="32"/>
          <w:szCs w:val="32"/>
          <w:lang w:eastAsia="zh-CN"/>
        </w:rPr>
      </w:pPr>
      <w:r>
        <w:rPr>
          <w:rFonts w:hint="eastAsia" w:ascii="宋体" w:hAnsi="宋体" w:eastAsia="宋体" w:cs="宋体"/>
          <w:b/>
          <w:color w:val="000000"/>
          <w:kern w:val="0"/>
          <w:sz w:val="32"/>
          <w:szCs w:val="32"/>
          <w:lang w:eastAsia="zh-CN"/>
        </w:rPr>
        <w:t>法定代表人授权书</w:t>
      </w:r>
      <w:bookmarkEnd w:id="316"/>
      <w:bookmarkEnd w:id="317"/>
      <w:bookmarkEnd w:id="318"/>
      <w:bookmarkEnd w:id="319"/>
    </w:p>
    <w:p w14:paraId="4F9A67F0">
      <w:pPr>
        <w:pStyle w:val="15"/>
        <w:spacing w:line="400" w:lineRule="exact"/>
        <w:jc w:val="left"/>
        <w:rPr>
          <w:rFonts w:hint="eastAsia" w:ascii="宋体" w:hAnsi="宋体" w:eastAsia="宋体" w:cs="宋体"/>
          <w:sz w:val="24"/>
          <w:szCs w:val="24"/>
        </w:rPr>
      </w:pPr>
      <w:r>
        <w:rPr>
          <w:rFonts w:hint="eastAsia" w:hAnsi="宋体" w:cs="宋体"/>
          <w:sz w:val="24"/>
          <w:szCs w:val="24"/>
          <w:lang w:eastAsia="zh-CN"/>
        </w:rPr>
        <w:t>宝泽项目管理有限公司</w:t>
      </w:r>
      <w:r>
        <w:rPr>
          <w:rFonts w:hint="eastAsia" w:ascii="宋体" w:hAnsi="宋体" w:eastAsia="宋体" w:cs="宋体"/>
          <w:sz w:val="24"/>
          <w:szCs w:val="24"/>
        </w:rPr>
        <w:t>：</w:t>
      </w:r>
    </w:p>
    <w:p w14:paraId="3A5300B4">
      <w:pPr>
        <w:tabs>
          <w:tab w:val="left" w:pos="8820"/>
        </w:tabs>
        <w:spacing w:line="400" w:lineRule="exact"/>
        <w:ind w:firstLine="570"/>
        <w:rPr>
          <w:rFonts w:hint="eastAsia" w:ascii="宋体" w:hAnsi="宋体" w:eastAsia="宋体" w:cs="宋体"/>
          <w:sz w:val="24"/>
          <w:szCs w:val="24"/>
          <w:u w:val="single"/>
        </w:rPr>
      </w:pPr>
      <w:r>
        <w:rPr>
          <w:rFonts w:hint="eastAsia" w:ascii="宋体" w:hAnsi="宋体" w:eastAsia="宋体" w:cs="宋体"/>
          <w:sz w:val="24"/>
          <w:szCs w:val="24"/>
        </w:rPr>
        <w:t>本授权委托书声明：我</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（法定代表人姓名）</w:t>
      </w:r>
      <w:r>
        <w:rPr>
          <w:rFonts w:hint="eastAsia" w:ascii="宋体" w:hAnsi="宋体" w:eastAsia="宋体" w:cs="宋体"/>
          <w:sz w:val="24"/>
          <w:szCs w:val="24"/>
        </w:rPr>
        <w:t>系注册于</w:t>
      </w:r>
      <w:r>
        <w:rPr>
          <w:rFonts w:hint="eastAsia" w:ascii="宋体" w:hAnsi="宋体" w:eastAsia="宋体" w:cs="宋体"/>
          <w:sz w:val="24"/>
          <w:szCs w:val="24"/>
          <w:u w:val="single"/>
        </w:rPr>
        <w:t xml:space="preserve">  （供应商地址）</w:t>
      </w:r>
      <w:r>
        <w:rPr>
          <w:rFonts w:hint="eastAsia" w:ascii="宋体" w:hAnsi="宋体" w:eastAsia="宋体" w:cs="宋体"/>
          <w:sz w:val="24"/>
          <w:szCs w:val="24"/>
        </w:rPr>
        <w:t>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（供应商名称）</w:t>
      </w:r>
      <w:r>
        <w:rPr>
          <w:rFonts w:hint="eastAsia" w:ascii="宋体" w:hAnsi="宋体" w:eastAsia="宋体" w:cs="宋体"/>
          <w:sz w:val="24"/>
          <w:szCs w:val="24"/>
        </w:rPr>
        <w:t>的法定代表人，现代表公司授权下面签字的</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（被授权人的姓名、职务）</w:t>
      </w:r>
      <w:r>
        <w:rPr>
          <w:rFonts w:hint="eastAsia" w:ascii="宋体" w:hAnsi="宋体" w:eastAsia="宋体" w:cs="宋体"/>
          <w:sz w:val="24"/>
          <w:szCs w:val="24"/>
        </w:rPr>
        <w:t>为我公司合法代理人，代表本公司参加</w:t>
      </w:r>
      <w:r>
        <w:rPr>
          <w:rFonts w:hint="eastAsia" w:ascii="宋体" w:hAnsi="宋体" w:eastAsia="宋体" w:cs="宋体"/>
          <w:sz w:val="24"/>
          <w:szCs w:val="24"/>
          <w:u w:val="single"/>
        </w:rPr>
        <w:t xml:space="preserve">  （项目名称）</w:t>
      </w:r>
      <w:r>
        <w:rPr>
          <w:rFonts w:hint="eastAsia" w:ascii="宋体" w:hAnsi="宋体" w:eastAsia="宋体" w:cs="宋体"/>
          <w:sz w:val="24"/>
          <w:szCs w:val="24"/>
        </w:rPr>
        <w:t>采购项目编号为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的采购活动。以我方名义全权处理该项目有关</w:t>
      </w:r>
      <w:r>
        <w:rPr>
          <w:rFonts w:hint="eastAsia" w:ascii="宋体" w:hAnsi="宋体" w:eastAsia="宋体" w:cs="宋体"/>
          <w:sz w:val="24"/>
          <w:szCs w:val="24"/>
          <w:lang w:eastAsia="zh-CN"/>
        </w:rPr>
        <w:t>谈判</w:t>
      </w:r>
      <w:r>
        <w:rPr>
          <w:rFonts w:hint="eastAsia" w:ascii="宋体" w:hAnsi="宋体" w:eastAsia="宋体" w:cs="宋体"/>
          <w:sz w:val="24"/>
          <w:szCs w:val="24"/>
        </w:rPr>
        <w:t>、签订合同以及执行合同等一切事宜。</w:t>
      </w:r>
    </w:p>
    <w:p w14:paraId="29DD0ECA">
      <w:pPr>
        <w:spacing w:line="4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有效期自</w:t>
      </w:r>
      <w:r>
        <w:rPr>
          <w:rFonts w:hint="eastAsia" w:ascii="宋体" w:hAnsi="宋体" w:eastAsia="宋体" w:cs="宋体"/>
          <w:sz w:val="24"/>
          <w:szCs w:val="24"/>
          <w:lang w:eastAsia="zh-CN"/>
        </w:rPr>
        <w:t>谈判</w:t>
      </w:r>
      <w:r>
        <w:rPr>
          <w:rFonts w:hint="eastAsia" w:ascii="宋体" w:hAnsi="宋体" w:eastAsia="宋体" w:cs="宋体"/>
          <w:sz w:val="24"/>
          <w:szCs w:val="24"/>
        </w:rPr>
        <w:t>之日起</w:t>
      </w:r>
      <w:r>
        <w:rPr>
          <w:rFonts w:hint="eastAsia" w:ascii="宋体" w:hAnsi="宋体" w:eastAsia="宋体" w:cs="宋体"/>
          <w:sz w:val="24"/>
          <w:szCs w:val="24"/>
          <w:u w:val="single"/>
        </w:rPr>
        <w:t xml:space="preserve">    </w:t>
      </w:r>
      <w:r>
        <w:rPr>
          <w:rFonts w:hint="eastAsia" w:ascii="宋体" w:hAnsi="宋体" w:eastAsia="宋体" w:cs="宋体"/>
          <w:sz w:val="24"/>
          <w:szCs w:val="24"/>
        </w:rPr>
        <w:t>日历日，特此声明。</w:t>
      </w:r>
    </w:p>
    <w:p w14:paraId="49990E79">
      <w:pPr>
        <w:pStyle w:val="15"/>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供应商（单位名称及公章）：________</w:t>
      </w:r>
    </w:p>
    <w:p w14:paraId="198265EB">
      <w:pPr>
        <w:pStyle w:val="15"/>
        <w:spacing w:line="4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法定代表人（签字或盖章）：________</w:t>
      </w:r>
    </w:p>
    <w:p w14:paraId="0365BD13">
      <w:pPr>
        <w:pStyle w:val="15"/>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被授权人（签字）：________性别：________</w:t>
      </w:r>
    </w:p>
    <w:p w14:paraId="02C77BC7">
      <w:pPr>
        <w:pStyle w:val="15"/>
        <w:spacing w:line="4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联系地址：________________</w:t>
      </w:r>
    </w:p>
    <w:p w14:paraId="1FB4CCEB">
      <w:pPr>
        <w:pStyle w:val="15"/>
        <w:spacing w:line="400" w:lineRule="exact"/>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联系电话：________________</w:t>
      </w:r>
    </w:p>
    <w:p w14:paraId="527E1B35">
      <w:pPr>
        <w:pStyle w:val="15"/>
        <w:spacing w:line="4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法定代表人及被授权人身份证复印件（注：身份证复印件须加盖企业公章）</w:t>
      </w:r>
    </w:p>
    <w:tbl>
      <w:tblPr>
        <w:tblStyle w:val="35"/>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4531"/>
      </w:tblGrid>
      <w:tr w14:paraId="6CA5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jc w:val="center"/>
        </w:trPr>
        <w:tc>
          <w:tcPr>
            <w:tcW w:w="4542" w:type="dxa"/>
            <w:shd w:val="clear" w:color="auto" w:fill="D9D9D9"/>
            <w:vAlign w:val="center"/>
          </w:tcPr>
          <w:p w14:paraId="54B856BA">
            <w:pPr>
              <w:pStyle w:val="15"/>
              <w:keepNext w:val="0"/>
              <w:keepLines w:val="0"/>
              <w:widowControl/>
              <w:suppressLineNumbers w:val="0"/>
              <w:spacing w:before="0" w:beforeAutospacing="0" w:after="0" w:afterAutospacing="0" w:line="500" w:lineRule="exact"/>
              <w:ind w:left="0" w:right="0"/>
              <w:jc w:val="left"/>
              <w:rPr>
                <w:rFonts w:hint="eastAsia" w:ascii="宋体" w:hAnsi="宋体" w:eastAsia="宋体" w:cs="宋体"/>
                <w:sz w:val="22"/>
                <w:szCs w:val="24"/>
                <w:shd w:val="pct10" w:color="auto" w:fill="FFFFFF"/>
              </w:rPr>
            </w:pPr>
            <w:r>
              <w:rPr>
                <w:rFonts w:hint="eastAsia" w:ascii="宋体" w:hAnsi="宋体" w:eastAsia="宋体" w:cs="宋体"/>
                <w:sz w:val="22"/>
                <w:szCs w:val="24"/>
                <w:shd w:val="pct10" w:color="auto" w:fill="FFFFFF"/>
              </w:rPr>
              <w:t>法定代表人身份证复印件（正面）</w:t>
            </w:r>
          </w:p>
        </w:tc>
        <w:tc>
          <w:tcPr>
            <w:tcW w:w="4531" w:type="dxa"/>
            <w:shd w:val="clear" w:color="auto" w:fill="D9D9D9"/>
            <w:vAlign w:val="center"/>
          </w:tcPr>
          <w:p w14:paraId="77D28211">
            <w:pPr>
              <w:pStyle w:val="15"/>
              <w:keepNext w:val="0"/>
              <w:keepLines w:val="0"/>
              <w:widowControl/>
              <w:suppressLineNumbers w:val="0"/>
              <w:spacing w:before="0" w:beforeAutospacing="0" w:after="0" w:afterAutospacing="0" w:line="500" w:lineRule="exact"/>
              <w:ind w:left="0" w:right="0" w:firstLine="440" w:firstLineChars="200"/>
              <w:jc w:val="left"/>
              <w:rPr>
                <w:rFonts w:hint="eastAsia" w:ascii="宋体" w:hAnsi="宋体" w:eastAsia="宋体" w:cs="宋体"/>
                <w:sz w:val="22"/>
                <w:szCs w:val="24"/>
                <w:shd w:val="pct10" w:color="auto" w:fill="FFFFFF"/>
              </w:rPr>
            </w:pPr>
            <w:r>
              <w:rPr>
                <w:rFonts w:hint="eastAsia" w:ascii="宋体" w:hAnsi="宋体" w:eastAsia="宋体" w:cs="宋体"/>
                <w:sz w:val="22"/>
                <w:szCs w:val="24"/>
                <w:shd w:val="pct10" w:color="auto" w:fill="FFFFFF"/>
              </w:rPr>
              <w:t>被授权人身份证复印件（正面）</w:t>
            </w:r>
          </w:p>
        </w:tc>
      </w:tr>
      <w:tr w14:paraId="17C3D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39" w:hRule="atLeast"/>
          <w:jc w:val="center"/>
        </w:trPr>
        <w:tc>
          <w:tcPr>
            <w:tcW w:w="4542" w:type="dxa"/>
            <w:shd w:val="clear" w:color="auto" w:fill="D9D9D9"/>
            <w:vAlign w:val="center"/>
          </w:tcPr>
          <w:p w14:paraId="5B622E86">
            <w:pPr>
              <w:pStyle w:val="15"/>
              <w:keepNext w:val="0"/>
              <w:keepLines w:val="0"/>
              <w:widowControl/>
              <w:suppressLineNumbers w:val="0"/>
              <w:spacing w:before="0" w:beforeAutospacing="0" w:after="0" w:afterAutospacing="0" w:line="500" w:lineRule="exact"/>
              <w:ind w:left="0" w:right="0"/>
              <w:jc w:val="left"/>
              <w:rPr>
                <w:rFonts w:hint="eastAsia" w:ascii="宋体" w:hAnsi="宋体" w:eastAsia="宋体" w:cs="宋体"/>
                <w:sz w:val="22"/>
                <w:szCs w:val="24"/>
                <w:shd w:val="pct10" w:color="auto" w:fill="FFFFFF"/>
              </w:rPr>
            </w:pPr>
            <w:r>
              <w:rPr>
                <w:rFonts w:hint="eastAsia" w:ascii="宋体" w:hAnsi="宋体" w:eastAsia="宋体" w:cs="宋体"/>
                <w:sz w:val="22"/>
                <w:szCs w:val="24"/>
                <w:shd w:val="pct10" w:color="auto" w:fill="FFFFFF"/>
              </w:rPr>
              <w:t>法定代表人身份证复印件（反面）</w:t>
            </w:r>
          </w:p>
        </w:tc>
        <w:tc>
          <w:tcPr>
            <w:tcW w:w="4531" w:type="dxa"/>
            <w:shd w:val="clear" w:color="auto" w:fill="D9D9D9"/>
            <w:vAlign w:val="center"/>
          </w:tcPr>
          <w:p w14:paraId="13CBE90A">
            <w:pPr>
              <w:pStyle w:val="15"/>
              <w:keepNext w:val="0"/>
              <w:keepLines w:val="0"/>
              <w:widowControl/>
              <w:suppressLineNumbers w:val="0"/>
              <w:spacing w:before="0" w:beforeAutospacing="0" w:after="0" w:afterAutospacing="0" w:line="500" w:lineRule="exact"/>
              <w:ind w:left="0" w:right="0" w:firstLine="440" w:firstLineChars="200"/>
              <w:jc w:val="left"/>
              <w:rPr>
                <w:rFonts w:hint="eastAsia" w:ascii="宋体" w:hAnsi="宋体" w:eastAsia="宋体" w:cs="宋体"/>
                <w:sz w:val="22"/>
                <w:szCs w:val="24"/>
                <w:shd w:val="pct10" w:color="auto" w:fill="FFFFFF"/>
              </w:rPr>
            </w:pPr>
            <w:r>
              <w:rPr>
                <w:rFonts w:hint="eastAsia" w:ascii="宋体" w:hAnsi="宋体" w:eastAsia="宋体" w:cs="宋体"/>
                <w:sz w:val="22"/>
                <w:szCs w:val="24"/>
                <w:shd w:val="pct10" w:color="auto" w:fill="FFFFFF"/>
              </w:rPr>
              <w:t>被授权人身份证复印件（反面）</w:t>
            </w:r>
          </w:p>
        </w:tc>
      </w:tr>
    </w:tbl>
    <w:p w14:paraId="36491544">
      <w:pPr>
        <w:pStyle w:val="15"/>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说明：</w:t>
      </w:r>
    </w:p>
    <w:p w14:paraId="4FA78B03">
      <w:pPr>
        <w:pStyle w:val="15"/>
        <w:spacing w:line="5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1．本授权书有效期自招标大会之日计算不得少于90日历日。</w:t>
      </w:r>
    </w:p>
    <w:p w14:paraId="068223D4">
      <w:pPr>
        <w:ind w:firstLine="480" w:firstLineChars="200"/>
        <w:rPr>
          <w:rFonts w:hint="eastAsia" w:ascii="宋体" w:hAnsi="宋体" w:eastAsia="宋体" w:cs="宋体"/>
          <w:sz w:val="24"/>
          <w:szCs w:val="24"/>
        </w:rPr>
        <w:sectPr>
          <w:pgSz w:w="11906" w:h="16838"/>
          <w:pgMar w:top="1247"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89" w:charSpace="0"/>
        </w:sectPr>
      </w:pPr>
      <w:r>
        <w:rPr>
          <w:rFonts w:hint="eastAsia" w:ascii="宋体" w:hAnsi="宋体" w:eastAsia="宋体" w:cs="宋体"/>
          <w:sz w:val="24"/>
          <w:szCs w:val="24"/>
        </w:rPr>
        <w:t>2．授权书内容填写要明确，文字要工整清楚，涂改无效。</w:t>
      </w:r>
    </w:p>
    <w:p w14:paraId="005EDB8C">
      <w:pPr>
        <w:tabs>
          <w:tab w:val="left" w:pos="210"/>
        </w:tabs>
        <w:spacing w:line="420" w:lineRule="exact"/>
        <w:jc w:val="center"/>
        <w:rPr>
          <w:rFonts w:hint="eastAsia" w:ascii="宋体" w:hAnsi="宋体" w:eastAsia="宋体" w:cs="宋体"/>
          <w:b/>
          <w:color w:val="000000"/>
          <w:kern w:val="0"/>
          <w:sz w:val="32"/>
          <w:szCs w:val="32"/>
          <w:lang w:val="en-US" w:eastAsia="zh-CN"/>
        </w:rPr>
      </w:pPr>
      <w:bookmarkStart w:id="320" w:name="_Toc26921"/>
      <w:r>
        <w:rPr>
          <w:rFonts w:hint="eastAsia" w:ascii="宋体" w:hAnsi="宋体" w:eastAsia="宋体" w:cs="宋体"/>
          <w:b/>
          <w:color w:val="000000"/>
          <w:kern w:val="0"/>
          <w:sz w:val="32"/>
          <w:szCs w:val="32"/>
          <w:lang w:val="en-US" w:eastAsia="zh-CN"/>
        </w:rPr>
        <w:t>中小企业声明函（工程、服务）</w:t>
      </w:r>
      <w:bookmarkEnd w:id="320"/>
    </w:p>
    <w:p w14:paraId="68190BEF">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5C4FFD4F">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万元，属于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45AE5ACC">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059D2D59">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08EC1FB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4C1FB641">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08F5A9EB">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11AFF579">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17F3280D">
      <w:pPr>
        <w:pStyle w:val="132"/>
        <w:rPr>
          <w:rFonts w:hint="eastAsia"/>
          <w:lang w:val="en-US" w:eastAsia="zh-CN"/>
        </w:rPr>
      </w:pPr>
    </w:p>
    <w:p w14:paraId="10DA5CF4">
      <w:pPr>
        <w:pStyle w:val="33"/>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注：从业人员、营业收入、资产总额填报上一年度数据，无上一年度数据的新成立企业可不填报。</w:t>
      </w:r>
    </w:p>
    <w:p w14:paraId="17F98696">
      <w:pPr>
        <w:pStyle w:val="2"/>
        <w:rPr>
          <w:rFonts w:hint="eastAsia" w:ascii="宋体" w:hAnsi="宋体" w:eastAsia="宋体" w:cs="宋体"/>
          <w:sz w:val="24"/>
          <w:szCs w:val="24"/>
        </w:rPr>
        <w:sectPr>
          <w:pgSz w:w="11906" w:h="16838"/>
          <w:pgMar w:top="1247"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89" w:charSpace="0"/>
        </w:sectPr>
      </w:pPr>
    </w:p>
    <w:p w14:paraId="68F2F8F6">
      <w:pPr>
        <w:bidi w:val="0"/>
        <w:jc w:val="center"/>
        <w:rPr>
          <w:rFonts w:hint="eastAsia" w:ascii="宋体" w:hAnsi="宋体" w:eastAsia="宋体" w:cs="宋体"/>
          <w:b/>
          <w:bCs/>
          <w:sz w:val="32"/>
          <w:szCs w:val="32"/>
          <w:lang w:val="en-US" w:eastAsia="zh-CN"/>
        </w:rPr>
      </w:pPr>
      <w:bookmarkStart w:id="321" w:name="_Toc27057"/>
      <w:bookmarkStart w:id="322" w:name="_Toc16281"/>
      <w:bookmarkStart w:id="323" w:name="_Toc342"/>
      <w:r>
        <w:rPr>
          <w:rFonts w:hint="eastAsia" w:ascii="宋体" w:hAnsi="宋体" w:eastAsia="宋体" w:cs="宋体"/>
          <w:b/>
          <w:bCs/>
          <w:sz w:val="32"/>
          <w:szCs w:val="32"/>
          <w:lang w:val="en-US" w:eastAsia="zh-CN"/>
        </w:rPr>
        <w:t>四、商务响应偏离表</w:t>
      </w:r>
      <w:bookmarkEnd w:id="321"/>
      <w:bookmarkEnd w:id="322"/>
      <w:bookmarkEnd w:id="323"/>
    </w:p>
    <w:bookmarkEnd w:id="314"/>
    <w:tbl>
      <w:tblPr>
        <w:tblStyle w:val="35"/>
        <w:tblW w:w="8259" w:type="dxa"/>
        <w:tblInd w:w="5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2966"/>
        <w:gridCol w:w="2670"/>
        <w:gridCol w:w="1586"/>
      </w:tblGrid>
      <w:tr w14:paraId="303C6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037" w:type="dxa"/>
            <w:vAlign w:val="center"/>
          </w:tcPr>
          <w:p w14:paraId="0848169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序号</w:t>
            </w:r>
          </w:p>
        </w:tc>
        <w:tc>
          <w:tcPr>
            <w:tcW w:w="2966" w:type="dxa"/>
            <w:vAlign w:val="center"/>
          </w:tcPr>
          <w:p w14:paraId="409DD78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招标文件商务要求</w:t>
            </w:r>
          </w:p>
        </w:tc>
        <w:tc>
          <w:tcPr>
            <w:tcW w:w="2670" w:type="dxa"/>
            <w:vAlign w:val="center"/>
          </w:tcPr>
          <w:p w14:paraId="6AE1B17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投标文件商务条款</w:t>
            </w:r>
          </w:p>
        </w:tc>
        <w:tc>
          <w:tcPr>
            <w:tcW w:w="1586" w:type="dxa"/>
            <w:vAlign w:val="center"/>
          </w:tcPr>
          <w:p w14:paraId="0C5F672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响应/偏离</w:t>
            </w:r>
          </w:p>
        </w:tc>
      </w:tr>
      <w:tr w14:paraId="2A088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37" w:type="dxa"/>
            <w:vAlign w:val="center"/>
          </w:tcPr>
          <w:p w14:paraId="0E97A47C">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966" w:type="dxa"/>
            <w:vAlign w:val="center"/>
          </w:tcPr>
          <w:p w14:paraId="3635008B">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670" w:type="dxa"/>
            <w:vAlign w:val="center"/>
          </w:tcPr>
          <w:p w14:paraId="0CDF3C71">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1586" w:type="dxa"/>
            <w:vAlign w:val="center"/>
          </w:tcPr>
          <w:p w14:paraId="3FC67B60">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r>
      <w:tr w14:paraId="5174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37" w:type="dxa"/>
            <w:vAlign w:val="center"/>
          </w:tcPr>
          <w:p w14:paraId="282D939B">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966" w:type="dxa"/>
            <w:vAlign w:val="center"/>
          </w:tcPr>
          <w:p w14:paraId="321CB505">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670" w:type="dxa"/>
            <w:vAlign w:val="center"/>
          </w:tcPr>
          <w:p w14:paraId="4577E789">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1586" w:type="dxa"/>
            <w:vAlign w:val="center"/>
          </w:tcPr>
          <w:p w14:paraId="5CB3BBC4">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r>
      <w:tr w14:paraId="7570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37" w:type="dxa"/>
            <w:vAlign w:val="center"/>
          </w:tcPr>
          <w:p w14:paraId="6C0F38D5">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966" w:type="dxa"/>
            <w:vAlign w:val="center"/>
          </w:tcPr>
          <w:p w14:paraId="6B142691">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670" w:type="dxa"/>
            <w:vAlign w:val="center"/>
          </w:tcPr>
          <w:p w14:paraId="2B340EB1">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1586" w:type="dxa"/>
            <w:vAlign w:val="center"/>
          </w:tcPr>
          <w:p w14:paraId="4C654DFC">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r>
      <w:tr w14:paraId="6DD2D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37" w:type="dxa"/>
            <w:vAlign w:val="center"/>
          </w:tcPr>
          <w:p w14:paraId="6EDA2638">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966" w:type="dxa"/>
            <w:vAlign w:val="center"/>
          </w:tcPr>
          <w:p w14:paraId="491E87EA">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670" w:type="dxa"/>
            <w:vAlign w:val="center"/>
          </w:tcPr>
          <w:p w14:paraId="7BFF3F26">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1586" w:type="dxa"/>
            <w:vAlign w:val="center"/>
          </w:tcPr>
          <w:p w14:paraId="6B5B80BA">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r>
      <w:tr w14:paraId="78F8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37" w:type="dxa"/>
            <w:vAlign w:val="center"/>
          </w:tcPr>
          <w:p w14:paraId="3EFD01EE">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966" w:type="dxa"/>
            <w:vAlign w:val="center"/>
          </w:tcPr>
          <w:p w14:paraId="13708581">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670" w:type="dxa"/>
            <w:vAlign w:val="center"/>
          </w:tcPr>
          <w:p w14:paraId="39E32D63">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1586" w:type="dxa"/>
            <w:vAlign w:val="center"/>
          </w:tcPr>
          <w:p w14:paraId="29261CEB">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r>
      <w:tr w14:paraId="57D3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37" w:type="dxa"/>
            <w:vAlign w:val="center"/>
          </w:tcPr>
          <w:p w14:paraId="44264EBB">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966" w:type="dxa"/>
            <w:vAlign w:val="center"/>
          </w:tcPr>
          <w:p w14:paraId="69992A2F">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670" w:type="dxa"/>
            <w:vAlign w:val="center"/>
          </w:tcPr>
          <w:p w14:paraId="035D29B6">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1586" w:type="dxa"/>
            <w:vAlign w:val="center"/>
          </w:tcPr>
          <w:p w14:paraId="7C048352">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r>
      <w:tr w14:paraId="3E15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37" w:type="dxa"/>
            <w:vAlign w:val="center"/>
          </w:tcPr>
          <w:p w14:paraId="3D7B0EFB">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966" w:type="dxa"/>
            <w:vAlign w:val="center"/>
          </w:tcPr>
          <w:p w14:paraId="0FFE3A5C">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670" w:type="dxa"/>
            <w:vAlign w:val="center"/>
          </w:tcPr>
          <w:p w14:paraId="2C4DF8AC">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1586" w:type="dxa"/>
            <w:vAlign w:val="center"/>
          </w:tcPr>
          <w:p w14:paraId="10D8F695">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r>
      <w:tr w14:paraId="2A5A4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37" w:type="dxa"/>
            <w:vAlign w:val="center"/>
          </w:tcPr>
          <w:p w14:paraId="6104BEBB">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966" w:type="dxa"/>
            <w:vAlign w:val="center"/>
          </w:tcPr>
          <w:p w14:paraId="1BDCA5F1">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670" w:type="dxa"/>
            <w:vAlign w:val="center"/>
          </w:tcPr>
          <w:p w14:paraId="4F04BF73">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1586" w:type="dxa"/>
            <w:vAlign w:val="center"/>
          </w:tcPr>
          <w:p w14:paraId="79A2DB6C">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r>
      <w:tr w14:paraId="063C1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37" w:type="dxa"/>
            <w:vAlign w:val="center"/>
          </w:tcPr>
          <w:p w14:paraId="4B99AFA4">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966" w:type="dxa"/>
            <w:vAlign w:val="center"/>
          </w:tcPr>
          <w:p w14:paraId="75BF7CBB">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670" w:type="dxa"/>
            <w:vAlign w:val="center"/>
          </w:tcPr>
          <w:p w14:paraId="48FF20D8">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1586" w:type="dxa"/>
            <w:vAlign w:val="center"/>
          </w:tcPr>
          <w:p w14:paraId="7923E366">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r>
      <w:tr w14:paraId="12E31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037" w:type="dxa"/>
            <w:vAlign w:val="center"/>
          </w:tcPr>
          <w:p w14:paraId="6F444BD3">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966" w:type="dxa"/>
            <w:vAlign w:val="center"/>
          </w:tcPr>
          <w:p w14:paraId="33B4FD22">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2670" w:type="dxa"/>
            <w:vAlign w:val="center"/>
          </w:tcPr>
          <w:p w14:paraId="41961B10">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c>
          <w:tcPr>
            <w:tcW w:w="1586" w:type="dxa"/>
            <w:vAlign w:val="center"/>
          </w:tcPr>
          <w:p w14:paraId="33BFFFCA">
            <w:pPr>
              <w:keepNext w:val="0"/>
              <w:keepLines w:val="0"/>
              <w:widowControl/>
              <w:suppressLineNumbers w:val="0"/>
              <w:spacing w:before="0" w:beforeAutospacing="0" w:after="0" w:afterAutospacing="0" w:line="360" w:lineRule="auto"/>
              <w:ind w:left="0" w:right="0"/>
              <w:rPr>
                <w:rFonts w:hint="eastAsia" w:ascii="宋体" w:hAnsi="宋体" w:eastAsia="宋体" w:cs="宋体"/>
                <w:sz w:val="24"/>
                <w:szCs w:val="24"/>
              </w:rPr>
            </w:pPr>
          </w:p>
        </w:tc>
      </w:tr>
    </w:tbl>
    <w:p w14:paraId="32418610">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注：</w:t>
      </w:r>
      <w:r>
        <w:rPr>
          <w:rFonts w:hint="eastAsia" w:ascii="宋体" w:hAnsi="宋体" w:eastAsia="宋体" w:cs="宋体"/>
          <w:b/>
          <w:bCs/>
          <w:sz w:val="24"/>
          <w:szCs w:val="24"/>
          <w:lang w:val="en-US" w:eastAsia="zh-CN"/>
        </w:rPr>
        <w:t>1、</w:t>
      </w:r>
      <w:r>
        <w:rPr>
          <w:rFonts w:hint="eastAsia" w:ascii="宋体" w:hAnsi="宋体" w:eastAsia="宋体" w:cs="宋体"/>
          <w:b/>
          <w:bCs/>
          <w:sz w:val="24"/>
          <w:szCs w:val="24"/>
        </w:rPr>
        <w:t>投标人可根据实际情况自行扩展表格细项。</w:t>
      </w:r>
    </w:p>
    <w:p w14:paraId="36A47A15">
      <w:pPr>
        <w:pStyle w:val="20"/>
        <w:rPr>
          <w:rFonts w:hint="eastAsia" w:ascii="宋体" w:hAnsi="宋体" w:eastAsia="宋体" w:cs="宋体"/>
        </w:rPr>
      </w:pPr>
    </w:p>
    <w:p w14:paraId="7E6F3D4E">
      <w:pPr>
        <w:pStyle w:val="20"/>
        <w:rPr>
          <w:rFonts w:hint="eastAsia" w:ascii="宋体" w:hAnsi="宋体" w:eastAsia="宋体" w:cs="宋体"/>
        </w:rPr>
      </w:pPr>
    </w:p>
    <w:p w14:paraId="4B300D0E">
      <w:pPr>
        <w:pStyle w:val="20"/>
        <w:rPr>
          <w:rFonts w:hint="eastAsia" w:ascii="宋体" w:hAnsi="宋体" w:eastAsia="宋体" w:cs="宋体"/>
        </w:rPr>
      </w:pPr>
    </w:p>
    <w:p w14:paraId="0B562782">
      <w:pPr>
        <w:adjustRightInd w:val="0"/>
        <w:snapToGrid w:val="0"/>
        <w:spacing w:line="480" w:lineRule="auto"/>
        <w:jc w:val="left"/>
        <w:rPr>
          <w:rFonts w:hint="eastAsia" w:ascii="宋体" w:hAnsi="宋体" w:eastAsia="宋体" w:cs="宋体"/>
          <w:sz w:val="24"/>
          <w:szCs w:val="24"/>
          <w:u w:val="single"/>
        </w:rPr>
      </w:pPr>
      <w:r>
        <w:rPr>
          <w:rFonts w:hint="eastAsia" w:ascii="宋体" w:hAnsi="宋体" w:eastAsia="宋体" w:cs="宋体"/>
          <w:sz w:val="24"/>
          <w:szCs w:val="24"/>
        </w:rPr>
        <w:t>供应商（单位名称及公章）：____________________________</w:t>
      </w:r>
    </w:p>
    <w:p w14:paraId="0F7D29F0">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被授权人（签字）：____________________________</w:t>
      </w:r>
    </w:p>
    <w:p w14:paraId="1F3AD279">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日    期：_______年_______月_______日</w:t>
      </w:r>
    </w:p>
    <w:p w14:paraId="3437DD82">
      <w:pPr>
        <w:pStyle w:val="20"/>
        <w:rPr>
          <w:rFonts w:hint="eastAsia" w:ascii="宋体" w:hAnsi="宋体" w:eastAsia="宋体" w:cs="宋体"/>
        </w:rPr>
      </w:pPr>
    </w:p>
    <w:p w14:paraId="77AB1FC7">
      <w:pPr>
        <w:pStyle w:val="15"/>
        <w:spacing w:line="500" w:lineRule="exact"/>
        <w:jc w:val="left"/>
        <w:rPr>
          <w:rFonts w:hint="eastAsia" w:ascii="宋体" w:hAnsi="宋体" w:eastAsia="宋体" w:cs="宋体"/>
          <w:b/>
          <w:bCs/>
          <w:kern w:val="2"/>
          <w:sz w:val="32"/>
          <w:szCs w:val="32"/>
          <w:lang w:val="en-US" w:eastAsia="zh-CN" w:bidi="ar-SA"/>
        </w:rPr>
        <w:sectPr>
          <w:footerReference r:id="rId10" w:type="default"/>
          <w:pgSz w:w="11906" w:h="16838"/>
          <w:pgMar w:top="1247"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89" w:charSpace="0"/>
        </w:sectPr>
      </w:pPr>
      <w:bookmarkStart w:id="324" w:name="_Toc536429338"/>
      <w:bookmarkStart w:id="325" w:name="_Toc536429391"/>
      <w:bookmarkStart w:id="326" w:name="_Toc536202329"/>
      <w:bookmarkStart w:id="327" w:name="_Toc536202398"/>
      <w:bookmarkStart w:id="328" w:name="_Toc5895"/>
    </w:p>
    <w:bookmarkEnd w:id="324"/>
    <w:bookmarkEnd w:id="325"/>
    <w:bookmarkEnd w:id="326"/>
    <w:bookmarkEnd w:id="327"/>
    <w:bookmarkEnd w:id="328"/>
    <w:p w14:paraId="6B2B592B">
      <w:pPr>
        <w:bidi w:val="0"/>
        <w:jc w:val="center"/>
        <w:rPr>
          <w:rFonts w:hint="eastAsia" w:ascii="宋体" w:hAnsi="宋体" w:eastAsia="宋体" w:cs="宋体"/>
          <w:b/>
          <w:bCs/>
          <w:kern w:val="2"/>
          <w:sz w:val="32"/>
          <w:szCs w:val="32"/>
          <w:lang w:val="en-US" w:eastAsia="zh-CN" w:bidi="ar-SA"/>
        </w:rPr>
      </w:pPr>
      <w:bookmarkStart w:id="329" w:name="_Toc9172"/>
      <w:bookmarkStart w:id="330" w:name="_Toc228"/>
      <w:bookmarkStart w:id="331" w:name="_Toc536429339"/>
      <w:bookmarkStart w:id="332" w:name="_Toc536429392"/>
      <w:bookmarkStart w:id="333" w:name="_Toc536202330"/>
      <w:bookmarkStart w:id="334" w:name="_Toc14937"/>
      <w:bookmarkStart w:id="335" w:name="_Toc19543359"/>
      <w:bookmarkStart w:id="336" w:name="_Toc6102"/>
      <w:bookmarkStart w:id="337" w:name="_Toc536202399"/>
      <w:bookmarkStart w:id="338" w:name="_Toc28798"/>
      <w:r>
        <w:rPr>
          <w:rFonts w:hint="eastAsia" w:ascii="宋体" w:hAnsi="宋体" w:eastAsia="宋体" w:cs="宋体"/>
          <w:b/>
          <w:bCs/>
          <w:kern w:val="2"/>
          <w:sz w:val="32"/>
          <w:szCs w:val="32"/>
          <w:lang w:val="en-US" w:eastAsia="zh-CN" w:bidi="ar-SA"/>
        </w:rPr>
        <w:t>五、</w:t>
      </w:r>
      <w:bookmarkEnd w:id="329"/>
      <w:r>
        <w:rPr>
          <w:rFonts w:hint="eastAsia" w:ascii="宋体" w:hAnsi="宋体" w:eastAsia="宋体" w:cs="宋体"/>
          <w:b/>
          <w:bCs/>
          <w:kern w:val="2"/>
          <w:sz w:val="32"/>
          <w:szCs w:val="32"/>
          <w:lang w:val="en-US" w:eastAsia="zh-CN" w:bidi="ar-SA"/>
        </w:rPr>
        <w:t>技术服务方案</w:t>
      </w:r>
      <w:bookmarkEnd w:id="330"/>
      <w:bookmarkEnd w:id="331"/>
      <w:bookmarkEnd w:id="332"/>
      <w:bookmarkEnd w:id="333"/>
      <w:bookmarkEnd w:id="334"/>
      <w:bookmarkEnd w:id="335"/>
      <w:bookmarkEnd w:id="336"/>
      <w:bookmarkEnd w:id="337"/>
      <w:bookmarkEnd w:id="338"/>
    </w:p>
    <w:p w14:paraId="2A09A1F8">
      <w:pPr>
        <w:spacing w:line="360" w:lineRule="auto"/>
        <w:ind w:firstLine="482" w:firstLineChars="200"/>
        <w:rPr>
          <w:rFonts w:hint="eastAsia" w:ascii="宋体" w:hAnsi="宋体" w:eastAsia="宋体" w:cs="宋体"/>
          <w:b/>
          <w:bCs/>
          <w:sz w:val="28"/>
          <w:szCs w:val="24"/>
        </w:rPr>
      </w:pPr>
      <w:r>
        <w:rPr>
          <w:rFonts w:hint="eastAsia" w:ascii="宋体" w:hAnsi="宋体" w:eastAsia="宋体" w:cs="宋体"/>
          <w:b/>
          <w:bCs/>
          <w:sz w:val="24"/>
          <w:szCs w:val="24"/>
        </w:rPr>
        <w:t>按照招标文件的要求编制的</w:t>
      </w:r>
      <w:r>
        <w:rPr>
          <w:rFonts w:hint="eastAsia" w:ascii="宋体" w:hAnsi="宋体" w:eastAsia="宋体" w:cs="宋体"/>
          <w:b/>
          <w:bCs/>
          <w:sz w:val="24"/>
          <w:szCs w:val="24"/>
          <w:lang w:val="en-US" w:eastAsia="zh-CN"/>
        </w:rPr>
        <w:t>技术服务</w:t>
      </w:r>
      <w:r>
        <w:rPr>
          <w:rFonts w:hint="eastAsia" w:ascii="宋体" w:hAnsi="宋体" w:eastAsia="宋体" w:cs="宋体"/>
          <w:b/>
          <w:bCs/>
          <w:sz w:val="24"/>
          <w:szCs w:val="24"/>
        </w:rPr>
        <w:t>方案说明书，</w:t>
      </w:r>
      <w:r>
        <w:rPr>
          <w:rFonts w:hint="eastAsia" w:ascii="宋体" w:hAnsi="宋体" w:eastAsia="宋体" w:cs="宋体"/>
          <w:b/>
          <w:bCs/>
          <w:sz w:val="24"/>
          <w:szCs w:val="24"/>
          <w:lang w:val="en-US" w:eastAsia="zh-CN"/>
        </w:rPr>
        <w:t>技术服务</w:t>
      </w:r>
      <w:r>
        <w:rPr>
          <w:rFonts w:hint="eastAsia" w:ascii="宋体" w:hAnsi="宋体" w:eastAsia="宋体" w:cs="宋体"/>
          <w:b/>
          <w:bCs/>
          <w:sz w:val="24"/>
          <w:szCs w:val="24"/>
        </w:rPr>
        <w:t>方案由供应商自行编写，无具体格式，包含但不限于以下内容：</w:t>
      </w:r>
    </w:p>
    <w:p w14:paraId="762E7C0C">
      <w:pPr>
        <w:pStyle w:val="12"/>
        <w:spacing w:line="480" w:lineRule="exact"/>
        <w:rPr>
          <w:rFonts w:hint="eastAsia" w:ascii="宋体" w:hAnsi="宋体" w:eastAsia="宋体" w:cs="宋体"/>
          <w:sz w:val="24"/>
          <w:szCs w:val="24"/>
        </w:rPr>
      </w:pPr>
      <w:r>
        <w:rPr>
          <w:rFonts w:hint="eastAsia" w:ascii="宋体" w:hAnsi="宋体" w:eastAsia="宋体" w:cs="宋体"/>
          <w:bCs w:val="0"/>
          <w:sz w:val="24"/>
          <w:szCs w:val="24"/>
        </w:rPr>
        <w:t>1、</w:t>
      </w:r>
      <w:r>
        <w:rPr>
          <w:rFonts w:hint="eastAsia" w:ascii="宋体" w:hAnsi="宋体" w:eastAsia="宋体" w:cs="宋体"/>
          <w:sz w:val="24"/>
          <w:szCs w:val="24"/>
        </w:rPr>
        <w:t>技术部分：</w:t>
      </w:r>
    </w:p>
    <w:p w14:paraId="5F50F1E4">
      <w:pPr>
        <w:pageBreakBefore w:val="0"/>
        <w:kinsoku/>
        <w:wordWrap/>
        <w:overflowPunct/>
        <w:topLinePunct w:val="0"/>
        <w:bidi w:val="0"/>
        <w:snapToGrid/>
        <w:spacing w:line="480" w:lineRule="exact"/>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项目总体规划目标</w:t>
      </w:r>
    </w:p>
    <w:p w14:paraId="44F9FF38">
      <w:pPr>
        <w:pageBreakBefore w:val="0"/>
        <w:kinsoku/>
        <w:wordWrap/>
        <w:overflowPunct/>
        <w:topLinePunct w:val="0"/>
        <w:bidi w:val="0"/>
        <w:snapToGri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（2）实施方案</w:t>
      </w:r>
    </w:p>
    <w:p w14:paraId="7A488498">
      <w:pPr>
        <w:pageBreakBefore w:val="0"/>
        <w:kinsoku/>
        <w:wordWrap/>
        <w:overflowPunct/>
        <w:topLinePunct w:val="0"/>
        <w:bidi w:val="0"/>
        <w:snapToGri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（3）进度计划及保证措施</w:t>
      </w:r>
    </w:p>
    <w:p w14:paraId="66DD2645">
      <w:pPr>
        <w:pageBreakBefore w:val="0"/>
        <w:kinsoku/>
        <w:wordWrap/>
        <w:overflowPunct/>
        <w:topLinePunct w:val="0"/>
        <w:bidi w:val="0"/>
        <w:snapToGri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商务部分：</w:t>
      </w:r>
    </w:p>
    <w:p w14:paraId="743DE5F3">
      <w:pPr>
        <w:pageBreakBefore w:val="0"/>
        <w:kinsoku/>
        <w:wordWrap/>
        <w:overflowPunct/>
        <w:topLinePunct w:val="0"/>
        <w:bidi w:val="0"/>
        <w:snapToGri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（1）类似项目业绩；</w:t>
      </w:r>
    </w:p>
    <w:p w14:paraId="42B4BD98">
      <w:pPr>
        <w:pageBreakBefore w:val="0"/>
        <w:kinsoku/>
        <w:wordWrap/>
        <w:overflowPunct/>
        <w:topLinePunct w:val="0"/>
        <w:bidi w:val="0"/>
        <w:snapToGri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（2）企业实力；</w:t>
      </w:r>
    </w:p>
    <w:p w14:paraId="53452BBB">
      <w:pPr>
        <w:pageBreakBefore w:val="0"/>
        <w:kinsoku/>
        <w:wordWrap/>
        <w:overflowPunct/>
        <w:topLinePunct w:val="0"/>
        <w:bidi w:val="0"/>
        <w:snapToGri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（3）人员配备；</w:t>
      </w:r>
    </w:p>
    <w:p w14:paraId="1698708F">
      <w:pPr>
        <w:pageBreakBefore w:val="0"/>
        <w:kinsoku/>
        <w:wordWrap/>
        <w:overflowPunct/>
        <w:topLinePunct w:val="0"/>
        <w:bidi w:val="0"/>
        <w:snapToGri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（4）服务承诺和建议；</w:t>
      </w:r>
    </w:p>
    <w:p w14:paraId="1811AD92">
      <w:pPr>
        <w:pageBreakBefore w:val="0"/>
        <w:kinsoku/>
        <w:wordWrap/>
        <w:overflowPunct/>
        <w:topLinePunct w:val="0"/>
        <w:bidi w:val="0"/>
        <w:snapToGrid/>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（5）供应商认为有必要提供的其他证明材料及情况说明；</w:t>
      </w:r>
    </w:p>
    <w:p w14:paraId="71F2ADB1">
      <w:pPr>
        <w:pageBreakBefore w:val="0"/>
        <w:kinsoku/>
        <w:wordWrap/>
        <w:overflowPunct/>
        <w:topLinePunct w:val="0"/>
        <w:bidi w:val="0"/>
        <w:snapToGrid/>
        <w:spacing w:line="480" w:lineRule="exact"/>
        <w:ind w:firstLine="480" w:firstLineChars="200"/>
        <w:rPr>
          <w:rFonts w:hint="eastAsia" w:ascii="宋体" w:hAnsi="宋体" w:eastAsia="宋体" w:cs="宋体"/>
          <w:sz w:val="24"/>
          <w:szCs w:val="24"/>
        </w:rPr>
      </w:pPr>
    </w:p>
    <w:p w14:paraId="1B26CD3D">
      <w:pPr>
        <w:pageBreakBefore w:val="0"/>
        <w:kinsoku/>
        <w:wordWrap/>
        <w:overflowPunct/>
        <w:topLinePunct w:val="0"/>
        <w:bidi w:val="0"/>
        <w:snapToGrid/>
        <w:spacing w:line="480" w:lineRule="exact"/>
        <w:rPr>
          <w:rFonts w:hint="eastAsia" w:ascii="宋体" w:hAnsi="宋体" w:eastAsia="宋体" w:cs="宋体"/>
          <w:sz w:val="24"/>
          <w:szCs w:val="24"/>
        </w:rPr>
      </w:pPr>
    </w:p>
    <w:p w14:paraId="201A8B51">
      <w:pPr>
        <w:spacing w:line="360" w:lineRule="auto"/>
        <w:ind w:firstLine="560" w:firstLineChars="200"/>
        <w:rPr>
          <w:rFonts w:hint="eastAsia" w:ascii="宋体" w:hAnsi="宋体" w:eastAsia="宋体" w:cs="宋体"/>
          <w:lang w:eastAsia="zh-CN"/>
        </w:rPr>
      </w:pPr>
    </w:p>
    <w:p w14:paraId="29468E50">
      <w:pPr>
        <w:rPr>
          <w:rFonts w:hint="eastAsia" w:ascii="宋体" w:hAnsi="宋体" w:eastAsia="宋体" w:cs="宋体"/>
          <w:b/>
          <w:bCs/>
          <w:sz w:val="32"/>
          <w:szCs w:val="32"/>
        </w:rPr>
      </w:pPr>
      <w:bookmarkStart w:id="339" w:name="_Toc19543360"/>
      <w:r>
        <w:rPr>
          <w:rFonts w:hint="eastAsia" w:ascii="宋体" w:hAnsi="宋体" w:eastAsia="宋体" w:cs="宋体"/>
          <w:b/>
          <w:bCs/>
          <w:sz w:val="32"/>
          <w:szCs w:val="32"/>
        </w:rPr>
        <w:br w:type="page"/>
      </w:r>
    </w:p>
    <w:p w14:paraId="5ACD6E92">
      <w:pPr>
        <w:autoSpaceDE w:val="0"/>
        <w:autoSpaceDN w:val="0"/>
        <w:adjustRightInd w:val="0"/>
        <w:spacing w:line="360" w:lineRule="exact"/>
        <w:jc w:val="center"/>
        <w:textAlignment w:val="baseline"/>
        <w:rPr>
          <w:rFonts w:hint="eastAsia" w:ascii="宋体" w:hAnsi="宋体" w:eastAsia="宋体" w:cs="宋体"/>
          <w:b/>
          <w:bCs/>
          <w:kern w:val="20"/>
          <w:sz w:val="24"/>
          <w:szCs w:val="24"/>
        </w:rPr>
      </w:pPr>
      <w:bookmarkStart w:id="340" w:name="_Toc4115"/>
      <w:bookmarkStart w:id="341" w:name="_Toc2768"/>
      <w:bookmarkStart w:id="342" w:name="_Toc426457710"/>
      <w:bookmarkStart w:id="343" w:name="_Toc17592"/>
      <w:bookmarkStart w:id="344" w:name="_Toc403077652"/>
      <w:bookmarkStart w:id="345" w:name="_Toc396304714"/>
      <w:bookmarkStart w:id="346" w:name="_Toc14631"/>
    </w:p>
    <w:p w14:paraId="226772E0">
      <w:pPr>
        <w:autoSpaceDE w:val="0"/>
        <w:autoSpaceDN w:val="0"/>
        <w:adjustRightInd w:val="0"/>
        <w:spacing w:line="360" w:lineRule="exact"/>
        <w:jc w:val="center"/>
        <w:textAlignment w:val="baseline"/>
        <w:rPr>
          <w:rFonts w:hint="eastAsia" w:ascii="宋体" w:hAnsi="宋体" w:eastAsia="宋体" w:cs="宋体"/>
          <w:b/>
          <w:bCs/>
          <w:kern w:val="20"/>
          <w:sz w:val="24"/>
          <w:szCs w:val="24"/>
        </w:rPr>
      </w:pPr>
      <w:r>
        <w:rPr>
          <w:rFonts w:hint="eastAsia" w:ascii="宋体" w:hAnsi="宋体" w:eastAsia="宋体" w:cs="宋体"/>
          <w:b/>
          <w:bCs/>
          <w:kern w:val="20"/>
          <w:sz w:val="24"/>
          <w:szCs w:val="24"/>
        </w:rPr>
        <w:t>本项目拟投入人员汇总表</w:t>
      </w:r>
      <w:bookmarkEnd w:id="340"/>
      <w:bookmarkEnd w:id="341"/>
      <w:bookmarkEnd w:id="342"/>
      <w:bookmarkEnd w:id="343"/>
      <w:bookmarkEnd w:id="344"/>
      <w:bookmarkEnd w:id="345"/>
      <w:bookmarkEnd w:id="346"/>
    </w:p>
    <w:p w14:paraId="5E595D40">
      <w:pPr>
        <w:autoSpaceDE w:val="0"/>
        <w:autoSpaceDN w:val="0"/>
        <w:adjustRightInd w:val="0"/>
        <w:spacing w:line="360" w:lineRule="exact"/>
        <w:textAlignment w:val="baseline"/>
        <w:rPr>
          <w:rFonts w:hint="eastAsia" w:ascii="宋体" w:hAnsi="宋体" w:eastAsia="宋体" w:cs="宋体"/>
          <w:b/>
          <w:bCs/>
          <w:kern w:val="20"/>
          <w:sz w:val="24"/>
          <w:szCs w:val="24"/>
        </w:rPr>
      </w:pPr>
    </w:p>
    <w:tbl>
      <w:tblPr>
        <w:tblStyle w:val="35"/>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1"/>
        <w:gridCol w:w="1762"/>
        <w:gridCol w:w="809"/>
        <w:gridCol w:w="809"/>
        <w:gridCol w:w="809"/>
        <w:gridCol w:w="1062"/>
        <w:gridCol w:w="2667"/>
        <w:gridCol w:w="966"/>
      </w:tblGrid>
      <w:tr w14:paraId="50DA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blHeader/>
        </w:trPr>
        <w:tc>
          <w:tcPr>
            <w:tcW w:w="791" w:type="dxa"/>
            <w:tcMar>
              <w:top w:w="15" w:type="dxa"/>
              <w:left w:w="15" w:type="dxa"/>
              <w:bottom w:w="0" w:type="dxa"/>
              <w:right w:w="15" w:type="dxa"/>
            </w:tcMar>
            <w:vAlign w:val="center"/>
          </w:tcPr>
          <w:p w14:paraId="0F42613C">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1762" w:type="dxa"/>
            <w:tcMar>
              <w:top w:w="15" w:type="dxa"/>
              <w:left w:w="15" w:type="dxa"/>
              <w:bottom w:w="0" w:type="dxa"/>
              <w:right w:w="15" w:type="dxa"/>
            </w:tcMar>
            <w:vAlign w:val="center"/>
          </w:tcPr>
          <w:p w14:paraId="5DD8E321">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kern w:val="0"/>
                <w:sz w:val="24"/>
              </w:rPr>
            </w:pPr>
            <w:r>
              <w:rPr>
                <w:rFonts w:hint="eastAsia" w:ascii="宋体" w:hAnsi="宋体" w:eastAsia="宋体" w:cs="宋体"/>
                <w:b/>
                <w:kern w:val="0"/>
                <w:sz w:val="24"/>
              </w:rPr>
              <w:t>姓  名</w:t>
            </w:r>
          </w:p>
        </w:tc>
        <w:tc>
          <w:tcPr>
            <w:tcW w:w="809" w:type="dxa"/>
            <w:tcMar>
              <w:top w:w="15" w:type="dxa"/>
              <w:left w:w="15" w:type="dxa"/>
              <w:bottom w:w="0" w:type="dxa"/>
              <w:right w:w="15" w:type="dxa"/>
            </w:tcMar>
            <w:vAlign w:val="center"/>
          </w:tcPr>
          <w:p w14:paraId="159076BE">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kern w:val="0"/>
                <w:sz w:val="24"/>
              </w:rPr>
            </w:pPr>
            <w:r>
              <w:rPr>
                <w:rFonts w:hint="eastAsia" w:ascii="宋体" w:hAnsi="宋体" w:eastAsia="宋体" w:cs="宋体"/>
                <w:b/>
                <w:kern w:val="0"/>
                <w:sz w:val="24"/>
              </w:rPr>
              <w:t>性别</w:t>
            </w:r>
          </w:p>
        </w:tc>
        <w:tc>
          <w:tcPr>
            <w:tcW w:w="809" w:type="dxa"/>
            <w:tcMar>
              <w:top w:w="15" w:type="dxa"/>
              <w:left w:w="15" w:type="dxa"/>
              <w:bottom w:w="0" w:type="dxa"/>
              <w:right w:w="15" w:type="dxa"/>
            </w:tcMar>
            <w:vAlign w:val="center"/>
          </w:tcPr>
          <w:p w14:paraId="690CA894">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kern w:val="0"/>
                <w:sz w:val="24"/>
              </w:rPr>
            </w:pPr>
            <w:r>
              <w:rPr>
                <w:rFonts w:hint="eastAsia" w:ascii="宋体" w:hAnsi="宋体" w:eastAsia="宋体" w:cs="宋体"/>
                <w:b/>
                <w:kern w:val="0"/>
                <w:sz w:val="24"/>
              </w:rPr>
              <w:t>年龄</w:t>
            </w:r>
          </w:p>
        </w:tc>
        <w:tc>
          <w:tcPr>
            <w:tcW w:w="809" w:type="dxa"/>
            <w:tcMar>
              <w:top w:w="15" w:type="dxa"/>
              <w:left w:w="15" w:type="dxa"/>
              <w:bottom w:w="0" w:type="dxa"/>
              <w:right w:w="15" w:type="dxa"/>
            </w:tcMar>
            <w:vAlign w:val="center"/>
          </w:tcPr>
          <w:p w14:paraId="6C2D5343">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kern w:val="0"/>
                <w:sz w:val="24"/>
              </w:rPr>
            </w:pPr>
            <w:r>
              <w:rPr>
                <w:rFonts w:hint="eastAsia" w:ascii="宋体" w:hAnsi="宋体" w:eastAsia="宋体" w:cs="宋体"/>
                <w:b/>
                <w:kern w:val="0"/>
                <w:sz w:val="24"/>
              </w:rPr>
              <w:t>学历</w:t>
            </w:r>
          </w:p>
        </w:tc>
        <w:tc>
          <w:tcPr>
            <w:tcW w:w="1062" w:type="dxa"/>
            <w:tcMar>
              <w:top w:w="15" w:type="dxa"/>
              <w:left w:w="15" w:type="dxa"/>
              <w:bottom w:w="0" w:type="dxa"/>
              <w:right w:w="15" w:type="dxa"/>
            </w:tcMar>
            <w:vAlign w:val="center"/>
          </w:tcPr>
          <w:p w14:paraId="4790B3E9">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kern w:val="0"/>
                <w:sz w:val="24"/>
              </w:rPr>
            </w:pPr>
            <w:r>
              <w:rPr>
                <w:rFonts w:hint="eastAsia" w:ascii="宋体" w:hAnsi="宋体" w:eastAsia="宋体" w:cs="宋体"/>
                <w:b/>
                <w:kern w:val="0"/>
                <w:sz w:val="24"/>
              </w:rPr>
              <w:t>工作</w:t>
            </w:r>
          </w:p>
          <w:p w14:paraId="1A575E49">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kern w:val="0"/>
                <w:sz w:val="24"/>
              </w:rPr>
            </w:pPr>
            <w:r>
              <w:rPr>
                <w:rFonts w:hint="eastAsia" w:ascii="宋体" w:hAnsi="宋体" w:eastAsia="宋体" w:cs="宋体"/>
                <w:b/>
                <w:kern w:val="0"/>
                <w:sz w:val="24"/>
              </w:rPr>
              <w:t>年限</w:t>
            </w:r>
          </w:p>
        </w:tc>
        <w:tc>
          <w:tcPr>
            <w:tcW w:w="2667" w:type="dxa"/>
            <w:tcMar>
              <w:top w:w="15" w:type="dxa"/>
              <w:left w:w="15" w:type="dxa"/>
              <w:bottom w:w="0" w:type="dxa"/>
              <w:right w:w="15" w:type="dxa"/>
            </w:tcMar>
            <w:vAlign w:val="center"/>
          </w:tcPr>
          <w:p w14:paraId="0BA83449">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kern w:val="0"/>
                <w:sz w:val="24"/>
              </w:rPr>
            </w:pPr>
            <w:r>
              <w:rPr>
                <w:rFonts w:hint="eastAsia" w:ascii="宋体" w:hAnsi="宋体" w:eastAsia="宋体" w:cs="宋体"/>
                <w:b/>
                <w:kern w:val="0"/>
                <w:sz w:val="24"/>
              </w:rPr>
              <w:t>拟担任的职务</w:t>
            </w:r>
          </w:p>
        </w:tc>
        <w:tc>
          <w:tcPr>
            <w:tcW w:w="966" w:type="dxa"/>
            <w:tcMar>
              <w:top w:w="15" w:type="dxa"/>
              <w:left w:w="15" w:type="dxa"/>
              <w:bottom w:w="0" w:type="dxa"/>
              <w:right w:w="15" w:type="dxa"/>
            </w:tcMar>
            <w:vAlign w:val="center"/>
          </w:tcPr>
          <w:p w14:paraId="0AE96A0A">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kern w:val="0"/>
                <w:sz w:val="24"/>
              </w:rPr>
            </w:pPr>
            <w:r>
              <w:rPr>
                <w:rFonts w:hint="eastAsia" w:ascii="宋体" w:hAnsi="宋体" w:eastAsia="宋体" w:cs="宋体"/>
                <w:b/>
                <w:kern w:val="0"/>
                <w:sz w:val="24"/>
              </w:rPr>
              <w:t>岗位</w:t>
            </w:r>
          </w:p>
          <w:p w14:paraId="1D7EAF28">
            <w:pPr>
              <w:keepNext w:val="0"/>
              <w:keepLines w:val="0"/>
              <w:widowControl/>
              <w:suppressLineNumbers w:val="0"/>
              <w:adjustRightInd w:val="0"/>
              <w:snapToGrid w:val="0"/>
              <w:spacing w:before="0" w:beforeAutospacing="0" w:after="0" w:afterAutospacing="0" w:line="400" w:lineRule="exact"/>
              <w:ind w:left="0" w:right="0"/>
              <w:jc w:val="center"/>
              <w:rPr>
                <w:rFonts w:hint="eastAsia" w:ascii="宋体" w:hAnsi="宋体" w:eastAsia="宋体" w:cs="宋体"/>
                <w:b/>
                <w:kern w:val="0"/>
                <w:sz w:val="24"/>
              </w:rPr>
            </w:pPr>
            <w:r>
              <w:rPr>
                <w:rFonts w:hint="eastAsia" w:ascii="宋体" w:hAnsi="宋体" w:eastAsia="宋体" w:cs="宋体"/>
                <w:b/>
                <w:kern w:val="0"/>
                <w:sz w:val="24"/>
              </w:rPr>
              <w:t>情况</w:t>
            </w:r>
          </w:p>
        </w:tc>
      </w:tr>
      <w:tr w14:paraId="2B03D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267FE91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0E1152E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CE6D8C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2F9A87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C5D9AE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731685DE">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2FE0608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54E8E1D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6828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25A0591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C55C79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747FF97">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F0ECA58">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019637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E7737F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006B3DD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2514846E">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0F40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290B0EC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6A929C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01FA67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F36CAA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9B6E1C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614C67C5">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202AB88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037BF8D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312A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7F3A1C84">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6D67A83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3DCA98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145E7C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C137AE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2D38745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2C8933F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0F347BF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1682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4935B14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603BCD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5F038F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F21E19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6CE6AE4">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59ACD8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68C07B1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0FF53347">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018B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7746673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04127C7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6893585">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9C67D5E">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8EEE76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7573C7A5">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67D3F82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A68EAD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30BBF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027F71B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2603F0D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CBB5EB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B989A85">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135D0E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50A4CD7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1B460C68">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2FBEBA1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76B8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0F532AA5">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5ADAFBB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762824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8D9D54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7AAE48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B356B4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1A1E82E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501CD45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32D1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31A1606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67CB53A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453FFA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1C20E88">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6E5339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0FC8C4D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6E9E93C7">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7F02951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3D2F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581C729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26DB72B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F9D5EF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581EEA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BEE174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612D0EB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1A56BDD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5469A657">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3ABD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4A234A7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52B9897E">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50F6F7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2F62AA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FC0B18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1B29055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7D7953C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4D86AD8">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1B2C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3E36B80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2982CAF4">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E08A887">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D60472E">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232A2D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6403F084">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004E53A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28F3C78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6A11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44CD2F34">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217362D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145FAD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DE3AA9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840569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3F9A7FB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5FDF59E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360CC88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61151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28BE729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201A4D35">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7CF7BC4">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3571F2B">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C56355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07FA6A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153F22B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7BE3D04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1EDDE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791" w:type="dxa"/>
            <w:tcMar>
              <w:top w:w="15" w:type="dxa"/>
              <w:left w:w="15" w:type="dxa"/>
              <w:bottom w:w="0" w:type="dxa"/>
              <w:right w:w="15" w:type="dxa"/>
            </w:tcMar>
            <w:vAlign w:val="bottom"/>
          </w:tcPr>
          <w:p w14:paraId="5570A01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137ACC7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4BC60179">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FDE9C36">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250BF261">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5FBE027A">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64DD651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4CF95B15">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5E34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trPr>
        <w:tc>
          <w:tcPr>
            <w:tcW w:w="791" w:type="dxa"/>
            <w:tcMar>
              <w:top w:w="15" w:type="dxa"/>
              <w:left w:w="15" w:type="dxa"/>
              <w:bottom w:w="0" w:type="dxa"/>
              <w:right w:w="15" w:type="dxa"/>
            </w:tcMar>
            <w:vAlign w:val="bottom"/>
          </w:tcPr>
          <w:p w14:paraId="650F959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72D59660">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59D423DE">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70251D48">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095A3D68">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40F835C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3BA74AF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14C95DE8">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r w14:paraId="30D2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trPr>
        <w:tc>
          <w:tcPr>
            <w:tcW w:w="791" w:type="dxa"/>
            <w:tcMar>
              <w:top w:w="15" w:type="dxa"/>
              <w:left w:w="15" w:type="dxa"/>
              <w:bottom w:w="0" w:type="dxa"/>
              <w:right w:w="15" w:type="dxa"/>
            </w:tcMar>
            <w:vAlign w:val="bottom"/>
          </w:tcPr>
          <w:p w14:paraId="4505CCFD">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762" w:type="dxa"/>
            <w:tcMar>
              <w:top w:w="15" w:type="dxa"/>
              <w:left w:w="15" w:type="dxa"/>
              <w:bottom w:w="0" w:type="dxa"/>
              <w:right w:w="15" w:type="dxa"/>
            </w:tcMar>
            <w:vAlign w:val="bottom"/>
          </w:tcPr>
          <w:p w14:paraId="4A2CE9AF">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6300D98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12D4CC1E">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809" w:type="dxa"/>
            <w:tcMar>
              <w:top w:w="15" w:type="dxa"/>
              <w:left w:w="15" w:type="dxa"/>
              <w:bottom w:w="0" w:type="dxa"/>
              <w:right w:w="15" w:type="dxa"/>
            </w:tcMar>
            <w:vAlign w:val="bottom"/>
          </w:tcPr>
          <w:p w14:paraId="35AB2927">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1062" w:type="dxa"/>
            <w:tcMar>
              <w:top w:w="15" w:type="dxa"/>
              <w:left w:w="15" w:type="dxa"/>
              <w:bottom w:w="0" w:type="dxa"/>
              <w:right w:w="15" w:type="dxa"/>
            </w:tcMar>
            <w:vAlign w:val="bottom"/>
          </w:tcPr>
          <w:p w14:paraId="16D56BDC">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2667" w:type="dxa"/>
            <w:tcMar>
              <w:top w:w="15" w:type="dxa"/>
              <w:left w:w="15" w:type="dxa"/>
              <w:bottom w:w="0" w:type="dxa"/>
              <w:right w:w="15" w:type="dxa"/>
            </w:tcMar>
            <w:vAlign w:val="bottom"/>
          </w:tcPr>
          <w:p w14:paraId="664C5463">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c>
          <w:tcPr>
            <w:tcW w:w="966" w:type="dxa"/>
            <w:tcMar>
              <w:top w:w="15" w:type="dxa"/>
              <w:left w:w="15" w:type="dxa"/>
              <w:bottom w:w="0" w:type="dxa"/>
              <w:right w:w="15" w:type="dxa"/>
            </w:tcMar>
            <w:vAlign w:val="bottom"/>
          </w:tcPr>
          <w:p w14:paraId="36175B02">
            <w:pPr>
              <w:keepNext w:val="0"/>
              <w:keepLines w:val="0"/>
              <w:widowControl/>
              <w:suppressLineNumbers w:val="0"/>
              <w:adjustRightInd w:val="0"/>
              <w:snapToGrid w:val="0"/>
              <w:spacing w:before="0" w:beforeAutospacing="0" w:after="0" w:afterAutospacing="0" w:line="400" w:lineRule="exact"/>
              <w:ind w:left="0" w:right="0" w:firstLine="480" w:firstLineChars="200"/>
              <w:rPr>
                <w:rFonts w:hint="eastAsia" w:ascii="宋体" w:hAnsi="宋体" w:eastAsia="宋体" w:cs="宋体"/>
                <w:kern w:val="0"/>
                <w:sz w:val="24"/>
              </w:rPr>
            </w:pPr>
          </w:p>
        </w:tc>
      </w:tr>
    </w:tbl>
    <w:p w14:paraId="67A1B703">
      <w:pPr>
        <w:rPr>
          <w:rFonts w:hint="eastAsia" w:ascii="宋体" w:hAnsi="宋体" w:eastAsia="宋体" w:cs="宋体"/>
          <w:szCs w:val="22"/>
        </w:rPr>
      </w:pPr>
    </w:p>
    <w:p w14:paraId="75BF9580">
      <w:pPr>
        <w:adjustRightInd w:val="0"/>
        <w:snapToGrid w:val="0"/>
        <w:spacing w:line="480" w:lineRule="auto"/>
        <w:jc w:val="left"/>
        <w:rPr>
          <w:rFonts w:hint="eastAsia" w:ascii="宋体" w:hAnsi="宋体" w:eastAsia="宋体" w:cs="宋体"/>
          <w:sz w:val="24"/>
          <w:szCs w:val="24"/>
          <w:u w:val="single"/>
        </w:rPr>
      </w:pPr>
      <w:bookmarkStart w:id="347" w:name="_Hlt491766019"/>
      <w:bookmarkEnd w:id="347"/>
      <w:bookmarkStart w:id="348" w:name="_Hlt491765868"/>
      <w:bookmarkEnd w:id="348"/>
      <w:bookmarkStart w:id="349" w:name="_Hlt491765944"/>
      <w:bookmarkEnd w:id="349"/>
      <w:bookmarkStart w:id="350" w:name="_Hlt491573425"/>
      <w:bookmarkEnd w:id="350"/>
      <w:bookmarkStart w:id="351" w:name="_Hlt491572882"/>
      <w:bookmarkEnd w:id="351"/>
      <w:r>
        <w:rPr>
          <w:rFonts w:hint="eastAsia" w:ascii="宋体" w:hAnsi="宋体" w:eastAsia="宋体" w:cs="宋体"/>
          <w:sz w:val="24"/>
          <w:szCs w:val="24"/>
        </w:rPr>
        <w:t>供应商（单位名称及公章）：____________________________</w:t>
      </w:r>
    </w:p>
    <w:p w14:paraId="65D06F82">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lang w:val="en-US" w:eastAsia="zh-CN"/>
        </w:rPr>
        <w:t>或</w:t>
      </w:r>
      <w:r>
        <w:rPr>
          <w:rFonts w:hint="eastAsia" w:ascii="宋体" w:hAnsi="宋体" w:eastAsia="宋体" w:cs="宋体"/>
          <w:sz w:val="24"/>
          <w:szCs w:val="24"/>
        </w:rPr>
        <w:t>被授权人（签字）：____________________________</w:t>
      </w:r>
    </w:p>
    <w:p w14:paraId="2B68E317">
      <w:pPr>
        <w:adjustRightInd w:val="0"/>
        <w:snapToGrid w:val="0"/>
        <w:spacing w:line="480" w:lineRule="auto"/>
        <w:rPr>
          <w:rFonts w:hint="eastAsia" w:ascii="宋体" w:hAnsi="宋体" w:eastAsia="宋体" w:cs="宋体"/>
          <w:sz w:val="24"/>
          <w:szCs w:val="24"/>
        </w:rPr>
      </w:pPr>
      <w:r>
        <w:rPr>
          <w:rFonts w:hint="eastAsia" w:ascii="宋体" w:hAnsi="宋体" w:eastAsia="宋体" w:cs="宋体"/>
          <w:sz w:val="24"/>
          <w:szCs w:val="24"/>
        </w:rPr>
        <w:t>日    期：_______年_______月_______日</w:t>
      </w:r>
    </w:p>
    <w:p w14:paraId="6FA4B437">
      <w:pPr>
        <w:rPr>
          <w:rFonts w:hint="eastAsia" w:ascii="宋体" w:hAnsi="宋体" w:eastAsia="宋体" w:cs="宋体"/>
          <w:sz w:val="24"/>
          <w:szCs w:val="24"/>
        </w:rPr>
      </w:pPr>
    </w:p>
    <w:p w14:paraId="7667E2D1">
      <w:pPr>
        <w:spacing w:line="360" w:lineRule="auto"/>
        <w:ind w:firstLine="420" w:firstLineChars="175"/>
        <w:rPr>
          <w:rFonts w:hint="eastAsia" w:ascii="宋体" w:hAnsi="宋体" w:eastAsia="宋体" w:cs="宋体"/>
          <w:sz w:val="24"/>
          <w:szCs w:val="24"/>
        </w:rPr>
        <w:sectPr>
          <w:pgSz w:w="11906" w:h="16838"/>
          <w:pgMar w:top="1247"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89" w:charSpace="0"/>
        </w:sectPr>
      </w:pPr>
    </w:p>
    <w:bookmarkEnd w:id="315"/>
    <w:bookmarkEnd w:id="339"/>
    <w:p w14:paraId="4F3D3E1B">
      <w:pPr>
        <w:bidi w:val="0"/>
        <w:jc w:val="center"/>
        <w:rPr>
          <w:rFonts w:hint="eastAsia" w:ascii="宋体" w:hAnsi="宋体" w:eastAsia="宋体" w:cs="宋体"/>
          <w:b/>
          <w:bCs/>
          <w:kern w:val="2"/>
          <w:sz w:val="32"/>
          <w:szCs w:val="32"/>
          <w:lang w:val="en-US" w:eastAsia="zh-CN" w:bidi="ar-SA"/>
        </w:rPr>
      </w:pPr>
      <w:bookmarkStart w:id="352" w:name="_Toc23316606"/>
      <w:bookmarkStart w:id="353" w:name="_Toc23316704"/>
      <w:bookmarkStart w:id="354" w:name="_Toc19683"/>
      <w:bookmarkStart w:id="355" w:name="_Toc23315693"/>
      <w:bookmarkStart w:id="356" w:name="_Toc20234"/>
      <w:bookmarkStart w:id="357" w:name="_Toc18076"/>
      <w:bookmarkStart w:id="358" w:name="_Toc1858"/>
      <w:bookmarkStart w:id="359" w:name="_Toc35335277"/>
      <w:bookmarkStart w:id="360" w:name="_Toc23316542"/>
      <w:r>
        <w:rPr>
          <w:rFonts w:hint="eastAsia" w:ascii="宋体" w:hAnsi="宋体" w:eastAsia="宋体" w:cs="宋体"/>
          <w:b/>
          <w:bCs/>
          <w:kern w:val="2"/>
          <w:sz w:val="32"/>
          <w:szCs w:val="32"/>
          <w:lang w:val="en-US" w:eastAsia="zh-CN" w:bidi="ar-SA"/>
        </w:rPr>
        <w:t>六、投标单位拒绝政府采购领域商业贿赂承诺书</w:t>
      </w:r>
      <w:bookmarkEnd w:id="352"/>
      <w:bookmarkEnd w:id="353"/>
      <w:bookmarkEnd w:id="354"/>
      <w:bookmarkEnd w:id="355"/>
      <w:bookmarkEnd w:id="356"/>
      <w:bookmarkEnd w:id="357"/>
      <w:bookmarkEnd w:id="358"/>
      <w:bookmarkEnd w:id="359"/>
      <w:bookmarkEnd w:id="360"/>
    </w:p>
    <w:p w14:paraId="771C95E8">
      <w:pPr>
        <w:spacing w:line="440" w:lineRule="exact"/>
        <w:ind w:firstLine="482" w:firstLineChars="200"/>
        <w:jc w:val="center"/>
        <w:rPr>
          <w:rFonts w:hint="eastAsia" w:ascii="宋体" w:hAnsi="宋体" w:eastAsia="宋体" w:cs="仿宋"/>
          <w:b/>
          <w:bCs w:val="0"/>
          <w:kern w:val="0"/>
          <w:sz w:val="24"/>
          <w:szCs w:val="28"/>
        </w:rPr>
      </w:pPr>
      <w:r>
        <w:rPr>
          <w:rFonts w:hint="eastAsia" w:ascii="宋体" w:hAnsi="宋体" w:eastAsia="宋体" w:cs="仿宋"/>
          <w:b/>
          <w:bCs w:val="0"/>
          <w:kern w:val="0"/>
          <w:sz w:val="24"/>
          <w:szCs w:val="28"/>
        </w:rPr>
        <w:t>政府采购供应商拒绝政府采购领域商业贿赂承诺书</w:t>
      </w:r>
    </w:p>
    <w:p w14:paraId="2C685E08">
      <w:pPr>
        <w:spacing w:line="240" w:lineRule="exact"/>
        <w:ind w:firstLine="420" w:firstLineChars="200"/>
        <w:jc w:val="left"/>
        <w:rPr>
          <w:rFonts w:ascii="宋体" w:hAnsi="宋体" w:eastAsia="宋体" w:cs="仿宋"/>
          <w:bCs/>
          <w:kern w:val="0"/>
          <w:sz w:val="21"/>
          <w:szCs w:val="21"/>
        </w:rPr>
      </w:pPr>
    </w:p>
    <w:p w14:paraId="719B4567">
      <w:pPr>
        <w:spacing w:line="440" w:lineRule="exact"/>
        <w:ind w:firstLine="480" w:firstLineChars="200"/>
        <w:rPr>
          <w:rFonts w:hint="eastAsia" w:ascii="宋体" w:hAnsi="宋体" w:eastAsia="宋体" w:cs="仿宋"/>
          <w:bCs/>
          <w:kern w:val="0"/>
          <w:sz w:val="24"/>
          <w:lang w:eastAsia="zh-CN"/>
        </w:rPr>
      </w:pPr>
      <w:r>
        <w:rPr>
          <w:rFonts w:hint="eastAsia" w:ascii="宋体" w:hAnsi="宋体" w:eastAsia="宋体" w:cs="仿宋"/>
          <w:bCs/>
          <w:kern w:val="0"/>
          <w:sz w:val="24"/>
        </w:rPr>
        <w:t xml:space="preserve">为响应党中央、国务院关于治理政府采购领域商业贿赂行为的号召，我单位在此庄严承诺： </w:t>
      </w:r>
    </w:p>
    <w:p w14:paraId="24CF2B11">
      <w:pPr>
        <w:spacing w:line="440" w:lineRule="exact"/>
        <w:ind w:firstLine="480" w:firstLineChars="200"/>
        <w:rPr>
          <w:rFonts w:hint="eastAsia" w:ascii="宋体" w:hAnsi="宋体" w:eastAsia="宋体" w:cs="仿宋"/>
          <w:bCs/>
          <w:kern w:val="0"/>
          <w:sz w:val="24"/>
          <w:lang w:eastAsia="zh-CN"/>
        </w:rPr>
      </w:pPr>
      <w:r>
        <w:rPr>
          <w:rFonts w:hint="eastAsia" w:ascii="宋体" w:hAnsi="宋体" w:eastAsia="宋体" w:cs="仿宋"/>
          <w:bCs/>
          <w:kern w:val="0"/>
          <w:sz w:val="24"/>
        </w:rPr>
        <w:t xml:space="preserve">1、在参与政府采购活动中遵纪守法、诚信经营、公平竞标。 </w:t>
      </w:r>
    </w:p>
    <w:p w14:paraId="71B03FAC">
      <w:pPr>
        <w:spacing w:line="440" w:lineRule="exact"/>
        <w:ind w:firstLine="480" w:firstLineChars="200"/>
        <w:rPr>
          <w:rFonts w:hint="eastAsia" w:ascii="宋体" w:hAnsi="宋体" w:eastAsia="宋体" w:cs="仿宋"/>
          <w:bCs/>
          <w:kern w:val="0"/>
          <w:sz w:val="24"/>
          <w:lang w:eastAsia="zh-CN"/>
        </w:rPr>
      </w:pPr>
      <w:r>
        <w:rPr>
          <w:rFonts w:hint="eastAsia" w:ascii="宋体" w:hAnsi="宋体" w:eastAsia="宋体" w:cs="仿宋"/>
          <w:bCs/>
          <w:kern w:val="0"/>
          <w:sz w:val="24"/>
        </w:rPr>
        <w:t xml:space="preserve">2、不向采购人、招标代理机构和政府采购评审专家进行任何形式的商业贿赂以谋取交易机会。 </w:t>
      </w:r>
    </w:p>
    <w:p w14:paraId="04843547">
      <w:pPr>
        <w:spacing w:line="440" w:lineRule="exact"/>
        <w:ind w:firstLine="480" w:firstLineChars="200"/>
        <w:rPr>
          <w:rFonts w:hint="eastAsia" w:ascii="宋体" w:hAnsi="宋体" w:eastAsia="宋体" w:cs="仿宋"/>
          <w:bCs/>
          <w:kern w:val="0"/>
          <w:sz w:val="24"/>
          <w:lang w:eastAsia="zh-CN"/>
        </w:rPr>
      </w:pPr>
      <w:r>
        <w:rPr>
          <w:rFonts w:hint="eastAsia" w:ascii="宋体" w:hAnsi="宋体" w:eastAsia="宋体" w:cs="仿宋"/>
          <w:bCs/>
          <w:kern w:val="0"/>
          <w:sz w:val="24"/>
        </w:rPr>
        <w:t xml:space="preserve">3、不向政府采购招标代理机构和采购人提供虚假资质文件或采用虚假应标方式参与政府采购市场竞争并谋取成交、成交。 </w:t>
      </w:r>
    </w:p>
    <w:p w14:paraId="218260B6">
      <w:pPr>
        <w:spacing w:line="440" w:lineRule="exact"/>
        <w:ind w:firstLine="480" w:firstLineChars="200"/>
        <w:rPr>
          <w:rFonts w:hint="eastAsia" w:ascii="宋体" w:hAnsi="宋体" w:eastAsia="宋体" w:cs="仿宋"/>
          <w:bCs/>
          <w:kern w:val="0"/>
          <w:sz w:val="24"/>
          <w:lang w:eastAsia="zh-CN"/>
        </w:rPr>
      </w:pPr>
      <w:r>
        <w:rPr>
          <w:rFonts w:hint="eastAsia" w:ascii="宋体" w:hAnsi="宋体" w:eastAsia="宋体" w:cs="仿宋"/>
          <w:bCs/>
          <w:kern w:val="0"/>
          <w:sz w:val="24"/>
        </w:rPr>
        <w:t xml:space="preserve">4、不采取“围标、陪标”等商业欺诈手段获得政府采购定单。 </w:t>
      </w:r>
    </w:p>
    <w:p w14:paraId="198C0206">
      <w:pPr>
        <w:spacing w:line="440" w:lineRule="exact"/>
        <w:ind w:firstLine="480" w:firstLineChars="200"/>
        <w:rPr>
          <w:rFonts w:hint="eastAsia" w:ascii="宋体" w:hAnsi="宋体" w:eastAsia="宋体" w:cs="仿宋"/>
          <w:bCs/>
          <w:kern w:val="0"/>
          <w:sz w:val="24"/>
          <w:lang w:eastAsia="zh-CN"/>
        </w:rPr>
      </w:pPr>
      <w:r>
        <w:rPr>
          <w:rFonts w:hint="eastAsia" w:ascii="宋体" w:hAnsi="宋体" w:eastAsia="宋体" w:cs="仿宋"/>
          <w:bCs/>
          <w:kern w:val="0"/>
          <w:sz w:val="24"/>
        </w:rPr>
        <w:t xml:space="preserve">5、不采取不正当手段低毁、排挤其他供应商。 </w:t>
      </w:r>
    </w:p>
    <w:p w14:paraId="302D5F68">
      <w:pPr>
        <w:spacing w:line="440" w:lineRule="exact"/>
        <w:ind w:firstLine="480" w:firstLineChars="200"/>
        <w:rPr>
          <w:rFonts w:hint="eastAsia" w:ascii="宋体" w:hAnsi="宋体" w:eastAsia="宋体" w:cs="仿宋"/>
          <w:bCs/>
          <w:kern w:val="0"/>
          <w:sz w:val="24"/>
          <w:lang w:eastAsia="zh-CN"/>
        </w:rPr>
      </w:pPr>
      <w:r>
        <w:rPr>
          <w:rFonts w:hint="eastAsia" w:ascii="宋体" w:hAnsi="宋体" w:eastAsia="宋体" w:cs="仿宋"/>
          <w:bCs/>
          <w:kern w:val="0"/>
          <w:sz w:val="24"/>
        </w:rPr>
        <w:t xml:space="preserve">6、不在提供商品和服务时“偷梁换柱、以次充好”损害采购人的合法权益。 </w:t>
      </w:r>
    </w:p>
    <w:p w14:paraId="7226C048">
      <w:pPr>
        <w:spacing w:line="440" w:lineRule="exact"/>
        <w:ind w:firstLine="480" w:firstLineChars="200"/>
        <w:rPr>
          <w:rFonts w:hint="eastAsia" w:ascii="宋体" w:hAnsi="宋体" w:eastAsia="宋体" w:cs="仿宋"/>
          <w:bCs/>
          <w:kern w:val="0"/>
          <w:sz w:val="24"/>
          <w:lang w:eastAsia="zh-CN"/>
        </w:rPr>
      </w:pPr>
      <w:r>
        <w:rPr>
          <w:rFonts w:hint="eastAsia" w:ascii="宋体" w:hAnsi="宋体" w:eastAsia="宋体" w:cs="仿宋"/>
          <w:bCs/>
          <w:kern w:val="0"/>
          <w:sz w:val="24"/>
        </w:rPr>
        <w:t xml:space="preserve">7、不与采购人、招标代理机构政府采购评审专家或其它供应商恶意串通，进行质疑和投诉，维护政府采购市场秩序。 </w:t>
      </w:r>
    </w:p>
    <w:p w14:paraId="177631ED">
      <w:pPr>
        <w:spacing w:line="440" w:lineRule="exact"/>
        <w:ind w:firstLine="480" w:firstLineChars="200"/>
        <w:rPr>
          <w:rFonts w:hint="eastAsia" w:ascii="宋体" w:hAnsi="宋体" w:eastAsia="宋体" w:cs="仿宋"/>
          <w:bCs/>
          <w:kern w:val="0"/>
          <w:sz w:val="24"/>
          <w:lang w:eastAsia="zh-CN"/>
        </w:rPr>
      </w:pPr>
      <w:r>
        <w:rPr>
          <w:rFonts w:hint="eastAsia" w:ascii="宋体" w:hAnsi="宋体" w:eastAsia="宋体" w:cs="仿宋"/>
          <w:bCs/>
          <w:kern w:val="0"/>
          <w:sz w:val="24"/>
        </w:rPr>
        <w:t xml:space="preserve">8、尊重和接受政府采购监督管理部门的监督和政府招标代理机构招标要求，承担因违约行为给采购人造成的损失。 </w:t>
      </w:r>
    </w:p>
    <w:p w14:paraId="7559532E">
      <w:pPr>
        <w:spacing w:line="440" w:lineRule="exact"/>
        <w:ind w:firstLine="480" w:firstLineChars="200"/>
        <w:rPr>
          <w:rFonts w:ascii="宋体" w:hAnsi="宋体" w:eastAsia="宋体" w:cs="仿宋"/>
          <w:bCs/>
          <w:kern w:val="0"/>
          <w:sz w:val="22"/>
          <w:szCs w:val="24"/>
        </w:rPr>
      </w:pPr>
      <w:r>
        <w:rPr>
          <w:rFonts w:hint="eastAsia" w:ascii="宋体" w:hAnsi="宋体" w:eastAsia="宋体" w:cs="仿宋"/>
          <w:bCs/>
          <w:kern w:val="0"/>
          <w:sz w:val="24"/>
        </w:rPr>
        <w:t xml:space="preserve">9、不发生其他有悖于政府采购公开、公平、公正和诚信原则的行为。 </w:t>
      </w:r>
    </w:p>
    <w:p w14:paraId="59F3756C">
      <w:pPr>
        <w:spacing w:line="440" w:lineRule="exact"/>
        <w:ind w:firstLine="960" w:firstLineChars="400"/>
        <w:rPr>
          <w:rFonts w:ascii="宋体" w:hAnsi="宋体" w:eastAsia="宋体" w:cs="仿宋"/>
          <w:bCs/>
          <w:kern w:val="0"/>
          <w:sz w:val="24"/>
        </w:rPr>
      </w:pPr>
    </w:p>
    <w:p w14:paraId="0CB571F0">
      <w:pPr>
        <w:spacing w:line="440" w:lineRule="exact"/>
        <w:ind w:firstLine="960" w:firstLineChars="400"/>
        <w:rPr>
          <w:rFonts w:ascii="宋体" w:hAnsi="宋体" w:eastAsia="宋体" w:cs="仿宋"/>
          <w:bCs/>
          <w:kern w:val="0"/>
          <w:sz w:val="24"/>
        </w:rPr>
      </w:pPr>
      <w:r>
        <w:rPr>
          <w:rFonts w:hint="eastAsia" w:ascii="宋体" w:hAnsi="宋体" w:eastAsia="宋体" w:cs="仿宋"/>
          <w:bCs/>
          <w:kern w:val="0"/>
          <w:sz w:val="24"/>
        </w:rPr>
        <w:t>承诺单位：</w:t>
      </w:r>
      <w:r>
        <w:rPr>
          <w:rFonts w:hint="eastAsia" w:ascii="宋体" w:hAnsi="宋体" w:eastAsia="宋体" w:cs="仿宋"/>
          <w:bCs/>
          <w:kern w:val="0"/>
          <w:sz w:val="24"/>
          <w:u w:val="single"/>
        </w:rPr>
        <w:t>　　                 　</w:t>
      </w:r>
      <w:r>
        <w:rPr>
          <w:rFonts w:hint="eastAsia" w:ascii="宋体" w:hAnsi="宋体" w:eastAsia="宋体" w:cs="仿宋"/>
          <w:bCs/>
          <w:kern w:val="0"/>
          <w:sz w:val="24"/>
        </w:rPr>
        <w:t>（盖章）</w:t>
      </w:r>
    </w:p>
    <w:p w14:paraId="743224AF">
      <w:pPr>
        <w:spacing w:line="440" w:lineRule="exact"/>
        <w:ind w:firstLine="480" w:firstLineChars="200"/>
        <w:rPr>
          <w:rFonts w:ascii="宋体" w:hAnsi="宋体" w:eastAsia="宋体" w:cs="仿宋"/>
          <w:bCs/>
          <w:kern w:val="0"/>
          <w:sz w:val="24"/>
        </w:rPr>
      </w:pPr>
      <w:r>
        <w:rPr>
          <w:rFonts w:hint="eastAsia" w:ascii="宋体" w:hAnsi="宋体" w:eastAsia="宋体" w:cs="仿宋"/>
          <w:bCs/>
          <w:kern w:val="0"/>
          <w:sz w:val="24"/>
        </w:rPr>
        <w:t>  全权代表：</w:t>
      </w:r>
      <w:r>
        <w:rPr>
          <w:rFonts w:hint="eastAsia" w:ascii="宋体" w:hAnsi="宋体" w:eastAsia="宋体" w:cs="仿宋"/>
          <w:bCs/>
          <w:kern w:val="0"/>
          <w:sz w:val="24"/>
          <w:u w:val="single"/>
        </w:rPr>
        <w:t>　　　　　     　　　　</w:t>
      </w:r>
      <w:r>
        <w:rPr>
          <w:rFonts w:hint="eastAsia" w:ascii="宋体" w:hAnsi="宋体" w:eastAsia="宋体" w:cs="仿宋"/>
          <w:bCs/>
          <w:kern w:val="0"/>
          <w:sz w:val="24"/>
        </w:rPr>
        <w:t xml:space="preserve">（签字） </w:t>
      </w:r>
    </w:p>
    <w:p w14:paraId="0CCAC424">
      <w:pPr>
        <w:spacing w:line="520" w:lineRule="exact"/>
        <w:ind w:firstLine="480" w:firstLineChars="200"/>
        <w:rPr>
          <w:rFonts w:ascii="宋体" w:hAnsi="宋体" w:eastAsia="宋体" w:cs="仿宋"/>
          <w:bCs/>
          <w:kern w:val="0"/>
          <w:sz w:val="24"/>
          <w:u w:val="single"/>
        </w:rPr>
      </w:pPr>
      <w:r>
        <w:rPr>
          <w:rFonts w:hint="eastAsia" w:ascii="宋体" w:hAnsi="宋体" w:eastAsia="宋体" w:cs="仿宋"/>
          <w:bCs/>
          <w:kern w:val="0"/>
          <w:sz w:val="24"/>
        </w:rPr>
        <w:t xml:space="preserve">    地　　址：</w:t>
      </w:r>
      <w:r>
        <w:rPr>
          <w:rFonts w:hint="eastAsia" w:ascii="宋体" w:hAnsi="宋体" w:eastAsia="宋体" w:cs="仿宋"/>
          <w:bCs/>
          <w:kern w:val="0"/>
          <w:sz w:val="24"/>
          <w:u w:val="single"/>
        </w:rPr>
        <w:t xml:space="preserve">                       </w:t>
      </w:r>
    </w:p>
    <w:p w14:paraId="4CD8A99D">
      <w:pPr>
        <w:spacing w:line="520" w:lineRule="exact"/>
        <w:ind w:firstLine="480" w:firstLineChars="200"/>
        <w:rPr>
          <w:rFonts w:ascii="宋体" w:hAnsi="宋体" w:eastAsia="宋体" w:cs="仿宋"/>
          <w:bCs/>
          <w:kern w:val="0"/>
          <w:sz w:val="24"/>
        </w:rPr>
      </w:pPr>
      <w:r>
        <w:rPr>
          <w:rFonts w:hint="eastAsia" w:ascii="宋体" w:hAnsi="宋体" w:eastAsia="宋体" w:cs="仿宋"/>
          <w:bCs/>
          <w:kern w:val="0"/>
          <w:sz w:val="24"/>
        </w:rPr>
        <w:t xml:space="preserve">    邮    编：</w:t>
      </w:r>
      <w:r>
        <w:rPr>
          <w:rFonts w:hint="eastAsia" w:ascii="宋体" w:hAnsi="宋体" w:eastAsia="宋体" w:cs="仿宋"/>
          <w:bCs/>
          <w:kern w:val="0"/>
          <w:sz w:val="24"/>
          <w:u w:val="single"/>
        </w:rPr>
        <w:t xml:space="preserve">　　                   </w:t>
      </w:r>
    </w:p>
    <w:p w14:paraId="26FE9747">
      <w:pPr>
        <w:spacing w:line="520" w:lineRule="exact"/>
        <w:ind w:firstLine="720" w:firstLineChars="300"/>
        <w:rPr>
          <w:rFonts w:hint="eastAsia" w:ascii="宋体" w:hAnsi="宋体" w:eastAsia="宋体" w:cs="仿宋"/>
          <w:bCs/>
          <w:kern w:val="0"/>
          <w:sz w:val="24"/>
          <w:lang w:val="en-US" w:eastAsia="zh-CN"/>
        </w:rPr>
      </w:pPr>
      <w:r>
        <w:rPr>
          <w:rFonts w:hint="eastAsia" w:ascii="宋体" w:hAnsi="宋体" w:eastAsia="宋体" w:cs="仿宋"/>
          <w:bCs/>
          <w:kern w:val="0"/>
          <w:sz w:val="24"/>
        </w:rPr>
        <w:t> 电　　话：</w:t>
      </w:r>
      <w:r>
        <w:rPr>
          <w:rFonts w:hint="eastAsia" w:ascii="宋体" w:hAnsi="宋体" w:eastAsia="宋体" w:cs="仿宋"/>
          <w:bCs/>
          <w:kern w:val="0"/>
          <w:sz w:val="24"/>
          <w:u w:val="single"/>
        </w:rPr>
        <w:t xml:space="preserve">　　　                </w:t>
      </w:r>
      <w:r>
        <w:rPr>
          <w:rFonts w:hint="eastAsia" w:ascii="宋体" w:hAnsi="宋体" w:eastAsia="宋体" w:cs="仿宋"/>
          <w:bCs/>
          <w:kern w:val="0"/>
          <w:sz w:val="24"/>
          <w:u w:val="single"/>
          <w:lang w:val="en-US" w:eastAsia="zh-CN"/>
        </w:rPr>
        <w:t xml:space="preserve"> </w:t>
      </w:r>
    </w:p>
    <w:p w14:paraId="14A92668">
      <w:pPr>
        <w:spacing w:line="340" w:lineRule="exact"/>
        <w:rPr>
          <w:rFonts w:ascii="宋体" w:hAnsi="宋体" w:eastAsia="宋体" w:cs="仿宋"/>
          <w:bCs/>
          <w:kern w:val="0"/>
          <w:sz w:val="24"/>
        </w:rPr>
      </w:pPr>
    </w:p>
    <w:p w14:paraId="2B903349">
      <w:pPr>
        <w:spacing w:line="340" w:lineRule="exact"/>
        <w:ind w:firstLine="4920" w:firstLineChars="2050"/>
        <w:rPr>
          <w:rFonts w:ascii="宋体" w:hAnsi="宋体" w:eastAsia="宋体" w:cs="仿宋"/>
          <w:bCs/>
          <w:sz w:val="36"/>
          <w:szCs w:val="40"/>
        </w:rPr>
      </w:pPr>
      <w:r>
        <w:rPr>
          <w:rFonts w:hint="eastAsia" w:ascii="宋体" w:hAnsi="宋体" w:eastAsia="宋体" w:cs="仿宋"/>
          <w:bCs/>
          <w:kern w:val="0"/>
          <w:sz w:val="24"/>
        </w:rPr>
        <w:t>年　　月　　日</w:t>
      </w:r>
    </w:p>
    <w:p w14:paraId="057A3F9E">
      <w:pPr>
        <w:spacing w:line="640" w:lineRule="exact"/>
        <w:jc w:val="center"/>
        <w:rPr>
          <w:rFonts w:ascii="宋体" w:hAnsi="宋体" w:eastAsia="宋体" w:cs="仿宋"/>
          <w:bCs/>
          <w:sz w:val="36"/>
          <w:szCs w:val="40"/>
        </w:rPr>
      </w:pPr>
    </w:p>
    <w:p w14:paraId="7EDFE635">
      <w:pPr>
        <w:pStyle w:val="18"/>
        <w:ind w:left="560"/>
        <w:jc w:val="center"/>
        <w:rPr>
          <w:rFonts w:hint="eastAsia"/>
          <w:b/>
          <w:bCs/>
          <w:sz w:val="24"/>
          <w:szCs w:val="24"/>
        </w:rPr>
        <w:sectPr>
          <w:pgSz w:w="11906" w:h="16838"/>
          <w:pgMar w:top="1247"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89" w:charSpace="0"/>
        </w:sectPr>
      </w:pPr>
      <w:bookmarkStart w:id="361" w:name="_Toc23315694"/>
      <w:bookmarkStart w:id="362" w:name="_Toc11224"/>
    </w:p>
    <w:p w14:paraId="66D2A6FA">
      <w:pPr>
        <w:pStyle w:val="18"/>
        <w:ind w:left="560"/>
        <w:jc w:val="center"/>
        <w:rPr>
          <w:b/>
          <w:bCs/>
          <w:sz w:val="24"/>
          <w:szCs w:val="24"/>
        </w:rPr>
      </w:pPr>
      <w:r>
        <w:rPr>
          <w:rFonts w:hint="eastAsia"/>
          <w:b/>
          <w:bCs/>
          <w:sz w:val="24"/>
          <w:szCs w:val="24"/>
        </w:rPr>
        <w:t>承诺书Ⅱ</w:t>
      </w:r>
      <w:bookmarkEnd w:id="361"/>
      <w:bookmarkEnd w:id="362"/>
    </w:p>
    <w:p w14:paraId="39229C68">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致：</w:t>
      </w:r>
      <w:r>
        <w:rPr>
          <w:rFonts w:hint="eastAsia" w:ascii="宋体" w:hAnsi="宋体" w:eastAsia="宋体" w:cs="宋体"/>
          <w:sz w:val="24"/>
          <w:szCs w:val="24"/>
          <w:lang w:eastAsia="zh-CN"/>
        </w:rPr>
        <w:t>宝泽项目管理有限公司</w:t>
      </w:r>
    </w:p>
    <w:p w14:paraId="08068590">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为了诚实、客观、有序地参与政府采购活动，愿就以下内容作出承诺：</w:t>
      </w:r>
    </w:p>
    <w:p w14:paraId="51D7796A">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1、参加采购代理机构组织的政府采购活动时，严格按照谈判文件的规定和要求提供所需的相关材料，并对所提供的各类资料的真实性负责，不虚假应标，不虚列业绩。</w:t>
      </w:r>
    </w:p>
    <w:p w14:paraId="24EF742B">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2、尊重参与政府采购活动各相关方的合法行为，接受政府采购活动依法形成的意见、结果。</w:t>
      </w:r>
    </w:p>
    <w:p w14:paraId="0C445A6A">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3、依法参加政府采购活动，不围标、串标，维护市场秩序。近三年因项目质量问题的不法行为记录为</w:t>
      </w:r>
      <w:r>
        <w:rPr>
          <w:rFonts w:hint="eastAsia" w:ascii="宋体" w:hAnsi="宋体" w:eastAsia="宋体" w:cs="宋体"/>
          <w:sz w:val="24"/>
          <w:szCs w:val="24"/>
          <w:u w:val="single"/>
        </w:rPr>
        <w:t>   </w:t>
      </w:r>
      <w:r>
        <w:rPr>
          <w:rFonts w:hint="eastAsia" w:ascii="宋体" w:hAnsi="宋体" w:eastAsia="宋体" w:cs="宋体"/>
          <w:sz w:val="24"/>
          <w:szCs w:val="24"/>
        </w:rPr>
        <w:t>次（没有填零），如有隐瞒实情，愿承担一切责任及后果。</w:t>
      </w:r>
    </w:p>
    <w:p w14:paraId="22F436BC">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4、作为参加贵公司组织的采购项目的响应单位，本公司承诺：在参加本项目谈判之前不存在被依法禁止经营行为、财产被接管或冻结的情况，如有隐瞒实情，愿承担一切责任及后果。</w:t>
      </w:r>
    </w:p>
    <w:p w14:paraId="342ACDD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5、近三年受到有关行政主管部门的行政处理、不良行为记录为</w:t>
      </w:r>
      <w:r>
        <w:rPr>
          <w:rFonts w:hint="eastAsia" w:ascii="宋体" w:hAnsi="宋体" w:eastAsia="宋体" w:cs="宋体"/>
          <w:sz w:val="24"/>
          <w:szCs w:val="24"/>
          <w:u w:val="single"/>
        </w:rPr>
        <w:t>    </w:t>
      </w:r>
      <w:r>
        <w:rPr>
          <w:rFonts w:hint="eastAsia" w:ascii="宋体" w:hAnsi="宋体" w:eastAsia="宋体" w:cs="宋体"/>
          <w:sz w:val="24"/>
          <w:szCs w:val="24"/>
        </w:rPr>
        <w:t>次（没有填零），如有隐瞒实情，愿承担一切责任及后果。</w:t>
      </w:r>
    </w:p>
    <w:p w14:paraId="7CB9F95A">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6、参加本次谈判提交的所有资质证明文件及业绩证明是真实的、有效的，如有隐瞒实情，愿承担一切责任及后果。</w:t>
      </w:r>
    </w:p>
    <w:p w14:paraId="2D5F8D86">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7、积极推动政府采购活动健康开展，对采购活动有疑问、异议时，按法律规定的程序实名（加盖单位章和法定代表人签名）反映情况，不恶意中伤、无事生非，以和谐、平等的心态参加政府采购活动。</w:t>
      </w:r>
    </w:p>
    <w:p w14:paraId="1687B953">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8、认真履行成交单位应承担的责任和义务，全面执行采购合同规定的各项内容，保质保量地按时提供采购物品。</w:t>
      </w:r>
    </w:p>
    <w:p w14:paraId="002573F8">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若本企业（单位）发生有悖于上述承诺的行为，愿意接受《中华人民共和国政府采购法》和《中华人民共和国政府采购法实施条例》中对响应单位的相关处理。</w:t>
      </w:r>
    </w:p>
    <w:p w14:paraId="7879EEA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本承诺是采购项目响应文件的组成部分。</w:t>
      </w:r>
    </w:p>
    <w:p w14:paraId="31B9246C">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14:paraId="6982E757">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14:paraId="7FC7CA04">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承诺单位：</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14:paraId="48FF943B">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全权代表：</w:t>
      </w:r>
      <w:r>
        <w:rPr>
          <w:rFonts w:hint="eastAsia" w:ascii="宋体" w:hAnsi="宋体" w:eastAsia="宋体" w:cs="宋体"/>
          <w:sz w:val="24"/>
          <w:szCs w:val="24"/>
          <w:u w:val="single"/>
        </w:rPr>
        <w:t xml:space="preserve">                    </w:t>
      </w:r>
      <w:r>
        <w:rPr>
          <w:rFonts w:hint="eastAsia" w:ascii="宋体" w:hAnsi="宋体" w:eastAsia="宋体" w:cs="宋体"/>
          <w:sz w:val="24"/>
          <w:szCs w:val="24"/>
        </w:rPr>
        <w:t>（签字）</w:t>
      </w:r>
    </w:p>
    <w:p w14:paraId="0AB076BC">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日    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bookmarkStart w:id="363" w:name="_Toc25514"/>
      <w:bookmarkStart w:id="364" w:name="_Toc536429343"/>
      <w:bookmarkStart w:id="365" w:name="_Toc536202334"/>
      <w:bookmarkStart w:id="366" w:name="_Toc536202403"/>
      <w:bookmarkStart w:id="367" w:name="_Toc536429396"/>
    </w:p>
    <w:bookmarkEnd w:id="363"/>
    <w:bookmarkEnd w:id="364"/>
    <w:bookmarkEnd w:id="365"/>
    <w:bookmarkEnd w:id="366"/>
    <w:bookmarkEnd w:id="367"/>
    <w:p w14:paraId="1BC4B4A1">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rPr>
      </w:pPr>
    </w:p>
    <w:p w14:paraId="387E710E">
      <w:pPr>
        <w:bidi w:val="0"/>
        <w:rPr>
          <w:rFonts w:hint="eastAsia"/>
          <w:lang w:val="en-US" w:eastAsia="zh-CN"/>
        </w:rPr>
      </w:pPr>
    </w:p>
    <w:sectPr>
      <w:pgSz w:w="11906" w:h="16838"/>
      <w:pgMar w:top="1247" w:right="1134" w:bottom="1020" w:left="1134" w:header="850" w:footer="567" w:gutter="0"/>
      <w:pgBorders>
        <w:top w:val="none" w:sz="0" w:space="0"/>
        <w:left w:val="none" w:sz="0" w:space="0"/>
        <w:bottom w:val="none" w:sz="0" w:space="0"/>
        <w:right w:val="none" w:sz="0" w:space="0"/>
      </w:pgBorders>
      <w:pgNumType w:fmt="decimal"/>
      <w:cols w:space="0" w:num="1"/>
      <w:rtlGutter w:val="0"/>
      <w:docGrid w:type="lines" w:linePitch="38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1DD8E">
    <w:pPr>
      <w:pStyle w:val="20"/>
      <w:tabs>
        <w:tab w:val="left" w:pos="2431"/>
        <w:tab w:val="center" w:pos="4253"/>
        <w:tab w:val="left" w:pos="5055"/>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0FDA">
    <w:pPr>
      <w:pStyle w:val="20"/>
      <w:tabs>
        <w:tab w:val="center" w:pos="4536"/>
        <w:tab w:val="right" w:pos="9192"/>
      </w:tabs>
      <w:wordWrap w:val="0"/>
      <w:jc w:val="left"/>
      <w:rPr>
        <w:rFonts w:hint="eastAsia" w:ascii="宋体" w:hAnsi="宋体" w:eastAsia="宋体" w:cs="宋体"/>
      </w:rPr>
    </w:pPr>
    <w:r>
      <w:rPr>
        <w:rFonts w:hint="eastAsia" w:ascii="宋体" w:hAnsi="宋体" w:eastAsia="宋体" w:cs="宋体"/>
        <w:lang w:eastAsia="zh-CN"/>
      </w:rPr>
      <w:tab/>
    </w:r>
    <w:r>
      <w:rPr>
        <w:rFonts w:hint="eastAsia" w:ascii="宋体" w:hAnsi="宋体" w:eastAsia="宋体" w:cs="宋体"/>
        <w:lang w:eastAsia="zh-CN"/>
      </w:rPr>
      <w:tab/>
    </w:r>
    <w:r>
      <w:rPr>
        <w:rFonts w:hint="eastAsia" w:ascii="宋体" w:hAnsi="宋体" w:eastAsia="宋体" w:cs="宋体"/>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7E180">
    <w:pPr>
      <w:pStyle w:val="20"/>
      <w:tabs>
        <w:tab w:val="center" w:pos="4536"/>
        <w:tab w:val="right" w:pos="9192"/>
      </w:tabs>
      <w:wordWrap w:val="0"/>
      <w:jc w:val="left"/>
      <w:rPr>
        <w:rFonts w:hint="eastAsia"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C476B">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7C476B">
                    <w:pPr>
                      <w:pStyle w:val="2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6A25B">
    <w:pPr>
      <w:pStyle w:val="20"/>
      <w:tabs>
        <w:tab w:val="left" w:pos="2431"/>
        <w:tab w:val="clear" w:pos="4153"/>
        <w:tab w:val="clear" w:pos="8306"/>
      </w:tabs>
      <w:wordWrap w:val="0"/>
      <w:ind w:right="360"/>
      <w:jc w:val="right"/>
      <w:rPr>
        <w:rFonts w:hint="eastAsia" w:ascii="宋体" w:hAnsi="宋体" w:eastAsia="宋体" w:cs="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85CDB6">
                          <w:pPr>
                            <w:pStyle w:val="20"/>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85CDB6">
                    <w:pPr>
                      <w:pStyle w:val="20"/>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22BB">
    <w:pPr>
      <w:jc w:val="distribute"/>
      <w:rPr>
        <w:rFonts w:hint="eastAsia" w:ascii="宋体" w:hAnsi="宋体" w:eastAsia="宋体" w:cs="宋体"/>
        <w:sz w:val="18"/>
        <w:szCs w:val="18"/>
        <w:lang w:val="en-US" w:eastAsia="zh-CN"/>
      </w:rPr>
    </w:pPr>
    <w:r>
      <w:rPr>
        <w:rFonts w:hint="eastAsia" w:ascii="宋体" w:hAnsi="宋体" w:eastAsia="宋体" w:cs="宋体"/>
        <w:sz w:val="18"/>
        <w:szCs w:val="18"/>
      </w:rPr>
      <w:tab/>
    </w:r>
    <w:r>
      <w:rPr>
        <w:rFonts w:hint="eastAsia" w:ascii="宋体" w:hAnsi="宋体" w:eastAsia="宋体" w:cs="宋体"/>
        <w:sz w:val="18"/>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5B114">
    <w:pPr>
      <w:pBdr>
        <w:bottom w:val="none" w:color="auto" w:sz="0" w:space="0"/>
      </w:pBdr>
      <w:jc w:val="left"/>
      <w:rPr>
        <w:rFonts w:hint="eastAsia" w:asciiTheme="minorEastAsia" w:hAnsiTheme="minorEastAsia" w:eastAsiaTheme="minorEastAsia" w:cstheme="minorEastAsia"/>
        <w:sz w:val="36"/>
        <w:szCs w:val="36"/>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3EF01"/>
    <w:multiLevelType w:val="singleLevel"/>
    <w:tmpl w:val="F593EF01"/>
    <w:lvl w:ilvl="0" w:tentative="0">
      <w:start w:val="1"/>
      <w:numFmt w:val="decimal"/>
      <w:lvlText w:val="%1"/>
      <w:lvlJc w:val="left"/>
      <w:pPr>
        <w:tabs>
          <w:tab w:val="left" w:pos="420"/>
        </w:tabs>
        <w:ind w:left="70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6"/>
  <w:bordersDoNotSurroundHeader w:val="0"/>
  <w:bordersDoNotSurroundFooter w:val="0"/>
  <w:attachedTemplate r:id="rId1"/>
  <w:documentProtection w:enforcement="0"/>
  <w:defaultTabStop w:val="420"/>
  <w:drawingGridHorizontalSpacing w:val="280"/>
  <w:drawingGridVerticalSpacing w:val="195"/>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3NGRlMjFmNzg5MTlhOWRlYTZkNzM0YmI3NzdhMzEifQ=="/>
  </w:docVars>
  <w:rsids>
    <w:rsidRoot w:val="00276103"/>
    <w:rsid w:val="00011D14"/>
    <w:rsid w:val="000121E1"/>
    <w:rsid w:val="00024F44"/>
    <w:rsid w:val="00026194"/>
    <w:rsid w:val="0004092A"/>
    <w:rsid w:val="000409AC"/>
    <w:rsid w:val="00054856"/>
    <w:rsid w:val="00067801"/>
    <w:rsid w:val="00071ED2"/>
    <w:rsid w:val="000916FF"/>
    <w:rsid w:val="00092C81"/>
    <w:rsid w:val="00095EC0"/>
    <w:rsid w:val="000D2F9C"/>
    <w:rsid w:val="000D4451"/>
    <w:rsid w:val="000D4B24"/>
    <w:rsid w:val="000D5996"/>
    <w:rsid w:val="000E15F1"/>
    <w:rsid w:val="000E78A9"/>
    <w:rsid w:val="000F0906"/>
    <w:rsid w:val="00107F04"/>
    <w:rsid w:val="00132AB2"/>
    <w:rsid w:val="001345C5"/>
    <w:rsid w:val="00142225"/>
    <w:rsid w:val="00146383"/>
    <w:rsid w:val="00147C6C"/>
    <w:rsid w:val="001501D1"/>
    <w:rsid w:val="0015205E"/>
    <w:rsid w:val="0015716C"/>
    <w:rsid w:val="001708A1"/>
    <w:rsid w:val="001711CA"/>
    <w:rsid w:val="00182814"/>
    <w:rsid w:val="001918B0"/>
    <w:rsid w:val="0019420E"/>
    <w:rsid w:val="001B3EC3"/>
    <w:rsid w:val="001B75D7"/>
    <w:rsid w:val="001D693E"/>
    <w:rsid w:val="001F392F"/>
    <w:rsid w:val="001F4E02"/>
    <w:rsid w:val="001F4FFA"/>
    <w:rsid w:val="00207041"/>
    <w:rsid w:val="00217AE5"/>
    <w:rsid w:val="00217B13"/>
    <w:rsid w:val="00243136"/>
    <w:rsid w:val="002524D9"/>
    <w:rsid w:val="002563A8"/>
    <w:rsid w:val="00262942"/>
    <w:rsid w:val="00272450"/>
    <w:rsid w:val="00276103"/>
    <w:rsid w:val="00284337"/>
    <w:rsid w:val="00294DAB"/>
    <w:rsid w:val="002A3903"/>
    <w:rsid w:val="002A3BF9"/>
    <w:rsid w:val="002A3D81"/>
    <w:rsid w:val="002B192D"/>
    <w:rsid w:val="002B308B"/>
    <w:rsid w:val="002B691E"/>
    <w:rsid w:val="002D0507"/>
    <w:rsid w:val="002D2C90"/>
    <w:rsid w:val="002E21DB"/>
    <w:rsid w:val="002F009F"/>
    <w:rsid w:val="002F1A74"/>
    <w:rsid w:val="002F682C"/>
    <w:rsid w:val="00305EB5"/>
    <w:rsid w:val="003072E5"/>
    <w:rsid w:val="0031118E"/>
    <w:rsid w:val="0031248D"/>
    <w:rsid w:val="003134A9"/>
    <w:rsid w:val="0032276E"/>
    <w:rsid w:val="00335F17"/>
    <w:rsid w:val="00336EFA"/>
    <w:rsid w:val="00351234"/>
    <w:rsid w:val="003577A2"/>
    <w:rsid w:val="00363A95"/>
    <w:rsid w:val="0037576D"/>
    <w:rsid w:val="0038258B"/>
    <w:rsid w:val="00394B45"/>
    <w:rsid w:val="003A08B0"/>
    <w:rsid w:val="003B1610"/>
    <w:rsid w:val="003B5D98"/>
    <w:rsid w:val="003C498B"/>
    <w:rsid w:val="003C603A"/>
    <w:rsid w:val="003F108F"/>
    <w:rsid w:val="003F1E12"/>
    <w:rsid w:val="00410CA8"/>
    <w:rsid w:val="00411927"/>
    <w:rsid w:val="004136CD"/>
    <w:rsid w:val="004215EB"/>
    <w:rsid w:val="0042558D"/>
    <w:rsid w:val="00426F03"/>
    <w:rsid w:val="004305F5"/>
    <w:rsid w:val="0043141B"/>
    <w:rsid w:val="004372CF"/>
    <w:rsid w:val="00440E26"/>
    <w:rsid w:val="00457AA3"/>
    <w:rsid w:val="0048210A"/>
    <w:rsid w:val="00496201"/>
    <w:rsid w:val="00496FF3"/>
    <w:rsid w:val="004A3DAE"/>
    <w:rsid w:val="004A4865"/>
    <w:rsid w:val="004B1790"/>
    <w:rsid w:val="004C1B3A"/>
    <w:rsid w:val="004C1D4F"/>
    <w:rsid w:val="004D37C1"/>
    <w:rsid w:val="004D523A"/>
    <w:rsid w:val="004D776C"/>
    <w:rsid w:val="004D7C0E"/>
    <w:rsid w:val="004F51DC"/>
    <w:rsid w:val="00500643"/>
    <w:rsid w:val="00504DA1"/>
    <w:rsid w:val="00506C22"/>
    <w:rsid w:val="0051523B"/>
    <w:rsid w:val="00522CEE"/>
    <w:rsid w:val="005310C9"/>
    <w:rsid w:val="00551934"/>
    <w:rsid w:val="00553C02"/>
    <w:rsid w:val="005611BF"/>
    <w:rsid w:val="00562877"/>
    <w:rsid w:val="0056693B"/>
    <w:rsid w:val="005747AA"/>
    <w:rsid w:val="00580202"/>
    <w:rsid w:val="005900DC"/>
    <w:rsid w:val="005B1048"/>
    <w:rsid w:val="005B1912"/>
    <w:rsid w:val="005C71E8"/>
    <w:rsid w:val="005E1C76"/>
    <w:rsid w:val="005E798C"/>
    <w:rsid w:val="005F42BB"/>
    <w:rsid w:val="006024D7"/>
    <w:rsid w:val="0060694E"/>
    <w:rsid w:val="00607C5F"/>
    <w:rsid w:val="00631550"/>
    <w:rsid w:val="006423BA"/>
    <w:rsid w:val="00655236"/>
    <w:rsid w:val="00655823"/>
    <w:rsid w:val="00661EDA"/>
    <w:rsid w:val="00667A44"/>
    <w:rsid w:val="00677E82"/>
    <w:rsid w:val="00680269"/>
    <w:rsid w:val="006818EC"/>
    <w:rsid w:val="00681B42"/>
    <w:rsid w:val="006847DD"/>
    <w:rsid w:val="006847DE"/>
    <w:rsid w:val="006939BC"/>
    <w:rsid w:val="006954B8"/>
    <w:rsid w:val="006A696C"/>
    <w:rsid w:val="006B341A"/>
    <w:rsid w:val="006C26A1"/>
    <w:rsid w:val="006C6C7A"/>
    <w:rsid w:val="006E67F7"/>
    <w:rsid w:val="006F14EC"/>
    <w:rsid w:val="006F6E80"/>
    <w:rsid w:val="00705186"/>
    <w:rsid w:val="007066CC"/>
    <w:rsid w:val="00721C78"/>
    <w:rsid w:val="0072200B"/>
    <w:rsid w:val="007336C4"/>
    <w:rsid w:val="00735397"/>
    <w:rsid w:val="00747FEF"/>
    <w:rsid w:val="0076563E"/>
    <w:rsid w:val="00766127"/>
    <w:rsid w:val="00766D27"/>
    <w:rsid w:val="0077095E"/>
    <w:rsid w:val="00771CFD"/>
    <w:rsid w:val="00781C94"/>
    <w:rsid w:val="00796285"/>
    <w:rsid w:val="00797072"/>
    <w:rsid w:val="007A6CEE"/>
    <w:rsid w:val="007B1F33"/>
    <w:rsid w:val="007C1AB6"/>
    <w:rsid w:val="007D455F"/>
    <w:rsid w:val="007E29E9"/>
    <w:rsid w:val="007E2A47"/>
    <w:rsid w:val="00800C8F"/>
    <w:rsid w:val="00801342"/>
    <w:rsid w:val="0080401E"/>
    <w:rsid w:val="00805ED3"/>
    <w:rsid w:val="008142E9"/>
    <w:rsid w:val="008207AB"/>
    <w:rsid w:val="00825D97"/>
    <w:rsid w:val="0083077C"/>
    <w:rsid w:val="008413BE"/>
    <w:rsid w:val="0084291C"/>
    <w:rsid w:val="00844A7A"/>
    <w:rsid w:val="00847343"/>
    <w:rsid w:val="00851842"/>
    <w:rsid w:val="008523E5"/>
    <w:rsid w:val="00852685"/>
    <w:rsid w:val="0086232F"/>
    <w:rsid w:val="0086286A"/>
    <w:rsid w:val="008677C8"/>
    <w:rsid w:val="0088251D"/>
    <w:rsid w:val="00882CA4"/>
    <w:rsid w:val="00884DF7"/>
    <w:rsid w:val="00892A74"/>
    <w:rsid w:val="0089649D"/>
    <w:rsid w:val="008977E6"/>
    <w:rsid w:val="008A0A6F"/>
    <w:rsid w:val="008A0ABB"/>
    <w:rsid w:val="008A164E"/>
    <w:rsid w:val="008A387E"/>
    <w:rsid w:val="008B3F6A"/>
    <w:rsid w:val="008C3523"/>
    <w:rsid w:val="008D04E2"/>
    <w:rsid w:val="008D0F23"/>
    <w:rsid w:val="008E7F0F"/>
    <w:rsid w:val="008F666C"/>
    <w:rsid w:val="00907DA1"/>
    <w:rsid w:val="00930935"/>
    <w:rsid w:val="009601E0"/>
    <w:rsid w:val="00963F71"/>
    <w:rsid w:val="0098787B"/>
    <w:rsid w:val="00992BD2"/>
    <w:rsid w:val="009A071D"/>
    <w:rsid w:val="009B4D82"/>
    <w:rsid w:val="009B6AA6"/>
    <w:rsid w:val="009C4E3B"/>
    <w:rsid w:val="009D0AA6"/>
    <w:rsid w:val="009F417D"/>
    <w:rsid w:val="009F7629"/>
    <w:rsid w:val="009F777C"/>
    <w:rsid w:val="00A023CC"/>
    <w:rsid w:val="00A235FA"/>
    <w:rsid w:val="00A2726C"/>
    <w:rsid w:val="00A3238E"/>
    <w:rsid w:val="00A35539"/>
    <w:rsid w:val="00A42D07"/>
    <w:rsid w:val="00A477A1"/>
    <w:rsid w:val="00A51B91"/>
    <w:rsid w:val="00A54FFB"/>
    <w:rsid w:val="00A5616F"/>
    <w:rsid w:val="00A60100"/>
    <w:rsid w:val="00A63A67"/>
    <w:rsid w:val="00A66D71"/>
    <w:rsid w:val="00A73565"/>
    <w:rsid w:val="00A77138"/>
    <w:rsid w:val="00A7771E"/>
    <w:rsid w:val="00A9079F"/>
    <w:rsid w:val="00A958FB"/>
    <w:rsid w:val="00AC3A07"/>
    <w:rsid w:val="00AF0523"/>
    <w:rsid w:val="00B064D8"/>
    <w:rsid w:val="00B24A7A"/>
    <w:rsid w:val="00B25C41"/>
    <w:rsid w:val="00B32B44"/>
    <w:rsid w:val="00B34C54"/>
    <w:rsid w:val="00B35B3D"/>
    <w:rsid w:val="00B50AA4"/>
    <w:rsid w:val="00B6554A"/>
    <w:rsid w:val="00B765C2"/>
    <w:rsid w:val="00B83BB4"/>
    <w:rsid w:val="00B94751"/>
    <w:rsid w:val="00BA270E"/>
    <w:rsid w:val="00BA3A5F"/>
    <w:rsid w:val="00BB1A34"/>
    <w:rsid w:val="00BB238C"/>
    <w:rsid w:val="00BB679E"/>
    <w:rsid w:val="00BC1FDF"/>
    <w:rsid w:val="00BC3F03"/>
    <w:rsid w:val="00BC5201"/>
    <w:rsid w:val="00BD1748"/>
    <w:rsid w:val="00BD7B0F"/>
    <w:rsid w:val="00BF1583"/>
    <w:rsid w:val="00C02F92"/>
    <w:rsid w:val="00C12EAD"/>
    <w:rsid w:val="00C1462B"/>
    <w:rsid w:val="00C2267F"/>
    <w:rsid w:val="00C30E88"/>
    <w:rsid w:val="00C55543"/>
    <w:rsid w:val="00C560DA"/>
    <w:rsid w:val="00C609BA"/>
    <w:rsid w:val="00C620AF"/>
    <w:rsid w:val="00C80D51"/>
    <w:rsid w:val="00C8309E"/>
    <w:rsid w:val="00C92E4A"/>
    <w:rsid w:val="00C96829"/>
    <w:rsid w:val="00CA0F67"/>
    <w:rsid w:val="00CA4E56"/>
    <w:rsid w:val="00CB2AEA"/>
    <w:rsid w:val="00CB3B3C"/>
    <w:rsid w:val="00CB7D83"/>
    <w:rsid w:val="00CC5D30"/>
    <w:rsid w:val="00CC67C4"/>
    <w:rsid w:val="00CD6381"/>
    <w:rsid w:val="00CE3718"/>
    <w:rsid w:val="00CF0627"/>
    <w:rsid w:val="00CF17F7"/>
    <w:rsid w:val="00CF2461"/>
    <w:rsid w:val="00D039CE"/>
    <w:rsid w:val="00D06F62"/>
    <w:rsid w:val="00D2513E"/>
    <w:rsid w:val="00D30EE6"/>
    <w:rsid w:val="00D316DE"/>
    <w:rsid w:val="00D36315"/>
    <w:rsid w:val="00D40301"/>
    <w:rsid w:val="00D4408E"/>
    <w:rsid w:val="00D610CA"/>
    <w:rsid w:val="00D67385"/>
    <w:rsid w:val="00D81543"/>
    <w:rsid w:val="00D817A0"/>
    <w:rsid w:val="00D96176"/>
    <w:rsid w:val="00DA3BD6"/>
    <w:rsid w:val="00DA4EE4"/>
    <w:rsid w:val="00DA5A45"/>
    <w:rsid w:val="00DB2D27"/>
    <w:rsid w:val="00DC1447"/>
    <w:rsid w:val="00DC1BCD"/>
    <w:rsid w:val="00DC57F7"/>
    <w:rsid w:val="00DC5E60"/>
    <w:rsid w:val="00DD3389"/>
    <w:rsid w:val="00DE4D3D"/>
    <w:rsid w:val="00DE5360"/>
    <w:rsid w:val="00DE7B6E"/>
    <w:rsid w:val="00DF22C1"/>
    <w:rsid w:val="00DF416F"/>
    <w:rsid w:val="00E03517"/>
    <w:rsid w:val="00E13977"/>
    <w:rsid w:val="00E17593"/>
    <w:rsid w:val="00E20FD2"/>
    <w:rsid w:val="00E34F2C"/>
    <w:rsid w:val="00E42B0C"/>
    <w:rsid w:val="00E46A27"/>
    <w:rsid w:val="00E74F56"/>
    <w:rsid w:val="00E816A0"/>
    <w:rsid w:val="00E8284E"/>
    <w:rsid w:val="00E92007"/>
    <w:rsid w:val="00E9609B"/>
    <w:rsid w:val="00EB48B6"/>
    <w:rsid w:val="00EC0951"/>
    <w:rsid w:val="00EC54AB"/>
    <w:rsid w:val="00ED0360"/>
    <w:rsid w:val="00ED760D"/>
    <w:rsid w:val="00EE5535"/>
    <w:rsid w:val="00EF1EE2"/>
    <w:rsid w:val="00EF24F7"/>
    <w:rsid w:val="00EF2D7A"/>
    <w:rsid w:val="00F2205A"/>
    <w:rsid w:val="00F2647F"/>
    <w:rsid w:val="00F3460A"/>
    <w:rsid w:val="00F513CD"/>
    <w:rsid w:val="00F6354A"/>
    <w:rsid w:val="00F64F3D"/>
    <w:rsid w:val="00F707BF"/>
    <w:rsid w:val="00F94172"/>
    <w:rsid w:val="00FC66A9"/>
    <w:rsid w:val="00FE7899"/>
    <w:rsid w:val="01341807"/>
    <w:rsid w:val="015A60C5"/>
    <w:rsid w:val="016F10DA"/>
    <w:rsid w:val="0186020E"/>
    <w:rsid w:val="01960454"/>
    <w:rsid w:val="019D7E34"/>
    <w:rsid w:val="01AF5332"/>
    <w:rsid w:val="01C32272"/>
    <w:rsid w:val="01F42D45"/>
    <w:rsid w:val="0261487E"/>
    <w:rsid w:val="02781260"/>
    <w:rsid w:val="02997909"/>
    <w:rsid w:val="02CB7221"/>
    <w:rsid w:val="031F3DF1"/>
    <w:rsid w:val="03287B1A"/>
    <w:rsid w:val="034F19A0"/>
    <w:rsid w:val="03672922"/>
    <w:rsid w:val="038A7E04"/>
    <w:rsid w:val="03974F7D"/>
    <w:rsid w:val="03A60AD2"/>
    <w:rsid w:val="03B51F99"/>
    <w:rsid w:val="03E83E04"/>
    <w:rsid w:val="04210E57"/>
    <w:rsid w:val="04245B63"/>
    <w:rsid w:val="042C1685"/>
    <w:rsid w:val="043C7483"/>
    <w:rsid w:val="04B85F04"/>
    <w:rsid w:val="04C609C8"/>
    <w:rsid w:val="04CA256A"/>
    <w:rsid w:val="053A4875"/>
    <w:rsid w:val="05E57574"/>
    <w:rsid w:val="06095474"/>
    <w:rsid w:val="062D7C32"/>
    <w:rsid w:val="062F259D"/>
    <w:rsid w:val="064A68B9"/>
    <w:rsid w:val="065906F6"/>
    <w:rsid w:val="068F0BD1"/>
    <w:rsid w:val="06A97A77"/>
    <w:rsid w:val="06FE2509"/>
    <w:rsid w:val="072126BE"/>
    <w:rsid w:val="07320597"/>
    <w:rsid w:val="07805F5A"/>
    <w:rsid w:val="078139DC"/>
    <w:rsid w:val="07CE0FBC"/>
    <w:rsid w:val="07DD40F6"/>
    <w:rsid w:val="084C21AB"/>
    <w:rsid w:val="087F780C"/>
    <w:rsid w:val="0892709C"/>
    <w:rsid w:val="08AB6853"/>
    <w:rsid w:val="08CE0793"/>
    <w:rsid w:val="08F66DC1"/>
    <w:rsid w:val="08F76E43"/>
    <w:rsid w:val="090C6E83"/>
    <w:rsid w:val="09612535"/>
    <w:rsid w:val="096874D3"/>
    <w:rsid w:val="09706A8B"/>
    <w:rsid w:val="09AD52FC"/>
    <w:rsid w:val="09B96D4E"/>
    <w:rsid w:val="09C13E54"/>
    <w:rsid w:val="09EA0953"/>
    <w:rsid w:val="0A885C87"/>
    <w:rsid w:val="0AEC727C"/>
    <w:rsid w:val="0AF61D8A"/>
    <w:rsid w:val="0B655C41"/>
    <w:rsid w:val="0B9A495D"/>
    <w:rsid w:val="0BB35A1E"/>
    <w:rsid w:val="0BBD589B"/>
    <w:rsid w:val="0BD45EF5"/>
    <w:rsid w:val="0C013541"/>
    <w:rsid w:val="0C200572"/>
    <w:rsid w:val="0C2A0E82"/>
    <w:rsid w:val="0C31628E"/>
    <w:rsid w:val="0C580AA0"/>
    <w:rsid w:val="0C653AE0"/>
    <w:rsid w:val="0C7B022C"/>
    <w:rsid w:val="0C9544DF"/>
    <w:rsid w:val="0C9E3391"/>
    <w:rsid w:val="0CAD7E82"/>
    <w:rsid w:val="0CF31BCF"/>
    <w:rsid w:val="0D273323"/>
    <w:rsid w:val="0D731FE0"/>
    <w:rsid w:val="0D954201"/>
    <w:rsid w:val="0D984AC2"/>
    <w:rsid w:val="0DB53CD0"/>
    <w:rsid w:val="0E403DF0"/>
    <w:rsid w:val="0EAA3109"/>
    <w:rsid w:val="0EF33893"/>
    <w:rsid w:val="0F4F4C55"/>
    <w:rsid w:val="0F6428CD"/>
    <w:rsid w:val="0F667ABC"/>
    <w:rsid w:val="0F73799F"/>
    <w:rsid w:val="0FAD1102"/>
    <w:rsid w:val="0FDE6D14"/>
    <w:rsid w:val="0FFA6644"/>
    <w:rsid w:val="101953C6"/>
    <w:rsid w:val="102B2B3E"/>
    <w:rsid w:val="10370F89"/>
    <w:rsid w:val="10710382"/>
    <w:rsid w:val="10750EDD"/>
    <w:rsid w:val="107B7E97"/>
    <w:rsid w:val="10B14AEE"/>
    <w:rsid w:val="10C33B0F"/>
    <w:rsid w:val="10F20DDB"/>
    <w:rsid w:val="110C5208"/>
    <w:rsid w:val="11494D1C"/>
    <w:rsid w:val="115208EA"/>
    <w:rsid w:val="1158509E"/>
    <w:rsid w:val="115F5735"/>
    <w:rsid w:val="11A32BC3"/>
    <w:rsid w:val="11A3317D"/>
    <w:rsid w:val="11B85B3D"/>
    <w:rsid w:val="11C336B1"/>
    <w:rsid w:val="11E76422"/>
    <w:rsid w:val="11F95F0B"/>
    <w:rsid w:val="12130FC5"/>
    <w:rsid w:val="124E070C"/>
    <w:rsid w:val="127E7668"/>
    <w:rsid w:val="12BE3627"/>
    <w:rsid w:val="12EA3E8A"/>
    <w:rsid w:val="131E5E73"/>
    <w:rsid w:val="132D4308"/>
    <w:rsid w:val="13363593"/>
    <w:rsid w:val="13826402"/>
    <w:rsid w:val="13850235"/>
    <w:rsid w:val="13855EF2"/>
    <w:rsid w:val="13955112"/>
    <w:rsid w:val="13B660AC"/>
    <w:rsid w:val="13CE1647"/>
    <w:rsid w:val="13F75BCF"/>
    <w:rsid w:val="14052967"/>
    <w:rsid w:val="14305E5E"/>
    <w:rsid w:val="145B16CE"/>
    <w:rsid w:val="14760D20"/>
    <w:rsid w:val="1479563A"/>
    <w:rsid w:val="14807878"/>
    <w:rsid w:val="152C05C1"/>
    <w:rsid w:val="155C2C83"/>
    <w:rsid w:val="15763D45"/>
    <w:rsid w:val="157C124F"/>
    <w:rsid w:val="15851891"/>
    <w:rsid w:val="15885061"/>
    <w:rsid w:val="15B75BB0"/>
    <w:rsid w:val="15B95830"/>
    <w:rsid w:val="15C25DBE"/>
    <w:rsid w:val="15E82AFC"/>
    <w:rsid w:val="16115BE7"/>
    <w:rsid w:val="16155F4A"/>
    <w:rsid w:val="1616144D"/>
    <w:rsid w:val="16192FF0"/>
    <w:rsid w:val="163C0257"/>
    <w:rsid w:val="16471AAC"/>
    <w:rsid w:val="16640041"/>
    <w:rsid w:val="16F41D35"/>
    <w:rsid w:val="172C6508"/>
    <w:rsid w:val="174540BD"/>
    <w:rsid w:val="17730085"/>
    <w:rsid w:val="178F79B5"/>
    <w:rsid w:val="17982843"/>
    <w:rsid w:val="181D631F"/>
    <w:rsid w:val="188317EF"/>
    <w:rsid w:val="188B5D59"/>
    <w:rsid w:val="19154340"/>
    <w:rsid w:val="19450347"/>
    <w:rsid w:val="19812363"/>
    <w:rsid w:val="19A85AA6"/>
    <w:rsid w:val="19D01228"/>
    <w:rsid w:val="19DC71FA"/>
    <w:rsid w:val="19E47E89"/>
    <w:rsid w:val="1A300A3D"/>
    <w:rsid w:val="1A5204BD"/>
    <w:rsid w:val="1A7B310B"/>
    <w:rsid w:val="1A8A072D"/>
    <w:rsid w:val="1ADE3924"/>
    <w:rsid w:val="1B063DBD"/>
    <w:rsid w:val="1B102545"/>
    <w:rsid w:val="1B20658C"/>
    <w:rsid w:val="1B426428"/>
    <w:rsid w:val="1BAD2CF8"/>
    <w:rsid w:val="1BB456F0"/>
    <w:rsid w:val="1BC5039F"/>
    <w:rsid w:val="1BD54DB6"/>
    <w:rsid w:val="1BE20386"/>
    <w:rsid w:val="1C06508B"/>
    <w:rsid w:val="1C6B1AC6"/>
    <w:rsid w:val="1C771FED"/>
    <w:rsid w:val="1CAD7018"/>
    <w:rsid w:val="1CB6536F"/>
    <w:rsid w:val="1CD736DF"/>
    <w:rsid w:val="1CEE6A7A"/>
    <w:rsid w:val="1D0205B4"/>
    <w:rsid w:val="1D1012BA"/>
    <w:rsid w:val="1D1A1BCA"/>
    <w:rsid w:val="1D35013C"/>
    <w:rsid w:val="1D437B1F"/>
    <w:rsid w:val="1D495F9C"/>
    <w:rsid w:val="1D9E10C3"/>
    <w:rsid w:val="1DB530CD"/>
    <w:rsid w:val="1DFB572F"/>
    <w:rsid w:val="1E0B3B2A"/>
    <w:rsid w:val="1E192DF2"/>
    <w:rsid w:val="1E4C3240"/>
    <w:rsid w:val="1E596826"/>
    <w:rsid w:val="1E707F7D"/>
    <w:rsid w:val="1EE61241"/>
    <w:rsid w:val="1F0E5E95"/>
    <w:rsid w:val="1F7237CF"/>
    <w:rsid w:val="201715B2"/>
    <w:rsid w:val="20232D1B"/>
    <w:rsid w:val="20371AE7"/>
    <w:rsid w:val="20457135"/>
    <w:rsid w:val="207C25DC"/>
    <w:rsid w:val="20817D3B"/>
    <w:rsid w:val="20B758B9"/>
    <w:rsid w:val="20B8113C"/>
    <w:rsid w:val="213D6E16"/>
    <w:rsid w:val="216C1EE4"/>
    <w:rsid w:val="21754D72"/>
    <w:rsid w:val="217C217E"/>
    <w:rsid w:val="2184758B"/>
    <w:rsid w:val="21A93F47"/>
    <w:rsid w:val="21B76AE0"/>
    <w:rsid w:val="21E7182E"/>
    <w:rsid w:val="21F665C5"/>
    <w:rsid w:val="221843E8"/>
    <w:rsid w:val="2249604F"/>
    <w:rsid w:val="227E3026"/>
    <w:rsid w:val="22982E69"/>
    <w:rsid w:val="22BB5089"/>
    <w:rsid w:val="23046782"/>
    <w:rsid w:val="2378337E"/>
    <w:rsid w:val="237C4C1C"/>
    <w:rsid w:val="23983773"/>
    <w:rsid w:val="23A3607E"/>
    <w:rsid w:val="23B85879"/>
    <w:rsid w:val="23D90A84"/>
    <w:rsid w:val="23ED7965"/>
    <w:rsid w:val="23F410FE"/>
    <w:rsid w:val="23F53B0C"/>
    <w:rsid w:val="240C0853"/>
    <w:rsid w:val="24575689"/>
    <w:rsid w:val="24C2196B"/>
    <w:rsid w:val="24DE36B4"/>
    <w:rsid w:val="24F37160"/>
    <w:rsid w:val="25457FB6"/>
    <w:rsid w:val="258E5E2C"/>
    <w:rsid w:val="25A53853"/>
    <w:rsid w:val="25C00FB4"/>
    <w:rsid w:val="25D71AA3"/>
    <w:rsid w:val="26135C57"/>
    <w:rsid w:val="26321F0A"/>
    <w:rsid w:val="267D0126"/>
    <w:rsid w:val="269F14EC"/>
    <w:rsid w:val="26CF423A"/>
    <w:rsid w:val="271436A9"/>
    <w:rsid w:val="2729330D"/>
    <w:rsid w:val="27364EE3"/>
    <w:rsid w:val="27436777"/>
    <w:rsid w:val="2793584B"/>
    <w:rsid w:val="27A04C51"/>
    <w:rsid w:val="27F4659B"/>
    <w:rsid w:val="27FF5E1C"/>
    <w:rsid w:val="28136E4F"/>
    <w:rsid w:val="282F6BB7"/>
    <w:rsid w:val="28312B7C"/>
    <w:rsid w:val="28390194"/>
    <w:rsid w:val="28837103"/>
    <w:rsid w:val="28B975DD"/>
    <w:rsid w:val="28CB1353"/>
    <w:rsid w:val="296368A1"/>
    <w:rsid w:val="29747D10"/>
    <w:rsid w:val="29785E86"/>
    <w:rsid w:val="29AE5D4B"/>
    <w:rsid w:val="29B82726"/>
    <w:rsid w:val="29BD1AEA"/>
    <w:rsid w:val="29C9741A"/>
    <w:rsid w:val="2A055081"/>
    <w:rsid w:val="2A257690"/>
    <w:rsid w:val="2A2B1A3D"/>
    <w:rsid w:val="2A5F3326"/>
    <w:rsid w:val="2A662182"/>
    <w:rsid w:val="2AAF6413"/>
    <w:rsid w:val="2AD27817"/>
    <w:rsid w:val="2AF05EF0"/>
    <w:rsid w:val="2B107731"/>
    <w:rsid w:val="2B3269EC"/>
    <w:rsid w:val="2B3B53BD"/>
    <w:rsid w:val="2B4F2C16"/>
    <w:rsid w:val="2B6C2049"/>
    <w:rsid w:val="2B7703DB"/>
    <w:rsid w:val="2B956A91"/>
    <w:rsid w:val="2B960C8F"/>
    <w:rsid w:val="2BAE32CF"/>
    <w:rsid w:val="2BC86DB2"/>
    <w:rsid w:val="2BDA4BD6"/>
    <w:rsid w:val="2BEE600C"/>
    <w:rsid w:val="2C051CE3"/>
    <w:rsid w:val="2C13735F"/>
    <w:rsid w:val="2C164A61"/>
    <w:rsid w:val="2C4555B0"/>
    <w:rsid w:val="2C5C1839"/>
    <w:rsid w:val="2CD5741D"/>
    <w:rsid w:val="2CDD6A28"/>
    <w:rsid w:val="2CE41C36"/>
    <w:rsid w:val="2CEE4744"/>
    <w:rsid w:val="2CF86E01"/>
    <w:rsid w:val="2D9B3372"/>
    <w:rsid w:val="2DA54273"/>
    <w:rsid w:val="2DD072B5"/>
    <w:rsid w:val="2DFE7669"/>
    <w:rsid w:val="2E00644A"/>
    <w:rsid w:val="2E05778F"/>
    <w:rsid w:val="2E866DE4"/>
    <w:rsid w:val="2EA25753"/>
    <w:rsid w:val="2EAB5D1F"/>
    <w:rsid w:val="2EBC05C2"/>
    <w:rsid w:val="2EE04EF4"/>
    <w:rsid w:val="2F2E2A75"/>
    <w:rsid w:val="2F4D332A"/>
    <w:rsid w:val="2F866FF8"/>
    <w:rsid w:val="2FAC4027"/>
    <w:rsid w:val="2FB829D9"/>
    <w:rsid w:val="2FBB13DF"/>
    <w:rsid w:val="2FC33BD3"/>
    <w:rsid w:val="2FE50214"/>
    <w:rsid w:val="30723EBB"/>
    <w:rsid w:val="30742D8C"/>
    <w:rsid w:val="30C9346B"/>
    <w:rsid w:val="30C96FC7"/>
    <w:rsid w:val="30CA6F92"/>
    <w:rsid w:val="30CC4A9F"/>
    <w:rsid w:val="30F01BDC"/>
    <w:rsid w:val="31296922"/>
    <w:rsid w:val="315C6AC7"/>
    <w:rsid w:val="31740730"/>
    <w:rsid w:val="319A7284"/>
    <w:rsid w:val="31A62204"/>
    <w:rsid w:val="31BE7923"/>
    <w:rsid w:val="31C559E0"/>
    <w:rsid w:val="31E340B8"/>
    <w:rsid w:val="31F44502"/>
    <w:rsid w:val="321A061F"/>
    <w:rsid w:val="327D0BE3"/>
    <w:rsid w:val="32EA1597"/>
    <w:rsid w:val="32F13120"/>
    <w:rsid w:val="331C5269"/>
    <w:rsid w:val="332A7E02"/>
    <w:rsid w:val="33376E11"/>
    <w:rsid w:val="333C43C8"/>
    <w:rsid w:val="338419AF"/>
    <w:rsid w:val="33897E1B"/>
    <w:rsid w:val="33AE5533"/>
    <w:rsid w:val="340A6274"/>
    <w:rsid w:val="344175CA"/>
    <w:rsid w:val="344C23E9"/>
    <w:rsid w:val="349F7963"/>
    <w:rsid w:val="34B47820"/>
    <w:rsid w:val="34CC4FAF"/>
    <w:rsid w:val="350A1211"/>
    <w:rsid w:val="35131158"/>
    <w:rsid w:val="3519182B"/>
    <w:rsid w:val="353942DE"/>
    <w:rsid w:val="35413979"/>
    <w:rsid w:val="354F4D60"/>
    <w:rsid w:val="35A04F88"/>
    <w:rsid w:val="35A54C93"/>
    <w:rsid w:val="35B04BF9"/>
    <w:rsid w:val="35CD1665"/>
    <w:rsid w:val="35D30C5A"/>
    <w:rsid w:val="362A675A"/>
    <w:rsid w:val="36421777"/>
    <w:rsid w:val="366E73B1"/>
    <w:rsid w:val="36B40CF8"/>
    <w:rsid w:val="36B43E37"/>
    <w:rsid w:val="36B97ADD"/>
    <w:rsid w:val="36DB66E6"/>
    <w:rsid w:val="36EF012D"/>
    <w:rsid w:val="370A3EEB"/>
    <w:rsid w:val="371D31FA"/>
    <w:rsid w:val="372C4753"/>
    <w:rsid w:val="372E5A8B"/>
    <w:rsid w:val="37357164"/>
    <w:rsid w:val="373B04F2"/>
    <w:rsid w:val="3795413E"/>
    <w:rsid w:val="37A778DB"/>
    <w:rsid w:val="37F17DA1"/>
    <w:rsid w:val="38494EE6"/>
    <w:rsid w:val="385E740A"/>
    <w:rsid w:val="387E7977"/>
    <w:rsid w:val="38D2392F"/>
    <w:rsid w:val="38D40A1E"/>
    <w:rsid w:val="39113368"/>
    <w:rsid w:val="39227959"/>
    <w:rsid w:val="397C3FDE"/>
    <w:rsid w:val="39837157"/>
    <w:rsid w:val="39842006"/>
    <w:rsid w:val="3998512C"/>
    <w:rsid w:val="399860D0"/>
    <w:rsid w:val="39AF5AB2"/>
    <w:rsid w:val="39DA0497"/>
    <w:rsid w:val="3A085004"/>
    <w:rsid w:val="3A4B63D8"/>
    <w:rsid w:val="3A712BA9"/>
    <w:rsid w:val="3A7C6384"/>
    <w:rsid w:val="3A8D1B94"/>
    <w:rsid w:val="3ABE7E6D"/>
    <w:rsid w:val="3B28531E"/>
    <w:rsid w:val="3B410AA9"/>
    <w:rsid w:val="3B434B5D"/>
    <w:rsid w:val="3B512C45"/>
    <w:rsid w:val="3B6D478E"/>
    <w:rsid w:val="3BB064FC"/>
    <w:rsid w:val="3BC95DA1"/>
    <w:rsid w:val="3BEE1859"/>
    <w:rsid w:val="3C025A83"/>
    <w:rsid w:val="3C0B4937"/>
    <w:rsid w:val="3C1B2328"/>
    <w:rsid w:val="3C834E15"/>
    <w:rsid w:val="3C937993"/>
    <w:rsid w:val="3CC01BC6"/>
    <w:rsid w:val="3CC20ED4"/>
    <w:rsid w:val="3CCB0F64"/>
    <w:rsid w:val="3CF35954"/>
    <w:rsid w:val="3D0616A6"/>
    <w:rsid w:val="3D3440FA"/>
    <w:rsid w:val="3D7D7B5B"/>
    <w:rsid w:val="3D8A7087"/>
    <w:rsid w:val="3DD73903"/>
    <w:rsid w:val="3E0A75D5"/>
    <w:rsid w:val="3E1201FF"/>
    <w:rsid w:val="3E921340"/>
    <w:rsid w:val="3EAB715E"/>
    <w:rsid w:val="3EF56C64"/>
    <w:rsid w:val="3EFD36E5"/>
    <w:rsid w:val="3F236827"/>
    <w:rsid w:val="3FC14728"/>
    <w:rsid w:val="40147FD7"/>
    <w:rsid w:val="403149DC"/>
    <w:rsid w:val="40402A78"/>
    <w:rsid w:val="4081166C"/>
    <w:rsid w:val="40C52CD1"/>
    <w:rsid w:val="40C66554"/>
    <w:rsid w:val="40D31FE7"/>
    <w:rsid w:val="411078CD"/>
    <w:rsid w:val="411F160C"/>
    <w:rsid w:val="41281AE7"/>
    <w:rsid w:val="413255B1"/>
    <w:rsid w:val="415A3295"/>
    <w:rsid w:val="415B0C46"/>
    <w:rsid w:val="415B6A48"/>
    <w:rsid w:val="416156AA"/>
    <w:rsid w:val="41803404"/>
    <w:rsid w:val="41E14722"/>
    <w:rsid w:val="42544AFB"/>
    <w:rsid w:val="42A50050"/>
    <w:rsid w:val="42D00689"/>
    <w:rsid w:val="42DE6715"/>
    <w:rsid w:val="42E5074D"/>
    <w:rsid w:val="42F14560"/>
    <w:rsid w:val="434B5F61"/>
    <w:rsid w:val="435C1F1C"/>
    <w:rsid w:val="43C4589B"/>
    <w:rsid w:val="43E715F4"/>
    <w:rsid w:val="43F35309"/>
    <w:rsid w:val="44066626"/>
    <w:rsid w:val="4413652A"/>
    <w:rsid w:val="44531571"/>
    <w:rsid w:val="446F6056"/>
    <w:rsid w:val="44913E48"/>
    <w:rsid w:val="44930A79"/>
    <w:rsid w:val="44BF2933"/>
    <w:rsid w:val="44C125DD"/>
    <w:rsid w:val="44C81F67"/>
    <w:rsid w:val="45117DDD"/>
    <w:rsid w:val="45154265"/>
    <w:rsid w:val="4528655A"/>
    <w:rsid w:val="45500BC7"/>
    <w:rsid w:val="45613685"/>
    <w:rsid w:val="45A87057"/>
    <w:rsid w:val="46033EED"/>
    <w:rsid w:val="46511AE0"/>
    <w:rsid w:val="46647A66"/>
    <w:rsid w:val="466B4B97"/>
    <w:rsid w:val="466C4816"/>
    <w:rsid w:val="46714521"/>
    <w:rsid w:val="46804174"/>
    <w:rsid w:val="469943E1"/>
    <w:rsid w:val="469B78E4"/>
    <w:rsid w:val="46D92C4C"/>
    <w:rsid w:val="46DD1652"/>
    <w:rsid w:val="4703600F"/>
    <w:rsid w:val="472B0583"/>
    <w:rsid w:val="472E0158"/>
    <w:rsid w:val="476E221E"/>
    <w:rsid w:val="4789176B"/>
    <w:rsid w:val="47F46C1C"/>
    <w:rsid w:val="480A0DBF"/>
    <w:rsid w:val="481D675B"/>
    <w:rsid w:val="48446415"/>
    <w:rsid w:val="484713ED"/>
    <w:rsid w:val="487D4E0F"/>
    <w:rsid w:val="48D5178D"/>
    <w:rsid w:val="49262358"/>
    <w:rsid w:val="496C5184"/>
    <w:rsid w:val="49B764FC"/>
    <w:rsid w:val="49C93C69"/>
    <w:rsid w:val="49E80350"/>
    <w:rsid w:val="49F34163"/>
    <w:rsid w:val="49F84D68"/>
    <w:rsid w:val="4A0C644A"/>
    <w:rsid w:val="4A267E35"/>
    <w:rsid w:val="4A5A3B7E"/>
    <w:rsid w:val="4A8D525B"/>
    <w:rsid w:val="4AEA33F6"/>
    <w:rsid w:val="4AF173EE"/>
    <w:rsid w:val="4B1132B6"/>
    <w:rsid w:val="4BD73978"/>
    <w:rsid w:val="4C23336B"/>
    <w:rsid w:val="4C237A7B"/>
    <w:rsid w:val="4C2D1ED9"/>
    <w:rsid w:val="4C5F7E0E"/>
    <w:rsid w:val="4C6D47B1"/>
    <w:rsid w:val="4C87411C"/>
    <w:rsid w:val="4CE71BB7"/>
    <w:rsid w:val="4CEC18C2"/>
    <w:rsid w:val="4CF5694E"/>
    <w:rsid w:val="4CFF45D5"/>
    <w:rsid w:val="4D1843F2"/>
    <w:rsid w:val="4D1C1E10"/>
    <w:rsid w:val="4D6E0B97"/>
    <w:rsid w:val="4D933355"/>
    <w:rsid w:val="4DB72290"/>
    <w:rsid w:val="4DF777F6"/>
    <w:rsid w:val="4E994E01"/>
    <w:rsid w:val="4ED667D8"/>
    <w:rsid w:val="4F2E52F4"/>
    <w:rsid w:val="4F4A4B47"/>
    <w:rsid w:val="4F552FB6"/>
    <w:rsid w:val="4F6B5159"/>
    <w:rsid w:val="4F840281"/>
    <w:rsid w:val="4F9111A0"/>
    <w:rsid w:val="4F963A1F"/>
    <w:rsid w:val="4FE65048"/>
    <w:rsid w:val="500001F2"/>
    <w:rsid w:val="50914350"/>
    <w:rsid w:val="50A433C7"/>
    <w:rsid w:val="50A82C45"/>
    <w:rsid w:val="50EA304C"/>
    <w:rsid w:val="51134562"/>
    <w:rsid w:val="511D6410"/>
    <w:rsid w:val="51524FFA"/>
    <w:rsid w:val="51583D23"/>
    <w:rsid w:val="51F530A5"/>
    <w:rsid w:val="51FF2B94"/>
    <w:rsid w:val="524C7CB5"/>
    <w:rsid w:val="528172AA"/>
    <w:rsid w:val="52C535BF"/>
    <w:rsid w:val="52E75090"/>
    <w:rsid w:val="531138D4"/>
    <w:rsid w:val="53183661"/>
    <w:rsid w:val="538C1421"/>
    <w:rsid w:val="53B13BBE"/>
    <w:rsid w:val="53B21163"/>
    <w:rsid w:val="53C57104"/>
    <w:rsid w:val="5409239C"/>
    <w:rsid w:val="54E0475B"/>
    <w:rsid w:val="54F76864"/>
    <w:rsid w:val="55145A25"/>
    <w:rsid w:val="553E2FE6"/>
    <w:rsid w:val="55442971"/>
    <w:rsid w:val="554747DA"/>
    <w:rsid w:val="55860BAB"/>
    <w:rsid w:val="559519EA"/>
    <w:rsid w:val="55B02285"/>
    <w:rsid w:val="55E31575"/>
    <w:rsid w:val="561072C2"/>
    <w:rsid w:val="56313160"/>
    <w:rsid w:val="564927D4"/>
    <w:rsid w:val="565518B4"/>
    <w:rsid w:val="56777341"/>
    <w:rsid w:val="56A35C41"/>
    <w:rsid w:val="56C4796A"/>
    <w:rsid w:val="56C97D88"/>
    <w:rsid w:val="56F16805"/>
    <w:rsid w:val="57684BF4"/>
    <w:rsid w:val="577473DD"/>
    <w:rsid w:val="579E3D67"/>
    <w:rsid w:val="57AF3D7C"/>
    <w:rsid w:val="57B07556"/>
    <w:rsid w:val="57D4087C"/>
    <w:rsid w:val="57E45843"/>
    <w:rsid w:val="57EE6F82"/>
    <w:rsid w:val="580419E0"/>
    <w:rsid w:val="58930993"/>
    <w:rsid w:val="58A85581"/>
    <w:rsid w:val="58BF6C57"/>
    <w:rsid w:val="58E63D77"/>
    <w:rsid w:val="59017396"/>
    <w:rsid w:val="59227449"/>
    <w:rsid w:val="593F76D1"/>
    <w:rsid w:val="59635CB4"/>
    <w:rsid w:val="598C1076"/>
    <w:rsid w:val="59A05CA7"/>
    <w:rsid w:val="59C43254"/>
    <w:rsid w:val="59CC1E60"/>
    <w:rsid w:val="5A5B044A"/>
    <w:rsid w:val="5A754877"/>
    <w:rsid w:val="5A964DAC"/>
    <w:rsid w:val="5AF041C1"/>
    <w:rsid w:val="5B0E18F6"/>
    <w:rsid w:val="5B2E6224"/>
    <w:rsid w:val="5B4B48F9"/>
    <w:rsid w:val="5B5154DF"/>
    <w:rsid w:val="5B590DC3"/>
    <w:rsid w:val="5B5A5DEF"/>
    <w:rsid w:val="5B723F21"/>
    <w:rsid w:val="5B75441A"/>
    <w:rsid w:val="5BA7046C"/>
    <w:rsid w:val="5BC81ACB"/>
    <w:rsid w:val="5C3E620B"/>
    <w:rsid w:val="5C4F5402"/>
    <w:rsid w:val="5CAD799A"/>
    <w:rsid w:val="5CAE541B"/>
    <w:rsid w:val="5CD652DB"/>
    <w:rsid w:val="5CE42072"/>
    <w:rsid w:val="5D327BF3"/>
    <w:rsid w:val="5D3459DA"/>
    <w:rsid w:val="5D796694"/>
    <w:rsid w:val="5D7D25F1"/>
    <w:rsid w:val="5D850596"/>
    <w:rsid w:val="5D971696"/>
    <w:rsid w:val="5DA80EB7"/>
    <w:rsid w:val="5DAD53F7"/>
    <w:rsid w:val="5DC5373F"/>
    <w:rsid w:val="5DDE1391"/>
    <w:rsid w:val="5DE508DD"/>
    <w:rsid w:val="5E055233"/>
    <w:rsid w:val="5E4D7446"/>
    <w:rsid w:val="5E8C5954"/>
    <w:rsid w:val="5E8F1553"/>
    <w:rsid w:val="5E9F131C"/>
    <w:rsid w:val="5EAB19DE"/>
    <w:rsid w:val="5EAC7460"/>
    <w:rsid w:val="5EB3266E"/>
    <w:rsid w:val="5ECB7D14"/>
    <w:rsid w:val="5EDD34B2"/>
    <w:rsid w:val="5F0135F2"/>
    <w:rsid w:val="5F0E3C81"/>
    <w:rsid w:val="5F3758C0"/>
    <w:rsid w:val="5F487ACD"/>
    <w:rsid w:val="5F7771DF"/>
    <w:rsid w:val="5F7F5239"/>
    <w:rsid w:val="5FB52C88"/>
    <w:rsid w:val="5FB567E4"/>
    <w:rsid w:val="5FCC5339"/>
    <w:rsid w:val="5FE1040E"/>
    <w:rsid w:val="60021F8F"/>
    <w:rsid w:val="600F12A5"/>
    <w:rsid w:val="601644B3"/>
    <w:rsid w:val="603040BD"/>
    <w:rsid w:val="60522285"/>
    <w:rsid w:val="608E53F7"/>
    <w:rsid w:val="60B430B8"/>
    <w:rsid w:val="60DB1BA6"/>
    <w:rsid w:val="60E94998"/>
    <w:rsid w:val="61316E0F"/>
    <w:rsid w:val="613513DF"/>
    <w:rsid w:val="61B451D9"/>
    <w:rsid w:val="61C144EF"/>
    <w:rsid w:val="623835D2"/>
    <w:rsid w:val="623C3E38"/>
    <w:rsid w:val="624A314E"/>
    <w:rsid w:val="62682941"/>
    <w:rsid w:val="62716891"/>
    <w:rsid w:val="62774225"/>
    <w:rsid w:val="629224CF"/>
    <w:rsid w:val="62A42563"/>
    <w:rsid w:val="62A80F69"/>
    <w:rsid w:val="62AD53F1"/>
    <w:rsid w:val="62DB0C58"/>
    <w:rsid w:val="63163A33"/>
    <w:rsid w:val="632C30AB"/>
    <w:rsid w:val="633A04D8"/>
    <w:rsid w:val="634D3C76"/>
    <w:rsid w:val="636F1287"/>
    <w:rsid w:val="636F54AF"/>
    <w:rsid w:val="63811F28"/>
    <w:rsid w:val="63860BC4"/>
    <w:rsid w:val="63B514A9"/>
    <w:rsid w:val="63D506D7"/>
    <w:rsid w:val="645B1C35"/>
    <w:rsid w:val="64BD2457"/>
    <w:rsid w:val="64D77000"/>
    <w:rsid w:val="64E57E73"/>
    <w:rsid w:val="64EA021F"/>
    <w:rsid w:val="65024FE6"/>
    <w:rsid w:val="65084598"/>
    <w:rsid w:val="65130235"/>
    <w:rsid w:val="653B6D24"/>
    <w:rsid w:val="653C0F22"/>
    <w:rsid w:val="65744900"/>
    <w:rsid w:val="65B221E6"/>
    <w:rsid w:val="65B74107"/>
    <w:rsid w:val="66094DF3"/>
    <w:rsid w:val="66293129"/>
    <w:rsid w:val="66326DE1"/>
    <w:rsid w:val="66595E77"/>
    <w:rsid w:val="665C3044"/>
    <w:rsid w:val="66B76211"/>
    <w:rsid w:val="66D85CF0"/>
    <w:rsid w:val="67007749"/>
    <w:rsid w:val="67590BF3"/>
    <w:rsid w:val="67682089"/>
    <w:rsid w:val="685A43CD"/>
    <w:rsid w:val="687436E1"/>
    <w:rsid w:val="688A5D61"/>
    <w:rsid w:val="68A2033A"/>
    <w:rsid w:val="68DA5483"/>
    <w:rsid w:val="69407A67"/>
    <w:rsid w:val="6942333C"/>
    <w:rsid w:val="694330B3"/>
    <w:rsid w:val="697C221C"/>
    <w:rsid w:val="69A2602B"/>
    <w:rsid w:val="6A06480C"/>
    <w:rsid w:val="6A1A7F8A"/>
    <w:rsid w:val="6A337CCF"/>
    <w:rsid w:val="6A47646D"/>
    <w:rsid w:val="6A5175BC"/>
    <w:rsid w:val="6A6C53A8"/>
    <w:rsid w:val="6A7514CE"/>
    <w:rsid w:val="6A837C0B"/>
    <w:rsid w:val="6AD172CA"/>
    <w:rsid w:val="6ADF6E0B"/>
    <w:rsid w:val="6B0A61AB"/>
    <w:rsid w:val="6B5A17AD"/>
    <w:rsid w:val="6B726E54"/>
    <w:rsid w:val="6BAB02B2"/>
    <w:rsid w:val="6BBB571F"/>
    <w:rsid w:val="6BDB0F05"/>
    <w:rsid w:val="6CA67251"/>
    <w:rsid w:val="6CAF118B"/>
    <w:rsid w:val="6CC54282"/>
    <w:rsid w:val="6CDC6D8E"/>
    <w:rsid w:val="6CF9123E"/>
    <w:rsid w:val="6D031699"/>
    <w:rsid w:val="6D151A83"/>
    <w:rsid w:val="6D3F614A"/>
    <w:rsid w:val="6D67188D"/>
    <w:rsid w:val="6D9764FF"/>
    <w:rsid w:val="6DA74875"/>
    <w:rsid w:val="6DCA02AD"/>
    <w:rsid w:val="6DCA3DA3"/>
    <w:rsid w:val="6DE03D66"/>
    <w:rsid w:val="6DF95579"/>
    <w:rsid w:val="6DFB0400"/>
    <w:rsid w:val="6E185E2D"/>
    <w:rsid w:val="6E1D2124"/>
    <w:rsid w:val="6E2E6EEA"/>
    <w:rsid w:val="6ECF7B5A"/>
    <w:rsid w:val="6EDD4233"/>
    <w:rsid w:val="6F0931B7"/>
    <w:rsid w:val="6F096A3B"/>
    <w:rsid w:val="6F80157A"/>
    <w:rsid w:val="6FAC2771"/>
    <w:rsid w:val="6FB645D5"/>
    <w:rsid w:val="6FC82564"/>
    <w:rsid w:val="6FF536C2"/>
    <w:rsid w:val="70082960"/>
    <w:rsid w:val="70310A83"/>
    <w:rsid w:val="70B7547C"/>
    <w:rsid w:val="70BA6401"/>
    <w:rsid w:val="70D30A99"/>
    <w:rsid w:val="71186BD3"/>
    <w:rsid w:val="71974AEA"/>
    <w:rsid w:val="71A5490B"/>
    <w:rsid w:val="71CD2FDE"/>
    <w:rsid w:val="71D51B6D"/>
    <w:rsid w:val="72086C48"/>
    <w:rsid w:val="723301EC"/>
    <w:rsid w:val="728D3D7E"/>
    <w:rsid w:val="729D55E2"/>
    <w:rsid w:val="72A02D9E"/>
    <w:rsid w:val="72CC236B"/>
    <w:rsid w:val="72D60AF4"/>
    <w:rsid w:val="72DF0305"/>
    <w:rsid w:val="72E05D86"/>
    <w:rsid w:val="72E70F53"/>
    <w:rsid w:val="730B6BCA"/>
    <w:rsid w:val="731971E5"/>
    <w:rsid w:val="73250AF8"/>
    <w:rsid w:val="733817AF"/>
    <w:rsid w:val="73487C44"/>
    <w:rsid w:val="73D75019"/>
    <w:rsid w:val="73E865B9"/>
    <w:rsid w:val="74195A99"/>
    <w:rsid w:val="74221C16"/>
    <w:rsid w:val="744246C9"/>
    <w:rsid w:val="744F7262"/>
    <w:rsid w:val="7468238A"/>
    <w:rsid w:val="74694588"/>
    <w:rsid w:val="748B5C62"/>
    <w:rsid w:val="74E12C34"/>
    <w:rsid w:val="753417CF"/>
    <w:rsid w:val="75DB226C"/>
    <w:rsid w:val="75E44CC4"/>
    <w:rsid w:val="761323C6"/>
    <w:rsid w:val="761413B6"/>
    <w:rsid w:val="76357511"/>
    <w:rsid w:val="76380DE0"/>
    <w:rsid w:val="765267D9"/>
    <w:rsid w:val="76617F46"/>
    <w:rsid w:val="76754F3C"/>
    <w:rsid w:val="767E1BCE"/>
    <w:rsid w:val="768A3309"/>
    <w:rsid w:val="76903014"/>
    <w:rsid w:val="769E63CC"/>
    <w:rsid w:val="76AC4B43"/>
    <w:rsid w:val="76CC46E8"/>
    <w:rsid w:val="76F374B5"/>
    <w:rsid w:val="772B760F"/>
    <w:rsid w:val="773E082E"/>
    <w:rsid w:val="77610DB1"/>
    <w:rsid w:val="77715A51"/>
    <w:rsid w:val="77EE068E"/>
    <w:rsid w:val="77F54AD9"/>
    <w:rsid w:val="782D04B7"/>
    <w:rsid w:val="788334CC"/>
    <w:rsid w:val="78952465"/>
    <w:rsid w:val="78A13CF9"/>
    <w:rsid w:val="78D369EC"/>
    <w:rsid w:val="79321F63"/>
    <w:rsid w:val="79697EBE"/>
    <w:rsid w:val="79870D9A"/>
    <w:rsid w:val="79AA6729"/>
    <w:rsid w:val="79B017FC"/>
    <w:rsid w:val="7A1F66E8"/>
    <w:rsid w:val="7A3C4EF3"/>
    <w:rsid w:val="7A5336BF"/>
    <w:rsid w:val="7A600BD2"/>
    <w:rsid w:val="7A6A66F1"/>
    <w:rsid w:val="7A886B78"/>
    <w:rsid w:val="7AC5601E"/>
    <w:rsid w:val="7B240194"/>
    <w:rsid w:val="7B3311D9"/>
    <w:rsid w:val="7B46305F"/>
    <w:rsid w:val="7B4B5E55"/>
    <w:rsid w:val="7B4E03E0"/>
    <w:rsid w:val="7BE527D1"/>
    <w:rsid w:val="7BE75CD4"/>
    <w:rsid w:val="7C2826E5"/>
    <w:rsid w:val="7C3554D1"/>
    <w:rsid w:val="7C3E66E2"/>
    <w:rsid w:val="7C526C04"/>
    <w:rsid w:val="7C7A771D"/>
    <w:rsid w:val="7C885555"/>
    <w:rsid w:val="7CC51E3F"/>
    <w:rsid w:val="7CF6426C"/>
    <w:rsid w:val="7CF77196"/>
    <w:rsid w:val="7D205B85"/>
    <w:rsid w:val="7D260BDE"/>
    <w:rsid w:val="7D2E5FEB"/>
    <w:rsid w:val="7D2F63A0"/>
    <w:rsid w:val="7D304D71"/>
    <w:rsid w:val="7D341239"/>
    <w:rsid w:val="7D4C003E"/>
    <w:rsid w:val="7DB7244E"/>
    <w:rsid w:val="7DDF1692"/>
    <w:rsid w:val="7E10135E"/>
    <w:rsid w:val="7E1A042F"/>
    <w:rsid w:val="7E1D280B"/>
    <w:rsid w:val="7E3620A1"/>
    <w:rsid w:val="7E6924EF"/>
    <w:rsid w:val="7EC8769E"/>
    <w:rsid w:val="7EF620F8"/>
    <w:rsid w:val="7EFF756B"/>
    <w:rsid w:val="7F653A26"/>
    <w:rsid w:val="7F8C5C7D"/>
    <w:rsid w:val="7FEA29E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400" w:lineRule="exact"/>
      <w:jc w:val="both"/>
    </w:pPr>
    <w:rPr>
      <w:rFonts w:ascii="Calibri Light" w:hAnsi="Calibri Light" w:eastAsia="华文仿宋" w:cs="Times New Roman"/>
      <w:kern w:val="2"/>
      <w:sz w:val="28"/>
      <w:szCs w:val="28"/>
      <w:lang w:val="en-US" w:eastAsia="zh-CN" w:bidi="ar-SA"/>
    </w:rPr>
  </w:style>
  <w:style w:type="paragraph" w:styleId="3">
    <w:name w:val="heading 1"/>
    <w:basedOn w:val="1"/>
    <w:next w:val="1"/>
    <w:link w:val="49"/>
    <w:qFormat/>
    <w:uiPriority w:val="99"/>
    <w:pPr>
      <w:keepNext/>
      <w:keepLines/>
      <w:spacing w:line="240" w:lineRule="auto"/>
      <w:jc w:val="center"/>
      <w:outlineLvl w:val="0"/>
    </w:pPr>
    <w:rPr>
      <w:b/>
      <w:bCs/>
      <w:kern w:val="44"/>
      <w:sz w:val="36"/>
      <w:szCs w:val="44"/>
    </w:rPr>
  </w:style>
  <w:style w:type="paragraph" w:styleId="4">
    <w:name w:val="heading 2"/>
    <w:basedOn w:val="1"/>
    <w:next w:val="5"/>
    <w:link w:val="50"/>
    <w:qFormat/>
    <w:uiPriority w:val="99"/>
    <w:pPr>
      <w:keepNext/>
      <w:keepLines/>
      <w:spacing w:line="240" w:lineRule="auto"/>
      <w:outlineLvl w:val="1"/>
    </w:pPr>
    <w:rPr>
      <w:rFonts w:ascii="Calibri" w:hAnsi="Calibri"/>
      <w:b/>
      <w:bCs/>
      <w:sz w:val="32"/>
      <w:szCs w:val="32"/>
    </w:rPr>
  </w:style>
  <w:style w:type="paragraph" w:styleId="6">
    <w:name w:val="heading 3"/>
    <w:basedOn w:val="1"/>
    <w:next w:val="5"/>
    <w:link w:val="51"/>
    <w:qFormat/>
    <w:uiPriority w:val="99"/>
    <w:pPr>
      <w:keepNext/>
      <w:keepLines/>
      <w:spacing w:line="400" w:lineRule="atLeast"/>
      <w:jc w:val="center"/>
      <w:outlineLvl w:val="2"/>
    </w:pPr>
    <w:rPr>
      <w:b/>
      <w:bCs/>
      <w:sz w:val="32"/>
      <w:szCs w:val="32"/>
      <w:u w:val="double"/>
    </w:rPr>
  </w:style>
  <w:style w:type="paragraph" w:styleId="7">
    <w:name w:val="heading 4"/>
    <w:basedOn w:val="1"/>
    <w:next w:val="1"/>
    <w:link w:val="87"/>
    <w:qFormat/>
    <w:uiPriority w:val="99"/>
    <w:pPr>
      <w:ind w:left="724"/>
      <w:outlineLvl w:val="3"/>
    </w:pPr>
    <w:rPr>
      <w:rFonts w:ascii="仿宋" w:hAnsi="仿宋" w:eastAsia="仿宋" w:cs="仿宋"/>
      <w:b/>
      <w:bCs/>
      <w:lang w:val="ja-JP" w:eastAsia="ja-JP" w:bidi="ja-JP"/>
    </w:rPr>
  </w:style>
  <w:style w:type="character" w:default="1" w:styleId="37">
    <w:name w:val="Default Paragraph Font"/>
    <w:semiHidden/>
    <w:unhideWhenUsed/>
    <w:qFormat/>
    <w:uiPriority w:val="1"/>
  </w:style>
  <w:style w:type="table" w:default="1" w:styleId="3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88"/>
    <w:qFormat/>
    <w:uiPriority w:val="99"/>
    <w:rPr>
      <w:rFonts w:ascii="仿宋" w:hAnsi="仿宋" w:eastAsia="仿宋" w:cs="仿宋"/>
      <w:lang w:val="ja-JP" w:eastAsia="ja-JP" w:bidi="ja-JP"/>
    </w:rPr>
  </w:style>
  <w:style w:type="paragraph" w:styleId="5">
    <w:name w:val="Normal Indent"/>
    <w:basedOn w:val="1"/>
    <w:qFormat/>
    <w:uiPriority w:val="99"/>
    <w:pPr>
      <w:widowControl w:val="0"/>
      <w:spacing w:line="240" w:lineRule="auto"/>
      <w:ind w:firstLine="420"/>
    </w:pPr>
    <w:rPr>
      <w:rFonts w:ascii="Calibri" w:hAnsi="Calibri" w:eastAsia="宋体" w:cs="Calibri"/>
      <w:sz w:val="21"/>
      <w:szCs w:val="21"/>
    </w:rPr>
  </w:style>
  <w:style w:type="paragraph" w:styleId="8">
    <w:name w:val="toc 7"/>
    <w:basedOn w:val="1"/>
    <w:next w:val="1"/>
    <w:unhideWhenUsed/>
    <w:qFormat/>
    <w:uiPriority w:val="39"/>
    <w:pPr>
      <w:ind w:left="1680"/>
      <w:jc w:val="left"/>
    </w:pPr>
    <w:rPr>
      <w:rFonts w:asciiTheme="minorHAnsi" w:hAnsiTheme="minorHAnsi"/>
      <w:sz w:val="18"/>
      <w:szCs w:val="18"/>
    </w:rPr>
  </w:style>
  <w:style w:type="paragraph" w:styleId="9">
    <w:name w:val="Document Map"/>
    <w:basedOn w:val="1"/>
    <w:link w:val="52"/>
    <w:qFormat/>
    <w:uiPriority w:val="99"/>
    <w:rPr>
      <w:rFonts w:ascii="宋体" w:eastAsia="宋体"/>
      <w:sz w:val="18"/>
      <w:szCs w:val="18"/>
    </w:rPr>
  </w:style>
  <w:style w:type="paragraph" w:styleId="10">
    <w:name w:val="toa heading"/>
    <w:basedOn w:val="1"/>
    <w:next w:val="1"/>
    <w:unhideWhenUsed/>
    <w:qFormat/>
    <w:uiPriority w:val="0"/>
    <w:pPr>
      <w:spacing w:before="120"/>
    </w:pPr>
    <w:rPr>
      <w:rFonts w:asciiTheme="majorHAnsi" w:hAnsiTheme="majorHAnsi" w:cstheme="majorBidi"/>
      <w:sz w:val="24"/>
    </w:rPr>
  </w:style>
  <w:style w:type="paragraph" w:styleId="11">
    <w:name w:val="annotation text"/>
    <w:basedOn w:val="1"/>
    <w:link w:val="90"/>
    <w:semiHidden/>
    <w:qFormat/>
    <w:uiPriority w:val="99"/>
    <w:pPr>
      <w:widowControl w:val="0"/>
      <w:spacing w:line="240" w:lineRule="auto"/>
      <w:jc w:val="left"/>
    </w:pPr>
    <w:rPr>
      <w:rFonts w:ascii="宋体" w:hAnsi="Calibri" w:eastAsia="宋体" w:cs="宋体"/>
      <w:kern w:val="0"/>
      <w:sz w:val="34"/>
      <w:szCs w:val="34"/>
    </w:rPr>
  </w:style>
  <w:style w:type="paragraph" w:styleId="12">
    <w:name w:val="Body Text Indent"/>
    <w:basedOn w:val="1"/>
    <w:link w:val="91"/>
    <w:qFormat/>
    <w:uiPriority w:val="99"/>
    <w:pPr>
      <w:widowControl w:val="0"/>
      <w:spacing w:after="120" w:line="240" w:lineRule="auto"/>
      <w:ind w:left="420" w:leftChars="200"/>
    </w:pPr>
    <w:rPr>
      <w:rFonts w:ascii="Calibri" w:hAnsi="Calibri" w:eastAsia="宋体" w:cs="Calibri"/>
      <w:sz w:val="21"/>
      <w:szCs w:val="21"/>
    </w:rPr>
  </w:style>
  <w:style w:type="paragraph" w:styleId="13">
    <w:name w:val="toc 5"/>
    <w:basedOn w:val="1"/>
    <w:next w:val="1"/>
    <w:unhideWhenUsed/>
    <w:qFormat/>
    <w:uiPriority w:val="39"/>
    <w:pPr>
      <w:ind w:left="1120"/>
      <w:jc w:val="left"/>
    </w:pPr>
    <w:rPr>
      <w:rFonts w:asciiTheme="minorHAnsi" w:hAnsiTheme="minorHAnsi"/>
      <w:sz w:val="18"/>
      <w:szCs w:val="18"/>
    </w:rPr>
  </w:style>
  <w:style w:type="paragraph" w:styleId="14">
    <w:name w:val="toc 3"/>
    <w:basedOn w:val="1"/>
    <w:next w:val="1"/>
    <w:unhideWhenUsed/>
    <w:qFormat/>
    <w:uiPriority w:val="39"/>
    <w:pPr>
      <w:ind w:left="560"/>
      <w:jc w:val="left"/>
    </w:pPr>
    <w:rPr>
      <w:rFonts w:asciiTheme="minorHAnsi" w:hAnsiTheme="minorHAnsi"/>
      <w:i/>
      <w:iCs/>
      <w:sz w:val="20"/>
      <w:szCs w:val="20"/>
    </w:rPr>
  </w:style>
  <w:style w:type="paragraph" w:styleId="15">
    <w:name w:val="Plain Text"/>
    <w:basedOn w:val="1"/>
    <w:link w:val="53"/>
    <w:qFormat/>
    <w:uiPriority w:val="0"/>
    <w:rPr>
      <w:rFonts w:ascii="宋体" w:hAnsi="Courier New" w:eastAsia="宋体" w:cs="Courier New"/>
      <w:sz w:val="21"/>
      <w:szCs w:val="21"/>
    </w:rPr>
  </w:style>
  <w:style w:type="paragraph" w:styleId="16">
    <w:name w:val="toc 8"/>
    <w:basedOn w:val="1"/>
    <w:next w:val="1"/>
    <w:unhideWhenUsed/>
    <w:qFormat/>
    <w:uiPriority w:val="39"/>
    <w:pPr>
      <w:ind w:left="1960"/>
      <w:jc w:val="left"/>
    </w:pPr>
    <w:rPr>
      <w:rFonts w:asciiTheme="minorHAnsi" w:hAnsiTheme="minorHAnsi"/>
      <w:sz w:val="18"/>
      <w:szCs w:val="18"/>
    </w:rPr>
  </w:style>
  <w:style w:type="paragraph" w:styleId="17">
    <w:name w:val="Date"/>
    <w:basedOn w:val="1"/>
    <w:next w:val="1"/>
    <w:link w:val="54"/>
    <w:qFormat/>
    <w:uiPriority w:val="0"/>
    <w:pPr>
      <w:ind w:left="100" w:leftChars="2500"/>
    </w:pPr>
  </w:style>
  <w:style w:type="paragraph" w:styleId="18">
    <w:name w:val="Body Text Indent 2"/>
    <w:basedOn w:val="1"/>
    <w:link w:val="92"/>
    <w:qFormat/>
    <w:uiPriority w:val="99"/>
    <w:pPr>
      <w:widowControl w:val="0"/>
      <w:spacing w:after="120" w:line="480" w:lineRule="auto"/>
      <w:ind w:left="420" w:leftChars="200"/>
    </w:pPr>
    <w:rPr>
      <w:rFonts w:ascii="Calibri" w:hAnsi="Calibri" w:eastAsia="宋体" w:cs="Calibri"/>
      <w:sz w:val="21"/>
      <w:szCs w:val="21"/>
    </w:rPr>
  </w:style>
  <w:style w:type="paragraph" w:styleId="19">
    <w:name w:val="Balloon Text"/>
    <w:basedOn w:val="1"/>
    <w:link w:val="55"/>
    <w:qFormat/>
    <w:uiPriority w:val="99"/>
    <w:pPr>
      <w:spacing w:line="240" w:lineRule="auto"/>
    </w:pPr>
    <w:rPr>
      <w:sz w:val="18"/>
      <w:szCs w:val="18"/>
    </w:rPr>
  </w:style>
  <w:style w:type="paragraph" w:styleId="20">
    <w:name w:val="footer"/>
    <w:basedOn w:val="1"/>
    <w:link w:val="56"/>
    <w:qFormat/>
    <w:uiPriority w:val="99"/>
    <w:pPr>
      <w:widowControl w:val="0"/>
      <w:tabs>
        <w:tab w:val="center" w:pos="4153"/>
        <w:tab w:val="right" w:pos="8306"/>
      </w:tabs>
      <w:snapToGrid w:val="0"/>
      <w:spacing w:line="240" w:lineRule="auto"/>
      <w:jc w:val="left"/>
    </w:pPr>
    <w:rPr>
      <w:kern w:val="0"/>
      <w:sz w:val="18"/>
      <w:szCs w:val="20"/>
    </w:rPr>
  </w:style>
  <w:style w:type="paragraph" w:styleId="21">
    <w:name w:val="header"/>
    <w:basedOn w:val="1"/>
    <w:link w:val="57"/>
    <w:qFormat/>
    <w:uiPriority w:val="99"/>
    <w:pPr>
      <w:widowControl w:val="0"/>
      <w:pBdr>
        <w:bottom w:val="single" w:color="auto" w:sz="6" w:space="1"/>
      </w:pBdr>
      <w:tabs>
        <w:tab w:val="center" w:pos="4153"/>
        <w:tab w:val="right" w:pos="8306"/>
      </w:tabs>
      <w:snapToGrid w:val="0"/>
      <w:spacing w:line="240" w:lineRule="auto"/>
      <w:jc w:val="center"/>
    </w:pPr>
    <w:rPr>
      <w:kern w:val="0"/>
      <w:sz w:val="18"/>
      <w:szCs w:val="20"/>
    </w:rPr>
  </w:style>
  <w:style w:type="paragraph" w:styleId="22">
    <w:name w:val="toc 1"/>
    <w:basedOn w:val="1"/>
    <w:next w:val="1"/>
    <w:qFormat/>
    <w:uiPriority w:val="39"/>
    <w:pPr>
      <w:spacing w:before="120" w:after="120"/>
      <w:jc w:val="left"/>
    </w:pPr>
    <w:rPr>
      <w:rFonts w:asciiTheme="minorHAnsi" w:hAnsiTheme="minorHAnsi"/>
      <w:b/>
      <w:bCs/>
      <w:caps/>
      <w:sz w:val="20"/>
      <w:szCs w:val="20"/>
    </w:rPr>
  </w:style>
  <w:style w:type="paragraph" w:styleId="23">
    <w:name w:val="toc 4"/>
    <w:basedOn w:val="1"/>
    <w:next w:val="1"/>
    <w:unhideWhenUsed/>
    <w:qFormat/>
    <w:uiPriority w:val="39"/>
    <w:pPr>
      <w:ind w:left="840"/>
      <w:jc w:val="left"/>
    </w:pPr>
    <w:rPr>
      <w:rFonts w:asciiTheme="minorHAnsi" w:hAnsiTheme="minorHAnsi"/>
      <w:sz w:val="18"/>
      <w:szCs w:val="18"/>
    </w:rPr>
  </w:style>
  <w:style w:type="paragraph" w:styleId="24">
    <w:name w:val="footnote text"/>
    <w:basedOn w:val="1"/>
    <w:link w:val="93"/>
    <w:semiHidden/>
    <w:unhideWhenUsed/>
    <w:qFormat/>
    <w:uiPriority w:val="99"/>
    <w:pPr>
      <w:widowControl w:val="0"/>
      <w:snapToGrid w:val="0"/>
      <w:spacing w:line="240" w:lineRule="auto"/>
      <w:jc w:val="left"/>
    </w:pPr>
    <w:rPr>
      <w:rFonts w:ascii="Calibri" w:hAnsi="Calibri" w:eastAsia="宋体" w:cs="Calibri"/>
      <w:sz w:val="18"/>
      <w:szCs w:val="21"/>
    </w:rPr>
  </w:style>
  <w:style w:type="paragraph" w:styleId="25">
    <w:name w:val="toc 6"/>
    <w:basedOn w:val="1"/>
    <w:next w:val="1"/>
    <w:unhideWhenUsed/>
    <w:qFormat/>
    <w:uiPriority w:val="39"/>
    <w:pPr>
      <w:ind w:left="1400"/>
      <w:jc w:val="left"/>
    </w:pPr>
    <w:rPr>
      <w:rFonts w:asciiTheme="minorHAnsi" w:hAnsiTheme="minorHAnsi"/>
      <w:sz w:val="18"/>
      <w:szCs w:val="18"/>
    </w:rPr>
  </w:style>
  <w:style w:type="paragraph" w:styleId="26">
    <w:name w:val="Body Text Indent 3"/>
    <w:basedOn w:val="1"/>
    <w:qFormat/>
    <w:uiPriority w:val="99"/>
    <w:pPr>
      <w:spacing w:after="120"/>
      <w:ind w:left="420" w:leftChars="200"/>
    </w:pPr>
    <w:rPr>
      <w:sz w:val="16"/>
      <w:szCs w:val="16"/>
    </w:rPr>
  </w:style>
  <w:style w:type="paragraph" w:styleId="27">
    <w:name w:val="toc 2"/>
    <w:basedOn w:val="1"/>
    <w:next w:val="1"/>
    <w:unhideWhenUsed/>
    <w:qFormat/>
    <w:uiPriority w:val="39"/>
    <w:pPr>
      <w:ind w:left="280"/>
      <w:jc w:val="left"/>
    </w:pPr>
    <w:rPr>
      <w:rFonts w:asciiTheme="minorHAnsi" w:hAnsiTheme="minorHAnsi"/>
      <w:smallCaps/>
      <w:sz w:val="20"/>
      <w:szCs w:val="20"/>
    </w:rPr>
  </w:style>
  <w:style w:type="paragraph" w:styleId="28">
    <w:name w:val="toc 9"/>
    <w:basedOn w:val="1"/>
    <w:next w:val="1"/>
    <w:unhideWhenUsed/>
    <w:qFormat/>
    <w:uiPriority w:val="39"/>
    <w:pPr>
      <w:ind w:left="2240"/>
      <w:jc w:val="left"/>
    </w:pPr>
    <w:rPr>
      <w:rFonts w:asciiTheme="minorHAnsi" w:hAnsiTheme="minorHAnsi"/>
      <w:sz w:val="18"/>
      <w:szCs w:val="18"/>
    </w:rPr>
  </w:style>
  <w:style w:type="paragraph" w:styleId="29">
    <w:name w:val="Body Text 2"/>
    <w:basedOn w:val="1"/>
    <w:link w:val="95"/>
    <w:qFormat/>
    <w:uiPriority w:val="99"/>
    <w:pPr>
      <w:adjustRightInd w:val="0"/>
      <w:snapToGrid w:val="0"/>
      <w:spacing w:line="480" w:lineRule="atLeast"/>
    </w:pPr>
    <w:rPr>
      <w:rFonts w:ascii="宋体" w:hAnsi="宋体"/>
    </w:rPr>
  </w:style>
  <w:style w:type="paragraph" w:styleId="30">
    <w:name w:val="Normal (Web)"/>
    <w:basedOn w:val="1"/>
    <w:qFormat/>
    <w:uiPriority w:val="99"/>
    <w:pPr>
      <w:spacing w:beforeAutospacing="1" w:afterAutospacing="1"/>
      <w:jc w:val="left"/>
    </w:pPr>
    <w:rPr>
      <w:kern w:val="0"/>
      <w:sz w:val="24"/>
    </w:rPr>
  </w:style>
  <w:style w:type="paragraph" w:styleId="31">
    <w:name w:val="Title"/>
    <w:basedOn w:val="1"/>
    <w:next w:val="1"/>
    <w:qFormat/>
    <w:uiPriority w:val="0"/>
    <w:pPr>
      <w:spacing w:before="240" w:after="60"/>
      <w:jc w:val="center"/>
      <w:outlineLvl w:val="0"/>
    </w:pPr>
    <w:rPr>
      <w:rFonts w:ascii="Cambria" w:hAnsi="Cambria" w:cs="Times New Roman"/>
      <w:b/>
      <w:bCs/>
      <w:sz w:val="32"/>
      <w:szCs w:val="32"/>
    </w:rPr>
  </w:style>
  <w:style w:type="paragraph" w:styleId="32">
    <w:name w:val="annotation subject"/>
    <w:basedOn w:val="11"/>
    <w:next w:val="11"/>
    <w:link w:val="94"/>
    <w:semiHidden/>
    <w:unhideWhenUsed/>
    <w:qFormat/>
    <w:uiPriority w:val="99"/>
    <w:rPr>
      <w:rFonts w:ascii="Calibri" w:cs="Calibri"/>
      <w:b/>
      <w:bCs/>
      <w:kern w:val="2"/>
      <w:sz w:val="21"/>
      <w:szCs w:val="21"/>
    </w:rPr>
  </w:style>
  <w:style w:type="paragraph" w:styleId="33">
    <w:name w:val="Body Text First Indent"/>
    <w:basedOn w:val="2"/>
    <w:qFormat/>
    <w:uiPriority w:val="0"/>
    <w:pPr>
      <w:ind w:firstLine="420" w:firstLineChars="100"/>
    </w:pPr>
  </w:style>
  <w:style w:type="paragraph" w:styleId="34">
    <w:name w:val="Body Text First Indent 2"/>
    <w:basedOn w:val="12"/>
    <w:qFormat/>
    <w:uiPriority w:val="99"/>
    <w:pPr>
      <w:tabs>
        <w:tab w:val="left" w:pos="4900"/>
      </w:tabs>
      <w:ind w:firstLine="420" w:firstLineChars="200"/>
    </w:pPr>
  </w:style>
  <w:style w:type="table" w:styleId="36">
    <w:name w:val="Table Grid"/>
    <w:basedOn w:val="3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qFormat/>
    <w:uiPriority w:val="99"/>
    <w:rPr>
      <w:b/>
      <w:bCs/>
      <w:sz w:val="24"/>
      <w:szCs w:val="24"/>
    </w:rPr>
  </w:style>
  <w:style w:type="character" w:styleId="39">
    <w:name w:val="page number"/>
    <w:basedOn w:val="37"/>
    <w:qFormat/>
    <w:uiPriority w:val="99"/>
    <w:rPr>
      <w:rFonts w:ascii="Times New Roman" w:hAnsi="Times New Roman" w:eastAsia="宋体" w:cs="Times New Roman"/>
    </w:rPr>
  </w:style>
  <w:style w:type="character" w:styleId="40">
    <w:name w:val="FollowedHyperlink"/>
    <w:qFormat/>
    <w:uiPriority w:val="99"/>
    <w:rPr>
      <w:rFonts w:hint="eastAsia" w:ascii="宋体" w:hAnsi="宋体" w:eastAsia="宋体" w:cs="宋体"/>
      <w:color w:val="000000"/>
      <w:sz w:val="18"/>
      <w:szCs w:val="18"/>
      <w:u w:val="none"/>
    </w:rPr>
  </w:style>
  <w:style w:type="character" w:styleId="41">
    <w:name w:val="Emphasis"/>
    <w:basedOn w:val="37"/>
    <w:qFormat/>
    <w:uiPriority w:val="99"/>
  </w:style>
  <w:style w:type="character" w:styleId="42">
    <w:name w:val="Hyperlink"/>
    <w:qFormat/>
    <w:uiPriority w:val="99"/>
    <w:rPr>
      <w:rFonts w:cs="Times New Roman"/>
      <w:color w:val="000000"/>
      <w:sz w:val="18"/>
      <w:u w:val="none"/>
    </w:rPr>
  </w:style>
  <w:style w:type="character" w:styleId="43">
    <w:name w:val="annotation reference"/>
    <w:semiHidden/>
    <w:qFormat/>
    <w:uiPriority w:val="99"/>
    <w:rPr>
      <w:sz w:val="21"/>
      <w:szCs w:val="21"/>
    </w:rPr>
  </w:style>
  <w:style w:type="character" w:styleId="44">
    <w:name w:val="HTML Cite"/>
    <w:basedOn w:val="37"/>
    <w:qFormat/>
    <w:uiPriority w:val="99"/>
  </w:style>
  <w:style w:type="character" w:styleId="45">
    <w:name w:val="footnote reference"/>
    <w:basedOn w:val="37"/>
    <w:semiHidden/>
    <w:unhideWhenUsed/>
    <w:qFormat/>
    <w:uiPriority w:val="99"/>
    <w:rPr>
      <w:vertAlign w:val="superscript"/>
    </w:rPr>
  </w:style>
  <w:style w:type="paragraph" w:customStyle="1" w:styleId="46">
    <w:name w:val="TOC 标题1"/>
    <w:basedOn w:val="3"/>
    <w:next w:val="1"/>
    <w:unhideWhenUsed/>
    <w:qFormat/>
    <w:uiPriority w:val="39"/>
    <w:pPr>
      <w:widowControl/>
      <w:spacing w:before="480" w:after="0" w:line="276" w:lineRule="auto"/>
      <w:jc w:val="left"/>
      <w:outlineLvl w:val="9"/>
    </w:pPr>
    <w:rPr>
      <w:rFonts w:ascii="Calibri Light" w:hAnsi="Calibri Light"/>
      <w:color w:val="2E75B5"/>
      <w:kern w:val="0"/>
      <w:sz w:val="28"/>
      <w:szCs w:val="28"/>
    </w:rPr>
  </w:style>
  <w:style w:type="paragraph" w:customStyle="1" w:styleId="47">
    <w:name w:val="正文缩进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48">
    <w:name w:val="列出段落1"/>
    <w:basedOn w:val="1"/>
    <w:qFormat/>
    <w:uiPriority w:val="99"/>
    <w:pPr>
      <w:spacing w:line="240" w:lineRule="auto"/>
      <w:ind w:firstLine="420" w:firstLineChars="200"/>
      <w:jc w:val="left"/>
    </w:pPr>
    <w:rPr>
      <w:rFonts w:ascii="Times New Roman" w:hAnsi="Times New Roman" w:eastAsia="宋体"/>
      <w:kern w:val="0"/>
      <w:sz w:val="24"/>
      <w:szCs w:val="24"/>
      <w:lang w:val="en-AU" w:eastAsia="en-US"/>
    </w:rPr>
  </w:style>
  <w:style w:type="character" w:customStyle="1" w:styleId="49">
    <w:name w:val="标题 1 Char"/>
    <w:link w:val="3"/>
    <w:qFormat/>
    <w:uiPriority w:val="99"/>
    <w:rPr>
      <w:rFonts w:cs="Times New Roman"/>
      <w:b/>
      <w:bCs/>
      <w:kern w:val="44"/>
      <w:sz w:val="44"/>
      <w:szCs w:val="44"/>
    </w:rPr>
  </w:style>
  <w:style w:type="character" w:customStyle="1" w:styleId="50">
    <w:name w:val="标题 2 Char"/>
    <w:link w:val="4"/>
    <w:qFormat/>
    <w:uiPriority w:val="99"/>
    <w:rPr>
      <w:rFonts w:ascii="Calibri" w:hAnsi="Calibri" w:eastAsia="华文仿宋" w:cs="Times New Roman"/>
      <w:b/>
      <w:bCs/>
      <w:sz w:val="32"/>
      <w:szCs w:val="32"/>
    </w:rPr>
  </w:style>
  <w:style w:type="character" w:customStyle="1" w:styleId="51">
    <w:name w:val="标题 3 Char"/>
    <w:link w:val="6"/>
    <w:qFormat/>
    <w:uiPriority w:val="99"/>
    <w:rPr>
      <w:rFonts w:cs="Times New Roman"/>
      <w:b/>
      <w:bCs/>
      <w:sz w:val="32"/>
      <w:szCs w:val="32"/>
      <w:u w:val="double"/>
    </w:rPr>
  </w:style>
  <w:style w:type="character" w:customStyle="1" w:styleId="52">
    <w:name w:val="文档结构图 Char"/>
    <w:link w:val="9"/>
    <w:qFormat/>
    <w:uiPriority w:val="99"/>
    <w:rPr>
      <w:rFonts w:ascii="宋体" w:eastAsia="宋体" w:cs="Times New Roman"/>
      <w:sz w:val="18"/>
      <w:szCs w:val="18"/>
    </w:rPr>
  </w:style>
  <w:style w:type="character" w:customStyle="1" w:styleId="53">
    <w:name w:val="纯文本 Char"/>
    <w:link w:val="15"/>
    <w:qFormat/>
    <w:uiPriority w:val="0"/>
    <w:rPr>
      <w:rFonts w:ascii="宋体" w:hAnsi="Courier New" w:eastAsia="宋体" w:cs="Courier New"/>
      <w:sz w:val="21"/>
      <w:szCs w:val="21"/>
    </w:rPr>
  </w:style>
  <w:style w:type="character" w:customStyle="1" w:styleId="54">
    <w:name w:val="日期 Char"/>
    <w:link w:val="17"/>
    <w:qFormat/>
    <w:uiPriority w:val="0"/>
    <w:rPr>
      <w:rFonts w:ascii="Calibri Light" w:hAnsi="Calibri Light" w:eastAsia="华文仿宋" w:cs="Times New Roman"/>
      <w:sz w:val="28"/>
    </w:rPr>
  </w:style>
  <w:style w:type="character" w:customStyle="1" w:styleId="55">
    <w:name w:val="批注框文本 Char"/>
    <w:link w:val="19"/>
    <w:qFormat/>
    <w:uiPriority w:val="99"/>
    <w:rPr>
      <w:rFonts w:cs="Times New Roman"/>
      <w:sz w:val="18"/>
      <w:szCs w:val="18"/>
    </w:rPr>
  </w:style>
  <w:style w:type="character" w:customStyle="1" w:styleId="56">
    <w:name w:val="页脚 Char"/>
    <w:link w:val="20"/>
    <w:qFormat/>
    <w:uiPriority w:val="99"/>
    <w:rPr>
      <w:rFonts w:cs="Times New Roman"/>
      <w:sz w:val="18"/>
    </w:rPr>
  </w:style>
  <w:style w:type="character" w:customStyle="1" w:styleId="57">
    <w:name w:val="页眉 Char"/>
    <w:link w:val="21"/>
    <w:qFormat/>
    <w:uiPriority w:val="99"/>
    <w:rPr>
      <w:rFonts w:cs="Times New Roman"/>
      <w:sz w:val="18"/>
    </w:rPr>
  </w:style>
  <w:style w:type="paragraph" w:customStyle="1" w:styleId="58">
    <w:name w:val="正文（缩进 2 字符）"/>
    <w:basedOn w:val="1"/>
    <w:qFormat/>
    <w:uiPriority w:val="99"/>
    <w:pPr>
      <w:ind w:firstLine="200" w:firstLineChars="200"/>
    </w:pPr>
  </w:style>
  <w:style w:type="paragraph" w:customStyle="1" w:styleId="59">
    <w:name w:val="正文（缩进 4 字符）"/>
    <w:basedOn w:val="1"/>
    <w:qFormat/>
    <w:uiPriority w:val="99"/>
    <w:pPr>
      <w:ind w:firstLine="1134" w:firstLineChars="400"/>
    </w:pPr>
  </w:style>
  <w:style w:type="paragraph" w:customStyle="1" w:styleId="60">
    <w:name w:val="标题 2（投标文件）"/>
    <w:basedOn w:val="4"/>
    <w:qFormat/>
    <w:uiPriority w:val="99"/>
    <w:pPr>
      <w:jc w:val="center"/>
    </w:pPr>
  </w:style>
  <w:style w:type="character" w:customStyle="1" w:styleId="61">
    <w:name w:val="页眉 Char1"/>
    <w:qFormat/>
    <w:uiPriority w:val="99"/>
    <w:rPr>
      <w:rFonts w:cs="Times New Roman"/>
      <w:sz w:val="18"/>
      <w:szCs w:val="18"/>
    </w:rPr>
  </w:style>
  <w:style w:type="character" w:customStyle="1" w:styleId="62">
    <w:name w:val="页脚 Char1"/>
    <w:qFormat/>
    <w:uiPriority w:val="99"/>
    <w:rPr>
      <w:rFonts w:cs="Times New Roman"/>
      <w:sz w:val="18"/>
      <w:szCs w:val="18"/>
    </w:rPr>
  </w:style>
  <w:style w:type="paragraph" w:customStyle="1" w:styleId="63">
    <w:name w:val="标题 3（投标文件）"/>
    <w:basedOn w:val="6"/>
    <w:qFormat/>
    <w:uiPriority w:val="99"/>
    <w:pPr>
      <w:jc w:val="left"/>
    </w:pPr>
    <w:rPr>
      <w:u w:val="none"/>
    </w:rPr>
  </w:style>
  <w:style w:type="table" w:customStyle="1" w:styleId="64">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5">
    <w:name w:val="网格型2"/>
    <w:basedOn w:val="3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
    <w:name w:val="网格型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7">
    <w:name w:val="grace"/>
    <w:basedOn w:val="37"/>
    <w:qFormat/>
    <w:uiPriority w:val="0"/>
  </w:style>
  <w:style w:type="character" w:customStyle="1" w:styleId="68">
    <w:name w:val="mark"/>
    <w:qFormat/>
    <w:uiPriority w:val="0"/>
    <w:rPr>
      <w:color w:val="CC2200"/>
    </w:rPr>
  </w:style>
  <w:style w:type="character" w:customStyle="1" w:styleId="69">
    <w:name w:val="subtext"/>
    <w:qFormat/>
    <w:uiPriority w:val="0"/>
    <w:rPr>
      <w:color w:val="888888"/>
    </w:rPr>
  </w:style>
  <w:style w:type="character" w:customStyle="1" w:styleId="70">
    <w:name w:val="span-text"/>
    <w:basedOn w:val="37"/>
    <w:qFormat/>
    <w:uiPriority w:val="0"/>
  </w:style>
  <w:style w:type="character" w:customStyle="1" w:styleId="71">
    <w:name w:val="view-vip1"/>
    <w:basedOn w:val="37"/>
    <w:qFormat/>
    <w:uiPriority w:val="0"/>
  </w:style>
  <w:style w:type="character" w:customStyle="1" w:styleId="72">
    <w:name w:val="view-vip"/>
    <w:basedOn w:val="37"/>
    <w:qFormat/>
    <w:uiPriority w:val="0"/>
  </w:style>
  <w:style w:type="character" w:customStyle="1" w:styleId="73">
    <w:name w:val="grace6"/>
    <w:basedOn w:val="37"/>
    <w:qFormat/>
    <w:uiPriority w:val="0"/>
  </w:style>
  <w:style w:type="character" w:customStyle="1" w:styleId="74">
    <w:name w:val="r-time"/>
    <w:qFormat/>
    <w:uiPriority w:val="0"/>
    <w:rPr>
      <w:color w:val="B30000"/>
    </w:rPr>
  </w:style>
  <w:style w:type="character" w:customStyle="1" w:styleId="75">
    <w:name w:val="r-text"/>
    <w:qFormat/>
    <w:uiPriority w:val="0"/>
    <w:rPr>
      <w:color w:val="00349B"/>
    </w:rPr>
  </w:style>
  <w:style w:type="character" w:customStyle="1" w:styleId="76">
    <w:name w:val="grace5"/>
    <w:basedOn w:val="37"/>
    <w:qFormat/>
    <w:uiPriority w:val="0"/>
  </w:style>
  <w:style w:type="character" w:customStyle="1" w:styleId="77">
    <w:name w:val="redfilenumber"/>
    <w:qFormat/>
    <w:uiPriority w:val="0"/>
    <w:rPr>
      <w:color w:val="BA2636"/>
      <w:sz w:val="18"/>
      <w:szCs w:val="18"/>
    </w:rPr>
  </w:style>
  <w:style w:type="character" w:customStyle="1" w:styleId="78">
    <w:name w:val="cfdate"/>
    <w:qFormat/>
    <w:uiPriority w:val="0"/>
    <w:rPr>
      <w:color w:val="333333"/>
      <w:sz w:val="18"/>
      <w:szCs w:val="18"/>
    </w:rPr>
  </w:style>
  <w:style w:type="character" w:customStyle="1" w:styleId="79">
    <w:name w:val="qxdate"/>
    <w:qFormat/>
    <w:uiPriority w:val="0"/>
    <w:rPr>
      <w:color w:val="333333"/>
      <w:sz w:val="18"/>
      <w:szCs w:val="18"/>
    </w:rPr>
  </w:style>
  <w:style w:type="character" w:customStyle="1" w:styleId="80">
    <w:name w:val="gjfg"/>
    <w:basedOn w:val="37"/>
    <w:qFormat/>
    <w:uiPriority w:val="0"/>
  </w:style>
  <w:style w:type="character" w:customStyle="1" w:styleId="81">
    <w:name w:val="redfilefwwh"/>
    <w:qFormat/>
    <w:uiPriority w:val="0"/>
    <w:rPr>
      <w:color w:val="BA2636"/>
      <w:sz w:val="18"/>
      <w:szCs w:val="18"/>
    </w:rPr>
  </w:style>
  <w:style w:type="character" w:customStyle="1" w:styleId="82">
    <w:name w:val="displayarti"/>
    <w:qFormat/>
    <w:uiPriority w:val="0"/>
    <w:rPr>
      <w:color w:val="FFFFFF"/>
      <w:shd w:val="clear" w:color="auto" w:fill="A00000"/>
    </w:rPr>
  </w:style>
  <w:style w:type="paragraph" w:customStyle="1" w:styleId="83">
    <w:name w:val="样式 标题 3 + (中文) 黑体 小四 非加粗 段前: 7.8 磅 段后: 0 磅 行距: 固定值 20 磅"/>
    <w:basedOn w:val="6"/>
    <w:link w:val="84"/>
    <w:qFormat/>
    <w:uiPriority w:val="0"/>
    <w:pPr>
      <w:widowControl w:val="0"/>
      <w:spacing w:line="400" w:lineRule="exact"/>
      <w:jc w:val="both"/>
    </w:pPr>
    <w:rPr>
      <w:rFonts w:ascii="Times New Roman" w:hAnsi="Times New Roman" w:eastAsia="黑体" w:cs="宋体"/>
      <w:b w:val="0"/>
      <w:bCs w:val="0"/>
      <w:sz w:val="24"/>
      <w:szCs w:val="20"/>
      <w:u w:val="none"/>
    </w:rPr>
  </w:style>
  <w:style w:type="character" w:customStyle="1" w:styleId="84">
    <w:name w:val="样式 标题 3 + (中文) 黑体 小四 非加粗 段前: 7.8 磅 段后: 0 磅 行距: 固定值 20 磅 Char Char"/>
    <w:link w:val="83"/>
    <w:qFormat/>
    <w:uiPriority w:val="0"/>
    <w:rPr>
      <w:rFonts w:eastAsia="黑体" w:cs="宋体"/>
      <w:kern w:val="2"/>
      <w:sz w:val="24"/>
    </w:rPr>
  </w:style>
  <w:style w:type="paragraph" w:styleId="85">
    <w:name w:val="List Paragraph"/>
    <w:basedOn w:val="1"/>
    <w:qFormat/>
    <w:uiPriority w:val="99"/>
    <w:pPr>
      <w:ind w:firstLine="420" w:firstLineChars="200"/>
    </w:pPr>
  </w:style>
  <w:style w:type="table" w:customStyle="1" w:styleId="86">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87">
    <w:name w:val="标题 4 Char"/>
    <w:basedOn w:val="37"/>
    <w:link w:val="7"/>
    <w:qFormat/>
    <w:uiPriority w:val="9"/>
    <w:rPr>
      <w:rFonts w:ascii="仿宋" w:hAnsi="仿宋" w:eastAsia="仿宋" w:cs="仿宋"/>
      <w:b/>
      <w:bCs/>
      <w:kern w:val="2"/>
      <w:sz w:val="28"/>
      <w:szCs w:val="28"/>
      <w:lang w:val="ja-JP" w:eastAsia="ja-JP" w:bidi="ja-JP"/>
    </w:rPr>
  </w:style>
  <w:style w:type="character" w:customStyle="1" w:styleId="88">
    <w:name w:val="正文文本 Char"/>
    <w:basedOn w:val="37"/>
    <w:link w:val="2"/>
    <w:qFormat/>
    <w:uiPriority w:val="99"/>
    <w:rPr>
      <w:rFonts w:ascii="仿宋" w:hAnsi="仿宋" w:eastAsia="仿宋" w:cs="仿宋"/>
      <w:kern w:val="2"/>
      <w:sz w:val="28"/>
      <w:szCs w:val="28"/>
      <w:lang w:val="ja-JP" w:eastAsia="ja-JP" w:bidi="ja-JP"/>
    </w:rPr>
  </w:style>
  <w:style w:type="character" w:customStyle="1" w:styleId="89">
    <w:name w:val="font01"/>
    <w:basedOn w:val="37"/>
    <w:qFormat/>
    <w:uiPriority w:val="0"/>
    <w:rPr>
      <w:rFonts w:hint="eastAsia" w:ascii="宋体" w:hAnsi="宋体" w:eastAsia="宋体" w:cs="宋体"/>
      <w:color w:val="000000"/>
      <w:sz w:val="20"/>
      <w:szCs w:val="20"/>
      <w:u w:val="none"/>
    </w:rPr>
  </w:style>
  <w:style w:type="character" w:customStyle="1" w:styleId="90">
    <w:name w:val="批注文字 Char"/>
    <w:basedOn w:val="37"/>
    <w:link w:val="11"/>
    <w:semiHidden/>
    <w:qFormat/>
    <w:uiPriority w:val="99"/>
    <w:rPr>
      <w:rFonts w:ascii="宋体" w:hAnsi="Calibri" w:cs="宋体"/>
      <w:sz w:val="34"/>
      <w:szCs w:val="34"/>
    </w:rPr>
  </w:style>
  <w:style w:type="character" w:customStyle="1" w:styleId="91">
    <w:name w:val="正文文本缩进 Char"/>
    <w:basedOn w:val="37"/>
    <w:link w:val="12"/>
    <w:qFormat/>
    <w:uiPriority w:val="99"/>
    <w:rPr>
      <w:rFonts w:ascii="Calibri" w:hAnsi="Calibri" w:cs="Calibri"/>
      <w:kern w:val="2"/>
      <w:sz w:val="21"/>
      <w:szCs w:val="21"/>
    </w:rPr>
  </w:style>
  <w:style w:type="character" w:customStyle="1" w:styleId="92">
    <w:name w:val="正文文本缩进 2 Char"/>
    <w:basedOn w:val="37"/>
    <w:link w:val="18"/>
    <w:qFormat/>
    <w:uiPriority w:val="99"/>
    <w:rPr>
      <w:rFonts w:ascii="Calibri" w:hAnsi="Calibri" w:cs="Calibri"/>
      <w:kern w:val="2"/>
      <w:sz w:val="21"/>
      <w:szCs w:val="21"/>
    </w:rPr>
  </w:style>
  <w:style w:type="character" w:customStyle="1" w:styleId="93">
    <w:name w:val="脚注文本 Char"/>
    <w:basedOn w:val="37"/>
    <w:link w:val="24"/>
    <w:semiHidden/>
    <w:qFormat/>
    <w:uiPriority w:val="99"/>
    <w:rPr>
      <w:rFonts w:ascii="Calibri" w:hAnsi="Calibri" w:cs="Calibri"/>
      <w:kern w:val="2"/>
      <w:sz w:val="18"/>
      <w:szCs w:val="21"/>
    </w:rPr>
  </w:style>
  <w:style w:type="character" w:customStyle="1" w:styleId="94">
    <w:name w:val="批注主题 Char"/>
    <w:basedOn w:val="90"/>
    <w:link w:val="32"/>
    <w:semiHidden/>
    <w:qFormat/>
    <w:uiPriority w:val="99"/>
    <w:rPr>
      <w:rFonts w:ascii="Calibri" w:hAnsi="Calibri" w:cs="Calibri"/>
      <w:b/>
      <w:bCs/>
      <w:kern w:val="2"/>
      <w:sz w:val="21"/>
      <w:szCs w:val="21"/>
    </w:rPr>
  </w:style>
  <w:style w:type="character" w:customStyle="1" w:styleId="95">
    <w:name w:val="正文文本 2 Char"/>
    <w:link w:val="29"/>
    <w:qFormat/>
    <w:locked/>
    <w:uiPriority w:val="99"/>
    <w:rPr>
      <w:rFonts w:ascii="宋体" w:hAnsi="宋体" w:eastAsia="华文仿宋"/>
      <w:kern w:val="2"/>
      <w:sz w:val="28"/>
      <w:szCs w:val="28"/>
    </w:rPr>
  </w:style>
  <w:style w:type="paragraph" w:customStyle="1" w:styleId="96">
    <w:name w:val="Char2 Char Char Char"/>
    <w:basedOn w:val="1"/>
    <w:qFormat/>
    <w:uiPriority w:val="99"/>
    <w:pPr>
      <w:widowControl w:val="0"/>
      <w:spacing w:line="240" w:lineRule="auto"/>
    </w:pPr>
    <w:rPr>
      <w:rFonts w:ascii="Tahoma" w:hAnsi="Tahoma" w:eastAsia="宋体" w:cs="Tahoma"/>
      <w:sz w:val="24"/>
      <w:szCs w:val="24"/>
    </w:rPr>
  </w:style>
  <w:style w:type="character" w:customStyle="1" w:styleId="97">
    <w:name w:val="10"/>
    <w:qFormat/>
    <w:uiPriority w:val="99"/>
    <w:rPr>
      <w:rFonts w:ascii="Calibri" w:hAnsi="Calibri" w:cs="Calibri"/>
    </w:rPr>
  </w:style>
  <w:style w:type="character" w:customStyle="1" w:styleId="98">
    <w:name w:val="15"/>
    <w:qFormat/>
    <w:uiPriority w:val="99"/>
    <w:rPr>
      <w:rFonts w:ascii="Calibri" w:hAnsi="Calibri" w:cs="Calibri"/>
      <w:i/>
      <w:iCs/>
    </w:rPr>
  </w:style>
  <w:style w:type="paragraph" w:customStyle="1" w:styleId="99">
    <w:name w:val="_Style 2"/>
    <w:basedOn w:val="1"/>
    <w:qFormat/>
    <w:uiPriority w:val="99"/>
    <w:pPr>
      <w:widowControl w:val="0"/>
      <w:spacing w:line="240" w:lineRule="auto"/>
      <w:ind w:firstLine="420" w:firstLineChars="200"/>
    </w:pPr>
    <w:rPr>
      <w:rFonts w:ascii="Calibri" w:hAnsi="Calibri" w:eastAsia="宋体" w:cs="Calibri"/>
      <w:sz w:val="21"/>
      <w:szCs w:val="21"/>
    </w:rPr>
  </w:style>
  <w:style w:type="character" w:customStyle="1" w:styleId="100">
    <w:name w:val="apple-style-span"/>
    <w:qFormat/>
    <w:uiPriority w:val="99"/>
  </w:style>
  <w:style w:type="character" w:customStyle="1" w:styleId="101">
    <w:name w:val="del"/>
    <w:basedOn w:val="37"/>
    <w:qFormat/>
    <w:uiPriority w:val="99"/>
  </w:style>
  <w:style w:type="character" w:customStyle="1" w:styleId="102">
    <w:name w:val="del1"/>
    <w:qFormat/>
    <w:uiPriority w:val="99"/>
    <w:rPr>
      <w:vanish/>
      <w:color w:val="auto"/>
      <w:sz w:val="18"/>
      <w:szCs w:val="18"/>
      <w:u w:val="single"/>
    </w:rPr>
  </w:style>
  <w:style w:type="character" w:customStyle="1" w:styleId="103">
    <w:name w:val="del2"/>
    <w:qFormat/>
    <w:uiPriority w:val="99"/>
    <w:rPr>
      <w:vanish/>
    </w:rPr>
  </w:style>
  <w:style w:type="character" w:customStyle="1" w:styleId="104">
    <w:name w:val="del3"/>
    <w:qFormat/>
    <w:uiPriority w:val="99"/>
    <w:rPr>
      <w:vanish/>
    </w:rPr>
  </w:style>
  <w:style w:type="paragraph" w:customStyle="1" w:styleId="105">
    <w:name w:val="_Style 4"/>
    <w:basedOn w:val="1"/>
    <w:qFormat/>
    <w:uiPriority w:val="99"/>
    <w:pPr>
      <w:widowControl w:val="0"/>
      <w:spacing w:line="240" w:lineRule="auto"/>
      <w:ind w:firstLine="420" w:firstLineChars="200"/>
    </w:pPr>
    <w:rPr>
      <w:rFonts w:ascii="Calibri" w:hAnsi="Calibri" w:eastAsia="宋体" w:cs="Calibri"/>
      <w:sz w:val="21"/>
      <w:szCs w:val="21"/>
    </w:rPr>
  </w:style>
  <w:style w:type="paragraph" w:customStyle="1" w:styleId="106">
    <w:name w:val="pa-19"/>
    <w:basedOn w:val="1"/>
    <w:qFormat/>
    <w:uiPriority w:val="99"/>
    <w:pPr>
      <w:spacing w:before="100" w:beforeAutospacing="1" w:after="100" w:afterAutospacing="1" w:line="240" w:lineRule="auto"/>
      <w:jc w:val="left"/>
    </w:pPr>
    <w:rPr>
      <w:rFonts w:ascii="宋体" w:hAnsi="宋体" w:eastAsia="宋体" w:cs="宋体"/>
      <w:kern w:val="0"/>
      <w:sz w:val="24"/>
      <w:szCs w:val="24"/>
    </w:rPr>
  </w:style>
  <w:style w:type="paragraph" w:customStyle="1" w:styleId="107">
    <w:name w:val="首行缩进"/>
    <w:basedOn w:val="1"/>
    <w:qFormat/>
    <w:uiPriority w:val="99"/>
    <w:pPr>
      <w:tabs>
        <w:tab w:val="left" w:pos="735"/>
      </w:tabs>
      <w:spacing w:line="460" w:lineRule="exact"/>
      <w:ind w:firstLine="200" w:firstLineChars="200"/>
      <w:jc w:val="left"/>
    </w:pPr>
    <w:rPr>
      <w:rFonts w:ascii="Times New Roman" w:hAnsi="Times New Roman" w:eastAsia="宋体"/>
      <w:kern w:val="0"/>
      <w:sz w:val="24"/>
      <w:szCs w:val="24"/>
    </w:rPr>
  </w:style>
  <w:style w:type="character" w:customStyle="1" w:styleId="108">
    <w:name w:val="font101"/>
    <w:basedOn w:val="37"/>
    <w:qFormat/>
    <w:uiPriority w:val="0"/>
    <w:rPr>
      <w:rFonts w:hint="eastAsia" w:ascii="宋体" w:hAnsi="宋体" w:eastAsia="宋体" w:cs="宋体"/>
      <w:color w:val="000000"/>
      <w:sz w:val="24"/>
      <w:szCs w:val="24"/>
      <w:u w:val="none"/>
    </w:rPr>
  </w:style>
  <w:style w:type="character" w:customStyle="1" w:styleId="109">
    <w:name w:val="font91"/>
    <w:basedOn w:val="37"/>
    <w:qFormat/>
    <w:uiPriority w:val="0"/>
    <w:rPr>
      <w:rFonts w:hint="eastAsia" w:ascii="宋体" w:hAnsi="宋体" w:eastAsia="宋体" w:cs="宋体"/>
      <w:color w:val="000000"/>
      <w:sz w:val="24"/>
      <w:szCs w:val="24"/>
      <w:u w:val="none"/>
    </w:rPr>
  </w:style>
  <w:style w:type="character" w:customStyle="1" w:styleId="110">
    <w:name w:val="font41"/>
    <w:basedOn w:val="37"/>
    <w:qFormat/>
    <w:uiPriority w:val="0"/>
    <w:rPr>
      <w:rFonts w:hint="eastAsia" w:ascii="宋体" w:hAnsi="宋体" w:eastAsia="宋体" w:cs="宋体"/>
      <w:color w:val="000000"/>
      <w:sz w:val="24"/>
      <w:szCs w:val="24"/>
      <w:u w:val="none"/>
    </w:rPr>
  </w:style>
  <w:style w:type="character" w:customStyle="1" w:styleId="111">
    <w:name w:val="font21"/>
    <w:basedOn w:val="37"/>
    <w:qFormat/>
    <w:uiPriority w:val="0"/>
    <w:rPr>
      <w:rFonts w:hint="eastAsia" w:ascii="宋体" w:hAnsi="宋体" w:eastAsia="宋体" w:cs="宋体"/>
      <w:color w:val="000000"/>
      <w:sz w:val="24"/>
      <w:szCs w:val="24"/>
      <w:u w:val="none"/>
    </w:rPr>
  </w:style>
  <w:style w:type="character" w:customStyle="1" w:styleId="112">
    <w:name w:val="List Paragraph Char1"/>
    <w:link w:val="113"/>
    <w:qFormat/>
    <w:locked/>
    <w:uiPriority w:val="0"/>
    <w:rPr>
      <w:sz w:val="24"/>
    </w:rPr>
  </w:style>
  <w:style w:type="paragraph" w:customStyle="1" w:styleId="113">
    <w:name w:val="列出段落2"/>
    <w:basedOn w:val="1"/>
    <w:link w:val="112"/>
    <w:qFormat/>
    <w:uiPriority w:val="0"/>
    <w:pPr>
      <w:widowControl w:val="0"/>
      <w:spacing w:line="240" w:lineRule="auto"/>
      <w:ind w:firstLine="420" w:firstLineChars="200"/>
    </w:pPr>
    <w:rPr>
      <w:rFonts w:ascii="Times New Roman" w:hAnsi="Times New Roman" w:eastAsia="宋体"/>
      <w:kern w:val="0"/>
      <w:sz w:val="24"/>
      <w:szCs w:val="20"/>
    </w:rPr>
  </w:style>
  <w:style w:type="table" w:customStyle="1" w:styleId="114">
    <w:name w:val="TableGrid1"/>
    <w:qFormat/>
    <w:uiPriority w:val="0"/>
    <w:rPr>
      <w:kern w:val="2"/>
      <w:sz w:val="21"/>
      <w:szCs w:val="22"/>
    </w:rPr>
    <w:tblPr>
      <w:tblCellMar>
        <w:top w:w="0" w:type="dxa"/>
        <w:left w:w="0" w:type="dxa"/>
        <w:bottom w:w="0" w:type="dxa"/>
        <w:right w:w="0" w:type="dxa"/>
      </w:tblCellMar>
    </w:tblPr>
  </w:style>
  <w:style w:type="table" w:customStyle="1" w:styleId="115">
    <w:name w:val="TableGrid2"/>
    <w:qFormat/>
    <w:uiPriority w:val="0"/>
    <w:rPr>
      <w:kern w:val="2"/>
      <w:sz w:val="21"/>
      <w:szCs w:val="22"/>
    </w:rPr>
    <w:tblPr>
      <w:tblCellMar>
        <w:top w:w="0" w:type="dxa"/>
        <w:left w:w="0" w:type="dxa"/>
        <w:bottom w:w="0" w:type="dxa"/>
        <w:right w:w="0" w:type="dxa"/>
      </w:tblCellMar>
    </w:tblPr>
  </w:style>
  <w:style w:type="table" w:customStyle="1" w:styleId="116">
    <w:name w:val="TableGrid3"/>
    <w:qFormat/>
    <w:uiPriority w:val="0"/>
    <w:rPr>
      <w:kern w:val="2"/>
      <w:sz w:val="21"/>
      <w:szCs w:val="22"/>
    </w:rPr>
    <w:tblPr>
      <w:tblCellMar>
        <w:top w:w="0" w:type="dxa"/>
        <w:left w:w="0" w:type="dxa"/>
        <w:bottom w:w="0" w:type="dxa"/>
        <w:right w:w="0" w:type="dxa"/>
      </w:tblCellMar>
    </w:tblPr>
  </w:style>
  <w:style w:type="table" w:customStyle="1" w:styleId="117">
    <w:name w:val="TableGrid4"/>
    <w:qFormat/>
    <w:uiPriority w:val="0"/>
    <w:rPr>
      <w:kern w:val="2"/>
      <w:sz w:val="21"/>
      <w:szCs w:val="22"/>
    </w:rPr>
    <w:tblPr>
      <w:tblCellMar>
        <w:top w:w="0" w:type="dxa"/>
        <w:left w:w="0" w:type="dxa"/>
        <w:bottom w:w="0" w:type="dxa"/>
        <w:right w:w="0" w:type="dxa"/>
      </w:tblCellMar>
    </w:tblPr>
  </w:style>
  <w:style w:type="table" w:customStyle="1" w:styleId="118">
    <w:name w:val="TableGrid5"/>
    <w:qFormat/>
    <w:uiPriority w:val="0"/>
    <w:rPr>
      <w:kern w:val="2"/>
      <w:sz w:val="21"/>
      <w:szCs w:val="22"/>
    </w:rPr>
    <w:tblPr>
      <w:tblCellMar>
        <w:top w:w="0" w:type="dxa"/>
        <w:left w:w="0" w:type="dxa"/>
        <w:bottom w:w="0" w:type="dxa"/>
        <w:right w:w="0" w:type="dxa"/>
      </w:tblCellMar>
    </w:tblPr>
  </w:style>
  <w:style w:type="table" w:customStyle="1" w:styleId="119">
    <w:name w:val="TableGrid6"/>
    <w:qFormat/>
    <w:uiPriority w:val="0"/>
    <w:rPr>
      <w:kern w:val="2"/>
      <w:sz w:val="21"/>
      <w:szCs w:val="22"/>
    </w:rPr>
    <w:tblPr>
      <w:tblCellMar>
        <w:top w:w="0" w:type="dxa"/>
        <w:left w:w="0" w:type="dxa"/>
        <w:bottom w:w="0" w:type="dxa"/>
        <w:right w:w="0" w:type="dxa"/>
      </w:tblCellMar>
    </w:tblPr>
  </w:style>
  <w:style w:type="table" w:customStyle="1" w:styleId="120">
    <w:name w:val="TableGrid7"/>
    <w:qFormat/>
    <w:uiPriority w:val="0"/>
    <w:rPr>
      <w:kern w:val="2"/>
      <w:sz w:val="21"/>
      <w:szCs w:val="22"/>
    </w:rPr>
    <w:tblPr>
      <w:tblCellMar>
        <w:top w:w="0" w:type="dxa"/>
        <w:left w:w="0" w:type="dxa"/>
        <w:bottom w:w="0" w:type="dxa"/>
        <w:right w:w="0" w:type="dxa"/>
      </w:tblCellMar>
    </w:tblPr>
  </w:style>
  <w:style w:type="paragraph" w:customStyle="1" w:styleId="121">
    <w:name w:val="列出段落3"/>
    <w:basedOn w:val="1"/>
    <w:qFormat/>
    <w:uiPriority w:val="0"/>
    <w:pPr>
      <w:widowControl w:val="0"/>
      <w:spacing w:line="240" w:lineRule="auto"/>
      <w:ind w:firstLine="420" w:firstLineChars="200"/>
    </w:pPr>
    <w:rPr>
      <w:rFonts w:ascii="Times New Roman" w:hAnsi="Times New Roman" w:eastAsia="宋体"/>
      <w:kern w:val="0"/>
      <w:sz w:val="24"/>
      <w:szCs w:val="20"/>
    </w:rPr>
  </w:style>
  <w:style w:type="table" w:customStyle="1" w:styleId="122">
    <w:name w:val="TableGrid8"/>
    <w:qFormat/>
    <w:uiPriority w:val="0"/>
    <w:rPr>
      <w:kern w:val="2"/>
      <w:sz w:val="21"/>
      <w:szCs w:val="22"/>
    </w:rPr>
    <w:tblPr>
      <w:tblCellMar>
        <w:top w:w="0" w:type="dxa"/>
        <w:left w:w="0" w:type="dxa"/>
        <w:bottom w:w="0" w:type="dxa"/>
        <w:right w:w="0" w:type="dxa"/>
      </w:tblCellMar>
    </w:tblPr>
  </w:style>
  <w:style w:type="table" w:customStyle="1" w:styleId="123">
    <w:name w:val="TableGrid9"/>
    <w:qFormat/>
    <w:uiPriority w:val="0"/>
    <w:rPr>
      <w:kern w:val="2"/>
      <w:sz w:val="21"/>
      <w:szCs w:val="22"/>
    </w:rPr>
    <w:tblPr>
      <w:tblCellMar>
        <w:top w:w="0" w:type="dxa"/>
        <w:left w:w="0" w:type="dxa"/>
        <w:bottom w:w="0" w:type="dxa"/>
        <w:right w:w="0" w:type="dxa"/>
      </w:tblCellMar>
    </w:tblPr>
  </w:style>
  <w:style w:type="table" w:customStyle="1" w:styleId="124">
    <w:name w:val="TableGrid10"/>
    <w:qFormat/>
    <w:uiPriority w:val="0"/>
    <w:rPr>
      <w:kern w:val="2"/>
      <w:sz w:val="21"/>
      <w:szCs w:val="22"/>
    </w:rPr>
    <w:tblPr>
      <w:tblCellMar>
        <w:top w:w="0" w:type="dxa"/>
        <w:left w:w="0" w:type="dxa"/>
        <w:bottom w:w="0" w:type="dxa"/>
        <w:right w:w="0" w:type="dxa"/>
      </w:tblCellMar>
    </w:tblPr>
  </w:style>
  <w:style w:type="table" w:customStyle="1" w:styleId="125">
    <w:name w:val="TableGrid11"/>
    <w:qFormat/>
    <w:uiPriority w:val="0"/>
    <w:rPr>
      <w:kern w:val="2"/>
      <w:sz w:val="21"/>
      <w:szCs w:val="22"/>
    </w:rPr>
    <w:tblPr>
      <w:tblCellMar>
        <w:top w:w="0" w:type="dxa"/>
        <w:left w:w="0" w:type="dxa"/>
        <w:bottom w:w="0" w:type="dxa"/>
        <w:right w:w="0" w:type="dxa"/>
      </w:tblCellMar>
    </w:tblPr>
  </w:style>
  <w:style w:type="table" w:customStyle="1" w:styleId="126">
    <w:name w:val="TableGrid12"/>
    <w:qFormat/>
    <w:uiPriority w:val="0"/>
    <w:rPr>
      <w:kern w:val="2"/>
      <w:sz w:val="21"/>
      <w:szCs w:val="22"/>
    </w:rPr>
    <w:tblPr>
      <w:tblCellMar>
        <w:top w:w="0" w:type="dxa"/>
        <w:left w:w="0" w:type="dxa"/>
        <w:bottom w:w="0" w:type="dxa"/>
        <w:right w:w="0" w:type="dxa"/>
      </w:tblCellMar>
    </w:tblPr>
  </w:style>
  <w:style w:type="table" w:customStyle="1" w:styleId="127">
    <w:name w:val="TableGrid13"/>
    <w:qFormat/>
    <w:uiPriority w:val="0"/>
    <w:rPr>
      <w:kern w:val="2"/>
      <w:sz w:val="21"/>
      <w:szCs w:val="22"/>
    </w:rPr>
    <w:tblPr>
      <w:tblCellMar>
        <w:top w:w="0" w:type="dxa"/>
        <w:left w:w="0" w:type="dxa"/>
        <w:bottom w:w="0" w:type="dxa"/>
        <w:right w:w="0" w:type="dxa"/>
      </w:tblCellMar>
    </w:tblPr>
  </w:style>
  <w:style w:type="table" w:customStyle="1" w:styleId="128">
    <w:name w:val="TableGrid14"/>
    <w:qFormat/>
    <w:uiPriority w:val="0"/>
    <w:rPr>
      <w:kern w:val="2"/>
      <w:sz w:val="21"/>
      <w:szCs w:val="22"/>
    </w:rPr>
    <w:tblPr>
      <w:tblCellMar>
        <w:top w:w="0" w:type="dxa"/>
        <w:left w:w="0" w:type="dxa"/>
        <w:bottom w:w="0" w:type="dxa"/>
        <w:right w:w="0" w:type="dxa"/>
      </w:tblCellMar>
    </w:tblPr>
  </w:style>
  <w:style w:type="table" w:customStyle="1" w:styleId="129">
    <w:name w:val="TableGrid15"/>
    <w:qFormat/>
    <w:uiPriority w:val="0"/>
    <w:rPr>
      <w:kern w:val="2"/>
      <w:sz w:val="21"/>
      <w:szCs w:val="22"/>
    </w:rPr>
    <w:tblPr>
      <w:tblCellMar>
        <w:top w:w="0" w:type="dxa"/>
        <w:left w:w="0" w:type="dxa"/>
        <w:bottom w:w="0" w:type="dxa"/>
        <w:right w:w="0" w:type="dxa"/>
      </w:tblCellMar>
    </w:tblPr>
  </w:style>
  <w:style w:type="paragraph" w:customStyle="1" w:styleId="130">
    <w:name w:val="+正文"/>
    <w:basedOn w:val="1"/>
    <w:qFormat/>
    <w:uiPriority w:val="99"/>
    <w:pPr>
      <w:spacing w:line="360" w:lineRule="auto"/>
      <w:ind w:firstLine="200" w:firstLineChars="200"/>
    </w:pPr>
  </w:style>
  <w:style w:type="paragraph" w:customStyle="1" w:styleId="131">
    <w:name w:val="样式 10 磅311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正文格式"/>
    <w:basedOn w:val="1"/>
    <w:qFormat/>
    <w:uiPriority w:val="0"/>
    <w:pPr>
      <w:adjustRightInd w:val="0"/>
      <w:snapToGrid w:val="0"/>
      <w:spacing w:line="400" w:lineRule="atLeast"/>
      <w:ind w:firstLine="482"/>
      <w:textAlignment w:val="baseline"/>
    </w:pPr>
  </w:style>
  <w:style w:type="paragraph" w:customStyle="1" w:styleId="133">
    <w:name w:val="No Spacing"/>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16\&#26032;&#29256;&#30923;&#21830;&#25991;&#20214;&#65288;2016.3.24&#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2985AB-2C7C-444C-9B84-2A65A7701D3E}">
  <ds:schemaRefs/>
</ds:datastoreItem>
</file>

<file path=docProps/app.xml><?xml version="1.0" encoding="utf-8"?>
<Properties xmlns="http://schemas.openxmlformats.org/officeDocument/2006/extended-properties" xmlns:vt="http://schemas.openxmlformats.org/officeDocument/2006/docPropsVTypes">
  <Template>新版磋商文件（2016.3.24）.dotx</Template>
  <Company>xczx</Company>
  <Pages>42</Pages>
  <Words>24572</Words>
  <Characters>25964</Characters>
  <Lines>695</Lines>
  <Paragraphs>770</Paragraphs>
  <TotalTime>0</TotalTime>
  <ScaleCrop>false</ScaleCrop>
  <LinksUpToDate>false</LinksUpToDate>
  <CharactersWithSpaces>27289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2020-03-18T02:31:00Z</dcterms:created>
  <dc:creator>刘建春</dc:creator>
  <cp:keywords>安康市政府采购管理中心</cp:keywords>
  <cp:lastModifiedBy>WPS_1661228693</cp:lastModifiedBy>
  <cp:lastPrinted>2024-11-26T02:29:00Z</cp:lastPrinted>
  <dcterms:modified xsi:type="dcterms:W3CDTF">2025-07-01T06:16:47Z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DDEF91F7EE85419E9FAA52D22017A2AB_13</vt:lpwstr>
  </property>
  <property fmtid="{D5CDD505-2E9C-101B-9397-08002B2CF9AE}" pid="4" name="KSOTemplateDocerSaveRecord">
    <vt:lpwstr>eyJoZGlkIjoiZTRiMzgwNWE2OTk3ZGY2MWViYWE3YjE3OTg1NTNiODgiLCJ1c2VySWQiOiIxMzk3NTcwMjkyIn0=</vt:lpwstr>
  </property>
</Properties>
</file>