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C8DA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采购需求</w:t>
      </w:r>
    </w:p>
    <w:p w14:paraId="13A2D8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  <w:t>项目内容</w:t>
      </w:r>
    </w:p>
    <w:p w14:paraId="1BB0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本项目需编制《西咸新区城市地下管网管廊及设施建设改造实施方案》，作为争取中央、省市资金支持的前提，涵盖市政及小区庭院燃气、供热、供水、污水、排水及综合管廊及附属设施及地下管网智慧化建设。</w:t>
      </w:r>
    </w:p>
    <w:p w14:paraId="4BC90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服务内容包括方案全套方案以及一套附件，并配合项目资金申报过程中技术咨询服务和项目管理等。</w:t>
      </w:r>
    </w:p>
    <w:p w14:paraId="0C7F16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  <w:t>服务期：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合同签订之日起1年，同时配合项目资金申报过程中技术咨询服务和项目管理3年。</w:t>
      </w:r>
    </w:p>
    <w:p w14:paraId="630404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  <w:t>质量标准：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编制成果符合国家及行业有关质量、安全及技术规范、规程、标准要求，达到国家及行业有关文件编制深度的规定。</w:t>
      </w:r>
    </w:p>
    <w:p w14:paraId="46012A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  <w:t>成果要求</w:t>
      </w:r>
    </w:p>
    <w:p w14:paraId="28E08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1、中标单位须严格按照国家现行的相关规范、规程、标准进行编制成果资料并对成果资料的质量负责。成果资料应完整、准确、可靠，符合相应的国家有关规定和现行其他标准规范。</w:t>
      </w:r>
    </w:p>
    <w:p w14:paraId="1B572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2、成果文件:提交《西咸新区城市地下管网管廊及设施建设改造实施方案》纸质版文件4份，电子版文件1份。</w:t>
      </w:r>
    </w:p>
    <w:p w14:paraId="252A7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3、采购人要求提供的其他相关资料和成果档案。</w:t>
      </w:r>
    </w:p>
    <w:p w14:paraId="00E58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  <w:lang w:val="en-US" w:eastAsia="zh-CN"/>
        </w:rPr>
        <w:t>五、付款方式：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签订合同后30个工作日内，支付合同价款的30%；乙方提交成果并经专家评审通过后30日内，支付合同价款的30%；乙方提交正式成果后并经甲方验收通过后，支付合同价款的40%。</w:t>
      </w:r>
    </w:p>
    <w:p w14:paraId="5B89D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highlight w:val="none"/>
          <w:lang w:val="en-US" w:eastAsia="zh-CN"/>
        </w:rPr>
        <w:t>（注：依据《关于印发&lt;政府采购促进中小企业发展管理办法&gt;的通知》(财库[2020]46号)，若为中小企业，合同预付款比例原则上不低于合同金额的40%，且不高于 70%。）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DD65A"/>
    <w:multiLevelType w:val="singleLevel"/>
    <w:tmpl w:val="CACDD65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0C88"/>
    <w:rsid w:val="7E1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2025-07-01T06:58:00Z</dcterms:created>
  <dc:creator>两情相悦</dc:creator>
  <cp:lastModifiedBy>两情相悦</cp:lastModifiedBy>
  <dcterms:modified xsi:type="dcterms:W3CDTF">2025-07-01T06:59:10Z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3B47E183FAE1460C978354DF28694049_11</vt:lpwstr>
  </property>
  <property fmtid="{D5CDD505-2E9C-101B-9397-08002B2CF9AE}" pid="4" name="KSOTemplateDocerSaveRecord">
    <vt:lpwstr>eyJoZGlkIjoiYThiMmJhODYyZGYyZjNkMDM3MGQ0OWY4M2VmOTA1NzciLCJ1c2VySWQiOiI0NzI2OTg0NjMifQ==</vt:lpwstr>
  </property>
</Properties>
</file>