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outlineLvl w:val="0"/>
        <w:rPr>
          <w:rFonts w:hint="eastAsia" w:ascii="宋体" w:hAnsi="宋体" w:eastAsia="宋体" w:cs="宋体"/>
          <w:b/>
          <w:color w:val="auto"/>
          <w:kern w:val="0"/>
          <w:sz w:val="32"/>
          <w:szCs w:val="32"/>
          <w:highlight w:val="none"/>
          <w:lang w:eastAsia="zh-CN"/>
        </w:rPr>
      </w:pPr>
      <w:bookmarkStart w:id="0" w:name="_Toc20237"/>
      <w:bookmarkStart w:id="1" w:name="_Toc29294"/>
      <w:r>
        <w:rPr>
          <w:rFonts w:hint="eastAsia" w:ascii="宋体" w:hAnsi="宋体" w:eastAsia="宋体" w:cs="宋体"/>
          <w:b/>
          <w:color w:val="auto"/>
          <w:sz w:val="28"/>
          <w:szCs w:val="28"/>
          <w:highlight w:val="none"/>
        </w:rPr>
        <w:t>政府采购项目</w:t>
      </w:r>
      <w:bookmarkEnd w:id="0"/>
      <w:bookmarkEnd w:id="1"/>
    </w:p>
    <w:p>
      <w:pPr>
        <w:pStyle w:val="28"/>
        <w:ind w:left="0" w:leftChars="0" w:firstLine="0" w:firstLineChars="0"/>
        <w:rPr>
          <w:rFonts w:hint="default" w:ascii="宋体" w:hAnsi="宋体" w:eastAsia="宋体" w:cs="宋体"/>
          <w:color w:val="auto"/>
          <w:highlight w:val="none"/>
          <w:lang w:val="en-US"/>
        </w:rPr>
      </w:pPr>
      <w:bookmarkStart w:id="2" w:name="_Toc29440"/>
      <w:r>
        <w:rPr>
          <w:rFonts w:hint="eastAsia" w:ascii="宋体" w:hAnsi="宋体" w:eastAsia="宋体" w:cs="宋体"/>
          <w:b/>
          <w:color w:val="auto"/>
          <w:sz w:val="28"/>
          <w:szCs w:val="28"/>
          <w:highlight w:val="none"/>
          <w:lang w:val="en-US" w:eastAsia="zh-CN"/>
        </w:rPr>
        <w:t>项目编号：</w:t>
      </w:r>
      <w:bookmarkEnd w:id="2"/>
      <w:r>
        <w:rPr>
          <w:rFonts w:hint="eastAsia" w:ascii="宋体" w:hAnsi="宋体" w:eastAsia="宋体" w:cs="宋体"/>
          <w:b/>
          <w:color w:val="auto"/>
          <w:sz w:val="28"/>
          <w:szCs w:val="28"/>
          <w:highlight w:val="none"/>
          <w:lang w:val="en-US" w:eastAsia="zh-CN"/>
        </w:rPr>
        <w:t xml:space="preserve">ZZDBJ招2025-006  </w:t>
      </w:r>
    </w:p>
    <w:p>
      <w:pPr>
        <w:pStyle w:val="2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cs="宋体"/>
          <w:b/>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600" w:lineRule="exact"/>
        <w:ind w:left="0" w:leftChars="0" w:firstLine="0" w:firstLineChars="0"/>
        <w:jc w:val="center"/>
        <w:textAlignment w:val="auto"/>
        <w:rPr>
          <w:rFonts w:hint="default" w:ascii="宋体" w:hAnsi="宋体" w:eastAsia="宋体" w:cs="宋体"/>
          <w:color w:val="auto"/>
          <w:sz w:val="21"/>
          <w:szCs w:val="24"/>
          <w:highlight w:val="none"/>
          <w:lang w:val="en-US"/>
        </w:rPr>
      </w:pPr>
      <w:bookmarkStart w:id="3" w:name="OLE_LINK1"/>
      <w:r>
        <w:rPr>
          <w:rFonts w:hint="eastAsia" w:ascii="宋体" w:hAnsi="宋体" w:cs="宋体"/>
          <w:b/>
          <w:color w:val="auto"/>
          <w:kern w:val="2"/>
          <w:sz w:val="48"/>
          <w:szCs w:val="48"/>
          <w:highlight w:val="none"/>
          <w:lang w:val="en-US" w:eastAsia="zh-CN" w:bidi="ar-SA"/>
        </w:rPr>
        <w:t>2025年凤县农村公路桥梁建设防洪影响评价报告编制项目</w:t>
      </w:r>
    </w:p>
    <w:bookmarkEnd w:id="3"/>
    <w:p>
      <w:pPr>
        <w:pStyle w:val="47"/>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spacing w:line="720" w:lineRule="auto"/>
        <w:ind w:firstLine="2131" w:firstLineChars="379"/>
        <w:rPr>
          <w:rFonts w:hint="eastAsia" w:ascii="宋体" w:hAnsi="宋体" w:eastAsia="宋体" w:cs="宋体"/>
          <w:b/>
          <w:color w:val="auto"/>
          <w:kern w:val="0"/>
          <w:sz w:val="28"/>
          <w:szCs w:val="28"/>
          <w:highlight w:val="none"/>
          <w:lang w:eastAsia="zh-CN"/>
        </w:rPr>
      </w:pPr>
      <w:r>
        <w:rPr>
          <w:rFonts w:hint="eastAsia" w:ascii="宋体" w:hAnsi="宋体" w:cs="宋体"/>
          <w:b/>
          <w:color w:val="auto"/>
          <w:sz w:val="56"/>
          <w:szCs w:val="56"/>
          <w:highlight w:val="none"/>
          <w:lang w:eastAsia="zh-CN"/>
        </w:rPr>
        <w:t>竞争性磋商文件</w:t>
      </w:r>
    </w:p>
    <w:p>
      <w:pPr>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rPr>
          <w:rFonts w:hint="eastAsia" w:ascii="宋体" w:hAnsi="宋体" w:eastAsia="宋体" w:cs="宋体"/>
          <w:b/>
          <w:bCs/>
          <w:color w:val="auto"/>
          <w:kern w:val="2"/>
          <w:sz w:val="28"/>
          <w:szCs w:val="28"/>
          <w:highlight w:val="none"/>
          <w:u w:val="none"/>
          <w:lang w:val="en-US" w:eastAsia="zh-CN" w:bidi="ar-SA"/>
        </w:rPr>
      </w:pPr>
      <w:r>
        <w:rPr>
          <w:rFonts w:hint="eastAsia" w:ascii="宋体" w:hAnsi="宋体" w:eastAsia="宋体" w:cs="宋体"/>
          <w:color w:val="auto"/>
          <w:sz w:val="32"/>
          <w:highlight w:val="none"/>
        </w:rPr>
        <w:t xml:space="preserve"> </w:t>
      </w:r>
    </w:p>
    <w:p>
      <w:pPr>
        <w:pStyle w:val="23"/>
        <w:ind w:left="0" w:leftChars="0" w:firstLine="0" w:firstLineChars="0"/>
        <w:rPr>
          <w:rFonts w:hint="eastAsia" w:ascii="宋体" w:hAnsi="宋体" w:eastAsia="宋体" w:cs="宋体"/>
          <w:color w:val="auto"/>
          <w:highlight w:val="none"/>
          <w:lang w:val="en-US" w:eastAsia="zh-CN"/>
        </w:rPr>
      </w:pPr>
    </w:p>
    <w:p>
      <w:pPr>
        <w:pStyle w:val="23"/>
        <w:ind w:left="0" w:leftChars="0" w:firstLine="0" w:firstLineChars="0"/>
        <w:rPr>
          <w:rFonts w:hint="eastAsia" w:ascii="宋体" w:hAnsi="宋体" w:eastAsia="宋体" w:cs="宋体"/>
          <w:color w:val="auto"/>
          <w:highlight w:val="none"/>
          <w:lang w:val="en-US" w:eastAsia="zh-CN"/>
        </w:rPr>
      </w:pPr>
    </w:p>
    <w:p>
      <w:pPr>
        <w:pStyle w:val="23"/>
        <w:ind w:left="0" w:leftChars="0" w:firstLine="0" w:firstLineChars="0"/>
        <w:rPr>
          <w:rFonts w:hint="eastAsia" w:ascii="宋体" w:hAnsi="宋体" w:eastAsia="宋体" w:cs="宋体"/>
          <w:color w:val="auto"/>
          <w:highlight w:val="none"/>
          <w:lang w:val="en-US" w:eastAsia="zh-CN"/>
        </w:rPr>
      </w:pPr>
    </w:p>
    <w:p>
      <w:pPr>
        <w:pStyle w:val="2"/>
        <w:spacing w:line="720" w:lineRule="auto"/>
        <w:ind w:left="0" w:leftChars="0" w:firstLine="602" w:firstLineChars="200"/>
        <w:jc w:val="left"/>
        <w:outlineLvl w:val="0"/>
        <w:rPr>
          <w:rFonts w:hint="eastAsia" w:ascii="宋体" w:hAnsi="宋体" w:eastAsia="宋体" w:cs="宋体"/>
          <w:b/>
          <w:bCs/>
          <w:color w:val="auto"/>
          <w:sz w:val="30"/>
          <w:szCs w:val="30"/>
          <w:highlight w:val="none"/>
          <w:u w:val="none"/>
          <w:lang w:eastAsia="zh-CN"/>
        </w:rPr>
      </w:pPr>
      <w:bookmarkStart w:id="4" w:name="_Toc25045"/>
      <w:bookmarkStart w:id="5" w:name="_Toc26940"/>
      <w:r>
        <w:rPr>
          <w:rFonts w:hint="eastAsia" w:ascii="宋体" w:hAnsi="宋体" w:eastAsia="宋体" w:cs="宋体"/>
          <w:b/>
          <w:bCs/>
          <w:color w:val="auto"/>
          <w:kern w:val="2"/>
          <w:sz w:val="30"/>
          <w:szCs w:val="30"/>
          <w:highlight w:val="none"/>
          <w:u w:val="none"/>
          <w:lang w:val="en-US" w:eastAsia="zh-CN" w:bidi="ar-SA"/>
        </w:rPr>
        <w:t xml:space="preserve">采  购  人: </w:t>
      </w:r>
      <w:r>
        <w:rPr>
          <w:rFonts w:hint="eastAsia" w:ascii="宋体" w:hAnsi="宋体" w:eastAsia="宋体" w:cs="宋体"/>
          <w:b/>
          <w:bCs/>
          <w:color w:val="auto"/>
          <w:kern w:val="2"/>
          <w:sz w:val="30"/>
          <w:szCs w:val="30"/>
          <w:highlight w:val="none"/>
          <w:u w:val="single"/>
          <w:lang w:val="en-US" w:eastAsia="zh-CN" w:bidi="ar-SA"/>
        </w:rPr>
        <w:t xml:space="preserve">     凤县交通运输局       </w:t>
      </w:r>
      <w:r>
        <w:rPr>
          <w:rFonts w:hint="eastAsia" w:ascii="宋体" w:hAnsi="宋体" w:eastAsia="宋体" w:cs="宋体"/>
          <w:b/>
          <w:bCs/>
          <w:color w:val="auto"/>
          <w:kern w:val="2"/>
          <w:sz w:val="30"/>
          <w:szCs w:val="30"/>
          <w:highlight w:val="none"/>
          <w:u w:val="none"/>
          <w:lang w:val="en-US" w:eastAsia="zh-CN" w:bidi="ar-SA"/>
        </w:rPr>
        <w:t>（盖章）</w:t>
      </w:r>
      <w:bookmarkEnd w:id="4"/>
      <w:bookmarkEnd w:id="5"/>
    </w:p>
    <w:p>
      <w:pPr>
        <w:spacing w:line="720" w:lineRule="auto"/>
        <w:ind w:left="0" w:leftChars="0" w:firstLine="602" w:firstLineChars="200"/>
        <w:jc w:val="both"/>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u w:val="none"/>
          <w:lang w:eastAsia="zh-CN"/>
        </w:rPr>
        <w:t>采购代理机构</w:t>
      </w:r>
      <w:r>
        <w:rPr>
          <w:rFonts w:hint="eastAsia" w:ascii="宋体" w:hAnsi="宋体" w:eastAsia="宋体" w:cs="宋体"/>
          <w:b/>
          <w:bCs/>
          <w:color w:val="auto"/>
          <w:sz w:val="30"/>
          <w:szCs w:val="30"/>
          <w:highlight w:val="none"/>
          <w:u w:val="none"/>
          <w:lang w:val="en-US" w:eastAsia="zh-CN"/>
        </w:rPr>
        <w:t>:</w:t>
      </w:r>
      <w:r>
        <w:rPr>
          <w:rFonts w:hint="eastAsia" w:ascii="宋体" w:hAnsi="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u w:val="single"/>
          <w:lang w:eastAsia="zh-CN"/>
        </w:rPr>
        <w:t>中智达项目管理有限公司</w:t>
      </w:r>
      <w:r>
        <w:rPr>
          <w:rFonts w:hint="eastAsia" w:ascii="宋体" w:hAnsi="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none"/>
          <w:lang w:eastAsia="zh-CN"/>
        </w:rPr>
        <w:t>（盖章）</w:t>
      </w:r>
    </w:p>
    <w:p>
      <w:pPr>
        <w:keepNext w:val="0"/>
        <w:keepLines w:val="0"/>
        <w:pageBreakBefore w:val="0"/>
        <w:widowControl w:val="0"/>
        <w:kinsoku/>
        <w:wordWrap/>
        <w:overflowPunct/>
        <w:topLinePunct w:val="0"/>
        <w:autoSpaceDE/>
        <w:autoSpaceDN/>
        <w:bidi w:val="0"/>
        <w:adjustRightInd/>
        <w:snapToGrid/>
        <w:spacing w:line="720" w:lineRule="auto"/>
        <w:ind w:firstLine="2813" w:firstLineChars="934"/>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w:t>
      </w:r>
      <w:r>
        <w:rPr>
          <w:rFonts w:hint="eastAsia" w:ascii="宋体" w:hAnsi="宋体" w:eastAsia="宋体" w:cs="宋体"/>
          <w:b/>
          <w:bCs/>
          <w:color w:val="auto"/>
          <w:sz w:val="30"/>
          <w:szCs w:val="30"/>
          <w:highlight w:val="none"/>
          <w:lang w:eastAsia="zh-CN"/>
        </w:rPr>
        <w:t>○二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月</w:t>
      </w:r>
    </w:p>
    <w:p>
      <w:pPr>
        <w:pStyle w:val="29"/>
        <w:rPr>
          <w:rFonts w:hint="eastAsia" w:ascii="宋体" w:hAnsi="宋体" w:eastAsia="宋体" w:cs="宋体"/>
          <w:b/>
          <w:bCs/>
          <w:color w:val="auto"/>
          <w:sz w:val="30"/>
          <w:szCs w:val="30"/>
          <w:highlight w:val="none"/>
        </w:rPr>
        <w:sectPr>
          <w:headerReference r:id="rId5" w:type="default"/>
          <w:footerReference r:id="rId6"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docGrid w:type="lines" w:linePitch="314" w:charSpace="0"/>
        </w:sectPr>
      </w:pPr>
    </w:p>
    <w:sdt>
      <w:sdtPr>
        <w:rPr>
          <w:rFonts w:hint="eastAsia" w:ascii="宋体" w:hAnsi="宋体" w:eastAsia="宋体" w:cs="宋体"/>
          <w:b/>
          <w:bCs/>
          <w:color w:val="auto"/>
          <w:kern w:val="2"/>
          <w:sz w:val="32"/>
          <w:szCs w:val="32"/>
          <w:highlight w:val="none"/>
          <w:lang w:val="en-US" w:eastAsia="zh-CN" w:bidi="ar-SA"/>
        </w:rPr>
        <w:id w:val="147458057"/>
        <w15:color w:val="DBDBDB"/>
        <w:docPartObj>
          <w:docPartGallery w:val="Table of Contents"/>
          <w:docPartUnique/>
        </w:docPartObj>
      </w:sdtPr>
      <w:sdtEndPr>
        <w:rPr>
          <w:rFonts w:hint="eastAsia" w:ascii="宋体" w:hAnsi="宋体" w:eastAsia="宋体" w:cs="宋体"/>
          <w:b w:val="0"/>
          <w:bCs w:val="0"/>
          <w:color w:val="auto"/>
          <w:kern w:val="2"/>
          <w:sz w:val="21"/>
          <w:szCs w:val="32"/>
          <w:highlight w:val="none"/>
          <w:lang w:val="en-US" w:eastAsia="zh-CN" w:bidi="ar-SA"/>
        </w:rPr>
      </w:sdtEndPr>
      <w:sdtContent>
        <w:p>
          <w:pPr>
            <w:spacing w:line="720" w:lineRule="auto"/>
            <w:ind w:firstLine="144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32"/>
              <w:szCs w:val="32"/>
              <w:highlight w:val="none"/>
              <w:lang w:val="en-US" w:eastAsia="zh-CN" w:bidi="ar-SA"/>
            </w:rPr>
            <w:t>目</w:t>
          </w:r>
          <w:r>
            <w:rPr>
              <w:rFonts w:hint="eastAsia" w:ascii="宋体" w:hAnsi="宋体" w:cs="宋体"/>
              <w:b/>
              <w:bCs/>
              <w:color w:val="auto"/>
              <w:kern w:val="2"/>
              <w:sz w:val="32"/>
              <w:szCs w:val="32"/>
              <w:highlight w:val="none"/>
              <w:lang w:val="en-US" w:eastAsia="zh-CN" w:bidi="ar-SA"/>
            </w:rPr>
            <w:t xml:space="preserve"> </w:t>
          </w:r>
          <w:r>
            <w:rPr>
              <w:rFonts w:hint="eastAsia" w:ascii="宋体" w:hAnsi="宋体" w:eastAsia="宋体" w:cs="宋体"/>
              <w:b/>
              <w:bCs/>
              <w:color w:val="auto"/>
              <w:kern w:val="2"/>
              <w:sz w:val="32"/>
              <w:szCs w:val="32"/>
              <w:highlight w:val="none"/>
              <w:lang w:val="en-US" w:eastAsia="zh-CN" w:bidi="ar-SA"/>
            </w:rPr>
            <w:t>录</w:t>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pPr>
            <w:pStyle w:val="21"/>
            <w:keepNext w:val="0"/>
            <w:keepLines w:val="0"/>
            <w:pageBreakBefore w:val="0"/>
            <w:widowControl w:val="0"/>
            <w:tabs>
              <w:tab w:val="right" w:leader="dot" w:pos="9172"/>
            </w:tabs>
            <w:kinsoku/>
            <w:wordWrap/>
            <w:overflowPunct/>
            <w:topLinePunct w:val="0"/>
            <w:autoSpaceDE/>
            <w:autoSpaceDN/>
            <w:bidi w:val="0"/>
            <w:adjustRightInd/>
            <w:snapToGrid/>
            <w:spacing w:line="600" w:lineRule="exact"/>
            <w:ind w:left="0" w:leftChars="0" w:firstLine="0" w:firstLineChars="0"/>
            <w:textAlignment w:val="auto"/>
            <w:rPr>
              <w:b w:val="0"/>
              <w:bCs w:val="0"/>
              <w:sz w:val="30"/>
              <w:szCs w:val="30"/>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sz w:val="30"/>
              <w:szCs w:val="30"/>
              <w:highlight w:val="none"/>
            </w:rPr>
            <w:instrText xml:space="preserve"> HYPERLINK \l _Toc19255 </w:instrText>
          </w:r>
          <w:r>
            <w:rPr>
              <w:rFonts w:hint="eastAsia" w:ascii="宋体" w:hAnsi="宋体" w:eastAsia="宋体" w:cs="宋体"/>
              <w:b w:val="0"/>
              <w:bCs w:val="0"/>
              <w:sz w:val="30"/>
              <w:szCs w:val="30"/>
              <w:highlight w:val="none"/>
            </w:rPr>
            <w:fldChar w:fldCharType="separate"/>
          </w:r>
          <w:r>
            <w:rPr>
              <w:rFonts w:hint="eastAsia"/>
              <w:b w:val="0"/>
              <w:bCs w:val="0"/>
              <w:sz w:val="30"/>
              <w:szCs w:val="30"/>
              <w:lang w:val="en-US" w:eastAsia="zh-CN"/>
            </w:rPr>
            <w:t xml:space="preserve">第一章  </w:t>
          </w:r>
          <w:r>
            <w:rPr>
              <w:rFonts w:hint="eastAsia"/>
              <w:b w:val="0"/>
              <w:bCs w:val="0"/>
              <w:sz w:val="30"/>
              <w:szCs w:val="30"/>
            </w:rPr>
            <w:t>竞争性磋商公告</w:t>
          </w:r>
          <w:r>
            <w:rPr>
              <w:b w:val="0"/>
              <w:bCs w:val="0"/>
              <w:sz w:val="30"/>
              <w:szCs w:val="30"/>
            </w:rPr>
            <w:tab/>
          </w:r>
          <w:r>
            <w:rPr>
              <w:b w:val="0"/>
              <w:bCs w:val="0"/>
              <w:sz w:val="30"/>
              <w:szCs w:val="30"/>
            </w:rPr>
            <w:fldChar w:fldCharType="begin"/>
          </w:r>
          <w:r>
            <w:rPr>
              <w:b w:val="0"/>
              <w:bCs w:val="0"/>
              <w:sz w:val="30"/>
              <w:szCs w:val="30"/>
            </w:rPr>
            <w:instrText xml:space="preserve"> PAGEREF _Toc19255 \h </w:instrText>
          </w:r>
          <w:r>
            <w:rPr>
              <w:b w:val="0"/>
              <w:bCs w:val="0"/>
              <w:sz w:val="30"/>
              <w:szCs w:val="30"/>
            </w:rPr>
            <w:fldChar w:fldCharType="separate"/>
          </w:r>
          <w:r>
            <w:rPr>
              <w:b w:val="0"/>
              <w:bCs w:val="0"/>
              <w:sz w:val="30"/>
              <w:szCs w:val="30"/>
            </w:rPr>
            <w:t>1</w:t>
          </w:r>
          <w:r>
            <w:rPr>
              <w:b w:val="0"/>
              <w:bCs w:val="0"/>
              <w:sz w:val="30"/>
              <w:szCs w:val="30"/>
            </w:rPr>
            <w:fldChar w:fldCharType="end"/>
          </w:r>
          <w:r>
            <w:rPr>
              <w:rFonts w:hint="eastAsia" w:ascii="宋体" w:hAnsi="宋体" w:eastAsia="宋体" w:cs="宋体"/>
              <w:b w:val="0"/>
              <w:bCs w:val="0"/>
              <w:color w:val="auto"/>
              <w:sz w:val="30"/>
              <w:szCs w:val="30"/>
              <w:highlight w:val="none"/>
            </w:rPr>
            <w:fldChar w:fldCharType="end"/>
          </w:r>
        </w:p>
        <w:p>
          <w:pPr>
            <w:pStyle w:val="21"/>
            <w:keepNext w:val="0"/>
            <w:keepLines w:val="0"/>
            <w:pageBreakBefore w:val="0"/>
            <w:widowControl w:val="0"/>
            <w:tabs>
              <w:tab w:val="right" w:leader="dot" w:pos="9172"/>
            </w:tabs>
            <w:kinsoku/>
            <w:wordWrap/>
            <w:overflowPunct/>
            <w:topLinePunct w:val="0"/>
            <w:autoSpaceDE/>
            <w:autoSpaceDN/>
            <w:bidi w:val="0"/>
            <w:adjustRightInd/>
            <w:snapToGrid/>
            <w:spacing w:line="600" w:lineRule="exact"/>
            <w:ind w:left="0" w:leftChars="0" w:firstLine="0" w:firstLineChars="0"/>
            <w:textAlignment w:val="auto"/>
            <w:rPr>
              <w:b w:val="0"/>
              <w:bCs w:val="0"/>
              <w:sz w:val="30"/>
              <w:szCs w:val="30"/>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sz w:val="30"/>
              <w:szCs w:val="30"/>
              <w:highlight w:val="none"/>
            </w:rPr>
            <w:instrText xml:space="preserve"> HYPERLINK \l _Toc4514 </w:instrText>
          </w:r>
          <w:r>
            <w:rPr>
              <w:rFonts w:hint="eastAsia" w:ascii="宋体" w:hAnsi="宋体" w:eastAsia="宋体" w:cs="宋体"/>
              <w:b w:val="0"/>
              <w:bCs w:val="0"/>
              <w:sz w:val="30"/>
              <w:szCs w:val="30"/>
              <w:highlight w:val="none"/>
            </w:rPr>
            <w:fldChar w:fldCharType="separate"/>
          </w:r>
          <w:r>
            <w:rPr>
              <w:rFonts w:hint="eastAsia" w:ascii="宋体" w:hAnsi="宋体" w:cs="宋体"/>
              <w:b w:val="0"/>
              <w:bCs w:val="0"/>
              <w:sz w:val="30"/>
              <w:szCs w:val="30"/>
              <w:highlight w:val="none"/>
              <w:lang w:val="en-US" w:eastAsia="zh-CN"/>
            </w:rPr>
            <w:t xml:space="preserve">第二章  </w:t>
          </w:r>
          <w:r>
            <w:rPr>
              <w:rFonts w:hint="eastAsia" w:ascii="宋体" w:hAnsi="宋体" w:eastAsia="宋体" w:cs="宋体"/>
              <w:b w:val="0"/>
              <w:bCs w:val="0"/>
              <w:sz w:val="30"/>
              <w:szCs w:val="30"/>
              <w:highlight w:val="none"/>
            </w:rPr>
            <w:t>供应商须知</w:t>
          </w:r>
          <w:r>
            <w:rPr>
              <w:b w:val="0"/>
              <w:bCs w:val="0"/>
              <w:sz w:val="30"/>
              <w:szCs w:val="30"/>
            </w:rPr>
            <w:tab/>
          </w:r>
          <w:r>
            <w:rPr>
              <w:b w:val="0"/>
              <w:bCs w:val="0"/>
              <w:sz w:val="30"/>
              <w:szCs w:val="30"/>
            </w:rPr>
            <w:fldChar w:fldCharType="begin"/>
          </w:r>
          <w:r>
            <w:rPr>
              <w:b w:val="0"/>
              <w:bCs w:val="0"/>
              <w:sz w:val="30"/>
              <w:szCs w:val="30"/>
            </w:rPr>
            <w:instrText xml:space="preserve"> PAGEREF _Toc4514 \h </w:instrText>
          </w:r>
          <w:r>
            <w:rPr>
              <w:b w:val="0"/>
              <w:bCs w:val="0"/>
              <w:sz w:val="30"/>
              <w:szCs w:val="30"/>
            </w:rPr>
            <w:fldChar w:fldCharType="separate"/>
          </w:r>
          <w:r>
            <w:rPr>
              <w:b w:val="0"/>
              <w:bCs w:val="0"/>
              <w:sz w:val="30"/>
              <w:szCs w:val="30"/>
            </w:rPr>
            <w:t>5</w:t>
          </w:r>
          <w:r>
            <w:rPr>
              <w:b w:val="0"/>
              <w:bCs w:val="0"/>
              <w:sz w:val="30"/>
              <w:szCs w:val="30"/>
            </w:rPr>
            <w:fldChar w:fldCharType="end"/>
          </w:r>
          <w:r>
            <w:rPr>
              <w:rFonts w:hint="eastAsia" w:ascii="宋体" w:hAnsi="宋体" w:eastAsia="宋体" w:cs="宋体"/>
              <w:b w:val="0"/>
              <w:bCs w:val="0"/>
              <w:color w:val="auto"/>
              <w:sz w:val="30"/>
              <w:szCs w:val="30"/>
              <w:highlight w:val="none"/>
            </w:rPr>
            <w:fldChar w:fldCharType="end"/>
          </w:r>
        </w:p>
        <w:p>
          <w:pPr>
            <w:pStyle w:val="21"/>
            <w:keepNext w:val="0"/>
            <w:keepLines w:val="0"/>
            <w:pageBreakBefore w:val="0"/>
            <w:widowControl w:val="0"/>
            <w:tabs>
              <w:tab w:val="right" w:leader="dot" w:pos="9172"/>
            </w:tabs>
            <w:kinsoku/>
            <w:wordWrap/>
            <w:overflowPunct/>
            <w:topLinePunct w:val="0"/>
            <w:autoSpaceDE/>
            <w:autoSpaceDN/>
            <w:bidi w:val="0"/>
            <w:adjustRightInd/>
            <w:snapToGrid/>
            <w:spacing w:line="600" w:lineRule="exact"/>
            <w:ind w:left="0" w:leftChars="0" w:firstLine="0" w:firstLineChars="0"/>
            <w:textAlignment w:val="auto"/>
            <w:rPr>
              <w:b w:val="0"/>
              <w:bCs w:val="0"/>
              <w:sz w:val="30"/>
              <w:szCs w:val="30"/>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sz w:val="30"/>
              <w:szCs w:val="30"/>
              <w:highlight w:val="none"/>
            </w:rPr>
            <w:instrText xml:space="preserve"> HYPERLINK \l _Toc16253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 xml:space="preserve">第三章 </w:t>
          </w:r>
          <w:r>
            <w:rPr>
              <w:rFonts w:hint="eastAsia" w:ascii="宋体" w:hAnsi="宋体" w:cs="宋体"/>
              <w:b w:val="0"/>
              <w:bCs w:val="0"/>
              <w:sz w:val="30"/>
              <w:szCs w:val="30"/>
              <w:highlight w:val="none"/>
              <w:lang w:val="en-US" w:eastAsia="zh-CN"/>
            </w:rPr>
            <w:t xml:space="preserve"> </w:t>
          </w:r>
          <w:r>
            <w:rPr>
              <w:rFonts w:hint="eastAsia" w:ascii="宋体" w:hAnsi="宋体" w:eastAsia="宋体" w:cs="宋体"/>
              <w:b w:val="0"/>
              <w:bCs w:val="0"/>
              <w:sz w:val="30"/>
              <w:szCs w:val="30"/>
              <w:highlight w:val="none"/>
            </w:rPr>
            <w:t>资格审查办法</w:t>
          </w:r>
          <w:r>
            <w:rPr>
              <w:b w:val="0"/>
              <w:bCs w:val="0"/>
              <w:sz w:val="30"/>
              <w:szCs w:val="30"/>
            </w:rPr>
            <w:tab/>
          </w:r>
          <w:r>
            <w:rPr>
              <w:b w:val="0"/>
              <w:bCs w:val="0"/>
              <w:sz w:val="30"/>
              <w:szCs w:val="30"/>
            </w:rPr>
            <w:fldChar w:fldCharType="begin"/>
          </w:r>
          <w:r>
            <w:rPr>
              <w:b w:val="0"/>
              <w:bCs w:val="0"/>
              <w:sz w:val="30"/>
              <w:szCs w:val="30"/>
            </w:rPr>
            <w:instrText xml:space="preserve"> PAGEREF _Toc16253 \h </w:instrText>
          </w:r>
          <w:r>
            <w:rPr>
              <w:b w:val="0"/>
              <w:bCs w:val="0"/>
              <w:sz w:val="30"/>
              <w:szCs w:val="30"/>
            </w:rPr>
            <w:fldChar w:fldCharType="separate"/>
          </w:r>
          <w:r>
            <w:rPr>
              <w:b w:val="0"/>
              <w:bCs w:val="0"/>
              <w:sz w:val="30"/>
              <w:szCs w:val="30"/>
            </w:rPr>
            <w:t>34</w:t>
          </w:r>
          <w:r>
            <w:rPr>
              <w:b w:val="0"/>
              <w:bCs w:val="0"/>
              <w:sz w:val="30"/>
              <w:szCs w:val="30"/>
            </w:rPr>
            <w:fldChar w:fldCharType="end"/>
          </w:r>
          <w:r>
            <w:rPr>
              <w:rFonts w:hint="eastAsia" w:ascii="宋体" w:hAnsi="宋体" w:eastAsia="宋体" w:cs="宋体"/>
              <w:b w:val="0"/>
              <w:bCs w:val="0"/>
              <w:color w:val="auto"/>
              <w:sz w:val="30"/>
              <w:szCs w:val="30"/>
              <w:highlight w:val="none"/>
            </w:rPr>
            <w:fldChar w:fldCharType="end"/>
          </w:r>
        </w:p>
        <w:p>
          <w:pPr>
            <w:pStyle w:val="21"/>
            <w:keepNext w:val="0"/>
            <w:keepLines w:val="0"/>
            <w:pageBreakBefore w:val="0"/>
            <w:widowControl w:val="0"/>
            <w:tabs>
              <w:tab w:val="right" w:leader="dot" w:pos="9172"/>
            </w:tabs>
            <w:kinsoku/>
            <w:wordWrap/>
            <w:overflowPunct/>
            <w:topLinePunct w:val="0"/>
            <w:autoSpaceDE/>
            <w:autoSpaceDN/>
            <w:bidi w:val="0"/>
            <w:adjustRightInd/>
            <w:snapToGrid/>
            <w:spacing w:line="600" w:lineRule="exact"/>
            <w:ind w:left="0" w:leftChars="0" w:firstLine="0" w:firstLineChars="0"/>
            <w:textAlignment w:val="auto"/>
            <w:rPr>
              <w:b w:val="0"/>
              <w:bCs w:val="0"/>
              <w:sz w:val="30"/>
              <w:szCs w:val="30"/>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sz w:val="30"/>
              <w:szCs w:val="30"/>
              <w:highlight w:val="none"/>
            </w:rPr>
            <w:instrText xml:space="preserve"> HYPERLINK \l _Toc8197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 xml:space="preserve">第四章 </w:t>
          </w:r>
          <w:r>
            <w:rPr>
              <w:rFonts w:hint="eastAsia" w:ascii="宋体" w:hAnsi="宋体" w:cs="宋体"/>
              <w:b w:val="0"/>
              <w:bCs w:val="0"/>
              <w:sz w:val="30"/>
              <w:szCs w:val="30"/>
              <w:highlight w:val="none"/>
              <w:lang w:val="en-US" w:eastAsia="zh-CN"/>
            </w:rPr>
            <w:t xml:space="preserve"> </w:t>
          </w:r>
          <w:r>
            <w:rPr>
              <w:rFonts w:hint="eastAsia" w:ascii="宋体" w:hAnsi="宋体" w:cs="宋体"/>
              <w:b w:val="0"/>
              <w:bCs w:val="0"/>
              <w:sz w:val="30"/>
              <w:szCs w:val="30"/>
              <w:highlight w:val="none"/>
              <w:lang w:eastAsia="zh-CN"/>
            </w:rPr>
            <w:t>磋商</w:t>
          </w:r>
          <w:r>
            <w:rPr>
              <w:rFonts w:hint="eastAsia" w:ascii="宋体" w:hAnsi="宋体" w:eastAsia="宋体" w:cs="宋体"/>
              <w:b w:val="0"/>
              <w:bCs w:val="0"/>
              <w:sz w:val="30"/>
              <w:szCs w:val="30"/>
              <w:highlight w:val="none"/>
            </w:rPr>
            <w:t>办法</w:t>
          </w:r>
          <w:r>
            <w:rPr>
              <w:b w:val="0"/>
              <w:bCs w:val="0"/>
              <w:sz w:val="30"/>
              <w:szCs w:val="30"/>
            </w:rPr>
            <w:tab/>
          </w:r>
          <w:r>
            <w:rPr>
              <w:b w:val="0"/>
              <w:bCs w:val="0"/>
              <w:sz w:val="30"/>
              <w:szCs w:val="30"/>
            </w:rPr>
            <w:fldChar w:fldCharType="begin"/>
          </w:r>
          <w:r>
            <w:rPr>
              <w:b w:val="0"/>
              <w:bCs w:val="0"/>
              <w:sz w:val="30"/>
              <w:szCs w:val="30"/>
            </w:rPr>
            <w:instrText xml:space="preserve"> PAGEREF _Toc8197 \h </w:instrText>
          </w:r>
          <w:r>
            <w:rPr>
              <w:b w:val="0"/>
              <w:bCs w:val="0"/>
              <w:sz w:val="30"/>
              <w:szCs w:val="30"/>
            </w:rPr>
            <w:fldChar w:fldCharType="separate"/>
          </w:r>
          <w:r>
            <w:rPr>
              <w:b w:val="0"/>
              <w:bCs w:val="0"/>
              <w:sz w:val="30"/>
              <w:szCs w:val="30"/>
            </w:rPr>
            <w:t>37</w:t>
          </w:r>
          <w:r>
            <w:rPr>
              <w:b w:val="0"/>
              <w:bCs w:val="0"/>
              <w:sz w:val="30"/>
              <w:szCs w:val="30"/>
            </w:rPr>
            <w:fldChar w:fldCharType="end"/>
          </w:r>
          <w:r>
            <w:rPr>
              <w:rFonts w:hint="eastAsia" w:ascii="宋体" w:hAnsi="宋体" w:eastAsia="宋体" w:cs="宋体"/>
              <w:b w:val="0"/>
              <w:bCs w:val="0"/>
              <w:color w:val="auto"/>
              <w:sz w:val="30"/>
              <w:szCs w:val="30"/>
              <w:highlight w:val="none"/>
            </w:rPr>
            <w:fldChar w:fldCharType="end"/>
          </w:r>
        </w:p>
        <w:p>
          <w:pPr>
            <w:pStyle w:val="21"/>
            <w:keepNext w:val="0"/>
            <w:keepLines w:val="0"/>
            <w:pageBreakBefore w:val="0"/>
            <w:widowControl w:val="0"/>
            <w:tabs>
              <w:tab w:val="right" w:leader="dot" w:pos="9172"/>
            </w:tabs>
            <w:kinsoku/>
            <w:wordWrap/>
            <w:overflowPunct/>
            <w:topLinePunct w:val="0"/>
            <w:autoSpaceDE/>
            <w:autoSpaceDN/>
            <w:bidi w:val="0"/>
            <w:adjustRightInd/>
            <w:snapToGrid/>
            <w:spacing w:line="600" w:lineRule="exact"/>
            <w:ind w:left="0" w:leftChars="0" w:firstLine="0" w:firstLineChars="0"/>
            <w:textAlignment w:val="auto"/>
            <w:rPr>
              <w:b w:val="0"/>
              <w:bCs w:val="0"/>
              <w:sz w:val="30"/>
              <w:szCs w:val="30"/>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sz w:val="30"/>
              <w:szCs w:val="30"/>
              <w:highlight w:val="none"/>
            </w:rPr>
            <w:instrText xml:space="preserve"> HYPERLINK \l _Toc14288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lang w:val="en-US" w:eastAsia="zh-CN"/>
            </w:rPr>
            <w:t xml:space="preserve">第五章  </w:t>
          </w:r>
          <w:r>
            <w:rPr>
              <w:rFonts w:hint="eastAsia" w:ascii="宋体" w:hAnsi="宋体" w:eastAsia="宋体" w:cs="宋体"/>
              <w:b w:val="0"/>
              <w:bCs w:val="0"/>
              <w:sz w:val="30"/>
              <w:szCs w:val="30"/>
              <w:highlight w:val="none"/>
            </w:rPr>
            <w:t>采购需求</w:t>
          </w:r>
          <w:r>
            <w:rPr>
              <w:b w:val="0"/>
              <w:bCs w:val="0"/>
              <w:sz w:val="30"/>
              <w:szCs w:val="30"/>
            </w:rPr>
            <w:tab/>
          </w:r>
          <w:r>
            <w:rPr>
              <w:b w:val="0"/>
              <w:bCs w:val="0"/>
              <w:sz w:val="30"/>
              <w:szCs w:val="30"/>
            </w:rPr>
            <w:fldChar w:fldCharType="begin"/>
          </w:r>
          <w:r>
            <w:rPr>
              <w:b w:val="0"/>
              <w:bCs w:val="0"/>
              <w:sz w:val="30"/>
              <w:szCs w:val="30"/>
            </w:rPr>
            <w:instrText xml:space="preserve"> PAGEREF _Toc14288 \h </w:instrText>
          </w:r>
          <w:r>
            <w:rPr>
              <w:b w:val="0"/>
              <w:bCs w:val="0"/>
              <w:sz w:val="30"/>
              <w:szCs w:val="30"/>
            </w:rPr>
            <w:fldChar w:fldCharType="separate"/>
          </w:r>
          <w:r>
            <w:rPr>
              <w:b w:val="0"/>
              <w:bCs w:val="0"/>
              <w:sz w:val="30"/>
              <w:szCs w:val="30"/>
            </w:rPr>
            <w:t>49</w:t>
          </w:r>
          <w:r>
            <w:rPr>
              <w:b w:val="0"/>
              <w:bCs w:val="0"/>
              <w:sz w:val="30"/>
              <w:szCs w:val="30"/>
            </w:rPr>
            <w:fldChar w:fldCharType="end"/>
          </w:r>
          <w:r>
            <w:rPr>
              <w:rFonts w:hint="eastAsia" w:ascii="宋体" w:hAnsi="宋体" w:eastAsia="宋体" w:cs="宋体"/>
              <w:b w:val="0"/>
              <w:bCs w:val="0"/>
              <w:color w:val="auto"/>
              <w:sz w:val="30"/>
              <w:szCs w:val="30"/>
              <w:highlight w:val="none"/>
            </w:rPr>
            <w:fldChar w:fldCharType="end"/>
          </w:r>
        </w:p>
        <w:p>
          <w:pPr>
            <w:pStyle w:val="21"/>
            <w:keepNext w:val="0"/>
            <w:keepLines w:val="0"/>
            <w:pageBreakBefore w:val="0"/>
            <w:widowControl w:val="0"/>
            <w:tabs>
              <w:tab w:val="right" w:leader="dot" w:pos="9172"/>
            </w:tabs>
            <w:kinsoku/>
            <w:wordWrap/>
            <w:overflowPunct/>
            <w:topLinePunct w:val="0"/>
            <w:autoSpaceDE/>
            <w:autoSpaceDN/>
            <w:bidi w:val="0"/>
            <w:adjustRightInd/>
            <w:snapToGrid/>
            <w:spacing w:line="600" w:lineRule="exact"/>
            <w:ind w:left="0" w:leftChars="0" w:firstLine="0" w:firstLineChars="0"/>
            <w:textAlignment w:val="auto"/>
            <w:rPr>
              <w:b w:val="0"/>
              <w:bCs w:val="0"/>
              <w:sz w:val="30"/>
              <w:szCs w:val="30"/>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sz w:val="30"/>
              <w:szCs w:val="30"/>
              <w:highlight w:val="none"/>
            </w:rPr>
            <w:instrText xml:space="preserve"> HYPERLINK \l _Toc7483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第六章  政府采购合同格式</w:t>
          </w:r>
          <w:r>
            <w:rPr>
              <w:b w:val="0"/>
              <w:bCs w:val="0"/>
              <w:sz w:val="30"/>
              <w:szCs w:val="30"/>
            </w:rPr>
            <w:tab/>
          </w:r>
          <w:r>
            <w:rPr>
              <w:b w:val="0"/>
              <w:bCs w:val="0"/>
              <w:sz w:val="30"/>
              <w:szCs w:val="30"/>
            </w:rPr>
            <w:fldChar w:fldCharType="begin"/>
          </w:r>
          <w:r>
            <w:rPr>
              <w:b w:val="0"/>
              <w:bCs w:val="0"/>
              <w:sz w:val="30"/>
              <w:szCs w:val="30"/>
            </w:rPr>
            <w:instrText xml:space="preserve"> PAGEREF _Toc7483 \h </w:instrText>
          </w:r>
          <w:r>
            <w:rPr>
              <w:b w:val="0"/>
              <w:bCs w:val="0"/>
              <w:sz w:val="30"/>
              <w:szCs w:val="30"/>
            </w:rPr>
            <w:fldChar w:fldCharType="separate"/>
          </w:r>
          <w:r>
            <w:rPr>
              <w:b w:val="0"/>
              <w:bCs w:val="0"/>
              <w:sz w:val="30"/>
              <w:szCs w:val="30"/>
            </w:rPr>
            <w:t>50</w:t>
          </w:r>
          <w:r>
            <w:rPr>
              <w:b w:val="0"/>
              <w:bCs w:val="0"/>
              <w:sz w:val="30"/>
              <w:szCs w:val="30"/>
            </w:rPr>
            <w:fldChar w:fldCharType="end"/>
          </w:r>
          <w:r>
            <w:rPr>
              <w:rFonts w:hint="eastAsia" w:ascii="宋体" w:hAnsi="宋体" w:eastAsia="宋体" w:cs="宋体"/>
              <w:b w:val="0"/>
              <w:bCs w:val="0"/>
              <w:color w:val="auto"/>
              <w:sz w:val="30"/>
              <w:szCs w:val="30"/>
              <w:highlight w:val="none"/>
            </w:rPr>
            <w:fldChar w:fldCharType="end"/>
          </w:r>
        </w:p>
        <w:p>
          <w:pPr>
            <w:pStyle w:val="21"/>
            <w:keepNext w:val="0"/>
            <w:keepLines w:val="0"/>
            <w:pageBreakBefore w:val="0"/>
            <w:widowControl w:val="0"/>
            <w:tabs>
              <w:tab w:val="right" w:leader="dot" w:pos="9172"/>
            </w:tabs>
            <w:kinsoku/>
            <w:wordWrap/>
            <w:overflowPunct/>
            <w:topLinePunct w:val="0"/>
            <w:autoSpaceDE/>
            <w:autoSpaceDN/>
            <w:bidi w:val="0"/>
            <w:adjustRightInd/>
            <w:snapToGrid/>
            <w:spacing w:line="600" w:lineRule="exact"/>
            <w:ind w:left="0" w:leftChars="0" w:firstLine="0" w:firstLineChars="0"/>
            <w:textAlignment w:val="auto"/>
            <w:rPr>
              <w:sz w:val="30"/>
              <w:szCs w:val="30"/>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sz w:val="30"/>
              <w:szCs w:val="30"/>
              <w:highlight w:val="none"/>
            </w:rPr>
            <w:instrText xml:space="preserve"> HYPERLINK \l _Toc7111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第</w:t>
          </w:r>
          <w:r>
            <w:rPr>
              <w:rFonts w:hint="eastAsia" w:ascii="宋体" w:hAnsi="宋体" w:eastAsia="宋体" w:cs="宋体"/>
              <w:b w:val="0"/>
              <w:bCs w:val="0"/>
              <w:sz w:val="30"/>
              <w:szCs w:val="30"/>
              <w:highlight w:val="none"/>
              <w:lang w:val="en-US" w:eastAsia="zh-CN"/>
            </w:rPr>
            <w:t>七</w:t>
          </w:r>
          <w:r>
            <w:rPr>
              <w:rFonts w:hint="eastAsia" w:ascii="宋体" w:hAnsi="宋体" w:eastAsia="宋体" w:cs="宋体"/>
              <w:b w:val="0"/>
              <w:bCs w:val="0"/>
              <w:sz w:val="30"/>
              <w:szCs w:val="30"/>
              <w:highlight w:val="none"/>
              <w:lang w:eastAsia="zh-CN"/>
            </w:rPr>
            <w:t>章</w:t>
          </w:r>
          <w:r>
            <w:rPr>
              <w:rFonts w:hint="eastAsia" w:ascii="宋体" w:hAnsi="宋体" w:eastAsia="宋体" w:cs="宋体"/>
              <w:b w:val="0"/>
              <w:bCs w:val="0"/>
              <w:sz w:val="30"/>
              <w:szCs w:val="30"/>
              <w:highlight w:val="none"/>
              <w:lang w:val="en-US" w:eastAsia="zh-CN"/>
            </w:rPr>
            <w:t xml:space="preserve"> </w:t>
          </w:r>
          <w:r>
            <w:rPr>
              <w:rFonts w:hint="eastAsia" w:ascii="宋体" w:hAnsi="宋体" w:eastAsia="宋体" w:cs="宋体"/>
              <w:b w:val="0"/>
              <w:bCs w:val="0"/>
              <w:sz w:val="30"/>
              <w:szCs w:val="30"/>
              <w:highlight w:val="none"/>
            </w:rPr>
            <w:t xml:space="preserve"> 竞争性</w:t>
          </w:r>
          <w:r>
            <w:rPr>
              <w:rFonts w:hint="eastAsia" w:ascii="宋体" w:hAnsi="宋体" w:cs="宋体"/>
              <w:b w:val="0"/>
              <w:bCs w:val="0"/>
              <w:sz w:val="30"/>
              <w:szCs w:val="30"/>
              <w:highlight w:val="none"/>
              <w:lang w:eastAsia="zh-CN"/>
            </w:rPr>
            <w:t>磋商</w:t>
          </w:r>
          <w:r>
            <w:rPr>
              <w:rFonts w:hint="eastAsia" w:ascii="宋体" w:hAnsi="宋体" w:eastAsia="宋体" w:cs="宋体"/>
              <w:b w:val="0"/>
              <w:bCs w:val="0"/>
              <w:sz w:val="30"/>
              <w:szCs w:val="30"/>
              <w:highlight w:val="none"/>
            </w:rPr>
            <w:t>响应文件格式</w:t>
          </w:r>
          <w:r>
            <w:rPr>
              <w:b w:val="0"/>
              <w:bCs w:val="0"/>
              <w:sz w:val="30"/>
              <w:szCs w:val="30"/>
            </w:rPr>
            <w:tab/>
          </w:r>
          <w:r>
            <w:rPr>
              <w:b w:val="0"/>
              <w:bCs w:val="0"/>
              <w:sz w:val="30"/>
              <w:szCs w:val="30"/>
            </w:rPr>
            <w:fldChar w:fldCharType="begin"/>
          </w:r>
          <w:r>
            <w:rPr>
              <w:b w:val="0"/>
              <w:bCs w:val="0"/>
              <w:sz w:val="30"/>
              <w:szCs w:val="30"/>
            </w:rPr>
            <w:instrText xml:space="preserve"> PAGEREF _Toc7111 \h </w:instrText>
          </w:r>
          <w:r>
            <w:rPr>
              <w:b w:val="0"/>
              <w:bCs w:val="0"/>
              <w:sz w:val="30"/>
              <w:szCs w:val="30"/>
            </w:rPr>
            <w:fldChar w:fldCharType="separate"/>
          </w:r>
          <w:r>
            <w:rPr>
              <w:b w:val="0"/>
              <w:bCs w:val="0"/>
              <w:sz w:val="30"/>
              <w:szCs w:val="30"/>
            </w:rPr>
            <w:t>57</w:t>
          </w:r>
          <w:r>
            <w:rPr>
              <w:b w:val="0"/>
              <w:bCs w:val="0"/>
              <w:sz w:val="30"/>
              <w:szCs w:val="30"/>
            </w:rPr>
            <w:fldChar w:fldCharType="end"/>
          </w:r>
          <w:r>
            <w:rPr>
              <w:rFonts w:hint="eastAsia" w:ascii="宋体" w:hAnsi="宋体" w:eastAsia="宋体" w:cs="宋体"/>
              <w:b w:val="0"/>
              <w:bCs w:val="0"/>
              <w:color w:val="auto"/>
              <w:sz w:val="30"/>
              <w:szCs w:val="30"/>
              <w:highlight w:val="none"/>
            </w:rPr>
            <w:fldChar w:fldCharType="end"/>
          </w:r>
        </w:p>
        <w:p>
          <w:pPr>
            <w:pStyle w:val="21"/>
            <w:tabs>
              <w:tab w:val="right" w:leader="dot" w:pos="9172"/>
            </w:tabs>
          </w:pPr>
        </w:p>
        <w:p>
          <w:pPr>
            <w:pStyle w:val="21"/>
            <w:tabs>
              <w:tab w:val="right" w:leader="dot" w:pos="9178"/>
            </w:tabs>
            <w:spacing w:line="720" w:lineRule="auto"/>
            <w:ind w:left="0" w:lef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fldChar w:fldCharType="end"/>
          </w:r>
        </w:p>
      </w:sdtContent>
    </w:sdt>
    <w:p>
      <w:pPr>
        <w:spacing w:line="720" w:lineRule="auto"/>
        <w:ind w:firstLine="640"/>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highlight w:val="none"/>
          <w:lang w:val="en-US" w:eastAsia="zh-CN"/>
        </w:rPr>
      </w:pPr>
    </w:p>
    <w:p>
      <w:pPr>
        <w:spacing w:line="520" w:lineRule="exact"/>
        <w:ind w:firstLine="198" w:firstLineChars="62"/>
        <w:rPr>
          <w:rFonts w:hint="eastAsia" w:ascii="宋体" w:hAnsi="宋体" w:eastAsia="宋体" w:cs="宋体"/>
          <w:color w:val="auto"/>
          <w:sz w:val="32"/>
          <w:szCs w:val="32"/>
          <w:highlight w:val="none"/>
        </w:rPr>
      </w:pPr>
    </w:p>
    <w:p>
      <w:pPr>
        <w:spacing w:line="520" w:lineRule="exact"/>
        <w:ind w:firstLine="640"/>
        <w:rPr>
          <w:rFonts w:hint="eastAsia" w:ascii="宋体" w:hAnsi="宋体" w:eastAsia="宋体" w:cs="宋体"/>
          <w:color w:val="auto"/>
          <w:sz w:val="32"/>
          <w:szCs w:val="32"/>
          <w:highlight w:val="none"/>
        </w:rPr>
      </w:pPr>
    </w:p>
    <w:p>
      <w:pPr>
        <w:pStyle w:val="5"/>
        <w:numPr>
          <w:ilvl w:val="0"/>
          <w:numId w:val="0"/>
        </w:numPr>
        <w:spacing w:before="120" w:beforeLines="50" w:after="240" w:afterLines="100" w:line="240" w:lineRule="auto"/>
        <w:jc w:val="center"/>
        <w:outlineLvl w:val="0"/>
        <w:rPr>
          <w:rFonts w:hint="eastAsia" w:ascii="宋体" w:hAnsi="宋体" w:cs="宋体"/>
          <w:color w:val="000000"/>
          <w:sz w:val="30"/>
          <w:szCs w:val="30"/>
          <w:highlight w:val="none"/>
          <w:lang w:val="en-US" w:eastAsia="zh-CN"/>
        </w:rPr>
        <w:sectPr>
          <w:footerReference r:id="rId8" w:type="first"/>
          <w:footerReference r:id="rId7" w:type="default"/>
          <w:pgSz w:w="11905" w:h="16838"/>
          <w:pgMar w:top="1440" w:right="1083" w:bottom="1440" w:left="1083" w:header="850" w:footer="992" w:gutter="567"/>
          <w:pgBorders>
            <w:top w:val="none" w:sz="0" w:space="0"/>
            <w:left w:val="none" w:sz="0" w:space="0"/>
            <w:bottom w:val="none" w:sz="0" w:space="0"/>
            <w:right w:val="none" w:sz="0" w:space="0"/>
          </w:pgBorders>
          <w:pgNumType w:fmt="decimal" w:start="1"/>
          <w:cols w:space="0" w:num="1"/>
          <w:docGrid w:type="lines" w:linePitch="314" w:charSpace="0"/>
        </w:sectPr>
      </w:pPr>
    </w:p>
    <w:p>
      <w:pPr>
        <w:pStyle w:val="3"/>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sz w:val="30"/>
          <w:szCs w:val="30"/>
        </w:rPr>
      </w:pPr>
      <w:bookmarkStart w:id="6" w:name="_Toc19255"/>
      <w:bookmarkStart w:id="7" w:name="_Toc26998"/>
      <w:bookmarkStart w:id="8" w:name="_Toc458515047"/>
      <w:bookmarkStart w:id="9" w:name="_Toc452708685"/>
      <w:bookmarkStart w:id="10" w:name="_Toc13183"/>
      <w:r>
        <w:rPr>
          <w:rFonts w:hint="eastAsia"/>
          <w:sz w:val="30"/>
          <w:szCs w:val="30"/>
          <w:lang w:val="en-US" w:eastAsia="zh-CN"/>
        </w:rPr>
        <w:t xml:space="preserve">第一章  </w:t>
      </w:r>
      <w:r>
        <w:rPr>
          <w:rFonts w:hint="eastAsia"/>
          <w:sz w:val="30"/>
          <w:szCs w:val="30"/>
        </w:rPr>
        <w:t>竞争性磋商公告</w:t>
      </w:r>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2025年凤县农村公路桥梁建设防洪影响评价报告编制项目采购项目的潜在供应商应在【全国公共资源交易平台（陕西省·宝鸡市）】平台获取采购文件，并于 2025年06月30日 09时00分 （北京时间）前提交响应文件。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项目编号：ZZDBJ招2025-006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项目名称：2025年凤县农村公路桥梁建设防洪影响评价报告编制项目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预算金额：805,000.00元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采购需求：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合同包1(2025年凤县农村公路桥梁建设防洪影响评价报告编制项目):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合同包预算金额：805,000.00元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合同包最高限价：805,000.00元</w:t>
      </w:r>
    </w:p>
    <w:tbl>
      <w:tblPr>
        <w:tblStyle w:val="3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1563"/>
        <w:gridCol w:w="1274"/>
        <w:gridCol w:w="1187"/>
        <w:gridCol w:w="1751"/>
        <w:gridCol w:w="1296"/>
        <w:gridCol w:w="13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品目号</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品目名称</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采购标的</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数量（单位）</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技术规格、参数及要求</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品目预算(元)</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1-1</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其他工程管理服务</w:t>
            </w:r>
          </w:p>
        </w:tc>
        <w:tc>
          <w:tcPr>
            <w:tcW w:w="12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jc w:val="both"/>
              <w:textAlignment w:val="auto"/>
              <w:rPr>
                <w:rFonts w:hint="eastAsia"/>
              </w:rPr>
            </w:pPr>
            <w:r>
              <w:rPr>
                <w:rFonts w:hint="eastAsia"/>
              </w:rPr>
              <w:t>805000</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rPr>
            </w:pPr>
            <w:r>
              <w:rPr>
                <w:rFonts w:hint="eastAsia"/>
              </w:rPr>
              <w:t>1(项)</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详见采购文件</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805,000.00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rPr>
              <w:t>805,000.00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合同履行期限：2个月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合同包1(2025年凤县农村公路桥梁建设防洪影响评价报告编制项目)落实政府采购政策需满足的资格要求如下: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本项目专门面向中小企业采购，供应商应当为中小企业（含残疾人福利性单位、监狱企业）</w:t>
      </w:r>
      <w:r>
        <w:rPr>
          <w:rFonts w:hint="eastAsia"/>
        </w:rPr>
        <w:br w:type="textWrapping"/>
      </w:r>
      <w:r>
        <w:rPr>
          <w:rFonts w:hint="eastAsia"/>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陕西省财政厅关于印发陕西省中小企业政府采购信用融资办法》(陕财办采(2018)23号)；《陕西省财政厅关于加快推进我省中小企业政府采购信用融资工作的通知》(陕财办采(2020)15号)。</w:t>
      </w:r>
      <w:r>
        <w:rPr>
          <w:rFonts w:hint="eastAsia"/>
        </w:rPr>
        <w:br w:type="textWrapping"/>
      </w:r>
      <w:r>
        <w:rPr>
          <w:rFonts w:hint="eastAsia"/>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r>
        <w:rPr>
          <w:rFonts w:hint="eastAsia"/>
        </w:rPr>
        <w:br w:type="textWrapping"/>
      </w:r>
      <w:r>
        <w:rPr>
          <w:rFonts w:hint="eastAsia"/>
        </w:rPr>
        <w:t>（3）支持本国产业政策：《财政部关于印发&lt;进口产品管理办法&gt;的通知》（财库[2007]119号）；《财政部办公厅关于政府采购进口产品管理有关问题的通知》（财办库[2008]248号）。</w:t>
      </w:r>
      <w:r>
        <w:rPr>
          <w:rFonts w:hint="eastAsia"/>
        </w:rPr>
        <w:br w:type="textWrapping"/>
      </w:r>
      <w:r>
        <w:rPr>
          <w:rFonts w:hint="eastAsia"/>
        </w:rPr>
        <w:t>（4）支持创新等政府采购政策。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合同包1(2025年凤县农村公路桥梁建设防洪影响评价报告编制项目)特定资格要求如下: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rPr>
      </w:pPr>
      <w:bookmarkStart w:id="11" w:name="OLE_LINK10"/>
      <w:r>
        <w:rPr>
          <w:rFonts w:hint="eastAsia"/>
        </w:rPr>
        <w:t>3.1供应商具有独立承担民事责任的能力，提供统一社会信用代码的营业执照；</w:t>
      </w:r>
      <w:r>
        <w:rPr>
          <w:rFonts w:hint="eastAsia"/>
        </w:rPr>
        <w:br w:type="textWrapping"/>
      </w:r>
      <w:r>
        <w:rPr>
          <w:rFonts w:hint="eastAsia"/>
        </w:rPr>
        <w:t>3.2供应商须具备工程设计水利行业乙级(含乙级)以上资质或工程设计水利行业城市防洪专业乙</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级(含乙级)以上资质，拟派项目负责人须具备相关专业中级（含中级）以上技术职称。</w:t>
      </w:r>
      <w:r>
        <w:rPr>
          <w:rFonts w:hint="eastAsia"/>
        </w:rPr>
        <w:br w:type="textWrapping"/>
      </w:r>
      <w:r>
        <w:rPr>
          <w:rFonts w:hint="eastAsia"/>
        </w:rPr>
        <w:t>3.3税收缴纳证明：提供2024年5月至今已缴纳的至少3个月的完税证明或纳税证明（任意税种），</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依法免税的单位应提供相关证明材料；</w:t>
      </w:r>
      <w:r>
        <w:rPr>
          <w:rFonts w:hint="eastAsia"/>
        </w:rPr>
        <w:br w:type="textWrapping"/>
      </w:r>
      <w:r>
        <w:rPr>
          <w:rFonts w:hint="eastAsia"/>
        </w:rPr>
        <w:t>3.4社会保障资金缴纳证明：提供2024年5月至今已缴存的至少3个月的社会保障资金缴存单据</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或社保机构开具的社会保险参保缴费情况证明，依法不需要缴纳社会保障资金的单位应提供相关证明</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材料；</w:t>
      </w:r>
      <w:r>
        <w:rPr>
          <w:rFonts w:hint="eastAsia"/>
        </w:rPr>
        <w:br w:type="textWrapping"/>
      </w:r>
      <w:r>
        <w:rPr>
          <w:rFonts w:hint="eastAsia"/>
        </w:rPr>
        <w:t>3.5财务状况报告：提供2023年度或2024年度经审计的财务报告或提供响应文件截止时间3个</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月内其基本账户开户银行出具的资信证明；</w:t>
      </w:r>
      <w:r>
        <w:rPr>
          <w:rFonts w:hint="eastAsia"/>
        </w:rPr>
        <w:br w:type="textWrapping"/>
      </w:r>
      <w:r>
        <w:rPr>
          <w:rFonts w:hint="eastAsia"/>
        </w:rPr>
        <w:t>3.6参加本次政府采购活动近三年内在经营活动中没有重大违纪的书面声明；</w:t>
      </w:r>
      <w:r>
        <w:rPr>
          <w:rFonts w:hint="eastAsia"/>
        </w:rPr>
        <w:br w:type="textWrapping"/>
      </w:r>
      <w:r>
        <w:rPr>
          <w:rFonts w:hint="eastAsia"/>
        </w:rPr>
        <w:t>3.7单位负责人为同一人或者存在直接控股、管理关系的不同投标人，不得参加同一合同项下的</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政府采购活动；</w:t>
      </w:r>
      <w:r>
        <w:rPr>
          <w:rFonts w:hint="eastAsia"/>
        </w:rPr>
        <w:br w:type="textWrapping"/>
      </w:r>
      <w:r>
        <w:rPr>
          <w:rFonts w:hint="eastAsia"/>
        </w:rPr>
        <w:t>3.8供应商不得为：“信用中国”网站（www.creditchina.gov.cn）中列入失信被执行人和重大税收</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违法失信主体的当事人，不得为中国政府采购网（www.ccgp.gov.cn）政府采购严重违法失信行为记录</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名单中被财政部门禁止参加政府采购活动的当事人，近三年（2022年6月1日至今）不得有行</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贿犯罪行为；</w:t>
      </w:r>
      <w:r>
        <w:rPr>
          <w:rFonts w:hint="eastAsia"/>
        </w:rPr>
        <w:br w:type="textWrapping"/>
      </w:r>
      <w:r>
        <w:rPr>
          <w:rFonts w:hint="eastAsia"/>
        </w:rPr>
        <w:t>3.9提供具有履行本项目合同所必需的技术设备和专业能力的承诺书。</w:t>
      </w:r>
      <w:r>
        <w:rPr>
          <w:rFonts w:hint="eastAsia"/>
        </w:rPr>
        <w:br w:type="textWrapping"/>
      </w:r>
      <w:r>
        <w:rPr>
          <w:rFonts w:hint="eastAsia"/>
        </w:rPr>
        <w:t>4.0供应商应授权合法的人员参加投标全过程，其中法定代表人直接参加投标的，须出具法人身</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份证明，并与营业执照上信息一致，法定代表人授权代表参加投标的，须出具法定代表人授权书及授</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eastAsia"/>
        </w:rPr>
      </w:pPr>
      <w:r>
        <w:rPr>
          <w:rFonts w:hint="eastAsia"/>
        </w:rPr>
        <w:t>权代表身份证明。</w:t>
      </w:r>
    </w:p>
    <w:bookmarkEnd w:id="11"/>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时间： 2025年06月19日 至 2025年06月25日 ，每天上午 09:00:00 至 12:00:00 ，下午 14:00:00 至 18:00:00 （北京时间）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途径：【全国公共资源交易平台（陕西省·宝鸡市）】平台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方式：在线获取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售价： 0元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 xml:space="preserve">截止时间： </w:t>
      </w:r>
      <w:bookmarkStart w:id="12" w:name="OLE_LINK11"/>
      <w:r>
        <w:rPr>
          <w:rFonts w:hint="eastAsia"/>
        </w:rPr>
        <w:t>2025年06月30日 09时00分00秒 （北京时间）</w:t>
      </w:r>
    </w:p>
    <w:bookmarkEnd w:id="12"/>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地点：全国公共资源交易平台(陕西省·宝鸡市)不见面开标大厅系统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五、开启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时间： 2025年06月30日 09时00分00秒 （北京时间）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地点：全国公共资源交易平台(陕西省·宝鸡市)不见面开标大厅系统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六、公告期限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1.请供应商按照陕西省财政厅关于政府采购投标人注册登记有关事项的通知中的要求，通过陕西省政府采购网注册登记加入陕西省政府采购投标人库。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2.获取方式：打开【全国公共资源交易平台（陕西省·宝鸡市）】网站，使用CA证书登录全国公共资源交易平台（陕西省宝鸡市）宝鸡市公共资源交易中心交易平台〖首页〉电子交易平台〉企业端〗后，在〖招标公告/出让公告〗模块中选择有意向的项目点击“我要投标”进行报名。报名成功后即可从〖我的项目〉项目流程〉交易文件下载〗中下载电子招标文件（*.SXSZF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3.投标人在网上填写的单位信息(单位名称、营业执照相关信息）应与磋商文件要求及后期上传的电子投标文件中相关信息一致，否则造成资格审查不通过的后果投标人自负。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4.提交投标文件的方式：从宝鸡市公共资源交易平台〖首页·〉电子交易平台·〉陕西政府采购交易系统·〉企业端〗登录，登录后切换到〖我的项 目〗模块，依次点选〖项目流程·〉项目管理·〉上传投标文件〗上传加密后的电子投标文件（*.SXSTF）。</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5.开标形式：本项目将采用“不见面开标”形式。操作说明详见平台〖首页·〉服务指南·〉下载专区〗中的《宝鸡公共资源交易不见面开标大厅投标人操作手册》。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6.本项目竞争性磋商公告在《陕西省政府采购网》和《全国公共资源交易平台（陕西省·宝鸡市）》发布。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7.本项目专门面向中小企业整体预留。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名称：凤县交通运输局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地址：陕西省宝鸡市凤县双石铺镇天水路84号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联系方式：0917-4762824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名称：中智达项目管理有限公司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地址：陕西省西安市经济技术开发区凤城四路世融国际中心22层2205室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联系方式：0917-3818210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项目联系人：严女士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电话：0917-3818210</w:t>
      </w:r>
    </w:p>
    <w:p>
      <w:pPr>
        <w:pStyle w:val="91"/>
        <w:rPr>
          <w:rFonts w:hint="eastAsia"/>
          <w:lang w:val="en-US" w:eastAsia="zh-Hans"/>
        </w:rPr>
      </w:pPr>
    </w:p>
    <w:p>
      <w:pPr>
        <w:rPr>
          <w:highlight w:val="none"/>
        </w:rPr>
      </w:pPr>
      <w:r>
        <w:rPr>
          <w:highlight w:val="none"/>
        </w:rPr>
        <w:br w:type="page"/>
      </w:r>
    </w:p>
    <w:p>
      <w:pPr>
        <w:pStyle w:val="3"/>
        <w:numPr>
          <w:ilvl w:val="0"/>
          <w:numId w:val="0"/>
        </w:numPr>
        <w:bidi w:val="0"/>
        <w:spacing w:line="360" w:lineRule="auto"/>
        <w:jc w:val="center"/>
        <w:outlineLvl w:val="0"/>
        <w:rPr>
          <w:rFonts w:hint="eastAsia" w:ascii="宋体" w:hAnsi="宋体" w:eastAsia="宋体" w:cs="宋体"/>
          <w:color w:val="auto"/>
          <w:sz w:val="30"/>
          <w:szCs w:val="30"/>
          <w:highlight w:val="none"/>
        </w:rPr>
      </w:pPr>
      <w:bookmarkStart w:id="13" w:name="_Toc4514"/>
      <w:r>
        <w:rPr>
          <w:rFonts w:hint="eastAsia" w:ascii="宋体" w:hAnsi="宋体" w:cs="宋体"/>
          <w:color w:val="auto"/>
          <w:sz w:val="30"/>
          <w:szCs w:val="30"/>
          <w:highlight w:val="none"/>
          <w:lang w:val="en-US" w:eastAsia="zh-CN"/>
        </w:rPr>
        <w:t xml:space="preserve">第二章  </w:t>
      </w:r>
      <w:r>
        <w:rPr>
          <w:rFonts w:hint="eastAsia" w:ascii="宋体" w:hAnsi="宋体" w:eastAsia="宋体" w:cs="宋体"/>
          <w:color w:val="auto"/>
          <w:sz w:val="30"/>
          <w:szCs w:val="30"/>
          <w:highlight w:val="none"/>
        </w:rPr>
        <w:t>供应商须知</w:t>
      </w:r>
      <w:bookmarkEnd w:id="13"/>
    </w:p>
    <w:p>
      <w:pPr>
        <w:numPr>
          <w:ilvl w:val="0"/>
          <w:numId w:val="2"/>
        </w:numPr>
        <w:spacing w:line="360" w:lineRule="auto"/>
        <w:ind w:firstLine="64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供应商须知前附表</w:t>
      </w:r>
    </w:p>
    <w:tbl>
      <w:tblPr>
        <w:tblStyle w:val="30"/>
        <w:tblpPr w:leftFromText="180" w:rightFromText="180" w:vertAnchor="text" w:horzAnchor="page" w:tblpX="1296" w:tblpY="372"/>
        <w:tblOverlap w:val="never"/>
        <w:tblW w:w="96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007"/>
        <w:gridCol w:w="6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6836" w:type="dxa"/>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kern w:val="0"/>
                <w:sz w:val="21"/>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6836"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凤县交通运输局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联系人：吴先生</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0917-4762824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w:t>
            </w:r>
          </w:p>
        </w:tc>
        <w:tc>
          <w:tcPr>
            <w:tcW w:w="6836"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中智达项目管理有限公司</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tabs>
                <w:tab w:val="left" w:pos="-200"/>
                <w:tab w:val="left" w:pos="0"/>
              </w:tabs>
              <w:kinsoku/>
              <w:wordWrap/>
              <w:overflowPunct/>
              <w:topLinePunct w:val="0"/>
              <w:autoSpaceDE/>
              <w:autoSpaceDN/>
              <w:bidi w:val="0"/>
              <w:adjustRightInd/>
              <w:snapToGrid/>
              <w:spacing w:beforeAutospacing="0" w:afterAutospacing="0" w:line="24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陕西省西安市经济技术开发区凤城四路世融国际中心22层2205室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eastAsia="zh-CN"/>
              </w:rPr>
              <w:t>严女士</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0917-3818210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响应</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并且符合</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文件规定资格条件和参加</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竞争的法人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项目名称</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kern w:val="0"/>
                <w:sz w:val="21"/>
                <w:szCs w:val="21"/>
                <w:highlight w:val="none"/>
                <w:lang w:val="en-US" w:eastAsia="zh-CN" w:bidi="ar-SA"/>
              </w:rPr>
            </w:pPr>
            <w:bookmarkStart w:id="14" w:name="OLE_LINK109"/>
            <w:r>
              <w:rPr>
                <w:rFonts w:hint="eastAsia" w:ascii="宋体" w:hAnsi="宋体" w:cs="宋体"/>
                <w:color w:val="auto"/>
                <w:sz w:val="21"/>
                <w:szCs w:val="21"/>
                <w:highlight w:val="none"/>
                <w:lang w:eastAsia="zh-CN"/>
              </w:rPr>
              <w:t>2025年</w:t>
            </w:r>
            <w:bookmarkStart w:id="15" w:name="OLE_LINK2"/>
            <w:r>
              <w:rPr>
                <w:rFonts w:hint="eastAsia" w:ascii="宋体" w:hAnsi="宋体" w:cs="宋体"/>
                <w:color w:val="auto"/>
                <w:sz w:val="21"/>
                <w:szCs w:val="21"/>
                <w:highlight w:val="none"/>
                <w:lang w:eastAsia="zh-CN"/>
              </w:rPr>
              <w:t>凤县</w:t>
            </w:r>
            <w:bookmarkEnd w:id="15"/>
            <w:r>
              <w:rPr>
                <w:rFonts w:hint="eastAsia" w:ascii="宋体" w:hAnsi="宋体" w:cs="宋体"/>
                <w:color w:val="auto"/>
                <w:sz w:val="21"/>
                <w:szCs w:val="21"/>
                <w:highlight w:val="none"/>
                <w:lang w:eastAsia="zh-CN"/>
              </w:rPr>
              <w:t>农村公路桥梁建设防洪影响评价报告编制项目</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采购项目编号</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ZZDBJ招2025-006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2007" w:type="dxa"/>
            <w:vAlign w:val="center"/>
          </w:tcPr>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项目分包</w:t>
            </w:r>
          </w:p>
        </w:tc>
        <w:tc>
          <w:tcPr>
            <w:tcW w:w="6836" w:type="dxa"/>
            <w:vAlign w:val="center"/>
          </w:tcPr>
          <w:p>
            <w:pPr>
              <w:spacing w:line="240" w:lineRule="auto"/>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本项目不分包段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007" w:type="dxa"/>
            <w:tcBorders>
              <w:bottom w:val="single" w:color="auto" w:sz="4" w:space="0"/>
            </w:tcBorders>
            <w:vAlign w:val="center"/>
          </w:tcPr>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预算金额</w:t>
            </w:r>
          </w:p>
        </w:tc>
        <w:tc>
          <w:tcPr>
            <w:tcW w:w="6836" w:type="dxa"/>
            <w:tcBorders>
              <w:bottom w:val="single" w:color="auto" w:sz="4" w:space="0"/>
            </w:tcBorders>
            <w:vAlign w:val="center"/>
          </w:tcPr>
          <w:p>
            <w:pPr>
              <w:pStyle w:val="85"/>
              <w:spacing w:line="32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w:t>
            </w:r>
            <w:r>
              <w:rPr>
                <w:rFonts w:hint="eastAsia"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预算金额：</w:t>
            </w:r>
            <w:r>
              <w:rPr>
                <w:rFonts w:hint="eastAsia" w:cs="宋体"/>
                <w:sz w:val="21"/>
                <w:szCs w:val="21"/>
                <w:highlight w:val="none"/>
                <w:lang w:val="en-US" w:eastAsia="zh-CN"/>
              </w:rPr>
              <w:t>805000.00</w:t>
            </w:r>
            <w:r>
              <w:rPr>
                <w:rFonts w:hint="eastAsia" w:ascii="宋体" w:hAnsi="宋体" w:eastAsia="宋体" w:cs="宋体"/>
                <w:color w:val="auto"/>
                <w:kern w:val="2"/>
                <w:sz w:val="21"/>
                <w:szCs w:val="21"/>
                <w:highlight w:val="none"/>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p>
        </w:tc>
        <w:tc>
          <w:tcPr>
            <w:tcW w:w="2007" w:type="dxa"/>
            <w:tcBorders>
              <w:top w:val="single" w:color="auto" w:sz="4" w:space="0"/>
            </w:tcBorders>
            <w:vAlign w:val="center"/>
          </w:tcPr>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最高限价</w:t>
            </w:r>
          </w:p>
        </w:tc>
        <w:tc>
          <w:tcPr>
            <w:tcW w:w="6836"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最高限价</w:t>
            </w:r>
            <w:r>
              <w:rPr>
                <w:rFonts w:hint="eastAsia" w:ascii="宋体" w:hAnsi="宋体" w:eastAsia="宋体" w:cs="宋体"/>
                <w:color w:val="auto"/>
                <w:kern w:val="2"/>
                <w:sz w:val="21"/>
                <w:szCs w:val="21"/>
                <w:highlight w:val="none"/>
                <w:lang w:val="en-US" w:eastAsia="zh-CN" w:bidi="ar-SA"/>
              </w:rPr>
              <w:t>：</w:t>
            </w:r>
            <w:r>
              <w:rPr>
                <w:rFonts w:hint="eastAsia" w:ascii="宋体" w:hAnsi="宋体" w:cs="宋体"/>
                <w:sz w:val="21"/>
                <w:szCs w:val="21"/>
                <w:highlight w:val="none"/>
                <w:lang w:val="en-US" w:eastAsia="zh-CN"/>
              </w:rPr>
              <w:t>805000.00</w:t>
            </w:r>
            <w:r>
              <w:rPr>
                <w:rFonts w:hint="eastAsia" w:ascii="宋体" w:hAnsi="宋体" w:eastAsia="宋体" w:cs="宋体"/>
                <w:color w:val="auto"/>
                <w:kern w:val="2"/>
                <w:sz w:val="21"/>
                <w:szCs w:val="21"/>
                <w:highlight w:val="none"/>
                <w:lang w:val="en-US" w:eastAsia="zh-CN" w:bidi="ar-SA"/>
              </w:rPr>
              <w:t>元 ；</w:t>
            </w:r>
            <w:r>
              <w:rPr>
                <w:rFonts w:hint="eastAsia" w:ascii="宋体" w:hAnsi="宋体" w:eastAsia="宋体" w:cs="宋体"/>
                <w:color w:val="auto"/>
                <w:sz w:val="21"/>
                <w:szCs w:val="21"/>
                <w:highlight w:val="none"/>
              </w:rPr>
              <w:t>投标人报价超出最高限价的，作为不实质性响应</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，按</w:t>
            </w:r>
            <w:r>
              <w:rPr>
                <w:rFonts w:hint="eastAsia" w:ascii="宋体" w:hAnsi="宋体" w:eastAsia="宋体" w:cs="宋体"/>
                <w:b/>
                <w:color w:val="auto"/>
                <w:sz w:val="21"/>
                <w:szCs w:val="21"/>
                <w:highlight w:val="none"/>
              </w:rPr>
              <w:t>无效投标</w:t>
            </w:r>
            <w:r>
              <w:rPr>
                <w:rFonts w:hint="eastAsia" w:ascii="宋体" w:hAnsi="宋体" w:eastAsia="宋体" w:cs="宋体"/>
                <w:color w:val="auto"/>
                <w:sz w:val="21"/>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资金来源</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007" w:type="dxa"/>
            <w:vAlign w:val="center"/>
          </w:tcPr>
          <w:p>
            <w:pPr>
              <w:pStyle w:val="85"/>
              <w:ind w:left="38"/>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是否预留份额专门</w:t>
            </w:r>
          </w:p>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面向中小企业采购</w:t>
            </w:r>
          </w:p>
        </w:tc>
        <w:tc>
          <w:tcPr>
            <w:tcW w:w="6836" w:type="dxa"/>
            <w:vAlign w:val="center"/>
          </w:tcPr>
          <w:p>
            <w:pPr>
              <w:pStyle w:val="85"/>
              <w:jc w:val="both"/>
              <w:rPr>
                <w:rFonts w:hint="eastAsia" w:ascii="宋体" w:hAnsi="宋体" w:eastAsia="宋体" w:cs="宋体"/>
                <w:color w:val="auto"/>
                <w:kern w:val="0"/>
                <w:sz w:val="21"/>
                <w:szCs w:val="21"/>
                <w:highlight w:val="none"/>
                <w:lang w:val="en-US" w:eastAsia="zh-CN"/>
              </w:rPr>
            </w:pPr>
            <w:r>
              <w:rPr>
                <w:rFonts w:hint="eastAsia" w:ascii="宋体" w:hAnsi="宋体" w:eastAsia="宋体" w:cs="Times New Roman"/>
                <w:b w:val="0"/>
                <w:kern w:val="2"/>
                <w:sz w:val="21"/>
                <w:szCs w:val="21"/>
                <w:highlight w:val="none"/>
                <w:lang w:val="en-US" w:eastAsia="zh-CN" w:bidi="ar-SA"/>
              </w:rPr>
              <w:t>本项目专门面向中小企业采购，供应商应当为中小企业（含残疾人福利性单位、监狱企业）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007" w:type="dxa"/>
            <w:vAlign w:val="center"/>
          </w:tcPr>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采购需求</w:t>
            </w:r>
          </w:p>
        </w:tc>
        <w:tc>
          <w:tcPr>
            <w:tcW w:w="6836" w:type="dxa"/>
            <w:vAlign w:val="center"/>
          </w:tcPr>
          <w:p>
            <w:pPr>
              <w:pStyle w:val="85"/>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详见</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文件第</w:t>
            </w:r>
            <w:r>
              <w:rPr>
                <w:rFonts w:hint="eastAsia"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007" w:type="dxa"/>
            <w:vAlign w:val="center"/>
          </w:tcPr>
          <w:p>
            <w:pPr>
              <w:pStyle w:val="85"/>
              <w:ind w:left="38" w:lef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rPr>
              <w:t>合同价格形式</w:t>
            </w:r>
          </w:p>
        </w:tc>
        <w:tc>
          <w:tcPr>
            <w:tcW w:w="6836" w:type="dxa"/>
            <w:vAlign w:val="center"/>
          </w:tcPr>
          <w:p>
            <w:pPr>
              <w:pStyle w:val="8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总价合同</w:t>
            </w:r>
          </w:p>
          <w:p>
            <w:pPr>
              <w:pStyle w:val="85"/>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固定综合单价合同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服务期（合同履行期）</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服务地点</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凤县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质量标准</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合格（符合国家、地方以及相关专业的现行技术规范、标准、法规）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28"/>
                <w:kern w:val="0"/>
                <w:sz w:val="21"/>
                <w:szCs w:val="21"/>
                <w:highlight w:val="none"/>
              </w:rPr>
            </w:pPr>
            <w:r>
              <w:rPr>
                <w:rFonts w:hint="eastAsia" w:ascii="宋体" w:hAnsi="宋体" w:eastAsia="宋体" w:cs="宋体"/>
                <w:color w:val="auto"/>
                <w:sz w:val="21"/>
                <w:szCs w:val="21"/>
                <w:highlight w:val="none"/>
                <w:lang w:val="zh-CN"/>
              </w:rPr>
              <w:t>联合体投标</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现场勘查、标前答疑会</w:t>
            </w:r>
          </w:p>
        </w:tc>
        <w:tc>
          <w:tcPr>
            <w:tcW w:w="683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不组织。采购人认为有必要，另行书面通知。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文件的其他文件</w:t>
            </w:r>
          </w:p>
        </w:tc>
        <w:tc>
          <w:tcPr>
            <w:tcW w:w="683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文件的澄清、修改书及有关补充通知为</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投标人对</w:t>
            </w:r>
            <w:r>
              <w:rPr>
                <w:rFonts w:hint="eastAsia" w:cs="宋体"/>
                <w:color w:val="auto"/>
                <w:sz w:val="21"/>
                <w:szCs w:val="21"/>
                <w:highlight w:val="none"/>
                <w:lang w:val="zh-CN"/>
              </w:rPr>
              <w:t>磋商文件</w:t>
            </w:r>
          </w:p>
          <w:p>
            <w:pPr>
              <w:pStyle w:val="8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提出质疑的时间、形式</w:t>
            </w:r>
          </w:p>
        </w:tc>
        <w:tc>
          <w:tcPr>
            <w:tcW w:w="6836" w:type="dxa"/>
            <w:vAlign w:val="center"/>
          </w:tcPr>
          <w:p>
            <w:pPr>
              <w:pStyle w:val="85"/>
              <w:spacing w:line="320" w:lineRule="exact"/>
              <w:ind w:left="840" w:leftChars="100" w:hanging="630" w:hanging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时间：自投标人下载</w:t>
            </w:r>
            <w:r>
              <w:rPr>
                <w:rFonts w:hint="eastAsia" w:cs="宋体"/>
                <w:color w:val="auto"/>
                <w:sz w:val="21"/>
                <w:szCs w:val="21"/>
                <w:highlight w:val="none"/>
                <w:lang w:val="zh-CN"/>
              </w:rPr>
              <w:t>磋商文件</w:t>
            </w:r>
            <w:r>
              <w:rPr>
                <w:rFonts w:hint="eastAsia" w:ascii="宋体" w:hAnsi="宋体" w:eastAsia="宋体" w:cs="宋体"/>
                <w:color w:val="auto"/>
                <w:sz w:val="21"/>
                <w:szCs w:val="21"/>
                <w:highlight w:val="none"/>
                <w:lang w:val="zh-CN"/>
              </w:rPr>
              <w:t>之日起7个工作日内，超过期限的采购人或采购代理机构不再受理</w:t>
            </w:r>
          </w:p>
          <w:p>
            <w:pPr>
              <w:pStyle w:val="85"/>
              <w:spacing w:line="320" w:lineRule="exact"/>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形式：☑书面</w:t>
            </w:r>
          </w:p>
          <w:p>
            <w:pPr>
              <w:pStyle w:val="85"/>
              <w:spacing w:line="320" w:lineRule="exact"/>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□在线（电子文件）</w:t>
            </w:r>
          </w:p>
          <w:p>
            <w:pPr>
              <w:pStyle w:val="85"/>
              <w:spacing w:line="32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投标人认为采购过程、成交结果使自己的权益受到损害的，可以在知道或应知其权益受到损害之日起7个工作日内提出质疑，形式同上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对投标人提出质疑</w:t>
            </w:r>
          </w:p>
          <w:p>
            <w:pPr>
              <w:pStyle w:val="8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答复时间、形式</w:t>
            </w:r>
          </w:p>
        </w:tc>
        <w:tc>
          <w:tcPr>
            <w:tcW w:w="6836" w:type="dxa"/>
            <w:vAlign w:val="center"/>
          </w:tcPr>
          <w:p>
            <w:pPr>
              <w:pStyle w:val="85"/>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时间：自收到投标人质疑函之日起7个工作日内</w:t>
            </w:r>
          </w:p>
          <w:p>
            <w:pPr>
              <w:pStyle w:val="85"/>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形式：书面形式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2007" w:type="dxa"/>
            <w:vAlign w:val="center"/>
          </w:tcPr>
          <w:p>
            <w:pPr>
              <w:pStyle w:val="85"/>
              <w:ind w:left="33"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有效期</w:t>
            </w:r>
          </w:p>
        </w:tc>
        <w:tc>
          <w:tcPr>
            <w:tcW w:w="6836" w:type="dxa"/>
            <w:vAlign w:val="center"/>
          </w:tcPr>
          <w:p>
            <w:pPr>
              <w:pStyle w:val="85"/>
              <w:ind w:firstLine="210" w:firstLineChars="10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从投标截止日起90日历</w:t>
            </w:r>
            <w:r>
              <w:rPr>
                <w:rFonts w:hint="eastAsia" w:ascii="宋体" w:hAnsi="宋体" w:eastAsia="宋体" w:cs="宋体"/>
                <w:color w:val="auto"/>
                <w:sz w:val="21"/>
                <w:szCs w:val="21"/>
                <w:highlight w:val="none"/>
              </w:rPr>
              <w:t>天</w:t>
            </w:r>
            <w:r>
              <w:rPr>
                <w:rFonts w:hint="eastAsia" w:cs="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磋商</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保证金</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的金额：￥</w:t>
            </w:r>
            <w:r>
              <w:rPr>
                <w:rFonts w:hint="eastAsia" w:ascii="宋体" w:hAnsi="宋体" w:eastAsia="宋体" w:cs="宋体"/>
                <w:color w:val="auto"/>
                <w:szCs w:val="21"/>
                <w:highlight w:val="none"/>
                <w:lang w:val="en-US" w:eastAsia="zh-CN"/>
              </w:rPr>
              <w:t>15000.00</w:t>
            </w:r>
            <w:r>
              <w:rPr>
                <w:rFonts w:hint="eastAsia" w:ascii="宋体" w:hAnsi="宋体" w:eastAsia="宋体" w:cs="宋体"/>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的形式：以银行转账或者金融机构、担保机构</w:t>
            </w:r>
            <w:r>
              <w:rPr>
                <w:rFonts w:hint="eastAsia" w:ascii="宋体" w:hAnsi="宋体" w:eastAsia="宋体" w:cs="宋体"/>
                <w:color w:val="auto"/>
                <w:szCs w:val="21"/>
                <w:highlight w:val="none"/>
                <w:lang w:eastAsia="zh-CN"/>
              </w:rPr>
              <w:t>出</w:t>
            </w:r>
            <w:r>
              <w:rPr>
                <w:rFonts w:hint="eastAsia" w:ascii="宋体" w:hAnsi="宋体" w:eastAsia="宋体" w:cs="宋体"/>
                <w:color w:val="auto"/>
                <w:szCs w:val="21"/>
                <w:highlight w:val="none"/>
              </w:rPr>
              <w:t>具的保函等非现金形式提交。银行转账可以采取支票、电汇、网银、汇票、本票等方式，均应从基本账户转出</w:t>
            </w:r>
            <w:r>
              <w:rPr>
                <w:rFonts w:hint="eastAsia" w:ascii="宋体" w:hAnsi="宋体" w:eastAsia="宋体" w:cs="宋体"/>
                <w:color w:val="auto"/>
                <w:szCs w:val="21"/>
                <w:highlight w:val="none"/>
                <w:lang w:val="en-US" w:eastAsia="zh-CN"/>
              </w:rPr>
              <w:t>磋商保证金</w:t>
            </w:r>
            <w:r>
              <w:rPr>
                <w:rFonts w:hint="eastAsia" w:ascii="宋体" w:hAnsi="宋体" w:eastAsia="宋体" w:cs="宋体"/>
                <w:color w:val="auto"/>
                <w:szCs w:val="21"/>
                <w:highlight w:val="none"/>
              </w:rPr>
              <w:t>的收款单位：</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户    名：宝鸡市公共资源交易中心保证金专户</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 户 行：长安银行股份有限公司宝鸡分行营业部</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银行账号：80602000142101980613827</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color w:val="auto"/>
                <w:szCs w:val="21"/>
                <w:highlight w:val="none"/>
                <w:lang w:val="zh-CN" w:eastAsia="zh-CN"/>
              </w:rPr>
            </w:pPr>
            <w:r>
              <w:rPr>
                <w:rFonts w:hint="eastAsia" w:ascii="宋体" w:hAnsi="宋体" w:eastAsia="宋体" w:cs="宋体"/>
                <w:b/>
                <w:bCs/>
                <w:color w:val="auto"/>
                <w:szCs w:val="21"/>
                <w:highlight w:val="none"/>
                <w:lang w:val="zh-CN" w:eastAsia="zh-CN"/>
              </w:rPr>
              <w:t>注：请各</w:t>
            </w:r>
            <w:r>
              <w:rPr>
                <w:rFonts w:hint="eastAsia" w:ascii="宋体" w:hAnsi="宋体" w:eastAsia="宋体" w:cs="宋体"/>
                <w:b/>
                <w:bCs/>
                <w:color w:val="auto"/>
                <w:szCs w:val="21"/>
                <w:highlight w:val="none"/>
                <w:lang w:val="en-US" w:eastAsia="zh-CN"/>
              </w:rPr>
              <w:t>投标人</w:t>
            </w:r>
            <w:r>
              <w:rPr>
                <w:rFonts w:hint="eastAsia" w:ascii="宋体" w:hAnsi="宋体" w:eastAsia="宋体" w:cs="宋体"/>
                <w:b/>
                <w:bCs/>
                <w:color w:val="auto"/>
                <w:szCs w:val="21"/>
                <w:highlight w:val="none"/>
                <w:lang w:val="zh-CN" w:eastAsia="zh-CN"/>
              </w:rPr>
              <w:t>按照要求及时缴纳磋商保证金，如因自身原因发生错误，产生的不利后果均由投标人自行承担。</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color w:val="auto"/>
                <w:szCs w:val="21"/>
                <w:highlight w:val="none"/>
                <w:lang w:val="zh-CN" w:eastAsia="zh-CN"/>
              </w:rPr>
            </w:pPr>
            <w:r>
              <w:rPr>
                <w:rFonts w:hint="eastAsia" w:ascii="宋体" w:hAnsi="宋体" w:eastAsia="宋体" w:cs="宋体"/>
                <w:b/>
                <w:bCs/>
                <w:color w:val="auto"/>
                <w:szCs w:val="21"/>
                <w:highlight w:val="none"/>
                <w:lang w:val="zh-CN" w:eastAsia="zh-CN"/>
              </w:rPr>
              <w:t>转账时应注明：账号后5位数字。</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投标人应按投标人须知前附表规定的金额、形式、时间和“投标文件格式”规定的</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格式提交</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，作为其投标文件的一部分。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可以银行转账或者金融机构、担保机构出具的保函等非现金形式提交：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（1）以银行转账提交保证金的，可以采取支票、电汇、网银、汇票、本票等方式，应从其基本账户转出，并在投标文件中附上基本账户开户证明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或基本存款账户信息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（2）以信用担保函形式提交保证金的，应按行政有关部门认定的具有开具投标保函资格的单位开具的保函。投标人违约，开具保函单位承担连带责任。</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val="zh-CN"/>
              </w:rPr>
              <w:t>以保函形式缴纳</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val="zh-CN"/>
              </w:rPr>
              <w:t>的，须在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文件递交截止时间前将担保机构保函正本原件提交至宝鸡市公共资源交易中心财务科（</w:t>
            </w:r>
            <w:r>
              <w:rPr>
                <w:rFonts w:hint="eastAsia" w:ascii="宋体" w:hAnsi="宋体" w:eastAsia="宋体" w:cs="宋体"/>
                <w:color w:val="auto"/>
                <w:szCs w:val="21"/>
                <w:highlight w:val="none"/>
              </w:rPr>
              <w:t>621室</w:t>
            </w:r>
            <w:r>
              <w:rPr>
                <w:rFonts w:hint="eastAsia" w:ascii="宋体" w:hAnsi="宋体" w:eastAsia="宋体" w:cs="宋体"/>
                <w:color w:val="auto"/>
                <w:szCs w:val="21"/>
                <w:highlight w:val="none"/>
                <w:lang w:val="zh-CN"/>
              </w:rPr>
              <w:t>），并将保函正本扫描件附在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文件格式规定处</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投标人未按要求提交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lang w:eastAsia="zh-CN"/>
              </w:rPr>
              <w:t>保证金</w:t>
            </w:r>
            <w:r>
              <w:rPr>
                <w:rFonts w:hint="eastAsia" w:ascii="宋体" w:hAnsi="宋体" w:eastAsia="宋体" w:cs="宋体"/>
                <w:color w:val="auto"/>
                <w:szCs w:val="21"/>
                <w:highlight w:val="none"/>
              </w:rPr>
              <w:t>的，或者由于到账时间晚于投标截止时间的，或者票据错误、印鉴不清等原因导致不能到账的，</w:t>
            </w:r>
            <w:r>
              <w:rPr>
                <w:rFonts w:hint="eastAsia" w:ascii="宋体" w:hAnsi="宋体" w:eastAsia="宋体" w:cs="宋体"/>
                <w:b/>
                <w:color w:val="auto"/>
                <w:szCs w:val="21"/>
                <w:highlight w:val="none"/>
              </w:rPr>
              <w:t>其投标无效</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备选</w:t>
            </w:r>
            <w:r>
              <w:rPr>
                <w:rFonts w:hint="eastAsia" w:ascii="宋体" w:hAnsi="宋体"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和 报 价</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不接受备选</w:t>
            </w:r>
            <w:r>
              <w:rPr>
                <w:rFonts w:hint="eastAsia" w:ascii="宋体" w:hAnsi="宋体"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方案和多个报价。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盖章签字</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必须按照</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lang w:eastAsia="zh-CN"/>
              </w:rPr>
              <w:t>响应文件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份数</w:t>
            </w:r>
          </w:p>
        </w:tc>
        <w:tc>
          <w:tcPr>
            <w:tcW w:w="6836" w:type="dxa"/>
            <w:vAlign w:val="center"/>
          </w:tcPr>
          <w:p>
            <w:pPr>
              <w:pStyle w:val="8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投标人在投标时无需提供纸质</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p>
          <w:p>
            <w:pPr>
              <w:pStyle w:val="8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若</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供应商为中标</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单位，</w:t>
            </w:r>
            <w:bookmarkStart w:id="292" w:name="_GoBack"/>
            <w:bookmarkEnd w:id="292"/>
            <w:r>
              <w:rPr>
                <w:rFonts w:hint="eastAsia" w:ascii="宋体" w:hAnsi="宋体" w:eastAsia="宋体" w:cs="宋体"/>
                <w:color w:val="auto"/>
                <w:sz w:val="21"/>
                <w:szCs w:val="21"/>
                <w:highlight w:val="none"/>
                <w:lang w:val="en-US" w:eastAsia="zh-CN"/>
              </w:rPr>
              <w:t>需在领取中标</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通知书时提供纸质版</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文件一正</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副，并按要求</w:t>
            </w:r>
            <w:r>
              <w:rPr>
                <w:rFonts w:hint="eastAsia" w:cs="宋体"/>
                <w:color w:val="auto"/>
                <w:sz w:val="21"/>
                <w:szCs w:val="21"/>
                <w:highlight w:val="none"/>
                <w:lang w:val="en-US" w:eastAsia="zh-CN"/>
              </w:rPr>
              <w:t>胶装、并</w:t>
            </w:r>
            <w:r>
              <w:rPr>
                <w:rFonts w:hint="eastAsia" w:ascii="宋体" w:hAnsi="宋体" w:eastAsia="宋体" w:cs="宋体"/>
                <w:color w:val="auto"/>
                <w:sz w:val="21"/>
                <w:szCs w:val="21"/>
                <w:highlight w:val="none"/>
                <w:lang w:val="en-US" w:eastAsia="zh-CN"/>
              </w:rPr>
              <w:t>签字盖章，以备留存</w:t>
            </w:r>
            <w:r>
              <w:rPr>
                <w:rFonts w:hint="eastAsia"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提交首次响应文件</w:t>
            </w:r>
          </w:p>
          <w:p>
            <w:pPr>
              <w:pStyle w:val="8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截至时间</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bookmarkStart w:id="16" w:name="OLE_LINK108"/>
            <w:r>
              <w:rPr>
                <w:rFonts w:hint="eastAsia" w:ascii="宋体" w:hAnsi="宋体" w:eastAsia="宋体" w:cs="宋体"/>
                <w:color w:val="auto"/>
                <w:kern w:val="0"/>
                <w:sz w:val="21"/>
                <w:szCs w:val="21"/>
                <w:highlight w:val="none"/>
                <w:lang w:val="en-US" w:eastAsia="zh-CN" w:bidi="ar-SA"/>
              </w:rPr>
              <w:t>2025年06月30日 09时00分00秒 （北京时间）</w:t>
            </w:r>
            <w:bookmarkEnd w:id="1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007" w:type="dxa"/>
            <w:vAlign w:val="center"/>
          </w:tcPr>
          <w:p>
            <w:pPr>
              <w:pStyle w:val="85"/>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提交首次响应文件地点</w:t>
            </w:r>
          </w:p>
        </w:tc>
        <w:tc>
          <w:tcPr>
            <w:tcW w:w="6836" w:type="dxa"/>
            <w:vAlign w:val="center"/>
          </w:tcPr>
          <w:p>
            <w:pPr>
              <w:pStyle w:val="85"/>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【全国公共资源交易平台（陕西省·宝鸡市）】平台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开启响应文件</w:t>
            </w:r>
          </w:p>
          <w:p>
            <w:pPr>
              <w:pStyle w:val="8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时间和地点</w:t>
            </w:r>
          </w:p>
        </w:tc>
        <w:tc>
          <w:tcPr>
            <w:tcW w:w="6836" w:type="dxa"/>
            <w:vAlign w:val="center"/>
          </w:tcPr>
          <w:p>
            <w:pPr>
              <w:pStyle w:val="85"/>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时间：同投标截至时间</w:t>
            </w:r>
          </w:p>
          <w:p>
            <w:pPr>
              <w:pStyle w:val="85"/>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地点：</w:t>
            </w:r>
            <w:bookmarkStart w:id="17" w:name="OLE_LINK3"/>
            <w:r>
              <w:rPr>
                <w:rFonts w:hint="eastAsia" w:ascii="宋体" w:hAnsi="宋体" w:eastAsia="宋体" w:cs="宋体"/>
                <w:color w:val="auto"/>
                <w:sz w:val="21"/>
                <w:szCs w:val="21"/>
                <w:highlight w:val="none"/>
                <w:lang w:val="zh-CN" w:eastAsia="zh-CN"/>
              </w:rPr>
              <w:t>全国公共资源交易平台(陕西省·宝鸡市)不见面开标大厅系统</w:t>
            </w:r>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007" w:type="dxa"/>
            <w:vAlign w:val="center"/>
          </w:tcPr>
          <w:p>
            <w:pPr>
              <w:pStyle w:val="85"/>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开启顺序</w:t>
            </w:r>
          </w:p>
        </w:tc>
        <w:tc>
          <w:tcPr>
            <w:tcW w:w="6836" w:type="dxa"/>
            <w:vAlign w:val="center"/>
          </w:tcPr>
          <w:p>
            <w:pPr>
              <w:pStyle w:val="85"/>
              <w:ind w:firstLine="210" w:firstLineChars="10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val="zh-CN"/>
              </w:rPr>
              <w:t>响应文件的</w:t>
            </w:r>
            <w:r>
              <w:rPr>
                <w:rFonts w:hint="eastAsia" w:ascii="宋体" w:hAnsi="宋体" w:eastAsia="宋体" w:cs="宋体"/>
                <w:color w:val="auto"/>
                <w:sz w:val="21"/>
                <w:szCs w:val="21"/>
                <w:highlight w:val="none"/>
              </w:rPr>
              <w:t>资格证明文件、商务和技术文件同时开启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007" w:type="dxa"/>
            <w:vAlign w:val="center"/>
          </w:tcPr>
          <w:p>
            <w:pPr>
              <w:pStyle w:val="85"/>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zh-CN"/>
              </w:rPr>
              <w:t>磋商</w:t>
            </w:r>
            <w:r>
              <w:rPr>
                <w:rFonts w:hint="eastAsia" w:ascii="宋体" w:hAnsi="宋体" w:eastAsia="宋体" w:cs="宋体"/>
                <w:color w:val="auto"/>
                <w:sz w:val="21"/>
                <w:szCs w:val="21"/>
                <w:highlight w:val="none"/>
                <w:lang w:val="zh-CN"/>
              </w:rPr>
              <w:t>小组的组建</w:t>
            </w:r>
          </w:p>
        </w:tc>
        <w:tc>
          <w:tcPr>
            <w:tcW w:w="6836" w:type="dxa"/>
            <w:vAlign w:val="center"/>
          </w:tcPr>
          <w:p>
            <w:pPr>
              <w:pStyle w:val="85"/>
              <w:spacing w:line="320" w:lineRule="exact"/>
              <w:ind w:left="634" w:leftChars="102" w:hanging="420" w:hangingChars="200"/>
              <w:rPr>
                <w:rFonts w:hint="eastAsia" w:ascii="宋体" w:hAnsi="宋体" w:eastAsia="宋体" w:cs="宋体"/>
                <w:color w:val="auto"/>
                <w:sz w:val="21"/>
                <w:szCs w:val="21"/>
                <w:highlight w:val="none"/>
                <w:lang w:val="zh-CN"/>
              </w:rPr>
            </w:pPr>
            <w:r>
              <w:rPr>
                <w:rFonts w:hint="eastAsia" w:cs="宋体"/>
                <w:color w:val="auto"/>
                <w:sz w:val="21"/>
                <w:szCs w:val="21"/>
                <w:highlight w:val="none"/>
                <w:lang w:val="zh-CN"/>
              </w:rPr>
              <w:t>磋商</w:t>
            </w:r>
            <w:r>
              <w:rPr>
                <w:rFonts w:hint="eastAsia" w:ascii="宋体" w:hAnsi="宋体" w:eastAsia="宋体" w:cs="宋体"/>
                <w:color w:val="auto"/>
                <w:sz w:val="21"/>
                <w:szCs w:val="21"/>
                <w:highlight w:val="none"/>
                <w:lang w:val="zh-CN"/>
              </w:rPr>
              <w:t>小组构成形式、人数，评审专家确定方式：</w:t>
            </w:r>
          </w:p>
          <w:p>
            <w:pPr>
              <w:pStyle w:val="85"/>
              <w:ind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zh-CN"/>
              </w:rPr>
              <w:t>详见供应商须知第7.1.1条款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007" w:type="dxa"/>
            <w:vAlign w:val="center"/>
          </w:tcPr>
          <w:p>
            <w:pPr>
              <w:pStyle w:val="85"/>
              <w:ind w:left="96"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评审方法</w:t>
            </w:r>
          </w:p>
        </w:tc>
        <w:tc>
          <w:tcPr>
            <w:tcW w:w="6836" w:type="dxa"/>
            <w:vAlign w:val="center"/>
          </w:tcPr>
          <w:p>
            <w:pPr>
              <w:pStyle w:val="85"/>
              <w:ind w:left="634" w:leftChars="102" w:hanging="420" w:hangingChars="200"/>
              <w:rPr>
                <w:rFonts w:hint="eastAsia" w:ascii="宋体" w:hAnsi="宋体" w:eastAsia="宋体" w:cs="宋体"/>
                <w:b/>
                <w:bCs/>
                <w:color w:val="auto"/>
                <w:sz w:val="21"/>
                <w:szCs w:val="21"/>
                <w:highlight w:val="none"/>
                <w:lang w:val="en-US" w:eastAsia="zh-CN"/>
              </w:rPr>
            </w:pPr>
            <w:r>
              <w:rPr>
                <w:rFonts w:hint="eastAsia"/>
                <w:sz w:val="21"/>
                <w:szCs w:val="21"/>
                <w:highlight w:val="none"/>
                <w:lang w:val="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775" w:type="dxa"/>
            <w:vAlign w:val="center"/>
          </w:tcPr>
          <w:p>
            <w:pPr>
              <w:pStyle w:val="8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007" w:type="dxa"/>
            <w:vAlign w:val="center"/>
          </w:tcPr>
          <w:p>
            <w:pPr>
              <w:pStyle w:val="85"/>
              <w:ind w:left="96"/>
              <w:jc w:val="center"/>
              <w:rPr>
                <w:rFonts w:hint="eastAsia" w:ascii="宋体" w:hAnsi="宋体" w:eastAsia="宋体" w:cs="宋体"/>
                <w:color w:val="auto"/>
                <w:sz w:val="21"/>
                <w:szCs w:val="21"/>
                <w:highlight w:val="none"/>
                <w:lang w:val="zh-CN"/>
              </w:rPr>
            </w:pPr>
            <w:r>
              <w:rPr>
                <w:rFonts w:hint="eastAsia"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小组推荐成交</w:t>
            </w:r>
          </w:p>
          <w:p>
            <w:pPr>
              <w:pStyle w:val="85"/>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候选供应商的家数</w:t>
            </w:r>
          </w:p>
        </w:tc>
        <w:tc>
          <w:tcPr>
            <w:tcW w:w="6836" w:type="dxa"/>
            <w:vAlign w:val="center"/>
          </w:tcPr>
          <w:p>
            <w:pPr>
              <w:pStyle w:val="8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775" w:type="dxa"/>
            <w:vAlign w:val="center"/>
          </w:tcPr>
          <w:p>
            <w:pPr>
              <w:pStyle w:val="8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007" w:type="dxa"/>
            <w:vAlign w:val="center"/>
          </w:tcPr>
          <w:p>
            <w:pPr>
              <w:pStyle w:val="85"/>
              <w:ind w:left="96"/>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发布成交公告的</w:t>
            </w:r>
          </w:p>
          <w:p>
            <w:pPr>
              <w:pStyle w:val="85"/>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时间、媒介和期限</w:t>
            </w:r>
          </w:p>
        </w:tc>
        <w:tc>
          <w:tcPr>
            <w:tcW w:w="6836" w:type="dxa"/>
            <w:vAlign w:val="center"/>
          </w:tcPr>
          <w:p>
            <w:pPr>
              <w:pStyle w:val="85"/>
              <w:ind w:left="2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公告时间：在确定成交供应商之日起2个工作日内</w:t>
            </w:r>
          </w:p>
          <w:p>
            <w:pPr>
              <w:pStyle w:val="85"/>
              <w:ind w:left="2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公告媒介：陕西省政府采购网、</w:t>
            </w:r>
            <w:r>
              <w:rPr>
                <w:rFonts w:hint="eastAsia" w:ascii="宋体" w:hAnsi="宋体" w:eastAsia="宋体" w:cs="宋体"/>
                <w:color w:val="auto"/>
                <w:sz w:val="21"/>
                <w:szCs w:val="21"/>
                <w:highlight w:val="none"/>
                <w:lang w:val="en-US" w:eastAsia="zh-CN"/>
              </w:rPr>
              <w:t>【全国公共资源交易平台（陕西省·宝鸡市）】平台</w:t>
            </w:r>
          </w:p>
          <w:p>
            <w:pPr>
              <w:pStyle w:val="85"/>
              <w:ind w:left="210" w:left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公告期限：1个工作日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3</w:t>
            </w:r>
          </w:p>
        </w:tc>
        <w:tc>
          <w:tcPr>
            <w:tcW w:w="2007"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其他</w:t>
            </w:r>
          </w:p>
        </w:tc>
        <w:tc>
          <w:tcPr>
            <w:tcW w:w="6836" w:type="dxa"/>
            <w:vAlign w:val="center"/>
          </w:tcPr>
          <w:p>
            <w:pPr>
              <w:spacing w:line="340" w:lineRule="exact"/>
              <w:ind w:right="105" w:rightChars="50"/>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本项目所属行业为：其他未列明行业。从业人员300人以下的为中小微型企业。其中，从业人员100人及以上的为中型企业;从业人员10人及以上的为小型企业;从业人员10人以下的为微型企业。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2007" w:type="dxa"/>
            <w:vAlign w:val="center"/>
          </w:tcPr>
          <w:p>
            <w:pPr>
              <w:pStyle w:val="85"/>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成交</w:t>
            </w:r>
            <w:r>
              <w:rPr>
                <w:rFonts w:hint="eastAsia" w:ascii="宋体" w:hAnsi="宋体" w:eastAsia="宋体" w:cs="宋体"/>
                <w:color w:val="auto"/>
                <w:kern w:val="0"/>
                <w:sz w:val="21"/>
                <w:szCs w:val="21"/>
                <w:highlight w:val="none"/>
                <w:lang w:val="zh-CN" w:eastAsia="zh-CN" w:bidi="ar-SA"/>
              </w:rPr>
              <w:t>通知书</w:t>
            </w:r>
          </w:p>
        </w:tc>
        <w:tc>
          <w:tcPr>
            <w:tcW w:w="6836" w:type="dxa"/>
            <w:vAlign w:val="center"/>
          </w:tcPr>
          <w:p>
            <w:pPr>
              <w:pStyle w:val="85"/>
              <w:ind w:firstLine="210" w:firstLineChars="10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□在线领取</w:t>
            </w:r>
          </w:p>
          <w:p>
            <w:pPr>
              <w:spacing w:line="340" w:lineRule="exact"/>
              <w:ind w:left="0" w:leftChars="0" w:right="105" w:rightChars="50"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☑书面领取，领取地点、联系人、联系电话：同采购代理机构</w:t>
            </w:r>
          </w:p>
        </w:tc>
      </w:tr>
      <w:bookmarkEnd w:id="7"/>
      <w:bookmarkEnd w:id="8"/>
      <w:bookmarkEnd w:id="9"/>
      <w:bookmarkEnd w:id="10"/>
    </w:tbl>
    <w:p>
      <w:pPr>
        <w:rPr>
          <w:rFonts w:hint="eastAsia" w:ascii="宋体" w:hAnsi="宋体" w:eastAsia="宋体" w:cs="宋体"/>
          <w:b/>
          <w:bCs/>
          <w:color w:val="auto"/>
          <w:spacing w:val="-2"/>
          <w:kern w:val="0"/>
          <w:sz w:val="28"/>
          <w:szCs w:val="28"/>
          <w:highlight w:val="none"/>
          <w:lang w:eastAsia="zh-CN"/>
        </w:rPr>
      </w:pPr>
      <w:r>
        <w:rPr>
          <w:rFonts w:hint="eastAsia" w:ascii="宋体" w:hAnsi="宋体" w:eastAsia="宋体" w:cs="宋体"/>
          <w:b/>
          <w:bCs/>
          <w:color w:val="auto"/>
          <w:spacing w:val="-2"/>
          <w:kern w:val="0"/>
          <w:sz w:val="28"/>
          <w:szCs w:val="2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pacing w:val="-2"/>
          <w:kern w:val="0"/>
          <w:sz w:val="28"/>
          <w:szCs w:val="28"/>
          <w:highlight w:val="none"/>
          <w:lang w:eastAsia="zh-CN"/>
        </w:rPr>
      </w:pPr>
      <w:r>
        <w:rPr>
          <w:rFonts w:hint="eastAsia" w:ascii="宋体" w:hAnsi="宋体" w:eastAsia="宋体" w:cs="宋体"/>
          <w:b/>
          <w:bCs/>
          <w:color w:val="auto"/>
          <w:spacing w:val="-2"/>
          <w:kern w:val="0"/>
          <w:sz w:val="28"/>
          <w:szCs w:val="28"/>
          <w:highlight w:val="none"/>
          <w:lang w:eastAsia="zh-CN"/>
        </w:rPr>
        <w:t>总</w:t>
      </w:r>
      <w:r>
        <w:rPr>
          <w:rFonts w:hint="eastAsia" w:ascii="宋体" w:hAnsi="宋体" w:eastAsia="宋体" w:cs="宋体"/>
          <w:b/>
          <w:bCs/>
          <w:color w:val="auto"/>
          <w:spacing w:val="-2"/>
          <w:kern w:val="0"/>
          <w:sz w:val="28"/>
          <w:szCs w:val="28"/>
          <w:highlight w:val="none"/>
          <w:lang w:val="en-US" w:eastAsia="zh-CN"/>
        </w:rPr>
        <w:t xml:space="preserve">  </w:t>
      </w:r>
      <w:r>
        <w:rPr>
          <w:rFonts w:hint="eastAsia" w:ascii="宋体" w:hAnsi="宋体" w:eastAsia="宋体" w:cs="宋体"/>
          <w:b/>
          <w:bCs/>
          <w:color w:val="auto"/>
          <w:spacing w:val="-2"/>
          <w:kern w:val="0"/>
          <w:sz w:val="28"/>
          <w:szCs w:val="28"/>
          <w:highlight w:val="none"/>
          <w:lang w:eastAsia="zh-CN"/>
        </w:rPr>
        <w:t>则</w:t>
      </w:r>
    </w:p>
    <w:p>
      <w:pPr>
        <w:pStyle w:val="4"/>
        <w:spacing w:before="0" w:after="120" w:afterLines="50" w:line="360" w:lineRule="auto"/>
        <w:rPr>
          <w:rFonts w:hint="eastAsia" w:ascii="宋体" w:hAnsi="宋体" w:eastAsia="宋体" w:cs="宋体"/>
          <w:b w:val="0"/>
          <w:bCs/>
          <w:color w:val="auto"/>
          <w:sz w:val="24"/>
          <w:szCs w:val="24"/>
          <w:highlight w:val="none"/>
        </w:rPr>
      </w:pPr>
      <w:bookmarkStart w:id="18" w:name="_Toc77400778"/>
      <w:bookmarkStart w:id="19" w:name="_Toc183582204"/>
      <w:bookmarkStart w:id="20" w:name="_Toc89075873"/>
      <w:bookmarkStart w:id="21" w:name="_Toc183682341"/>
      <w:bookmarkStart w:id="22" w:name="_Toc217446033"/>
      <w:r>
        <w:rPr>
          <w:rFonts w:hint="eastAsia" w:ascii="宋体" w:hAnsi="宋体" w:eastAsia="宋体" w:cs="宋体"/>
          <w:b w:val="0"/>
          <w:bCs/>
          <w:color w:val="auto"/>
          <w:sz w:val="24"/>
          <w:szCs w:val="24"/>
          <w:highlight w:val="none"/>
        </w:rPr>
        <w:t>1.总  则</w:t>
      </w:r>
    </w:p>
    <w:p>
      <w:pPr>
        <w:pStyle w:val="4"/>
        <w:spacing w:before="0" w:after="0"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1.1适用范围</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1.1.1本竞争性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文件仅适用于本次竞争性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）所叙述的相关服务项目的采购活动。</w:t>
      </w:r>
    </w:p>
    <w:p>
      <w:pPr>
        <w:tabs>
          <w:tab w:val="left" w:pos="7665"/>
        </w:tabs>
        <w:spacing w:before="120" w:beforeLines="50" w:after="120" w:afterLines="50" w:line="360" w:lineRule="auto"/>
        <w:ind w:firstLine="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1.2名词解释</w:t>
      </w:r>
    </w:p>
    <w:p>
      <w:pPr>
        <w:adjustRightInd w:val="0"/>
        <w:snapToGrid w:val="0"/>
        <w:spacing w:before="120" w:beforeLines="5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b/>
          <w:color w:val="auto"/>
          <w:sz w:val="24"/>
          <w:szCs w:val="24"/>
          <w:highlight w:val="none"/>
        </w:rPr>
        <w:t>采购人</w:t>
      </w:r>
      <w:r>
        <w:rPr>
          <w:rFonts w:hint="eastAsia" w:ascii="宋体" w:hAnsi="宋体" w:eastAsia="宋体" w:cs="宋体"/>
          <w:color w:val="auto"/>
          <w:sz w:val="24"/>
          <w:szCs w:val="24"/>
          <w:highlight w:val="none"/>
        </w:rPr>
        <w:t>系指依法进行政府采购的国家机关、事业单位、团体组织。本次采购的采购人名称、地址、电话、联系人见供应商须知前附表。</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w:t>
      </w:r>
      <w:r>
        <w:rPr>
          <w:rFonts w:hint="eastAsia" w:ascii="宋体" w:hAnsi="宋体" w:eastAsia="宋体" w:cs="宋体"/>
          <w:b/>
          <w:color w:val="auto"/>
          <w:sz w:val="24"/>
          <w:szCs w:val="24"/>
          <w:highlight w:val="none"/>
        </w:rPr>
        <w:t>监督机构</w:t>
      </w:r>
      <w:r>
        <w:rPr>
          <w:rFonts w:hint="eastAsia" w:ascii="宋体" w:hAnsi="宋体" w:eastAsia="宋体" w:cs="宋体"/>
          <w:color w:val="auto"/>
          <w:sz w:val="24"/>
          <w:szCs w:val="24"/>
          <w:highlight w:val="none"/>
        </w:rPr>
        <w:t>系指政府采购行政监督管理部门。本次</w:t>
      </w:r>
      <w:bookmarkStart w:id="23" w:name="OLE_LINK4"/>
      <w:r>
        <w:rPr>
          <w:rFonts w:hint="eastAsia" w:ascii="宋体" w:hAnsi="宋体" w:eastAsia="宋体" w:cs="宋体"/>
          <w:color w:val="auto"/>
          <w:sz w:val="24"/>
          <w:szCs w:val="24"/>
          <w:highlight w:val="none"/>
        </w:rPr>
        <w:t>采购的监督机构</w:t>
      </w:r>
      <w:bookmarkEnd w:id="2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凤县财政局</w:t>
      </w:r>
    </w:p>
    <w:p>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1.2.3</w:t>
      </w:r>
      <w:r>
        <w:rPr>
          <w:rFonts w:hint="eastAsia" w:ascii="宋体" w:hAnsi="宋体" w:eastAsia="宋体" w:cs="宋体"/>
          <w:b/>
          <w:color w:val="auto"/>
          <w:sz w:val="24"/>
          <w:szCs w:val="24"/>
          <w:highlight w:val="none"/>
        </w:rPr>
        <w:t>采购代理机构</w:t>
      </w:r>
      <w:r>
        <w:rPr>
          <w:rFonts w:hint="eastAsia" w:ascii="宋体" w:hAnsi="宋体" w:eastAsia="宋体" w:cs="宋体"/>
          <w:color w:val="auto"/>
          <w:sz w:val="24"/>
          <w:szCs w:val="24"/>
          <w:highlight w:val="none"/>
        </w:rPr>
        <w:t>系指接受采购人委托，代理采购项目的依法经财政部门认定资格的采购代理机构。本次采购的采购代理机构名称、地址、电话、联系人见供应商须知前附表。</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1.2.4 </w:t>
      </w:r>
      <w:r>
        <w:rPr>
          <w:rFonts w:hint="eastAsia" w:ascii="宋体" w:hAnsi="宋体" w:eastAsia="宋体" w:cs="宋体"/>
          <w:b/>
          <w:color w:val="auto"/>
          <w:sz w:val="24"/>
          <w:szCs w:val="24"/>
          <w:highlight w:val="none"/>
        </w:rPr>
        <w:t>供应商</w:t>
      </w:r>
      <w:r>
        <w:rPr>
          <w:rFonts w:hint="eastAsia" w:ascii="宋体" w:hAnsi="宋体" w:eastAsia="宋体" w:cs="宋体"/>
          <w:color w:val="auto"/>
          <w:sz w:val="24"/>
          <w:szCs w:val="24"/>
          <w:highlight w:val="none"/>
        </w:rPr>
        <w:t>是指响应和符合竞争性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文件（以下简称</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文件）规定资格条件且参与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竞争的法人。</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1.2.5 </w:t>
      </w:r>
      <w:r>
        <w:rPr>
          <w:rFonts w:hint="eastAsia" w:ascii="宋体" w:hAnsi="宋体" w:eastAsia="宋体" w:cs="宋体"/>
          <w:b/>
          <w:bCs/>
          <w:color w:val="auto"/>
          <w:sz w:val="24"/>
          <w:szCs w:val="24"/>
          <w:highlight w:val="none"/>
        </w:rPr>
        <w:t>工程</w:t>
      </w:r>
      <w:r>
        <w:rPr>
          <w:rFonts w:hint="eastAsia" w:ascii="宋体" w:hAnsi="宋体" w:eastAsia="宋体" w:cs="宋体"/>
          <w:color w:val="auto"/>
          <w:sz w:val="24"/>
          <w:szCs w:val="24"/>
          <w:highlight w:val="none"/>
        </w:rPr>
        <w:t>是指本磋商文件中第四章所述工程。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6</w:t>
      </w:r>
      <w:r>
        <w:rPr>
          <w:rFonts w:hint="eastAsia" w:ascii="宋体" w:hAnsi="宋体" w:eastAsia="宋体" w:cs="宋体"/>
          <w:b/>
          <w:color w:val="auto"/>
          <w:sz w:val="24"/>
          <w:szCs w:val="24"/>
          <w:highlight w:val="none"/>
        </w:rPr>
        <w:t xml:space="preserve"> 服务</w:t>
      </w:r>
      <w:r>
        <w:rPr>
          <w:rFonts w:hint="eastAsia" w:ascii="宋体" w:hAnsi="宋体" w:eastAsia="宋体" w:cs="宋体"/>
          <w:color w:val="auto"/>
          <w:sz w:val="24"/>
          <w:szCs w:val="24"/>
          <w:highlight w:val="none"/>
        </w:rPr>
        <w:t>是指为满足</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文件要求和工程配套所提供的服务。</w:t>
      </w:r>
    </w:p>
    <w:p>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cs="宋体"/>
          <w:color w:val="auto"/>
          <w:kern w:val="0"/>
          <w:sz w:val="24"/>
          <w:szCs w:val="24"/>
          <w:highlight w:val="none"/>
          <w:lang w:val="en-US" w:eastAsia="zh-CN"/>
        </w:rPr>
        <w:t>7</w:t>
      </w:r>
      <w:r>
        <w:rPr>
          <w:rFonts w:hint="eastAsia" w:ascii="宋体" w:hAnsi="宋体" w:eastAsia="宋体" w:cs="宋体"/>
          <w:b/>
          <w:color w:val="auto"/>
          <w:sz w:val="24"/>
          <w:szCs w:val="24"/>
          <w:highlight w:val="none"/>
        </w:rPr>
        <w:t>中小企业</w:t>
      </w:r>
      <w:r>
        <w:rPr>
          <w:rFonts w:hint="eastAsia" w:ascii="宋体" w:hAnsi="宋体" w:eastAsia="宋体" w:cs="宋体"/>
          <w:color w:val="auto"/>
          <w:kern w:val="0"/>
          <w:sz w:val="24"/>
          <w:szCs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监狱企业</w:t>
      </w:r>
      <w:r>
        <w:rPr>
          <w:rFonts w:hint="eastAsia" w:ascii="宋体" w:hAnsi="宋体" w:eastAsia="宋体" w:cs="宋体"/>
          <w:color w:val="auto"/>
          <w:sz w:val="24"/>
          <w:szCs w:val="24"/>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kern w:val="0"/>
          <w:sz w:val="24"/>
          <w:szCs w:val="24"/>
          <w:highlight w:val="none"/>
        </w:rPr>
        <w:t>残疾人福利性单位</w:t>
      </w:r>
      <w:r>
        <w:rPr>
          <w:rFonts w:hint="eastAsia" w:ascii="宋体" w:hAnsi="宋体" w:eastAsia="宋体" w:cs="宋体"/>
          <w:color w:val="auto"/>
          <w:kern w:val="0"/>
          <w:sz w:val="24"/>
          <w:szCs w:val="24"/>
          <w:highlight w:val="none"/>
        </w:rPr>
        <w:t>是指符合</w:t>
      </w:r>
      <w:r>
        <w:rPr>
          <w:rFonts w:hint="eastAsia" w:ascii="宋体" w:hAnsi="宋体" w:eastAsia="宋体" w:cs="宋体"/>
          <w:color w:val="auto"/>
          <w:spacing w:val="6"/>
          <w:sz w:val="24"/>
          <w:szCs w:val="24"/>
          <w:highlight w:val="none"/>
        </w:rPr>
        <w:t>《财政部、民政部、中国残疾人联合会关于促进残疾人就业政府采购政策的通知》（财库[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号）规定条件的单位。</w:t>
      </w:r>
    </w:p>
    <w:p>
      <w:pPr>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w:t>
      </w:r>
      <w:r>
        <w:rPr>
          <w:rFonts w:hint="eastAsia" w:ascii="宋体" w:hAnsi="宋体" w:cs="宋体"/>
          <w:color w:val="auto"/>
          <w:spacing w:val="6"/>
          <w:sz w:val="24"/>
          <w:szCs w:val="24"/>
          <w:highlight w:val="none"/>
          <w:lang w:val="en-US" w:eastAsia="zh-CN"/>
        </w:rPr>
        <w:t>10</w:t>
      </w:r>
      <w:r>
        <w:rPr>
          <w:rFonts w:hint="eastAsia" w:ascii="宋体" w:hAnsi="宋体" w:eastAsia="宋体" w:cs="宋体"/>
          <w:b/>
          <w:color w:val="auto"/>
          <w:spacing w:val="6"/>
          <w:sz w:val="24"/>
          <w:szCs w:val="24"/>
          <w:highlight w:val="none"/>
        </w:rPr>
        <w:t>签名</w:t>
      </w:r>
      <w:r>
        <w:rPr>
          <w:rFonts w:hint="eastAsia" w:ascii="宋体" w:hAnsi="宋体" w:eastAsia="宋体" w:cs="宋体"/>
          <w:color w:val="auto"/>
          <w:spacing w:val="6"/>
          <w:sz w:val="24"/>
          <w:szCs w:val="24"/>
          <w:highlight w:val="none"/>
        </w:rPr>
        <w:t>是指手写签名或者加盖名章，</w:t>
      </w:r>
      <w:r>
        <w:rPr>
          <w:rFonts w:hint="eastAsia" w:ascii="宋体" w:hAnsi="宋体" w:eastAsia="宋体" w:cs="宋体"/>
          <w:b/>
          <w:color w:val="auto"/>
          <w:spacing w:val="6"/>
          <w:sz w:val="24"/>
          <w:szCs w:val="24"/>
          <w:highlight w:val="none"/>
        </w:rPr>
        <w:t>盖章</w:t>
      </w:r>
      <w:r>
        <w:rPr>
          <w:rFonts w:hint="eastAsia" w:ascii="宋体" w:hAnsi="宋体" w:eastAsia="宋体" w:cs="宋体"/>
          <w:color w:val="auto"/>
          <w:spacing w:val="6"/>
          <w:sz w:val="24"/>
          <w:szCs w:val="24"/>
          <w:highlight w:val="none"/>
        </w:rPr>
        <w:t>是指加盖单位印章。</w:t>
      </w:r>
    </w:p>
    <w:p>
      <w:pPr>
        <w:adjustRightInd w:val="0"/>
        <w:snapToGrid w:val="0"/>
        <w:spacing w:line="360" w:lineRule="auto"/>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1.2.1</w:t>
      </w:r>
      <w:r>
        <w:rPr>
          <w:rFonts w:hint="eastAsia" w:ascii="宋体" w:hAnsi="宋体" w:cs="宋体"/>
          <w:color w:val="auto"/>
          <w:spacing w:val="6"/>
          <w:sz w:val="24"/>
          <w:szCs w:val="24"/>
          <w:highlight w:val="none"/>
          <w:lang w:val="en-US" w:eastAsia="zh-CN"/>
        </w:rPr>
        <w:t>1</w:t>
      </w:r>
      <w:r>
        <w:rPr>
          <w:rFonts w:hint="eastAsia" w:ascii="宋体" w:hAnsi="宋体" w:eastAsia="宋体" w:cs="宋体"/>
          <w:b/>
          <w:color w:val="auto"/>
          <w:sz w:val="24"/>
          <w:szCs w:val="24"/>
          <w:highlight w:val="none"/>
        </w:rPr>
        <w:t>较大数额罚款</w:t>
      </w:r>
      <w:r>
        <w:rPr>
          <w:rFonts w:hint="eastAsia" w:ascii="宋体" w:hAnsi="宋体" w:eastAsia="宋体" w:cs="宋体"/>
          <w:color w:val="auto"/>
          <w:sz w:val="24"/>
          <w:szCs w:val="24"/>
          <w:highlight w:val="none"/>
        </w:rPr>
        <w:t>是指200万元以上罚款，法律、行政法规以及国务院有关部门明确规定相关领域“较大数额罚款”标准高于200万元的，从其规定。</w:t>
      </w:r>
    </w:p>
    <w:p>
      <w:pPr>
        <w:adjustRightInd w:val="0"/>
        <w:snapToGrid w:val="0"/>
        <w:spacing w:before="120" w:beforeLines="50" w:after="120" w:after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1.3 合格的供应商</w:t>
      </w:r>
    </w:p>
    <w:p>
      <w:pPr>
        <w:tabs>
          <w:tab w:val="left" w:pos="7665"/>
        </w:tabs>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合格的供应商应具备以下条件：</w:t>
      </w:r>
    </w:p>
    <w:p>
      <w:pPr>
        <w:tabs>
          <w:tab w:val="left" w:pos="7665"/>
        </w:tabs>
        <w:spacing w:line="360" w:lineRule="auto"/>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（1）具备且满足</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文件规定的供应商资格条件</w:t>
      </w:r>
      <w:r>
        <w:rPr>
          <w:rFonts w:hint="eastAsia" w:ascii="宋体" w:hAnsi="宋体" w:eastAsia="宋体" w:cs="宋体"/>
          <w:color w:val="auto"/>
          <w:spacing w:val="-4"/>
          <w:sz w:val="24"/>
          <w:szCs w:val="24"/>
          <w:highlight w:val="none"/>
        </w:rPr>
        <w:t>；</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（2）从采购代理机构获取了</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（3）交纳了</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保证金（仅限供应商须知前附表要求供应商提交保证金的）；</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（4）遵守国家和地方有关的法律法规、规章和规范性文件要求。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供应商不得存在下列情形之一：</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（l）与采购人、采购代理机构存在</w:t>
      </w:r>
      <w:r>
        <w:rPr>
          <w:rFonts w:hint="eastAsia" w:ascii="宋体" w:hAnsi="宋体" w:eastAsia="宋体" w:cs="宋体"/>
          <w:bCs/>
          <w:color w:val="auto"/>
          <w:sz w:val="24"/>
          <w:szCs w:val="24"/>
          <w:highlight w:val="none"/>
        </w:rPr>
        <w:t>隶属关系或者其他利害关系，且可能影响</w:t>
      </w:r>
      <w:r>
        <w:rPr>
          <w:rFonts w:hint="eastAsia" w:ascii="宋体" w:hAnsi="宋体" w:cs="宋体"/>
          <w:bCs/>
          <w:color w:val="auto"/>
          <w:sz w:val="24"/>
          <w:szCs w:val="24"/>
          <w:highlight w:val="none"/>
          <w:lang w:eastAsia="zh-CN"/>
        </w:rPr>
        <w:t>磋商</w:t>
      </w:r>
      <w:r>
        <w:rPr>
          <w:rFonts w:hint="eastAsia" w:ascii="宋体" w:hAnsi="宋体" w:eastAsia="宋体" w:cs="宋体"/>
          <w:bCs/>
          <w:color w:val="auto"/>
          <w:sz w:val="24"/>
          <w:szCs w:val="24"/>
          <w:highlight w:val="none"/>
        </w:rPr>
        <w:t>公正性；</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（2）与本采购项目其他供应商的法定代表人（或者负责人）为同一人；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（3）与本采购项目其他供应商存在控股、管理关系；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（4）为本项目采购代理机构；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（5）为本项目代理</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的为其采购代理机构；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（6）为本项目提供整体设计、规范编制或者项目管理、监理、检测、咨询服务；</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受到刑事处罚；</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（8）受到“较大数额罚款”的行政处罚；</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（9）被责令停产停业、暂扣或者吊销许可证、暂扣或者吊销执照的行政处罚；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color w:val="auto"/>
          <w:sz w:val="24"/>
          <w:szCs w:val="24"/>
          <w:highlight w:val="none"/>
        </w:rPr>
        <w:t>被列入失信被执行人名单；</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（11）被列入重大税收违法案件当事人名单；</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（12）被禁止在一至三年内参加政府采购活动或存在</w:t>
      </w:r>
      <w:r>
        <w:rPr>
          <w:rFonts w:hint="eastAsia" w:ascii="宋体" w:hAnsi="宋体" w:eastAsia="宋体" w:cs="宋体"/>
          <w:color w:val="auto"/>
          <w:sz w:val="24"/>
          <w:szCs w:val="24"/>
          <w:highlight w:val="none"/>
        </w:rPr>
        <w:t>财政部门认定的其他重大违法记录；</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（13）在最近三年内有严重违约或者重大工程质量问题；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（14）被行政主管部门暂停或取消投标资格；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（15）法律法规规定的其他情形。</w:t>
      </w:r>
    </w:p>
    <w:bookmarkEnd w:id="18"/>
    <w:bookmarkEnd w:id="19"/>
    <w:bookmarkEnd w:id="20"/>
    <w:bookmarkEnd w:id="21"/>
    <w:bookmarkEnd w:id="22"/>
    <w:p>
      <w:pPr>
        <w:adjustRightInd w:val="0"/>
        <w:snapToGrid w:val="0"/>
        <w:spacing w:before="120" w:beforeLines="50" w:after="120" w:afterLines="50" w:line="360" w:lineRule="auto"/>
        <w:rPr>
          <w:rFonts w:hint="eastAsia" w:ascii="宋体" w:hAnsi="宋体" w:eastAsia="宋体" w:cs="宋体"/>
          <w:b/>
          <w:bCs/>
          <w:color w:val="auto"/>
          <w:sz w:val="24"/>
          <w:szCs w:val="24"/>
          <w:highlight w:val="none"/>
        </w:rPr>
      </w:pPr>
      <w:bookmarkStart w:id="24" w:name="_Toc183582208"/>
      <w:bookmarkStart w:id="25" w:name="_Toc217446037"/>
      <w:bookmarkStart w:id="26" w:name="_Toc183682345"/>
      <w:r>
        <w:rPr>
          <w:rFonts w:hint="eastAsia" w:ascii="宋体" w:hAnsi="宋体" w:eastAsia="宋体" w:cs="宋体"/>
          <w:b/>
          <w:color w:val="auto"/>
          <w:sz w:val="24"/>
          <w:szCs w:val="24"/>
          <w:highlight w:val="none"/>
        </w:rPr>
        <w:t xml:space="preserve">1.4 </w:t>
      </w:r>
      <w:r>
        <w:rPr>
          <w:rFonts w:hint="eastAsia" w:ascii="宋体" w:hAnsi="宋体" w:eastAsia="宋体" w:cs="宋体"/>
          <w:b/>
          <w:bCs/>
          <w:color w:val="auto"/>
          <w:sz w:val="24"/>
          <w:szCs w:val="24"/>
          <w:highlight w:val="none"/>
        </w:rPr>
        <w:t>1.4合格的服务</w:t>
      </w:r>
    </w:p>
    <w:p>
      <w:pPr>
        <w:tabs>
          <w:tab w:val="left" w:pos="747"/>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投标人提供的所有货物和服务，应当是合法生产、合法来源，符合国家有关标准、规范要求，并满足</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规定的规格、参数、质量、价格、有效期、售后服务及投标人须承担的运输、安装、技术支持、培训和</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文件规定的其它伴随服务等要求。</w:t>
      </w:r>
    </w:p>
    <w:p>
      <w:pPr>
        <w:tabs>
          <w:tab w:val="left" w:pos="747"/>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1.4.2 采购人有权拒绝接受任何不合格的货物和服务，由此产生的费用及相关后果均由投标人自行承担。</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1.5 </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费用</w:t>
      </w:r>
    </w:p>
    <w:p>
      <w:pPr>
        <w:tabs>
          <w:tab w:val="left" w:pos="7665"/>
        </w:tabs>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结果如何，供应商应自行承担所有与准备和参加</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相关的全部费用。</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1.6语言文字</w:t>
      </w:r>
    </w:p>
    <w:p>
      <w:pPr>
        <w:tabs>
          <w:tab w:val="left" w:pos="7665"/>
        </w:tabs>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1.6.1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文件与响应文件使用的语言为中文。专用术语使用外文的，应附有中文注释。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响应文件中如附有外文资料，必须逐一对应翻译成中文并加盖供应商单位章后附在相关外文资料后面，否则，供应商的响应文件将作为无效响应文件处理。</w:t>
      </w:r>
    </w:p>
    <w:p>
      <w:pPr>
        <w:pStyle w:val="17"/>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响应文件中翻译的中文资料与外文资料如果出现差异和矛盾时，以中文为准。但不能故意错误翻译，否则，供应商的响应文件将作为无效响应文件处理。</w:t>
      </w:r>
      <w:r>
        <w:rPr>
          <w:rFonts w:hint="eastAsia" w:ascii="宋体" w:hAnsi="宋体" w:eastAsia="宋体" w:cs="宋体"/>
          <w:color w:val="auto"/>
          <w:kern w:val="0"/>
          <w:sz w:val="24"/>
          <w:szCs w:val="24"/>
          <w:highlight w:val="none"/>
        </w:rPr>
        <w:t>必要时采购人可以要求供应商提供附有公证书的中文翻译文件或者与原版文件签章相一致的中文翻译文件。</w:t>
      </w:r>
    </w:p>
    <w:p>
      <w:pPr>
        <w:autoSpaceDE w:val="0"/>
        <w:autoSpaceDN w:val="0"/>
        <w:spacing w:before="120" w:beforeLines="50" w:after="120" w:afterLines="50" w:line="360" w:lineRule="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zh-CN"/>
        </w:rPr>
        <w:t>1.7 保密</w:t>
      </w:r>
      <w:r>
        <w:rPr>
          <w:rFonts w:hint="eastAsia" w:ascii="宋体" w:hAnsi="宋体" w:cs="宋体"/>
          <w:b/>
          <w:color w:val="auto"/>
          <w:sz w:val="24"/>
          <w:szCs w:val="24"/>
          <w:highlight w:val="none"/>
          <w:lang w:val="en-US" w:eastAsia="zh-CN"/>
        </w:rPr>
        <w:t xml:space="preserve">                    </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参与采购活动的当事人应对</w:t>
      </w:r>
      <w:r>
        <w:rPr>
          <w:rFonts w:hint="eastAsia" w:ascii="宋体" w:hAnsi="宋体" w:cs="宋体"/>
          <w:color w:val="auto"/>
          <w:sz w:val="24"/>
          <w:szCs w:val="24"/>
          <w:highlight w:val="none"/>
          <w:lang w:val="zh-CN"/>
        </w:rPr>
        <w:t>磋商</w:t>
      </w:r>
      <w:r>
        <w:rPr>
          <w:rFonts w:hint="eastAsia" w:ascii="宋体" w:hAnsi="宋体" w:eastAsia="宋体" w:cs="宋体"/>
          <w:color w:val="auto"/>
          <w:sz w:val="24"/>
          <w:szCs w:val="24"/>
          <w:highlight w:val="none"/>
          <w:lang w:val="zh-CN"/>
        </w:rPr>
        <w:t xml:space="preserve">文件和响应文件中的商业秘密、技术秘密和个人隐私等保密，违者应对由此造成的后果承担法律责任。 </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pPr>
        <w:tabs>
          <w:tab w:val="left" w:pos="7665"/>
        </w:tabs>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所有计量单位均采用中华人民共和国法定计量单位。</w:t>
      </w:r>
    </w:p>
    <w:p>
      <w:pPr>
        <w:spacing w:before="120" w:beforeLines="50" w:after="120" w:afterLines="5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1.9 答疑会或踏勘现场</w:t>
      </w:r>
      <w:r>
        <w:rPr>
          <w:rFonts w:hint="eastAsia" w:ascii="宋体" w:hAnsi="宋体" w:cs="宋体"/>
          <w:b/>
          <w:color w:val="auto"/>
          <w:sz w:val="24"/>
          <w:szCs w:val="24"/>
          <w:highlight w:val="none"/>
          <w:lang w:val="en-US" w:eastAsia="zh-CN"/>
        </w:rPr>
        <w:t xml:space="preserve"> </w:t>
      </w:r>
    </w:p>
    <w:p>
      <w:pPr>
        <w:tabs>
          <w:tab w:val="left" w:pos="7665"/>
        </w:tabs>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供应商须知前附表规定组织答疑会或踏勘现场的，采购人或者采购代理机构按供应商须知前附表规定的时间、地点组织供应商踏勘项目现场，澄清供应商提出的问题，供应商可按要求在规定的时间和地点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除采购人或采购代理机构的原因外，供应商自行负责在踏勘现场中所发生的人员伤亡和财产损失。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答疑会或踏勘现场后，采购人或采购代理机构对供应商所提问题的澄清，以书面形式通知所有获取了</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文件的供应商。该澄清内容为</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采购人或采购代理机构在踏勘现场中介绍的现场货物需求和相关的周边环境情况，供应商在编制响应文件时参考，采购人或采购代理机构不对供应商据此作出的判断和决策负责。一旦成交，成交供应商不得以任何借口，提出额外补偿，或延长合同期限的要求。</w:t>
      </w:r>
    </w:p>
    <w:p>
      <w:pPr>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由于未参加现场考察或</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前答疑会而导致对项目实际情况不了解，影响响应文件编制、响应报价准确性、综合因素响应不全面等问题的，由供应商自行承担不利评审后果。</w:t>
      </w:r>
    </w:p>
    <w:p>
      <w:pPr>
        <w:adjustRightInd w:val="0"/>
        <w:snapToGrid w:val="0"/>
        <w:spacing w:before="120" w:beforeLines="50" w:after="12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1.10响应与偏离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1.10.1响应文件应当对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文件实质性要求和条件作出满足性或有利于采购人的响应，否则，供应商的响应文件无效。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b/>
          <w:color w:val="auto"/>
          <w:sz w:val="24"/>
          <w:szCs w:val="24"/>
          <w:highlight w:val="none"/>
        </w:rPr>
        <w:t>偏离</w:t>
      </w:r>
      <w:r>
        <w:rPr>
          <w:rFonts w:hint="eastAsia" w:ascii="宋体" w:hAnsi="宋体" w:eastAsia="宋体" w:cs="宋体"/>
          <w:color w:val="auto"/>
          <w:sz w:val="24"/>
          <w:szCs w:val="24"/>
          <w:highlight w:val="none"/>
        </w:rPr>
        <w:t>是指响应文件不响应或者不满足</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文件提出的要求和条件，分为实质性偏离和非实质性偏离。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1.10.3供应商须知前附表允许响应文件非实质性偏离</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文件某些要求的，偏离应当符合供应商须知前附表规定的偏离范围和幅度。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1.10.4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过程中，</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小组若根据</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情况实质性变动采购需求中的技术、服务要求以及合同草案条款的，供应商据此重新提交的响应文件，也适用本条款。</w:t>
      </w:r>
    </w:p>
    <w:bookmarkEnd w:id="24"/>
    <w:bookmarkEnd w:id="25"/>
    <w:bookmarkEnd w:id="26"/>
    <w:p>
      <w:pPr>
        <w:pStyle w:val="14"/>
        <w:spacing w:before="120" w:beforeLines="50" w:after="120" w:afterLines="50" w:line="360" w:lineRule="auto"/>
        <w:ind w:firstLine="0"/>
        <w:rPr>
          <w:rFonts w:hint="eastAsia" w:ascii="宋体" w:hAnsi="宋体" w:eastAsia="宋体" w:cs="宋体"/>
          <w:b/>
          <w:color w:val="auto"/>
          <w:kern w:val="2"/>
          <w:sz w:val="24"/>
          <w:szCs w:val="24"/>
          <w:highlight w:val="none"/>
          <w:lang w:val="en-US" w:eastAsia="zh-CN" w:bidi="ar-SA"/>
        </w:rPr>
      </w:pPr>
      <w:bookmarkStart w:id="27" w:name="_Toc217446047"/>
      <w:bookmarkStart w:id="28" w:name="_Toc183682346"/>
      <w:bookmarkStart w:id="29" w:name="_Toc183582209"/>
      <w:bookmarkStart w:id="30" w:name="_Toc77400779"/>
      <w:bookmarkStart w:id="31" w:name="_Toc217446038"/>
      <w:bookmarkStart w:id="32" w:name="_Toc89075875"/>
      <w:r>
        <w:rPr>
          <w:rFonts w:hint="eastAsia" w:ascii="宋体" w:hAnsi="宋体" w:eastAsia="宋体" w:cs="宋体"/>
          <w:b/>
          <w:color w:val="auto"/>
          <w:kern w:val="2"/>
          <w:sz w:val="24"/>
          <w:szCs w:val="24"/>
          <w:highlight w:val="none"/>
          <w:lang w:val="en-US" w:eastAsia="zh-CN" w:bidi="ar-SA"/>
        </w:rPr>
        <w:t>1.11 知识产权</w:t>
      </w:r>
      <w:bookmarkEnd w:id="27"/>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1.11.1 供应商应保证在本项目使用的任何货物（包括部分使用）和服务时，不会产生因第三方提出侵犯其专利权、商标权或其它知识产权而引起的法律和经济纠纷，如因专利权、商标权或其它知识产权而引起法律和经济纠纷，由供应商承担所有相关责任。</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1.11.2 采购人享有本项目实施过程中产生的知识成果及知识产权。</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1.11.3 供应商如欲在项目实施过程中采用自有知识成果，需在响应文件中声明，并提供相关知识产权证明文件。使用该知识成果后，供应商需提供开发接口（如有）和开发手册等技术文档，并承诺提供无限期技术支持，采购人享有永久使用权。</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1.11.4 如采用供应商所不拥有的知识产权，则在报价中必须包括合法获取该知识产权的相关费用。</w:t>
      </w:r>
    </w:p>
    <w:p>
      <w:pPr>
        <w:tabs>
          <w:tab w:val="left" w:pos="7665"/>
        </w:tabs>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2.1 </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文件的组成</w:t>
      </w:r>
    </w:p>
    <w:p>
      <w:pPr>
        <w:tabs>
          <w:tab w:val="left" w:pos="7665"/>
        </w:tabs>
        <w:spacing w:before="120"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文件包括以下内容：</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资格审查办法</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_Toc29621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办法</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政府采购合同格式</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_Toc3697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响应文件格式</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 xml:space="preserve">         </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根据本章第1.9条款、第2.2条款款对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文件所作的澄清、修改，构成</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2.2 </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文件的澄清和修改</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 在提交首次响应文件截止时间前，采购代理机构无论出于何种原因，可以对</w:t>
      </w:r>
      <w:r>
        <w:rPr>
          <w:rFonts w:hint="eastAsia"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文件进行澄清或者修改。</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2.2.2 采购人或采购代理机构可以对已发出的</w:t>
      </w:r>
      <w:r>
        <w:rPr>
          <w:rFonts w:hint="eastAsia"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文件进行必要的澄清或者修改，澄清或修改的内容可能影响响应文件编制的，应当在提交首次响应文件截止时间3个工作日前，以书面形式将澄清或者修改的内容通知所有获取</w:t>
      </w:r>
      <w:r>
        <w:rPr>
          <w:rFonts w:hint="eastAsia"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文件的供应商，同时在原信息发布媒体上发布更正公告；供应商在收到上述通知后，应立即以书面形式向采购代理机构确认；不足3个工作日的，将相应顺延提交首次响应文件截止时间。</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 供应商应仔细阅读和检查</w:t>
      </w:r>
      <w:r>
        <w:rPr>
          <w:rFonts w:hint="eastAsia"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文件的全部内容。如发现缺页或附件不全，应及时向采购代理机构提出，以便补齐。如需对</w:t>
      </w:r>
      <w:r>
        <w:rPr>
          <w:rFonts w:hint="eastAsia"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文件（除质疑外）需要询问或澄清的，或认为有必要与采购代理机构进行技术交流的，均应在提交首次响应文件截止时间1个工作日前按</w:t>
      </w:r>
      <w:r>
        <w:rPr>
          <w:rFonts w:hint="eastAsia"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中的联系方式，以书面形式向采购代理机构提出，采购代理机构应当在1个工作日内，以书面形式予以答复（答复中不包括问题的来源），或认为有必要召开答疑会。超过该时间收到的询问或需要澄清的内容，采购代理机构有权不予答复。</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2.2.4 在提交首次响应文件截止时间前，采购代理机构可以视采购具体情况，延长提交首次响应文件截止时间，并将变更时间以书面形式通知所有获取了</w:t>
      </w:r>
      <w:r>
        <w:rPr>
          <w:rFonts w:hint="eastAsia"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文件的供应商，同时在原信息发布媒体上发布更正公告。</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2.2.5采购代理机构将在发布变更（澄清）公告的同时，提醒供应商下载答疑文件（*.SXSCF，即更新后的电子磋商文件）。供应商应当及时从</w:t>
      </w:r>
      <w:r>
        <w:rPr>
          <w:rFonts w:hint="eastAsia" w:ascii="宋体" w:hAnsi="宋体" w:eastAsia="宋体" w:cs="宋体"/>
          <w:color w:val="auto"/>
          <w:kern w:val="2"/>
          <w:sz w:val="24"/>
          <w:szCs w:val="24"/>
          <w:highlight w:val="none"/>
          <w:lang w:val="zh-CN" w:eastAsia="zh-CN" w:bidi="ar-SA"/>
        </w:rPr>
        <w:t>【全国公共资源交易平台（陕西省·宝鸡市）】</w:t>
      </w:r>
      <w:r>
        <w:rPr>
          <w:rFonts w:hint="eastAsia" w:ascii="宋体" w:hAnsi="宋体" w:eastAsia="宋体" w:cs="宋体"/>
          <w:color w:val="auto"/>
          <w:kern w:val="2"/>
          <w:sz w:val="24"/>
          <w:szCs w:val="24"/>
          <w:highlight w:val="none"/>
          <w:lang w:val="en-US" w:eastAsia="zh-CN" w:bidi="ar-SA"/>
        </w:rPr>
        <w:t>〖首页·〉电子交易平台·〉陕西政府采购交易系统·〉企业端〗登录，登录后切换到〖我的项目〗模块，从〖项目流程·〉项目管理·〉答疑文件下载〗获取更新后的电子磋商文件（*.SXSCF），使用旧版电子磋商文件制作的电子响应文件（*.SXSTF），系统将拒绝接收。</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请各</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在提交</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截止时间之前，务必随时关注政府采购信息发布媒体上发布的变更公告，采购代理机构不再另行通知，因供应商未及时关注所造成的一切后果由</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自行承担：</w:t>
      </w:r>
    </w:p>
    <w:p>
      <w:pPr>
        <w:tabs>
          <w:tab w:val="left" w:pos="7665"/>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"http://www.ccgp-shaanxi.gov.cn"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陕西省政府采购网</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”（http://ggzy.baoji.gov.cn/）中的</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rPr>
        <w:t>首页·〉信息公告·〉市级·〉</w:t>
      </w:r>
      <w:r>
        <w:rPr>
          <w:rFonts w:hint="eastAsia" w:ascii="宋体" w:hAnsi="宋体" w:eastAsia="宋体" w:cs="宋体"/>
          <w:b w:val="0"/>
          <w:bCs w:val="0"/>
          <w:color w:val="auto"/>
          <w:sz w:val="24"/>
          <w:szCs w:val="24"/>
          <w:highlight w:val="none"/>
          <w:lang w:val="zh-CN"/>
        </w:rPr>
        <w:t>宝鸡市）】</w:t>
      </w:r>
      <w:r>
        <w:rPr>
          <w:rFonts w:hint="eastAsia" w:ascii="宋体" w:hAnsi="宋体" w:eastAsia="宋体" w:cs="宋体"/>
          <w:b w:val="0"/>
          <w:bCs w:val="0"/>
          <w:color w:val="auto"/>
          <w:sz w:val="24"/>
          <w:szCs w:val="24"/>
          <w:highlight w:val="none"/>
        </w:rPr>
        <w:t>；</w:t>
      </w:r>
    </w:p>
    <w:p>
      <w:pPr>
        <w:pStyle w:val="85"/>
        <w:spacing w:line="360" w:lineRule="auto"/>
        <w:ind w:left="21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zh-CN"/>
        </w:rPr>
        <w:t>【全国公共资源交易平台（陕西省·宝鸡市）】</w:t>
      </w:r>
      <w:r>
        <w:rPr>
          <w:rFonts w:hint="eastAsia" w:ascii="宋体" w:hAnsi="宋体" w:eastAsia="宋体" w:cs="宋体"/>
          <w:b w:val="0"/>
          <w:bCs w:val="0"/>
          <w:color w:val="auto"/>
          <w:sz w:val="24"/>
          <w:szCs w:val="24"/>
          <w:highlight w:val="none"/>
        </w:rPr>
        <w:t>”（http://ggzy.baoji.gov.cn/）中的〖首页·〉交易大厅·〉政府采购〗。</w:t>
      </w:r>
    </w:p>
    <w:p>
      <w:pPr>
        <w:adjustRightInd w:val="0"/>
        <w:snapToGrid w:val="0"/>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2.3</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文件的解释权</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文件的解释权归采购代理机构，如发现</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文件内容与现行法律法规不相符的情况，以现行法律法规为准。</w:t>
      </w:r>
    </w:p>
    <w:p>
      <w:pPr>
        <w:pStyle w:val="5"/>
        <w:spacing w:before="120" w:beforeLines="50" w:after="120" w:afterLines="50" w:line="360" w:lineRule="auto"/>
        <w:ind w:firstLine="0"/>
        <w:rPr>
          <w:rFonts w:hint="eastAsia" w:ascii="宋体" w:hAnsi="宋体" w:eastAsia="宋体" w:cs="宋体"/>
          <w:color w:val="auto"/>
          <w:sz w:val="24"/>
          <w:szCs w:val="24"/>
          <w:highlight w:val="none"/>
        </w:rPr>
      </w:pPr>
      <w:bookmarkStart w:id="33" w:name="_Toc183682351"/>
      <w:bookmarkStart w:id="34" w:name="_Toc217446042"/>
      <w:bookmarkStart w:id="35" w:name="_Toc89075876"/>
      <w:bookmarkStart w:id="36" w:name="_Toc77400780"/>
      <w:bookmarkStart w:id="37" w:name="_Toc183582214"/>
      <w:r>
        <w:rPr>
          <w:rFonts w:hint="eastAsia" w:ascii="宋体" w:hAnsi="宋体" w:eastAsia="宋体" w:cs="宋体"/>
          <w:bCs/>
          <w:color w:val="auto"/>
          <w:sz w:val="24"/>
          <w:szCs w:val="24"/>
          <w:highlight w:val="none"/>
        </w:rPr>
        <w:t>3.供应商</w:t>
      </w:r>
    </w:p>
    <w:bookmarkEnd w:id="33"/>
    <w:bookmarkEnd w:id="34"/>
    <w:bookmarkEnd w:id="35"/>
    <w:bookmarkEnd w:id="36"/>
    <w:bookmarkEnd w:id="37"/>
    <w:p>
      <w:pPr>
        <w:pStyle w:val="5"/>
        <w:spacing w:after="120" w:afterLines="50" w:line="360" w:lineRule="auto"/>
        <w:ind w:firstLine="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3.1供应商资格要求</w:t>
      </w:r>
      <w:r>
        <w:rPr>
          <w:rFonts w:hint="eastAsia" w:ascii="宋体" w:hAnsi="宋体" w:cs="宋体"/>
          <w:b/>
          <w:color w:val="auto"/>
          <w:sz w:val="24"/>
          <w:szCs w:val="24"/>
          <w:highlight w:val="none"/>
          <w:lang w:eastAsia="zh-CN"/>
        </w:rPr>
        <w:t>：</w:t>
      </w:r>
    </w:p>
    <w:p>
      <w:pPr>
        <w:widowControl/>
        <w:adjustRightInd w:val="0"/>
        <w:snapToGrid w:val="0"/>
        <w:spacing w:line="360" w:lineRule="auto"/>
        <w:ind w:firstLine="482"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3.1.1</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基本资格条件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供应商应符合《中华人民共和国政府采购法》第二十二条规定</w:t>
      </w:r>
      <w:r>
        <w:rPr>
          <w:rFonts w:hint="eastAsia" w:ascii="宋体" w:hAnsi="宋体" w:eastAsia="宋体" w:cs="宋体"/>
          <w:color w:val="auto"/>
          <w:kern w:val="0"/>
          <w:sz w:val="24"/>
          <w:szCs w:val="24"/>
          <w:highlight w:val="none"/>
          <w:lang w:eastAsia="zh-CN"/>
        </w:rPr>
        <w:t>：</w:t>
      </w:r>
    </w:p>
    <w:p>
      <w:pPr>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color w:val="auto"/>
          <w:sz w:val="24"/>
          <w:szCs w:val="24"/>
          <w:highlight w:val="none"/>
        </w:rPr>
        <w:t>3.1.2 落实政府采购政策资格条件</w:t>
      </w:r>
      <w:r>
        <w:rPr>
          <w:rFonts w:hint="eastAsia" w:ascii="宋体" w:hAnsi="宋体" w:eastAsia="宋体" w:cs="宋体"/>
          <w:color w:val="auto"/>
          <w:sz w:val="24"/>
          <w:szCs w:val="24"/>
          <w:highlight w:val="none"/>
        </w:rPr>
        <w:t>。</w:t>
      </w:r>
      <w:r>
        <w:rPr>
          <w:rFonts w:hint="eastAsia" w:ascii="宋体" w:hAnsi="宋体" w:eastAsia="宋体" w:cs="Times New Roman"/>
          <w:b w:val="0"/>
          <w:kern w:val="2"/>
          <w:sz w:val="24"/>
          <w:szCs w:val="24"/>
          <w:highlight w:val="none"/>
          <w:lang w:val="en-US" w:eastAsia="zh-CN" w:bidi="ar-SA"/>
        </w:rPr>
        <w:t>本项目专门面向中小企业采购，供应商应当为中小企业（含残疾人福利性单位</w:t>
      </w:r>
      <w:r>
        <w:rPr>
          <w:rFonts w:hint="eastAsia" w:ascii="宋体" w:hAnsi="宋体" w:cs="Times New Roman"/>
          <w:b w:val="0"/>
          <w:kern w:val="2"/>
          <w:sz w:val="24"/>
          <w:szCs w:val="24"/>
          <w:highlight w:val="none"/>
          <w:lang w:val="en-US" w:eastAsia="zh-CN" w:bidi="ar-SA"/>
        </w:rPr>
        <w:t>、监狱企业</w:t>
      </w:r>
      <w:r>
        <w:rPr>
          <w:rFonts w:hint="eastAsia" w:ascii="宋体" w:hAnsi="宋体" w:eastAsia="宋体" w:cs="Times New Roman"/>
          <w:b w:val="0"/>
          <w:kern w:val="2"/>
          <w:sz w:val="24"/>
          <w:szCs w:val="24"/>
          <w:highlight w:val="none"/>
          <w:lang w:val="en-US" w:eastAsia="zh-CN" w:bidi="ar-SA"/>
        </w:rPr>
        <w:t>）</w:t>
      </w:r>
    </w:p>
    <w:p>
      <w:pPr>
        <w:widowControl/>
        <w:adjustRightInd w:val="0"/>
        <w:snapToGrid w:val="0"/>
        <w:spacing w:line="360" w:lineRule="auto"/>
        <w:ind w:firstLine="482"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rPr>
        <w:t>3.1.3 特定资格条件。</w:t>
      </w:r>
      <w:r>
        <w:rPr>
          <w:rFonts w:hint="eastAsia" w:ascii="宋体" w:hAnsi="宋体" w:eastAsia="宋体" w:cs="宋体"/>
          <w:color w:val="auto"/>
          <w:kern w:val="0"/>
          <w:sz w:val="24"/>
          <w:szCs w:val="24"/>
          <w:highlight w:val="none"/>
        </w:rPr>
        <w:t>供应商应满足《中华人民共和国政府采购法》第二十二条第二款规定，</w:t>
      </w:r>
      <w:r>
        <w:rPr>
          <w:rFonts w:hint="eastAsia" w:ascii="宋体" w:hAnsi="宋体" w:eastAsia="宋体" w:cs="宋体"/>
          <w:color w:val="auto"/>
          <w:kern w:val="0"/>
          <w:sz w:val="24"/>
          <w:szCs w:val="24"/>
          <w:highlight w:val="none"/>
          <w:lang w:val="zh-CN"/>
        </w:rPr>
        <w:t>并根据《政府采购法实施条例》第十七条规定提供证明材料。</w:t>
      </w:r>
    </w:p>
    <w:p>
      <w:pPr>
        <w:pageBreakBefore w:val="0"/>
        <w:kinsoku/>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Times New Roman"/>
          <w:b w:val="0"/>
          <w:kern w:val="2"/>
          <w:sz w:val="24"/>
          <w:szCs w:val="24"/>
          <w:highlight w:val="none"/>
          <w:lang w:val="en-US" w:eastAsia="zh-CN" w:bidi="ar-SA"/>
        </w:rPr>
      </w:pPr>
      <w:bookmarkStart w:id="38" w:name="OLE_LINK12"/>
      <w:r>
        <w:rPr>
          <w:rFonts w:hint="eastAsia" w:ascii="宋体" w:hAnsi="宋体" w:eastAsia="宋体" w:cs="Times New Roman"/>
          <w:b w:val="0"/>
          <w:kern w:val="2"/>
          <w:sz w:val="24"/>
          <w:szCs w:val="24"/>
          <w:highlight w:val="none"/>
          <w:lang w:val="en-US" w:eastAsia="zh-CN" w:bidi="ar-SA"/>
        </w:rPr>
        <w:t>3.1供应商具有独立承担民事责任的能力，提供统一社会信用代码的营业执照；</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3.2供应商须具备工程设计水利行业乙级(含乙级)以上资质或工程设计水利行业城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val="0"/>
          <w:kern w:val="2"/>
          <w:sz w:val="24"/>
          <w:szCs w:val="24"/>
          <w:highlight w:val="none"/>
          <w:lang w:val="en-US" w:eastAsia="zh-CN" w:bidi="ar-SA"/>
        </w:rPr>
      </w:pPr>
      <w:r>
        <w:rPr>
          <w:rFonts w:hint="eastAsia" w:ascii="宋体" w:hAnsi="宋体" w:eastAsia="宋体" w:cs="Times New Roman"/>
          <w:b w:val="0"/>
          <w:kern w:val="2"/>
          <w:sz w:val="24"/>
          <w:szCs w:val="24"/>
          <w:highlight w:val="none"/>
          <w:lang w:val="en-US" w:eastAsia="zh-CN" w:bidi="ar-SA"/>
        </w:rPr>
        <w:t>市防洪专业乙级(含乙级)以上资质，拟派项目负责人须具备相关专业中级（含中级）以上技术职称。</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3.3税收缴纳证明：提供2024年5月至今已缴纳的至少3个月的完税证明或纳税证明（任意税种），依法免税的单位应提供相关证明材料；</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3.4社会保障资金缴纳证明：提供2024年5月至今已缴存的至少3个月的社会保障资金缴存单据或社保机构开具的社会保险参保缴费情况证明，依法不需要缴纳社会保障资金的单位应提供相关证明材料；</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3.5财务状况报告：提供2023年度或2024年度经审计的财务报告或提供响应文件截止时间3个月内其基本账户开户银行出具的资信证明；</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3.6参加本次政府采购活动近三年内在经营活动中没有重大违纪的书面声明；</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3.7单位负责人为同一人或者存在直接控股、管理关系的不同投标人，不得参加同一合同项下的政府采购活动；</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3.8供应商不得为：“信用中国”网站（www.creditchina.gov.cn）中列入失信被执行人和重大税收违法失信主体的当事人，不得为中国政府采购网（www.ccgp.gov.cn）政府采购严重违法失信行为记录名单中被财政部门禁止参加政府采购活动的当事人，近三年（2022年6月1日至今）不得有行贿犯罪行为；</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3.9提供具有履行本项目合同所必需的技术设备和专业能力的承诺书。</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cs="Times New Roman"/>
          <w:b w:val="0"/>
          <w:kern w:val="2"/>
          <w:sz w:val="24"/>
          <w:szCs w:val="24"/>
          <w:highlight w:val="none"/>
          <w:lang w:val="en-US" w:eastAsia="zh-CN" w:bidi="ar-SA"/>
        </w:rPr>
        <w:t xml:space="preserve">     </w:t>
      </w:r>
      <w:r>
        <w:rPr>
          <w:rFonts w:hint="eastAsia" w:ascii="宋体" w:hAnsi="宋体" w:eastAsia="宋体" w:cs="Times New Roman"/>
          <w:b w:val="0"/>
          <w:kern w:val="2"/>
          <w:sz w:val="24"/>
          <w:szCs w:val="24"/>
          <w:highlight w:val="none"/>
          <w:lang w:val="en-US" w:eastAsia="zh-CN" w:bidi="ar-SA"/>
        </w:rPr>
        <w:t>4.0供应商应授权合法的人员参加投标全过程，其中法定代表人直接参加投标的，须出具法人身份证明，并与营业执照上信息一致，法定代表人授权代表参加投标的，须出具法定代表人授权书及授权代表身份证明。</w:t>
      </w:r>
    </w:p>
    <w:bookmarkEnd w:id="38"/>
    <w:p>
      <w:pPr>
        <w:autoSpaceDE w:val="0"/>
        <w:autoSpaceDN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3.1.4 根据政府采购的法律法规、规章和规范性文件的规定，供应商不得存在本章第1.3.2规定的情形。</w:t>
      </w:r>
    </w:p>
    <w:p>
      <w:pPr>
        <w:tabs>
          <w:tab w:val="left" w:pos="0"/>
        </w:tabs>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（12）资格审查小组将依据供应商响应文件之资格证明文件和通过国家企业信用信息公示系统（http://www.gsxt.gov.cn/index.html）对供应商之间存在隶属关系或者其他利害关系进行相关信息的核实。</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3.1.5 供应商根据采购项目的具体情况，在响应文件正本中应附一套完整的资格证明材料，缺少一项或某项达不到</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文件要求的按无效响应文件处理，复印件加盖供应商单位公章；响应文件副本可采用正本的复印件并加盖供应商单位公章。</w:t>
      </w:r>
    </w:p>
    <w:p>
      <w:pPr>
        <w:tabs>
          <w:tab w:val="left" w:pos="720"/>
        </w:tabs>
        <w:snapToGrid w:val="0"/>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w:t>
      </w:r>
      <w:r>
        <w:rPr>
          <w:rFonts w:hint="eastAsia" w:ascii="宋体" w:hAnsi="宋体" w:eastAsia="宋体" w:cs="宋体"/>
          <w:b/>
          <w:bCs/>
          <w:color w:val="auto"/>
          <w:sz w:val="24"/>
          <w:szCs w:val="24"/>
          <w:highlight w:val="none"/>
        </w:rPr>
        <w:t>授权委托</w:t>
      </w:r>
    </w:p>
    <w:p>
      <w:pPr>
        <w:pStyle w:val="17"/>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3.2.1供应商代表为法定代表人的，应持有法定代表人身份证明。供应商代表不是法定代表人的，应持有法定代表人授权委托书。</w:t>
      </w:r>
    </w:p>
    <w:p>
      <w:pPr>
        <w:pStyle w:val="17"/>
        <w:adjustRightInd w:val="0"/>
        <w:snapToGrid w:val="0"/>
        <w:spacing w:line="360" w:lineRule="auto"/>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kern w:val="0"/>
          <w:sz w:val="24"/>
          <w:szCs w:val="24"/>
          <w:highlight w:val="none"/>
        </w:rPr>
        <w:t>.2供应商应当委托本单位正式员工作为</w:t>
      </w:r>
      <w:r>
        <w:rPr>
          <w:rFonts w:hint="eastAsia"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代表，且</w:t>
      </w:r>
      <w:r>
        <w:rPr>
          <w:rFonts w:hint="eastAsia"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代表只能接受一个供应商的委托参加</w:t>
      </w:r>
      <w:r>
        <w:rPr>
          <w:rFonts w:hint="eastAsia"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w:t>
      </w:r>
    </w:p>
    <w:p>
      <w:pPr>
        <w:pStyle w:val="17"/>
        <w:adjustRightInd w:val="0"/>
        <w:snapToGrid w:val="0"/>
        <w:spacing w:before="120" w:beforeLines="50" w:after="120" w:afterLines="50" w:line="360" w:lineRule="auto"/>
        <w:ind w:left="-178" w:leftChars="-85" w:firstLine="176" w:firstLineChars="73"/>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业绩</w:t>
      </w:r>
    </w:p>
    <w:p>
      <w:pPr>
        <w:spacing w:line="360" w:lineRule="auto"/>
        <w:ind w:firstLine="470" w:firstLineChars="19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文件要求供应商提供同类项目业绩的，</w:t>
      </w:r>
      <w:r>
        <w:rPr>
          <w:rFonts w:hint="eastAsia" w:ascii="宋体" w:hAnsi="宋体" w:eastAsia="宋体" w:cs="宋体"/>
          <w:color w:val="auto"/>
          <w:sz w:val="24"/>
          <w:szCs w:val="24"/>
          <w:highlight w:val="none"/>
          <w:lang w:val="en-US" w:eastAsia="zh-CN"/>
        </w:rPr>
        <w:t>其企业业绩和项目负责人业绩不重复计算。</w:t>
      </w:r>
    </w:p>
    <w:bookmarkEnd w:id="28"/>
    <w:bookmarkEnd w:id="29"/>
    <w:bookmarkEnd w:id="30"/>
    <w:bookmarkEnd w:id="31"/>
    <w:bookmarkEnd w:id="32"/>
    <w:p>
      <w:pPr>
        <w:adjustRightInd w:val="0"/>
        <w:snapToGrid w:val="0"/>
        <w:spacing w:before="120" w:beforeLines="50" w:after="120" w:afterLines="50" w:line="360" w:lineRule="auto"/>
        <w:ind w:left="0" w:leftChars="0" w:firstLine="0" w:firstLineChars="0"/>
        <w:jc w:val="left"/>
        <w:rPr>
          <w:rFonts w:hint="eastAsia" w:ascii="宋体" w:hAnsi="宋体" w:eastAsia="宋体" w:cs="宋体"/>
          <w:b/>
          <w:color w:val="auto"/>
          <w:sz w:val="24"/>
          <w:szCs w:val="24"/>
          <w:highlight w:val="none"/>
        </w:rPr>
      </w:pPr>
      <w:bookmarkStart w:id="39" w:name="_Toc183582215"/>
      <w:bookmarkStart w:id="40" w:name="_Toc217446043"/>
      <w:bookmarkStart w:id="41" w:name="_Toc183682352"/>
      <w:r>
        <w:rPr>
          <w:rFonts w:hint="eastAsia" w:ascii="宋体" w:hAnsi="宋体" w:eastAsia="宋体" w:cs="宋体"/>
          <w:b/>
          <w:color w:val="auto"/>
          <w:sz w:val="24"/>
          <w:szCs w:val="24"/>
          <w:highlight w:val="none"/>
        </w:rPr>
        <w:t>3.4享受的政府采购政策</w:t>
      </w:r>
    </w:p>
    <w:p>
      <w:pPr>
        <w:pStyle w:val="17"/>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3.4.1 绿色发展政策</w:t>
      </w:r>
    </w:p>
    <w:p>
      <w:pPr>
        <w:pStyle w:val="17"/>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3.4.1.1 </w:t>
      </w:r>
      <w:r>
        <w:rPr>
          <w:rFonts w:hint="eastAsia" w:ascii="宋体" w:hAnsi="宋体" w:eastAsia="宋体" w:cs="宋体"/>
          <w:color w:val="auto"/>
          <w:sz w:val="24"/>
          <w:szCs w:val="24"/>
          <w:highlight w:val="none"/>
          <w:lang w:val="en-US" w:eastAsia="zh-CN"/>
        </w:rPr>
        <w:t>本项目不适用</w:t>
      </w:r>
      <w:r>
        <w:rPr>
          <w:rFonts w:hint="eastAsia" w:ascii="宋体" w:hAnsi="宋体" w:eastAsia="宋体" w:cs="宋体"/>
          <w:color w:val="auto"/>
          <w:sz w:val="24"/>
          <w:szCs w:val="24"/>
          <w:highlight w:val="none"/>
        </w:rPr>
        <w:t>。</w:t>
      </w:r>
    </w:p>
    <w:p>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3.4.2 中小企业发展政策</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2.1 投标人所投全部货物的制造商，依据《中小企业划型标准规定》（工信部联企业[2011]300号）的划分标准，都属于</w:t>
      </w:r>
      <w:r>
        <w:rPr>
          <w:rFonts w:hint="eastAsia" w:ascii="宋体" w:hAnsi="宋体" w:eastAsia="宋体" w:cs="宋体"/>
          <w:b/>
          <w:color w:val="auto"/>
          <w:sz w:val="24"/>
          <w:szCs w:val="24"/>
          <w:highlight w:val="none"/>
        </w:rPr>
        <w:t>小微</w:t>
      </w:r>
      <w:r>
        <w:rPr>
          <w:rFonts w:hint="eastAsia" w:ascii="宋体" w:hAnsi="宋体" w:eastAsia="宋体" w:cs="宋体"/>
          <w:color w:val="auto"/>
          <w:sz w:val="24"/>
          <w:szCs w:val="24"/>
          <w:highlight w:val="none"/>
        </w:rPr>
        <w:t>企业的，无论投标人本身是否属于中小企业，即可享受中小型企业发展扶持政策。</w:t>
      </w:r>
    </w:p>
    <w:p>
      <w:pPr>
        <w:pStyle w:val="17"/>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3.4.2.2供应商作为中小企业参加政府采购活动，应当提供《中小企业声明函》（见第七章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文件格式），不提供的在资格审查时不予通过，</w:t>
      </w:r>
      <w:r>
        <w:rPr>
          <w:rFonts w:hint="eastAsia" w:ascii="宋体" w:hAnsi="宋体" w:eastAsia="宋体" w:cs="宋体"/>
          <w:b/>
          <w:bCs/>
          <w:color w:val="auto"/>
          <w:sz w:val="24"/>
          <w:szCs w:val="24"/>
          <w:highlight w:val="none"/>
        </w:rPr>
        <w:t>其响应文件无效。</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依据《财政部、民政部、中国残疾人联合会关于促进残疾人就业政府采购政策的通知》（财库〔2017〕141号）之规定，残疾人福利性单位参加政府采购活动，视同小微企业。</w:t>
      </w:r>
    </w:p>
    <w:p>
      <w:pPr>
        <w:adjustRightInd w:val="0"/>
        <w:snapToGrid w:val="0"/>
        <w:spacing w:line="360" w:lineRule="auto"/>
        <w:ind w:firstLine="720" w:firstLineChars="3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供应商为残疾人福利性单位的，应当提供《残疾人福利性单位声明函》（见第七章响应文件格式），未提供的不视为小微企业，在资格审查时不予通过，</w:t>
      </w:r>
      <w:r>
        <w:rPr>
          <w:rFonts w:hint="eastAsia" w:ascii="宋体" w:hAnsi="宋体" w:eastAsia="宋体" w:cs="宋体"/>
          <w:b/>
          <w:bCs/>
          <w:color w:val="auto"/>
          <w:sz w:val="24"/>
          <w:szCs w:val="24"/>
          <w:highlight w:val="none"/>
        </w:rPr>
        <w:t xml:space="preserve">其响应文件无效。 </w:t>
      </w:r>
    </w:p>
    <w:p>
      <w:pPr>
        <w:pStyle w:val="17"/>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供应商为监狱企业的，应当提供由省级以上监狱管理局、戒毒管理局出具的属于</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监狱企业</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的证明文件，未提供或</w:t>
      </w:r>
      <w:r>
        <w:rPr>
          <w:rFonts w:hint="eastAsia" w:ascii="宋体" w:hAnsi="宋体" w:eastAsia="宋体" w:cs="宋体"/>
          <w:color w:val="auto"/>
          <w:kern w:val="0"/>
          <w:sz w:val="24"/>
          <w:szCs w:val="24"/>
          <w:highlight w:val="none"/>
        </w:rPr>
        <w:t>出具证明文件的单位不符合相关要求</w:t>
      </w:r>
      <w:r>
        <w:rPr>
          <w:rFonts w:hint="eastAsia" w:ascii="宋体" w:hAnsi="宋体" w:eastAsia="宋体" w:cs="宋体"/>
          <w:color w:val="auto"/>
          <w:sz w:val="24"/>
          <w:szCs w:val="24"/>
          <w:highlight w:val="none"/>
        </w:rPr>
        <w:t>的，不视为小微企业，在资格审查时不予通过，</w:t>
      </w:r>
      <w:r>
        <w:rPr>
          <w:rFonts w:hint="eastAsia" w:ascii="宋体" w:hAnsi="宋体" w:eastAsia="宋体" w:cs="宋体"/>
          <w:b/>
          <w:bCs/>
          <w:color w:val="auto"/>
          <w:sz w:val="24"/>
          <w:szCs w:val="24"/>
          <w:highlight w:val="none"/>
        </w:rPr>
        <w:t>其响应文件无效。</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投标人提供的《中小企业声明函》或者《残疾人福利性单位声明函》</w:t>
      </w:r>
      <w:r>
        <w:rPr>
          <w:rFonts w:hint="eastAsia" w:ascii="宋体" w:hAnsi="宋体" w:cs="宋体"/>
          <w:color w:val="auto"/>
          <w:sz w:val="24"/>
          <w:szCs w:val="24"/>
          <w:highlight w:val="none"/>
          <w:lang w:val="en-US" w:eastAsia="zh-CN"/>
        </w:rPr>
        <w:t>或者《监狱企业》</w:t>
      </w:r>
      <w:r>
        <w:rPr>
          <w:rFonts w:hint="eastAsia" w:ascii="宋体" w:hAnsi="宋体" w:eastAsia="宋体" w:cs="宋体"/>
          <w:color w:val="auto"/>
          <w:sz w:val="24"/>
          <w:szCs w:val="24"/>
          <w:highlight w:val="none"/>
        </w:rPr>
        <w:t>存在明显错误的，评标委员会可以按照第四章第1.3条款的规定，要求投标人作出澄清；澄清后，符合小微企业条件的，投标人可以</w:t>
      </w:r>
      <w:r>
        <w:rPr>
          <w:rFonts w:hint="eastAsia" w:ascii="宋体" w:hAnsi="宋体" w:cs="宋体"/>
          <w:color w:val="auto"/>
          <w:sz w:val="24"/>
          <w:szCs w:val="24"/>
          <w:highlight w:val="none"/>
          <w:lang w:val="en-US" w:eastAsia="zh-CN"/>
        </w:rPr>
        <w:t>继续参与后续评审，否则</w:t>
      </w:r>
      <w:r>
        <w:rPr>
          <w:rFonts w:hint="eastAsia" w:ascii="宋体" w:hAnsi="宋体" w:eastAsia="宋体" w:cs="宋体"/>
          <w:b/>
          <w:bCs/>
          <w:color w:val="auto"/>
          <w:sz w:val="24"/>
          <w:szCs w:val="24"/>
          <w:highlight w:val="none"/>
        </w:rPr>
        <w:t>其响应文件无效</w:t>
      </w:r>
      <w:r>
        <w:rPr>
          <w:rFonts w:hint="eastAsia" w:ascii="宋体" w:hAnsi="宋体" w:eastAsia="宋体" w:cs="宋体"/>
          <w:color w:val="auto"/>
          <w:sz w:val="24"/>
          <w:szCs w:val="24"/>
          <w:highlight w:val="none"/>
        </w:rPr>
        <w:t>。</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享受中小企业扶持政策的投标人可以同时享受节能产品、环境标志产品优先采购政策。</w:t>
      </w:r>
    </w:p>
    <w:p>
      <w:pPr>
        <w:adjustRightInd w:val="0"/>
        <w:snapToGrid w:val="0"/>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政府采购监督检查、投诉处理及政府采购行政处罚中对中小企业的认定，由货物制造商注册登记所在地的县级以上人民政府中小企业主管部门负责。</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3.5转包与分包</w:t>
      </w:r>
    </w:p>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本项目严禁采取转包</w:t>
      </w:r>
      <w:r>
        <w:rPr>
          <w:rFonts w:hint="eastAsia" w:ascii="宋体" w:hAnsi="宋体" w:eastAsia="宋体" w:cs="宋体"/>
          <w:color w:val="auto"/>
          <w:kern w:val="0"/>
          <w:sz w:val="24"/>
          <w:szCs w:val="24"/>
          <w:highlight w:val="none"/>
          <w:lang w:val="en-US" w:eastAsia="zh-CN"/>
        </w:rPr>
        <w:t>与分包</w:t>
      </w:r>
      <w:r>
        <w:rPr>
          <w:rFonts w:hint="eastAsia" w:ascii="宋体" w:hAnsi="宋体" w:eastAsia="宋体" w:cs="宋体"/>
          <w:color w:val="auto"/>
          <w:kern w:val="0"/>
          <w:sz w:val="24"/>
          <w:szCs w:val="24"/>
          <w:highlight w:val="none"/>
        </w:rPr>
        <w:t>方式履行合同。</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 供应商的风险</w:t>
      </w:r>
    </w:p>
    <w:p>
      <w:pPr>
        <w:tabs>
          <w:tab w:val="left" w:pos="7665"/>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供应商应认真阅读和充分理解</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文件中所有的事项、格式条款和规范要求，任何对</w:t>
      </w:r>
      <w:r>
        <w:rPr>
          <w:rFonts w:hint="eastAsia" w:ascii="宋体" w:hAnsi="宋体" w:cs="宋体"/>
          <w:bCs/>
          <w:color w:val="auto"/>
          <w:sz w:val="24"/>
          <w:szCs w:val="24"/>
          <w:highlight w:val="none"/>
          <w:lang w:eastAsia="zh-CN"/>
        </w:rPr>
        <w:t>磋商</w:t>
      </w:r>
      <w:r>
        <w:rPr>
          <w:rFonts w:hint="eastAsia" w:ascii="宋体" w:hAnsi="宋体" w:eastAsia="宋体" w:cs="宋体"/>
          <w:color w:val="auto"/>
          <w:sz w:val="24"/>
          <w:szCs w:val="24"/>
          <w:highlight w:val="none"/>
        </w:rPr>
        <w:t>文件的忽略或误解不能作为响应文件存在缺陷或瑕疵的理由；供应商</w:t>
      </w:r>
      <w:r>
        <w:rPr>
          <w:rFonts w:hint="eastAsia" w:ascii="宋体" w:hAnsi="宋体" w:eastAsia="宋体" w:cs="宋体"/>
          <w:color w:val="auto"/>
          <w:kern w:val="0"/>
          <w:sz w:val="24"/>
          <w:szCs w:val="24"/>
          <w:highlight w:val="none"/>
        </w:rPr>
        <w:t>没有按照</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文件要求提供全部资料，</w:t>
      </w:r>
      <w:r>
        <w:rPr>
          <w:rFonts w:hint="eastAsia" w:ascii="宋体" w:hAnsi="宋体" w:eastAsia="宋体" w:cs="宋体"/>
          <w:color w:val="auto"/>
          <w:sz w:val="24"/>
          <w:szCs w:val="24"/>
          <w:highlight w:val="none"/>
        </w:rPr>
        <w:t>或对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文件未全面做出实质性响应是供应商的风险，</w:t>
      </w:r>
      <w:r>
        <w:rPr>
          <w:rFonts w:hint="eastAsia" w:ascii="宋体" w:hAnsi="宋体" w:eastAsia="宋体" w:cs="宋体"/>
          <w:color w:val="auto"/>
          <w:kern w:val="0"/>
          <w:sz w:val="24"/>
          <w:szCs w:val="24"/>
          <w:highlight w:val="none"/>
        </w:rPr>
        <w:t>并可能导致其响应文件被拒绝。</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3.7供应商的纪律要求</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有下列情形之一的，属于不合格供应商，其</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或成交资格将被取消：</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（1）提供虚假材料谋取成交；</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（2）提供假冒伪劣产品；</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（3）采取不正当手段诋毁、排挤其他供应商；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（4）与采购人、采购代理机构、其他供应商恶意串通；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小组成员行贿或者提供其他不正当利益；</w:t>
      </w:r>
    </w:p>
    <w:p>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（7）法律法规规定的其他情形。</w:t>
      </w:r>
    </w:p>
    <w:p>
      <w:pPr>
        <w:tabs>
          <w:tab w:val="left" w:pos="7665"/>
        </w:tabs>
        <w:spacing w:before="120" w:beforeLines="50" w:after="120" w:afterLines="50"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4. 响应文件</w:t>
      </w:r>
    </w:p>
    <w:p>
      <w:pPr>
        <w:snapToGrid w:val="0"/>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4.1响应文件的编制要求</w:t>
      </w:r>
    </w:p>
    <w:p>
      <w:pPr>
        <w:snapToGrid w:val="0"/>
        <w:spacing w:line="360" w:lineRule="auto"/>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4.1.1供应商应当仔细阅读</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文件的所有事项、格式、条件和要求，并按</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文件要求编制响应文件。响应文件应当对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文件提出的要求和条件作出明确响应，在满足</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文件实质性要求的基础上，可以提出比</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文件要求更有利于采购人的承诺。若本项目分</w:t>
      </w:r>
      <w:r>
        <w:rPr>
          <w:rFonts w:hint="eastAsia" w:ascii="宋体" w:hAnsi="宋体" w:cs="宋体"/>
          <w:color w:val="auto"/>
          <w:sz w:val="24"/>
          <w:szCs w:val="24"/>
          <w:highlight w:val="none"/>
          <w:lang w:val="en-US" w:eastAsia="zh-CN"/>
        </w:rPr>
        <w:t>包</w:t>
      </w:r>
      <w:r>
        <w:rPr>
          <w:rFonts w:hint="eastAsia" w:ascii="宋体" w:hAnsi="宋体" w:eastAsia="宋体" w:cs="宋体"/>
          <w:color w:val="auto"/>
          <w:sz w:val="24"/>
          <w:szCs w:val="24"/>
          <w:highlight w:val="none"/>
        </w:rPr>
        <w:t>段的，应当以</w:t>
      </w:r>
      <w:r>
        <w:rPr>
          <w:rFonts w:hint="eastAsia" w:ascii="宋体" w:hAnsi="宋体" w:cs="宋体"/>
          <w:color w:val="auto"/>
          <w:sz w:val="24"/>
          <w:szCs w:val="24"/>
          <w:highlight w:val="none"/>
          <w:lang w:val="en-US" w:eastAsia="zh-CN"/>
        </w:rPr>
        <w:t>包</w:t>
      </w:r>
      <w:r>
        <w:rPr>
          <w:rFonts w:hint="eastAsia" w:ascii="宋体" w:hAnsi="宋体" w:eastAsia="宋体" w:cs="宋体"/>
          <w:color w:val="auto"/>
          <w:sz w:val="24"/>
          <w:szCs w:val="24"/>
          <w:highlight w:val="none"/>
        </w:rPr>
        <w:t>段为单位响应，不得在其中选项投标或将其中内容再行分解，否则</w:t>
      </w:r>
      <w:r>
        <w:rPr>
          <w:rFonts w:hint="eastAsia" w:ascii="宋体" w:hAnsi="宋体" w:eastAsia="宋体" w:cs="宋体"/>
          <w:b/>
          <w:color w:val="auto"/>
          <w:sz w:val="24"/>
          <w:szCs w:val="24"/>
          <w:highlight w:val="none"/>
        </w:rPr>
        <w:t>响应文件无效</w:t>
      </w:r>
      <w:r>
        <w:rPr>
          <w:rFonts w:hint="eastAsia" w:ascii="宋体" w:hAnsi="宋体" w:eastAsia="宋体" w:cs="宋体"/>
          <w:color w:val="auto"/>
          <w:sz w:val="24"/>
          <w:szCs w:val="24"/>
          <w:highlight w:val="none"/>
        </w:rPr>
        <w:t>。</w:t>
      </w:r>
    </w:p>
    <w:p>
      <w:pPr>
        <w:tabs>
          <w:tab w:val="left" w:pos="720"/>
        </w:tabs>
        <w:snapToGrid w:val="0"/>
        <w:spacing w:line="360" w:lineRule="auto"/>
        <w:ind w:firstLine="600" w:firstLineChars="2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4.1.2 真实性原则</w:t>
      </w:r>
    </w:p>
    <w:p>
      <w:pPr>
        <w:tabs>
          <w:tab w:val="left" w:pos="720"/>
        </w:tabs>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 供应商应保证所提供的响应文件和所有资料的真实性、准确性和完整性。</w:t>
      </w:r>
    </w:p>
    <w:p>
      <w:pPr>
        <w:tabs>
          <w:tab w:val="left" w:pos="720"/>
        </w:tabs>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 供应商被认定为在政府采购活动中提供不真实材料的，无论其材料是否重要，采购人均有权拒绝，并取消其</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或成交资格，供应商需承担相应的法律后果。</w:t>
      </w:r>
    </w:p>
    <w:p>
      <w:pPr>
        <w:tabs>
          <w:tab w:val="left" w:pos="720"/>
        </w:tabs>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4.1.3 报价使用货币</w:t>
      </w:r>
    </w:p>
    <w:p>
      <w:pPr>
        <w:tabs>
          <w:tab w:val="left" w:pos="720"/>
        </w:tabs>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本项目的报价均以人民币报价。</w:t>
      </w:r>
    </w:p>
    <w:p>
      <w:pPr>
        <w:tabs>
          <w:tab w:val="left" w:pos="720"/>
        </w:tabs>
        <w:snapToGrid w:val="0"/>
        <w:spacing w:line="360" w:lineRule="auto"/>
        <w:ind w:firstLine="484" w:firstLineChars="20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4.1.4 响应文件形式</w:t>
      </w:r>
    </w:p>
    <w:p>
      <w:pPr>
        <w:pStyle w:val="17"/>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本项目响应文件应采用书面文件形式，电报、传真、电子邮件形式的响应文件不予接受。</w:t>
      </w:r>
    </w:p>
    <w:p>
      <w:pPr>
        <w:tabs>
          <w:tab w:val="left" w:pos="720"/>
        </w:tabs>
        <w:snapToGrid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4.1.5 备选方案</w:t>
      </w:r>
    </w:p>
    <w:p>
      <w:pPr>
        <w:tabs>
          <w:tab w:val="left" w:pos="72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4.1.5.1 除供应商须知前附表规定允许外，供应商不得递交备选响应方案，响应文件的报价只允许有一个报价，不接受具有附加条件的报价，否则，视为</w:t>
      </w:r>
      <w:r>
        <w:rPr>
          <w:rFonts w:hint="eastAsia" w:ascii="宋体" w:hAnsi="宋体" w:eastAsia="宋体" w:cs="宋体"/>
          <w:b/>
          <w:color w:val="auto"/>
          <w:sz w:val="24"/>
          <w:szCs w:val="24"/>
          <w:highlight w:val="none"/>
        </w:rPr>
        <w:t>无效响应文件</w:t>
      </w:r>
      <w:r>
        <w:rPr>
          <w:rFonts w:hint="eastAsia" w:ascii="宋体" w:hAnsi="宋体" w:eastAsia="宋体" w:cs="宋体"/>
          <w:color w:val="auto"/>
          <w:sz w:val="24"/>
          <w:szCs w:val="24"/>
          <w:highlight w:val="none"/>
        </w:rPr>
        <w:t>。</w:t>
      </w:r>
    </w:p>
    <w:p>
      <w:pPr>
        <w:tabs>
          <w:tab w:val="left" w:pos="720"/>
        </w:tabs>
        <w:snapToGrid w:val="0"/>
        <w:spacing w:before="120" w:beforeLines="50" w:after="120" w:afterLines="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 响应文件的组成</w:t>
      </w:r>
    </w:p>
    <w:p>
      <w:pPr>
        <w:spacing w:line="36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第一部分、资格证明文件</w:t>
      </w:r>
      <w:r>
        <w:rPr>
          <w:rFonts w:hint="eastAsia" w:ascii="宋体" w:hAnsi="宋体" w:cs="宋体"/>
          <w:color w:val="auto"/>
          <w:sz w:val="24"/>
          <w:szCs w:val="24"/>
          <w:highlight w:val="none"/>
          <w:lang w:val="en-US" w:eastAsia="zh-CN"/>
        </w:rPr>
        <w:t>：</w:t>
      </w:r>
    </w:p>
    <w:p>
      <w:pPr>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1、营业执照等资格证明文件内容</w:t>
      </w:r>
    </w:p>
    <w:p>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第二部分、符合性证明文件</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响应函</w:t>
      </w:r>
    </w:p>
    <w:p>
      <w:pPr>
        <w:spacing w:line="360" w:lineRule="auto"/>
        <w:ind w:firstLine="470" w:firstLineChars="19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2、第一次磋商报价表</w:t>
      </w:r>
    </w:p>
    <w:p>
      <w:pPr>
        <w:spacing w:line="360" w:lineRule="auto"/>
        <w:ind w:firstLine="470" w:firstLineChars="19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供应商承诺书</w:t>
      </w:r>
    </w:p>
    <w:p>
      <w:pPr>
        <w:spacing w:line="360" w:lineRule="auto"/>
        <w:ind w:firstLine="470" w:firstLineChars="19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4、磋商声明书</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技术服务偏离表</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6、商务与</w:t>
      </w:r>
      <w:r>
        <w:rPr>
          <w:rFonts w:hint="eastAsia" w:ascii="宋体" w:hAnsi="宋体" w:eastAsia="宋体" w:cs="宋体"/>
          <w:color w:val="auto"/>
          <w:sz w:val="24"/>
          <w:szCs w:val="24"/>
          <w:highlight w:val="none"/>
        </w:rPr>
        <w:t>合同条款偏离表</w:t>
      </w:r>
    </w:p>
    <w:p>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第三部分、响应</w:t>
      </w:r>
      <w:r>
        <w:rPr>
          <w:rFonts w:hint="eastAsia" w:ascii="宋体" w:hAnsi="宋体" w:cs="宋体"/>
          <w:color w:val="auto"/>
          <w:sz w:val="24"/>
          <w:szCs w:val="24"/>
          <w:highlight w:val="none"/>
          <w:lang w:val="en-US" w:eastAsia="zh-CN"/>
        </w:rPr>
        <w:t>方案</w:t>
      </w:r>
    </w:p>
    <w:p>
      <w:pPr>
        <w:spacing w:line="360" w:lineRule="auto"/>
        <w:ind w:firstLine="470" w:firstLineChars="19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服务方案</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2、项目管理机构</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3、享受政府采购优惠政策的证明材料</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4、供应商需要补充说明的事宜</w:t>
      </w:r>
    </w:p>
    <w:p>
      <w:pPr>
        <w:tabs>
          <w:tab w:val="left" w:pos="720"/>
        </w:tabs>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报价</w:t>
      </w:r>
    </w:p>
    <w:bookmarkEnd w:id="39"/>
    <w:bookmarkEnd w:id="40"/>
    <w:bookmarkEnd w:id="41"/>
    <w:p>
      <w:pPr>
        <w:spacing w:line="360" w:lineRule="auto"/>
        <w:ind w:firstLine="470" w:firstLineChars="196"/>
        <w:rPr>
          <w:rFonts w:hint="eastAsia" w:ascii="宋体" w:hAnsi="宋体"/>
          <w:sz w:val="24"/>
          <w:szCs w:val="24"/>
          <w:highlight w:val="none"/>
        </w:rPr>
      </w:pPr>
      <w:r>
        <w:rPr>
          <w:rFonts w:hint="eastAsia" w:ascii="宋体" w:hAnsi="宋体"/>
          <w:sz w:val="24"/>
          <w:szCs w:val="24"/>
          <w:highlight w:val="none"/>
        </w:rPr>
        <w:t xml:space="preserve">4.3.1 </w:t>
      </w:r>
      <w:r>
        <w:rPr>
          <w:rFonts w:hint="eastAsia" w:ascii="宋体" w:hAnsi="宋体"/>
          <w:bCs/>
          <w:sz w:val="24"/>
          <w:szCs w:val="24"/>
          <w:highlight w:val="none"/>
        </w:rPr>
        <w:t>供应商应当</w:t>
      </w:r>
      <w:r>
        <w:rPr>
          <w:rFonts w:hint="eastAsia" w:ascii="宋体" w:hAnsi="宋体"/>
          <w:sz w:val="24"/>
          <w:szCs w:val="24"/>
          <w:highlight w:val="none"/>
        </w:rPr>
        <w:t>按照磋商文件要求进行磋商报价，并充分了解本采购项目的总体情况以及影响磋商报价的其他要素。</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4.3.2供应商的磋商报价是供应商响应磋商项目要求的全部工作内容的价格体现，包括供应商完成本项目所需</w:t>
      </w:r>
      <w:r>
        <w:rPr>
          <w:rFonts w:hint="eastAsia" w:ascii="宋体" w:hAnsi="宋体"/>
          <w:color w:val="auto"/>
          <w:sz w:val="24"/>
          <w:szCs w:val="24"/>
          <w:highlight w:val="none"/>
        </w:rPr>
        <w:t>的直接费、间接费、利润、税金及其它相关的一切费用。包括但不限于：</w:t>
      </w:r>
      <w:r>
        <w:rPr>
          <w:rFonts w:hint="eastAsia" w:ascii="宋体" w:hAnsi="宋体"/>
          <w:sz w:val="24"/>
          <w:szCs w:val="24"/>
          <w:highlight w:val="none"/>
        </w:rPr>
        <w:t>人工费、设备费、管理费、验收费、</w:t>
      </w:r>
      <w:r>
        <w:rPr>
          <w:rFonts w:hint="eastAsia" w:ascii="宋体" w:hAnsi="宋体"/>
          <w:color w:val="000000"/>
          <w:sz w:val="24"/>
          <w:szCs w:val="24"/>
          <w:highlight w:val="none"/>
        </w:rPr>
        <w:t>采购代理服务费</w:t>
      </w:r>
      <w:r>
        <w:rPr>
          <w:rFonts w:hint="eastAsia" w:ascii="宋体" w:hAnsi="宋体"/>
          <w:sz w:val="24"/>
          <w:szCs w:val="24"/>
          <w:highlight w:val="none"/>
        </w:rPr>
        <w:t>、利润和税金等全部费用。在提供服务的过程中的任何遗漏，均由成交供应商免费提供，采购人将不再支付任何费用。</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4.3.3 </w:t>
      </w:r>
      <w:r>
        <w:rPr>
          <w:rFonts w:hint="eastAsia" w:ascii="宋体" w:hAnsi="宋体"/>
          <w:b/>
          <w:sz w:val="24"/>
          <w:szCs w:val="24"/>
          <w:highlight w:val="none"/>
        </w:rPr>
        <w:t>本项目将根据磋商的具体情况来确定磋商轮次，最终一轮磋商报价为最后报价</w:t>
      </w:r>
      <w:r>
        <w:rPr>
          <w:rFonts w:hint="eastAsia" w:ascii="宋体" w:hAnsi="宋体"/>
          <w:sz w:val="24"/>
          <w:szCs w:val="24"/>
          <w:highlight w:val="none"/>
        </w:rPr>
        <w:t>。</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4.3.4供应商的各轮次磋商报价不得超过供应商须知前附表规定的预算金额，否则，作为不实质性响应磋商文件，按</w:t>
      </w:r>
      <w:r>
        <w:rPr>
          <w:rFonts w:hint="eastAsia" w:ascii="宋体" w:hAnsi="宋体"/>
          <w:b/>
          <w:sz w:val="24"/>
          <w:szCs w:val="24"/>
          <w:highlight w:val="none"/>
        </w:rPr>
        <w:t>无效响应文件</w:t>
      </w:r>
      <w:r>
        <w:rPr>
          <w:rFonts w:hint="eastAsia" w:ascii="宋体" w:hAnsi="宋体"/>
          <w:sz w:val="24"/>
          <w:szCs w:val="24"/>
          <w:highlight w:val="none"/>
        </w:rPr>
        <w:t>处理；供应商须知前附表设定了最高限价的，供应商的各轮次磋商报价也不得超过最高限价，否则，作为不实质性响应磋商文件，按</w:t>
      </w:r>
      <w:r>
        <w:rPr>
          <w:rFonts w:hint="eastAsia" w:ascii="宋体" w:hAnsi="宋体"/>
          <w:b/>
          <w:sz w:val="24"/>
          <w:szCs w:val="24"/>
          <w:highlight w:val="none"/>
        </w:rPr>
        <w:t>无效响应文件</w:t>
      </w:r>
      <w:r>
        <w:rPr>
          <w:rFonts w:hint="eastAsia" w:ascii="宋体" w:hAnsi="宋体"/>
          <w:sz w:val="24"/>
          <w:szCs w:val="24"/>
          <w:highlight w:val="none"/>
        </w:rPr>
        <w:t>处理。</w:t>
      </w:r>
    </w:p>
    <w:p>
      <w:pPr>
        <w:adjustRightInd w:val="0"/>
        <w:snapToGrid w:val="0"/>
        <w:spacing w:line="360" w:lineRule="auto"/>
        <w:ind w:firstLine="480" w:firstLineChars="200"/>
        <w:rPr>
          <w:rFonts w:ascii="宋体" w:hAnsi="宋体" w:cs="宋体"/>
          <w:color w:val="666666"/>
          <w:kern w:val="0"/>
          <w:sz w:val="24"/>
          <w:szCs w:val="24"/>
          <w:highlight w:val="none"/>
        </w:rPr>
      </w:pPr>
      <w:r>
        <w:rPr>
          <w:rFonts w:hint="eastAsia" w:ascii="宋体" w:hAnsi="宋体"/>
          <w:sz w:val="24"/>
          <w:szCs w:val="24"/>
          <w:highlight w:val="none"/>
        </w:rPr>
        <w:t>4.3.5 供应商</w:t>
      </w:r>
      <w:r>
        <w:rPr>
          <w:rFonts w:hint="eastAsia" w:ascii="宋体" w:hAnsi="宋体" w:cs="宋体"/>
          <w:color w:val="000000"/>
          <w:kern w:val="0"/>
          <w:sz w:val="24"/>
          <w:szCs w:val="24"/>
          <w:highlight w:val="none"/>
        </w:rPr>
        <w:t>应按</w:t>
      </w:r>
      <w:r>
        <w:rPr>
          <w:rFonts w:hint="eastAsia" w:ascii="宋体" w:hAnsi="宋体"/>
          <w:sz w:val="24"/>
          <w:szCs w:val="24"/>
          <w:highlight w:val="none"/>
        </w:rPr>
        <w:t>“磋商报价一览表”</w:t>
      </w:r>
      <w:r>
        <w:rPr>
          <w:rFonts w:hint="eastAsia" w:ascii="宋体" w:hAnsi="宋体" w:cs="宋体"/>
          <w:color w:val="000000"/>
          <w:kern w:val="0"/>
          <w:sz w:val="24"/>
          <w:szCs w:val="24"/>
          <w:highlight w:val="none"/>
        </w:rPr>
        <w:t>的内容</w:t>
      </w:r>
      <w:r>
        <w:rPr>
          <w:rFonts w:hint="eastAsia" w:ascii="宋体" w:hAnsi="宋体"/>
          <w:sz w:val="24"/>
          <w:szCs w:val="24"/>
          <w:highlight w:val="none"/>
        </w:rPr>
        <w:t>和格式要求填写总价。磋商报价为各分项报价金额之和。磋商报价与分项报价</w:t>
      </w:r>
      <w:r>
        <w:rPr>
          <w:rFonts w:hint="eastAsia" w:ascii="宋体" w:hAnsi="宋体"/>
          <w:sz w:val="24"/>
          <w:szCs w:val="24"/>
          <w:highlight w:val="none"/>
          <w:lang w:eastAsia="zh-CN"/>
        </w:rPr>
        <w:t>（</w:t>
      </w:r>
      <w:r>
        <w:rPr>
          <w:rFonts w:hint="eastAsia" w:ascii="宋体" w:hAnsi="宋体"/>
          <w:sz w:val="24"/>
          <w:szCs w:val="24"/>
          <w:highlight w:val="none"/>
          <w:lang w:val="en-US" w:eastAsia="zh-CN"/>
        </w:rPr>
        <w:t>若有</w:t>
      </w:r>
      <w:r>
        <w:rPr>
          <w:rFonts w:hint="eastAsia" w:ascii="宋体" w:hAnsi="宋体"/>
          <w:sz w:val="24"/>
          <w:szCs w:val="24"/>
          <w:highlight w:val="none"/>
          <w:lang w:eastAsia="zh-CN"/>
        </w:rPr>
        <w:t>）</w:t>
      </w:r>
      <w:r>
        <w:rPr>
          <w:rFonts w:hint="eastAsia" w:ascii="宋体" w:hAnsi="宋体"/>
          <w:sz w:val="24"/>
          <w:szCs w:val="24"/>
          <w:highlight w:val="none"/>
        </w:rPr>
        <w:t>的合价不一致的，应以各分项合价累计数为准，修正磋商报价；如分项报价中存在遗漏项，视为缺项价格已包含在其他分项报价之中。</w:t>
      </w:r>
    </w:p>
    <w:p>
      <w:pPr>
        <w:widowControl/>
        <w:spacing w:line="360" w:lineRule="auto"/>
        <w:ind w:left="239" w:leftChars="114" w:firstLine="240" w:firstLineChars="100"/>
        <w:rPr>
          <w:rFonts w:hint="eastAsia" w:ascii="宋体" w:hAnsi="宋体" w:cs="宋体"/>
          <w:b/>
          <w:kern w:val="0"/>
          <w:sz w:val="24"/>
          <w:szCs w:val="24"/>
          <w:highlight w:val="none"/>
        </w:rPr>
      </w:pPr>
      <w:r>
        <w:rPr>
          <w:rFonts w:hint="eastAsia" w:ascii="宋体" w:hAnsi="宋体" w:cs="宋体"/>
          <w:kern w:val="0"/>
          <w:sz w:val="24"/>
          <w:szCs w:val="24"/>
          <w:highlight w:val="none"/>
        </w:rPr>
        <w:t xml:space="preserve">4.3.6 </w:t>
      </w:r>
      <w:r>
        <w:rPr>
          <w:rFonts w:hint="eastAsia" w:ascii="宋体" w:hAnsi="宋体" w:cs="宋体"/>
          <w:b/>
          <w:kern w:val="0"/>
          <w:sz w:val="24"/>
          <w:szCs w:val="24"/>
          <w:highlight w:val="none"/>
        </w:rPr>
        <w:t>供应商除首次磋商报价外，其余轮次报价只报总价，不报分项价格，</w:t>
      </w:r>
    </w:p>
    <w:p>
      <w:pPr>
        <w:widowControl/>
        <w:spacing w:line="360" w:lineRule="auto"/>
        <w:ind w:left="239" w:leftChars="114" w:firstLine="480" w:firstLineChars="200"/>
        <w:rPr>
          <w:rFonts w:hint="eastAsia" w:ascii="宋体" w:hAnsi="宋体" w:eastAsia="宋体"/>
          <w:sz w:val="24"/>
          <w:szCs w:val="24"/>
          <w:highlight w:val="none"/>
          <w:lang w:eastAsia="zh-CN"/>
        </w:rPr>
      </w:pPr>
      <w:r>
        <w:rPr>
          <w:rFonts w:hint="eastAsia" w:ascii="宋体" w:hAnsi="宋体" w:cs="宋体"/>
          <w:kern w:val="0"/>
          <w:sz w:val="24"/>
          <w:szCs w:val="24"/>
          <w:highlight w:val="none"/>
        </w:rPr>
        <w:t>由供应商法定代表人签名或者委托代理人签名或者加盖单位章确认。由委托代理人签名的，应附法人代表授权委托书；</w:t>
      </w:r>
      <w:r>
        <w:rPr>
          <w:rFonts w:hint="eastAsia" w:ascii="宋体" w:hAnsi="宋体" w:cs="Arial"/>
          <w:color w:val="000000"/>
          <w:kern w:val="0"/>
          <w:sz w:val="24"/>
          <w:szCs w:val="24"/>
          <w:highlight w:val="none"/>
        </w:rPr>
        <w:t>供应商为自然人的，应当由本人签名。</w:t>
      </w:r>
      <w:r>
        <w:rPr>
          <w:rFonts w:hint="eastAsia" w:ascii="宋体" w:hAnsi="宋体" w:eastAsia="宋体" w:cs="Times New Roman"/>
          <w:b/>
          <w:bCs/>
          <w:sz w:val="24"/>
          <w:szCs w:val="24"/>
          <w:highlight w:val="none"/>
          <w:lang w:eastAsia="zh-CN"/>
        </w:rPr>
        <w:t>（</w:t>
      </w:r>
      <w:r>
        <w:rPr>
          <w:rFonts w:hint="eastAsia" w:ascii="宋体" w:hAnsi="宋体" w:eastAsia="宋体" w:cs="宋体"/>
          <w:b/>
          <w:bCs/>
          <w:color w:val="auto"/>
          <w:kern w:val="0"/>
          <w:sz w:val="24"/>
          <w:szCs w:val="24"/>
          <w:highlight w:val="none"/>
          <w:u w:val="single"/>
        </w:rPr>
        <w:t>最后报价</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lang w:val="en-US" w:eastAsia="zh-CN"/>
        </w:rPr>
        <w:t>不见面开标，线上进行</w:t>
      </w:r>
      <w:r>
        <w:rPr>
          <w:rFonts w:hint="eastAsia" w:ascii="宋体" w:hAnsi="宋体" w:eastAsia="宋体" w:cs="宋体"/>
          <w:b/>
          <w:bCs/>
          <w:color w:val="auto"/>
          <w:kern w:val="0"/>
          <w:sz w:val="24"/>
          <w:szCs w:val="24"/>
          <w:highlight w:val="none"/>
          <w:u w:val="single"/>
        </w:rPr>
        <w:t>最后</w:t>
      </w:r>
      <w:r>
        <w:rPr>
          <w:rFonts w:hint="eastAsia" w:ascii="宋体" w:hAnsi="宋体" w:eastAsia="宋体" w:cs="宋体"/>
          <w:b/>
          <w:bCs/>
          <w:color w:val="auto"/>
          <w:kern w:val="0"/>
          <w:sz w:val="24"/>
          <w:szCs w:val="24"/>
          <w:highlight w:val="none"/>
          <w:u w:val="single"/>
          <w:lang w:val="en-US" w:eastAsia="zh-CN"/>
        </w:rPr>
        <w:t>报价</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Times New Roman"/>
          <w:b/>
          <w:bCs/>
          <w:sz w:val="24"/>
          <w:szCs w:val="24"/>
          <w:highlight w:val="none"/>
          <w:lang w:eastAsia="zh-CN"/>
        </w:rPr>
        <w:t>）</w:t>
      </w:r>
    </w:p>
    <w:p>
      <w:pPr>
        <w:pStyle w:val="17"/>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4.3.7 最后报价</w:t>
      </w:r>
    </w:p>
    <w:p>
      <w:pPr>
        <w:pStyle w:val="17"/>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4.3.7.1供应商须知前附表规定固定总价合同形式的，即采用固定总价（一次性包死）结算方式。最后报价在合同执行过程中是固定不变的，不得以任何理由予以变更。任何有选择或可调整的报价将不予接受，并按</w:t>
      </w:r>
      <w:r>
        <w:rPr>
          <w:rFonts w:hint="eastAsia" w:ascii="宋体" w:hAnsi="宋体" w:eastAsia="宋体" w:cs="宋体"/>
          <w:b/>
          <w:color w:val="auto"/>
          <w:sz w:val="24"/>
          <w:szCs w:val="24"/>
          <w:highlight w:val="none"/>
        </w:rPr>
        <w:t>无效响应文件</w:t>
      </w:r>
      <w:r>
        <w:rPr>
          <w:rFonts w:hint="eastAsia" w:ascii="宋体" w:hAnsi="宋体" w:eastAsia="宋体" w:cs="宋体"/>
          <w:color w:val="auto"/>
          <w:sz w:val="24"/>
          <w:szCs w:val="24"/>
          <w:highlight w:val="none"/>
        </w:rPr>
        <w:t>处理。成交后供应商不得擅自改变</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范围内容、质量标准、</w:t>
      </w:r>
      <w:r>
        <w:rPr>
          <w:rFonts w:hint="eastAsia"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和追加项目预算。</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4.3.7.2</w:t>
      </w:r>
      <w:r>
        <w:rPr>
          <w:rFonts w:hint="eastAsia" w:ascii="宋体" w:hAnsi="宋体" w:eastAsia="宋体" w:cs="宋体"/>
          <w:color w:val="auto"/>
          <w:kern w:val="2"/>
          <w:sz w:val="24"/>
          <w:szCs w:val="24"/>
          <w:highlight w:val="none"/>
          <w:lang w:val="en-US" w:eastAsia="zh-CN" w:bidi="ar-SA"/>
        </w:rPr>
        <w:t>供应商须知前附表规定固定单价合同形式的，即本工程项目采用综合单价据实结算方式。除国家规定不可调整外，其余按降价比例(最后报价/首次报价)进行综合单价调整，调整后价格作为工程变更及竣工结算的依据，在合同执行过程中是固定不变的，不得以任何理由予以变更。以可变动价格提交的报价将被认为是非实质响应而被拒绝。成交后供应商不得擅自改变工程范围内容、质量标准和工期。</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color w:val="auto"/>
          <w:kern w:val="2"/>
          <w:sz w:val="24"/>
          <w:szCs w:val="24"/>
          <w:highlight w:val="none"/>
          <w:lang w:val="en-US" w:eastAsia="zh-CN" w:bidi="ar-SA"/>
        </w:rPr>
        <w:t>4.3.7.3</w:t>
      </w:r>
      <w:r>
        <w:rPr>
          <w:rFonts w:hint="eastAsia" w:ascii="宋体" w:hAnsi="宋体" w:eastAsia="宋体" w:cs="宋体"/>
          <w:color w:val="auto"/>
          <w:kern w:val="2"/>
          <w:sz w:val="24"/>
          <w:szCs w:val="24"/>
          <w:highlight w:val="none"/>
          <w:lang w:val="en-US" w:eastAsia="zh-CN" w:bidi="ar-SA"/>
        </w:rPr>
        <w:t>采购人不接受供应商给予的赠品、回扣或者与采购无关的其他商品、服务。如有赠与行为，其响应文件无效。</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有效期</w:t>
      </w:r>
    </w:p>
    <w:p>
      <w:pPr>
        <w:tabs>
          <w:tab w:val="left" w:pos="7665"/>
        </w:tabs>
        <w:spacing w:line="360" w:lineRule="auto"/>
        <w:ind w:left="13" w:leftChars="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有效期见供应商须知前附表。在此期间响应文件对供应商具有法律约束力，从供应商须知前附表规定的</w:t>
      </w:r>
      <w:r>
        <w:rPr>
          <w:rFonts w:hint="eastAsia" w:ascii="宋体" w:hAnsi="宋体" w:eastAsia="宋体" w:cs="宋体"/>
          <w:color w:val="auto"/>
          <w:kern w:val="0"/>
          <w:sz w:val="24"/>
          <w:szCs w:val="24"/>
          <w:highlight w:val="none"/>
        </w:rPr>
        <w:t>提交响应文件截止时间</w:t>
      </w:r>
      <w:r>
        <w:rPr>
          <w:rFonts w:hint="eastAsia" w:ascii="宋体" w:hAnsi="宋体" w:eastAsia="宋体" w:cs="宋体"/>
          <w:color w:val="auto"/>
          <w:sz w:val="24"/>
          <w:szCs w:val="24"/>
          <w:highlight w:val="none"/>
        </w:rPr>
        <w:t>之日起计算。响应文件中必须载明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有效期，载明的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有效期可以长于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文件规定的期限，但不得短于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文件规定的期限，否则，属于非实质性响应，将按</w:t>
      </w:r>
      <w:r>
        <w:rPr>
          <w:rFonts w:hint="eastAsia" w:ascii="宋体" w:hAnsi="宋体" w:eastAsia="宋体" w:cs="宋体"/>
          <w:b/>
          <w:color w:val="auto"/>
          <w:sz w:val="24"/>
          <w:szCs w:val="24"/>
          <w:highlight w:val="none"/>
        </w:rPr>
        <w:t>无效响应文件</w:t>
      </w:r>
      <w:r>
        <w:rPr>
          <w:rFonts w:hint="eastAsia" w:ascii="宋体" w:hAnsi="宋体" w:eastAsia="宋体" w:cs="宋体"/>
          <w:color w:val="auto"/>
          <w:sz w:val="24"/>
          <w:szCs w:val="24"/>
          <w:highlight w:val="none"/>
        </w:rPr>
        <w:t>处理。</w:t>
      </w:r>
    </w:p>
    <w:p>
      <w:pPr>
        <w:tabs>
          <w:tab w:val="left" w:pos="7665"/>
        </w:tabs>
        <w:spacing w:line="360" w:lineRule="auto"/>
        <w:ind w:left="13" w:leftChars="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 出现特殊情况需要延长</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有效期的，采购代理机构或采购人可于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有效期满之前，以书面形式通知所有供应商延长</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有效期。供应商应予书面答复，同意延长的，应相应延长其</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保证金有效期，但不得要求或被允许修改其响应文件；供应商拒绝延长的，</w:t>
      </w:r>
      <w:r>
        <w:rPr>
          <w:rFonts w:hint="eastAsia" w:ascii="宋体" w:hAnsi="宋体" w:eastAsia="宋体" w:cs="宋体"/>
          <w:b/>
          <w:color w:val="auto"/>
          <w:sz w:val="24"/>
          <w:szCs w:val="24"/>
          <w:highlight w:val="none"/>
        </w:rPr>
        <w:t>其响应文件失效</w:t>
      </w:r>
      <w:r>
        <w:rPr>
          <w:rFonts w:hint="eastAsia" w:ascii="宋体" w:hAnsi="宋体" w:eastAsia="宋体" w:cs="宋体"/>
          <w:color w:val="auto"/>
          <w:sz w:val="24"/>
          <w:szCs w:val="24"/>
          <w:highlight w:val="none"/>
        </w:rPr>
        <w:t>，但供应商有权收回其</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p>
      <w:pPr>
        <w:pStyle w:val="5"/>
        <w:spacing w:before="120" w:beforeLines="50" w:after="120" w:afterLines="50" w:line="360" w:lineRule="auto"/>
        <w:ind w:firstLine="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4.5</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保证金</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4.5.1 供应商须知前附表要求供应商提交</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保证金的，适用本条款</w:t>
      </w:r>
      <w:r>
        <w:rPr>
          <w:rFonts w:hint="eastAsia" w:ascii="宋体" w:hAnsi="宋体" w:cs="宋体"/>
          <w:color w:val="auto"/>
          <w:sz w:val="24"/>
          <w:szCs w:val="24"/>
          <w:highlight w:val="none"/>
          <w:lang w:eastAsia="zh-CN"/>
        </w:rPr>
        <w:t>；</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4.5.2</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保证金的提交</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4.5.2.1 开启响应文件现场不办理</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保证金事宜。</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4.5.2.2 供应商应按供应商须知前附表规定的金额、形式和时间和第七章“响应文件格式”规定的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保证金格式提交，作为其响应文件的一部分。</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4.5.2.3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保证金可以银行转账或者金融机构、担保机构出具的保函等非现金形式提交：</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（1）以银行转账提交保证金的，可以采取支票、电汇、网银、汇票、本票等方式，应从其基本账户转出，并在响应文件中附上基本账户开户证明。</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（2）以信用担保函形式提交保证金的，应按</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文件规定的格式提交，且是有关行政主管部门认定的具有开具</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保函资格的单位开具的保函。供应商违约，开具保函单位承担连带责任。</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（3）以汇票形式提交保证金的，应提前将汇票送至财务部门，汇票签发到期日至少为送至财务部门的当日，以便财务部门到银行办理兑现手续。</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4.5.3 </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保证金的退还</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4.5.3.1未成交供应商的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保证金，将在成交通知书发出之日起5个工作日内全额退还；成交供应商的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保证金，在采购人与成交供应商签订合同之日起5个工作日内全额退还；终止采购项目的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保证金，自终止采购活动后5个工作日内全额退还。</w:t>
      </w:r>
      <w:r>
        <w:rPr>
          <w:rFonts w:hint="eastAsia" w:ascii="宋体" w:hAnsi="宋体" w:eastAsia="宋体" w:cs="宋体"/>
          <w:color w:val="auto"/>
          <w:sz w:val="24"/>
          <w:szCs w:val="24"/>
          <w:highlight w:val="none"/>
          <w:lang w:eastAsia="zh-CN"/>
        </w:rPr>
        <w:t>（成交供应商签订合同后，将合同扫描件发送至代理机构邮箱：</w:t>
      </w:r>
      <w:r>
        <w:rPr>
          <w:rFonts w:hint="eastAsia" w:ascii="宋体" w:hAnsi="宋体" w:cs="宋体"/>
          <w:color w:val="auto"/>
          <w:sz w:val="24"/>
          <w:szCs w:val="24"/>
          <w:highlight w:val="none"/>
          <w:lang w:val="en-US" w:eastAsia="zh-CN"/>
        </w:rPr>
        <w:t>2250898803</w:t>
      </w:r>
      <w:r>
        <w:rPr>
          <w:rFonts w:hint="eastAsia" w:ascii="宋体" w:hAnsi="宋体" w:eastAsia="宋体" w:cs="宋体"/>
          <w:color w:val="auto"/>
          <w:sz w:val="24"/>
          <w:szCs w:val="24"/>
          <w:highlight w:val="none"/>
          <w:lang w:val="en-US" w:eastAsia="zh-CN"/>
        </w:rPr>
        <w:t>@qq.com</w:t>
      </w:r>
      <w:r>
        <w:rPr>
          <w:rFonts w:hint="eastAsia" w:ascii="宋体" w:hAnsi="宋体" w:eastAsia="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磋商保证金的退还</w:t>
      </w:r>
      <w:r>
        <w:rPr>
          <w:rFonts w:hint="eastAsia" w:ascii="宋体" w:hAnsi="宋体" w:eastAsia="宋体" w:cs="宋体"/>
          <w:color w:val="auto"/>
          <w:sz w:val="24"/>
          <w:szCs w:val="24"/>
          <w:highlight w:val="none"/>
          <w:lang w:eastAsia="zh-CN"/>
        </w:rPr>
        <w:t>由代理机构线上提交至【全国公共资源交易平台（陕西省·宝鸡市）】，由</w:t>
      </w:r>
      <w:r>
        <w:rPr>
          <w:rFonts w:hint="eastAsia" w:ascii="宋体" w:hAnsi="宋体" w:eastAsia="宋体" w:cs="宋体"/>
          <w:color w:val="auto"/>
          <w:sz w:val="24"/>
          <w:szCs w:val="24"/>
          <w:highlight w:val="none"/>
          <w:lang w:val="en-US" w:eastAsia="zh-CN"/>
        </w:rPr>
        <w:t>宝鸡市公共资源</w:t>
      </w:r>
      <w:r>
        <w:rPr>
          <w:rFonts w:hint="eastAsia" w:ascii="宋体" w:hAnsi="宋体" w:eastAsia="宋体" w:cs="宋体"/>
          <w:color w:val="auto"/>
          <w:sz w:val="24"/>
          <w:szCs w:val="24"/>
          <w:highlight w:val="none"/>
          <w:lang w:eastAsia="zh-CN"/>
        </w:rPr>
        <w:t>交易中心财务人员审核并办理退还事宜。）</w:t>
      </w:r>
      <w:r>
        <w:rPr>
          <w:rFonts w:hint="eastAsia" w:ascii="宋体" w:hAnsi="宋体" w:cs="宋体"/>
          <w:color w:val="auto"/>
          <w:sz w:val="24"/>
          <w:szCs w:val="24"/>
          <w:highlight w:val="none"/>
          <w:lang w:val="en-US" w:eastAsia="zh-CN"/>
        </w:rPr>
        <w:t xml:space="preserve"> </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4.5.3.2有下列情形之一的，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保证金将不予退还：</w:t>
      </w:r>
    </w:p>
    <w:p>
      <w:pPr>
        <w:spacing w:line="360" w:lineRule="auto"/>
        <w:ind w:firstLine="590" w:firstLineChars="24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（1）供应商在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有效期内撤销响应文件的；</w:t>
      </w:r>
      <w:r>
        <w:rPr>
          <w:rFonts w:hint="eastAsia" w:ascii="宋体" w:hAnsi="宋体" w:cs="宋体"/>
          <w:color w:val="auto"/>
          <w:sz w:val="24"/>
          <w:szCs w:val="24"/>
          <w:highlight w:val="none"/>
          <w:lang w:val="en-US" w:eastAsia="zh-CN"/>
        </w:rPr>
        <w:t xml:space="preserve">      </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（2）在采购人确定成交供应商以前放弃成交候选资格的；</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（3）成交后放弃成交、不领取或者不接收成交通知书的；</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（4）除因不可抗力或</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文件认可的情形以外，成交供应商不与采购人订立合同的；</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（5）成交供应商在签订合同时向采购人提出附加条件的；</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（6）成交供应商未向采购代理机构支付采购代理服务费的；</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（7）成交供应商未按</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文件规定向采购人提交履约保证金的；</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有效期内，供应商在政府采购活动中有违规、违纪和违法行为的；</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（9）法律法规和</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文件规定的其他情形。</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bookmarkStart w:id="42" w:name="OLE_LINK122"/>
      <w:r>
        <w:rPr>
          <w:rFonts w:hint="eastAsia" w:ascii="宋体" w:hAnsi="宋体" w:eastAsia="宋体" w:cs="宋体"/>
          <w:b/>
          <w:bCs/>
          <w:color w:val="auto"/>
          <w:sz w:val="24"/>
          <w:szCs w:val="24"/>
          <w:highlight w:val="none"/>
        </w:rPr>
        <w:t>4.6 响应文件的制作和签署</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电子响应文件（*.SXSTF）需要使用专用制作软件——“新点响应文件制作软件（陕西公共资源）”进行编制。软件下载地址及操作手册：见【全国公共资源交易平台（陕西省·宝鸡市）】〖首页〉服务指南〉下载专区〗中的《宝鸡市公共资源交易响应文件制作操作手册》（网址：http://ggzy.baoji.gov.cn/fwzn/004003/20211013/188342c7-84a9-4c17-91d8-eb222e7ae4db.html）。</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napToGrid w:val="0"/>
          <w:color w:val="auto"/>
          <w:kern w:val="2"/>
          <w:sz w:val="24"/>
          <w:szCs w:val="24"/>
          <w:highlight w:val="none"/>
        </w:rPr>
        <w:t>编制电子投标文件时，应使用最新发布的电子招标文件及专用制作工具进行编制</w:t>
      </w:r>
      <w:r>
        <w:rPr>
          <w:rFonts w:hint="eastAsia" w:ascii="宋体" w:hAnsi="宋体" w:eastAsia="宋体" w:cs="宋体"/>
          <w:b/>
          <w:bCs/>
          <w:color w:val="auto"/>
          <w:sz w:val="24"/>
          <w:szCs w:val="24"/>
          <w:highlight w:val="none"/>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.2响应文件应当按照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文件第六章“响应文件格式”进行编写，如有必要，可以增加附页，作为响应文件的组成部分。除明确允许供应商可以自行编写外，供应商不得以“响应文件格式”规定之外的方式编写相关内容；否则，</w:t>
      </w:r>
      <w:r>
        <w:rPr>
          <w:rFonts w:hint="eastAsia" w:ascii="宋体" w:hAnsi="宋体" w:eastAsia="宋体" w:cs="宋体"/>
          <w:b/>
          <w:color w:val="auto"/>
          <w:sz w:val="24"/>
          <w:szCs w:val="24"/>
          <w:highlight w:val="none"/>
        </w:rPr>
        <w:t>其投标无效。</w:t>
      </w:r>
      <w:r>
        <w:rPr>
          <w:rFonts w:hint="eastAsia" w:ascii="宋体" w:hAnsi="宋体" w:eastAsia="宋体" w:cs="宋体"/>
          <w:color w:val="auto"/>
          <w:sz w:val="24"/>
          <w:szCs w:val="24"/>
          <w:highlight w:val="none"/>
        </w:rPr>
        <w:t>对于没有格式要求的由供应商自行编写。</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.3响应文件应填写供应商的全称，并与供应商的证件证书保持一致</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.4使用原件的电子件（电子件指扫描件、照片等形式电子文件），响应文件中应当使用原件的电子件。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供应商应当按照“供应商须知前附表”规定的份数准备响应文件正本、副本。正本和副本封面右上角应清楚地标明“正本”或“副本”字样。当副本和正本有不一致的内容，以正本书面响应文件为准。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6电子响应文件制作过程中，要求签名盖章的内容，应当通过响应文件编制工具加盖电子签章。需要法定代表人签名的地方，请使用“法人CA锁”进行签章；需要加盖供应商公章的地方，请使用“企业CA锁”进行签章；需要委托代理人人签名的地方，</w:t>
      </w:r>
      <w:r>
        <w:rPr>
          <w:rFonts w:hint="eastAsia" w:ascii="宋体" w:hAnsi="宋体" w:eastAsia="宋体" w:cs="宋体"/>
          <w:color w:val="auto"/>
          <w:sz w:val="24"/>
          <w:szCs w:val="24"/>
          <w:highlight w:val="none"/>
          <w:lang w:eastAsia="zh-CN"/>
        </w:rPr>
        <w:t>委托人签字或盖章</w:t>
      </w:r>
      <w:r>
        <w:rPr>
          <w:rFonts w:hint="eastAsia" w:ascii="宋体" w:hAnsi="宋体" w:eastAsia="宋体" w:cs="宋体"/>
          <w:color w:val="auto"/>
          <w:sz w:val="24"/>
          <w:szCs w:val="24"/>
          <w:highlight w:val="none"/>
        </w:rPr>
        <w:t>。</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若导出的PDF文件里看不到签章，请尝试使用专用制作软件中的“查看响应文件工具”打开未加密的电子响应文件重新导出。在制作过程中，如有其他技术性问题，请先翻阅操作手册，或致电软件开发商。</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再次提醒：</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编制电子响应文件前，务必先做好电子</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文件的备份工作。然后按操作手册中给出的方法将电子</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文件（*.SXSZF）或答疑文件（*.SXSCF，即更新后的电子</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文件）导入制作软件，最后按照章节分别编制响应文件各个部分</w:t>
      </w:r>
      <w:r>
        <w:rPr>
          <w:rFonts w:hint="eastAsia" w:ascii="宋体" w:hAnsi="宋体" w:eastAsia="宋体" w:cs="宋体"/>
          <w:b/>
          <w:bCs/>
          <w:color w:val="auto"/>
          <w:sz w:val="24"/>
          <w:szCs w:val="24"/>
          <w:highlight w:val="none"/>
          <w:lang w:eastAsia="zh-CN"/>
        </w:rPr>
        <w:t>。</w:t>
      </w:r>
    </w:p>
    <w:bookmarkEnd w:id="42"/>
    <w:p>
      <w:pPr>
        <w:tabs>
          <w:tab w:val="left" w:pos="1080"/>
        </w:tabs>
        <w:spacing w:before="120" w:beforeLines="50" w:after="120" w:afterLines="50" w:line="360" w:lineRule="auto"/>
        <w:rPr>
          <w:rFonts w:hint="eastAsia" w:ascii="宋体" w:hAnsi="宋体" w:eastAsia="宋体" w:cs="宋体"/>
          <w:bCs/>
          <w:color w:val="auto"/>
          <w:sz w:val="24"/>
          <w:szCs w:val="24"/>
          <w:highlight w:val="none"/>
        </w:rPr>
      </w:pPr>
      <w:bookmarkStart w:id="43" w:name="OLE_LINK123"/>
      <w:r>
        <w:rPr>
          <w:rFonts w:hint="eastAsia" w:ascii="宋体" w:hAnsi="宋体" w:eastAsia="宋体" w:cs="宋体"/>
          <w:bCs/>
          <w:color w:val="auto"/>
          <w:sz w:val="24"/>
          <w:szCs w:val="24"/>
          <w:highlight w:val="none"/>
        </w:rPr>
        <w:t>5. 响应文件的提交</w:t>
      </w:r>
    </w:p>
    <w:p>
      <w:pPr>
        <w:tabs>
          <w:tab w:val="left" w:pos="1080"/>
        </w:tabs>
        <w:spacing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 响应文件的密封和标记</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5.1.1本项目使用</w:t>
      </w:r>
      <w:r>
        <w:rPr>
          <w:rFonts w:hint="eastAsia" w:ascii="宋体" w:hAnsi="宋体" w:eastAsia="宋体" w:cs="宋体"/>
          <w:color w:val="auto"/>
          <w:kern w:val="0"/>
          <w:sz w:val="24"/>
          <w:szCs w:val="24"/>
          <w:highlight w:val="none"/>
          <w:lang w:val="en-US" w:eastAsia="zh-CN"/>
        </w:rPr>
        <w:t>【全国公共资源交易平台（陕西省·宝鸡市）】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及交易平台供应商操作手册要求编制、生成并提交电子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5.1.2.在生成电子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时，需要使用CA锁对</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进行加密。</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应特别注意加密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和开标时解密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应当使用同一CA锁，否则，</w:t>
      </w:r>
      <w:r>
        <w:rPr>
          <w:rFonts w:hint="eastAsia" w:ascii="宋体" w:hAnsi="宋体" w:eastAsia="宋体" w:cs="宋体"/>
          <w:b/>
          <w:color w:val="auto"/>
          <w:kern w:val="0"/>
          <w:sz w:val="24"/>
          <w:szCs w:val="24"/>
          <w:highlight w:val="none"/>
        </w:rPr>
        <w:t>将会导致解密失败。</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 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可于提交</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截止时间前任意时段，登录到</w:t>
      </w:r>
      <w:r>
        <w:rPr>
          <w:rFonts w:hint="eastAsia" w:ascii="宋体" w:hAnsi="宋体" w:eastAsia="宋体" w:cs="宋体"/>
          <w:color w:val="auto"/>
          <w:kern w:val="0"/>
          <w:sz w:val="24"/>
          <w:szCs w:val="24"/>
          <w:highlight w:val="none"/>
          <w:lang w:val="zh-CN"/>
        </w:rPr>
        <w:t>【全国公共资源交易平台（陕西省·宝鸡市）】</w:t>
      </w:r>
      <w:r>
        <w:rPr>
          <w:rFonts w:hint="eastAsia" w:ascii="宋体" w:hAnsi="宋体" w:eastAsia="宋体" w:cs="宋体"/>
          <w:color w:val="auto"/>
          <w:kern w:val="0"/>
          <w:sz w:val="24"/>
          <w:szCs w:val="24"/>
          <w:highlight w:val="none"/>
        </w:rPr>
        <w:t>〖首页·〉电子交易平台·〉企业端〗，再切换到〖我的项目〗模块下，依次点选〖项目流程·〉项目管理·〉上传响应文件〗，上传加密后的电子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（*.SXSTF）。上传成功后，</w:t>
      </w:r>
      <w:r>
        <w:rPr>
          <w:rFonts w:hint="eastAsia" w:ascii="宋体" w:hAnsi="宋体" w:eastAsia="宋体" w:cs="宋体"/>
          <w:color w:val="auto"/>
          <w:kern w:val="0"/>
          <w:sz w:val="24"/>
          <w:szCs w:val="24"/>
          <w:highlight w:val="none"/>
          <w:lang w:val="en-US" w:eastAsia="zh-CN"/>
        </w:rPr>
        <w:t>宝鸡市</w:t>
      </w:r>
      <w:r>
        <w:rPr>
          <w:rFonts w:hint="eastAsia" w:ascii="宋体" w:hAnsi="宋体" w:eastAsia="宋体" w:cs="宋体"/>
          <w:color w:val="auto"/>
          <w:kern w:val="0"/>
          <w:sz w:val="24"/>
          <w:szCs w:val="24"/>
          <w:highlight w:val="none"/>
        </w:rPr>
        <w:t>公共资源交易平台政府采购系统将予以记录。</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5.1.4上传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有误或需要重新提交的，可先撤销已经上传的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，然后重新上传新的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.5采购人及采购代理机构拒绝接受以下任一情况提交的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（1）通过电子交易平台以外任何形式提交的；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（2）误投的或采用旧版电子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制作的；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（3）逾期提交的。</w:t>
      </w:r>
      <w:r>
        <w:rPr>
          <w:rFonts w:hint="eastAsia" w:ascii="宋体" w:hAnsi="宋体" w:eastAsia="宋体" w:cs="宋体"/>
          <w:color w:val="auto"/>
          <w:kern w:val="0"/>
          <w:sz w:val="24"/>
          <w:szCs w:val="24"/>
          <w:highlight w:val="none"/>
          <w:lang w:val="en-US" w:eastAsia="zh-CN"/>
        </w:rPr>
        <w:t xml:space="preserve">        </w:t>
      </w:r>
    </w:p>
    <w:p>
      <w:pPr>
        <w:tabs>
          <w:tab w:val="left" w:pos="1080"/>
        </w:tabs>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5.1.6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需提供样品的，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须知前附表规定的时间、地点和要求提交。</w:t>
      </w:r>
    </w:p>
    <w:p>
      <w:pPr>
        <w:tabs>
          <w:tab w:val="left" w:pos="1080"/>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5.2 响应文件的提交</w:t>
      </w:r>
    </w:p>
    <w:p>
      <w:pPr>
        <w:tabs>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供应商应在供应商须知前附表规定的提交首次响应文件截止时间前提交响应文件。</w:t>
      </w:r>
    </w:p>
    <w:p>
      <w:pPr>
        <w:tabs>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供应商提交首次响应文件地点：见供应商须知前附表。</w:t>
      </w:r>
    </w:p>
    <w:p>
      <w:pPr>
        <w:tabs>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除供应商须知前附表另有规定外，供应商提交的响应文件不予退还。</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5.2.4采购代理机构收到响应文件后，应当如实记载响应文件的送达时间、份数、密封情况和提交人等信息。</w:t>
      </w:r>
    </w:p>
    <w:p>
      <w:pPr>
        <w:tabs>
          <w:tab w:val="left" w:pos="851"/>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 逾期送达的响应文件，采购代理机构将予以拒收。</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 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不接受邮寄的响应文件。</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5.2.7供应商须知前附表规定提供样品的，供应商应当同响应文件一起提交。</w:t>
      </w:r>
    </w:p>
    <w:p>
      <w:pPr>
        <w:pStyle w:val="5"/>
        <w:spacing w:before="120" w:beforeLines="50" w:after="120" w:afterLines="50" w:line="360" w:lineRule="auto"/>
        <w:ind w:firstLine="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5.3 </w:t>
      </w:r>
      <w:r>
        <w:rPr>
          <w:rFonts w:hint="eastAsia" w:ascii="宋体" w:hAnsi="宋体" w:eastAsia="宋体" w:cs="宋体"/>
          <w:b/>
          <w:bCs/>
          <w:color w:val="auto"/>
          <w:spacing w:val="20"/>
          <w:sz w:val="24"/>
          <w:szCs w:val="24"/>
          <w:highlight w:val="none"/>
        </w:rPr>
        <w:t>响应文件的修改和撤回</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 在本章第5.2.1项规定的提交首次响应文件截止时间前，供应商可以补充、修改或者撤回已提交的响应文件，但应以书面形式通知采购代理机构。</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 供应商的补充、修改或者撤回通知书，应由其法定代表人或委托代理人签署并盖单位章。补充、修改或者撤回通知书应按本章第5.1.2项规定进行密封，并在密封袋上标注“响应文件补充、修改”或“响应文件撤回通知”字样，“补充、修改文件”作为响应文件的组成部分。补充、修改内容与响应文件不一致的，以补充、修改的内容为准。</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供应商撤回响应文件的，采购代理机构自收到供应商书面撤回通知之日起5个工作日内退还已收取的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 在提交首次响应文件截止时间之后，供应商不得对其提交的响应文件做任何补充、修改或者撤销响应文件。</w:t>
      </w:r>
    </w:p>
    <w:p>
      <w:pPr>
        <w:pStyle w:val="5"/>
        <w:spacing w:before="120" w:beforeLines="50" w:after="120" w:afterLines="5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6.开启响应文件</w:t>
      </w:r>
    </w:p>
    <w:p>
      <w:pPr>
        <w:spacing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6.1开启响应文件的时间和地点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采购代理机构在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时间）地点及开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形式进行公开开标</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不见面开标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，并邀请采购人准时参加并签到以证明其出席。</w:t>
      </w:r>
      <w:r>
        <w:rPr>
          <w:rFonts w:hint="eastAsia" w:ascii="宋体" w:hAnsi="宋体" w:eastAsia="宋体" w:cs="宋体"/>
          <w:color w:val="auto"/>
          <w:sz w:val="24"/>
          <w:szCs w:val="24"/>
          <w:highlight w:val="none"/>
          <w:lang w:eastAsia="zh-CN"/>
        </w:rPr>
        <w:t>磋商小组成员</w:t>
      </w:r>
      <w:r>
        <w:rPr>
          <w:rFonts w:hint="eastAsia" w:ascii="宋体" w:hAnsi="宋体" w:eastAsia="宋体" w:cs="宋体"/>
          <w:color w:val="auto"/>
          <w:sz w:val="24"/>
          <w:szCs w:val="24"/>
          <w:highlight w:val="none"/>
        </w:rPr>
        <w:t>不得参加开标活动。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6.1.2本项目（包）使用</w:t>
      </w:r>
      <w:r>
        <w:rPr>
          <w:rFonts w:hint="eastAsia" w:ascii="宋体" w:hAnsi="宋体" w:eastAsia="宋体" w:cs="宋体"/>
          <w:color w:val="auto"/>
          <w:sz w:val="24"/>
          <w:szCs w:val="24"/>
          <w:highlight w:val="none"/>
          <w:lang w:val="en-US" w:eastAsia="zh-CN"/>
        </w:rPr>
        <w:t>宝鸡</w:t>
      </w:r>
      <w:r>
        <w:rPr>
          <w:rFonts w:hint="eastAsia" w:ascii="宋体" w:hAnsi="宋体" w:eastAsia="宋体" w:cs="宋体"/>
          <w:color w:val="auto"/>
          <w:sz w:val="24"/>
          <w:szCs w:val="24"/>
          <w:highlight w:val="none"/>
        </w:rPr>
        <w:t>市公共资源交易平台进行开标。开标工作由采购代理机构组织实施，整个过程受同级政府采购监管机构的监督、管理。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不足3家的，不得开标。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6.2.2.1本项目的电子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应当在线提交，但开标当日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的法定代表人（或者负责人）或者其委托代理人仍</w:t>
      </w:r>
      <w:r>
        <w:rPr>
          <w:rFonts w:hint="eastAsia" w:ascii="宋体" w:hAnsi="宋体" w:eastAsia="宋体" w:cs="宋体"/>
          <w:b/>
          <w:bCs/>
          <w:color w:val="auto"/>
          <w:sz w:val="24"/>
          <w:szCs w:val="24"/>
          <w:highlight w:val="none"/>
          <w:lang w:val="en-US" w:eastAsia="zh-CN"/>
        </w:rPr>
        <w:t>无</w:t>
      </w:r>
      <w:r>
        <w:rPr>
          <w:rFonts w:hint="eastAsia" w:ascii="宋体" w:hAnsi="宋体" w:eastAsia="宋体" w:cs="宋体"/>
          <w:b/>
          <w:bCs/>
          <w:color w:val="auto"/>
          <w:sz w:val="24"/>
          <w:szCs w:val="24"/>
          <w:highlight w:val="none"/>
        </w:rPr>
        <w:t>需到达开标现场。</w:t>
      </w:r>
    </w:p>
    <w:p>
      <w:pPr>
        <w:spacing w:line="480" w:lineRule="exact"/>
        <w:ind w:firstLine="480" w:firstLineChars="200"/>
        <w:rPr>
          <w:rFonts w:hint="eastAsia" w:ascii="宋体" w:hAnsi="宋体" w:eastAsia="宋体" w:cs="宋体"/>
          <w:highlight w:val="none"/>
        </w:rPr>
      </w:pPr>
      <w:r>
        <w:rPr>
          <w:rFonts w:hint="eastAsia" w:ascii="宋体" w:hAnsi="宋体" w:eastAsia="宋体" w:cs="宋体"/>
          <w:snapToGrid w:val="0"/>
          <w:color w:val="auto"/>
          <w:kern w:val="2"/>
          <w:sz w:val="24"/>
          <w:szCs w:val="24"/>
          <w:highlight w:val="none"/>
        </w:rPr>
        <w:t>采购代理机构组织磋商</w:t>
      </w:r>
      <w:r>
        <w:rPr>
          <w:rFonts w:hint="eastAsia" w:ascii="宋体" w:hAnsi="宋体" w:eastAsia="宋体" w:cs="宋体"/>
          <w:snapToGrid w:val="0"/>
          <w:color w:val="auto"/>
          <w:kern w:val="2"/>
          <w:sz w:val="24"/>
          <w:szCs w:val="24"/>
          <w:highlight w:val="none"/>
          <w:lang w:eastAsia="zh-CN"/>
        </w:rPr>
        <w:t>：开标纪律</w:t>
      </w:r>
      <w:r>
        <w:rPr>
          <w:rFonts w:hint="eastAsia" w:ascii="宋体" w:hAnsi="宋体" w:eastAsia="宋体" w:cs="宋体"/>
          <w:snapToGrid w:val="0"/>
          <w:color w:val="auto"/>
          <w:kern w:val="2"/>
          <w:sz w:val="24"/>
          <w:szCs w:val="24"/>
          <w:highlight w:val="none"/>
        </w:rPr>
        <w:t>、</w:t>
      </w:r>
      <w:r>
        <w:rPr>
          <w:rFonts w:hint="eastAsia" w:ascii="宋体" w:hAnsi="宋体" w:eastAsia="宋体" w:cs="宋体"/>
          <w:snapToGrid w:val="0"/>
          <w:color w:val="auto"/>
          <w:kern w:val="2"/>
          <w:sz w:val="24"/>
          <w:szCs w:val="24"/>
          <w:highlight w:val="none"/>
          <w:lang w:eastAsia="zh-CN"/>
        </w:rPr>
        <w:t>公布投标人名单、投标文件解密、批量导入、唱标、异议回复、开标结束。进入到</w:t>
      </w:r>
      <w:r>
        <w:rPr>
          <w:rFonts w:hint="eastAsia" w:ascii="宋体" w:hAnsi="宋体" w:eastAsia="宋体" w:cs="宋体"/>
          <w:snapToGrid w:val="0"/>
          <w:color w:val="auto"/>
          <w:kern w:val="2"/>
          <w:sz w:val="24"/>
          <w:szCs w:val="24"/>
          <w:highlight w:val="none"/>
        </w:rPr>
        <w:t>评审工作，磋商整个过程接受监督部门的监督。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6.2.2.2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签到：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规定的时间</w:t>
      </w:r>
      <w:r>
        <w:rPr>
          <w:rFonts w:hint="eastAsia" w:ascii="宋体" w:hAnsi="宋体" w:eastAsia="宋体" w:cs="宋体"/>
          <w:b/>
          <w:bCs/>
          <w:snapToGrid w:val="0"/>
          <w:color w:val="auto"/>
          <w:kern w:val="2"/>
          <w:sz w:val="24"/>
          <w:szCs w:val="24"/>
          <w:highlight w:val="none"/>
          <w:lang w:eastAsia="zh-CN"/>
        </w:rPr>
        <w:t>提前进入不见面开标大厅</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开标，并</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签名报到。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6.2.2.3 </w:t>
      </w:r>
      <w:r>
        <w:rPr>
          <w:rFonts w:hint="eastAsia" w:ascii="宋体" w:hAnsi="宋体" w:eastAsia="宋体" w:cs="宋体"/>
          <w:b/>
          <w:color w:val="auto"/>
          <w:sz w:val="24"/>
          <w:szCs w:val="24"/>
          <w:highlight w:val="none"/>
        </w:rPr>
        <w:t>主持人宣布开标：</w:t>
      </w:r>
      <w:r>
        <w:rPr>
          <w:rFonts w:hint="eastAsia" w:ascii="宋体" w:hAnsi="宋体" w:eastAsia="宋体" w:cs="宋体"/>
          <w:color w:val="auto"/>
          <w:sz w:val="24"/>
          <w:szCs w:val="24"/>
          <w:highlight w:val="none"/>
        </w:rPr>
        <w:t>超过提交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截止时间的，电子交易平台将不再接收任何</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。宣布开标纪律、有关注意事项和介绍参会有关人员。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6.2.2.4 </w:t>
      </w:r>
      <w:r>
        <w:rPr>
          <w:rFonts w:hint="eastAsia" w:ascii="宋体" w:hAnsi="宋体" w:eastAsia="宋体" w:cs="宋体"/>
          <w:b/>
          <w:color w:val="auto"/>
          <w:sz w:val="24"/>
          <w:szCs w:val="24"/>
          <w:highlight w:val="none"/>
        </w:rPr>
        <w:t>解密</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在收到主持人“开始解密”指令后，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应当使用“加密该</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的CA锁（确保是同一把锁）”在</w:t>
      </w:r>
      <w:r>
        <w:rPr>
          <w:rFonts w:hint="eastAsia" w:ascii="宋体" w:hAnsi="宋体" w:eastAsia="宋体" w:cs="宋体"/>
          <w:color w:val="auto"/>
          <w:sz w:val="24"/>
          <w:szCs w:val="24"/>
          <w:highlight w:val="none"/>
          <w:lang w:val="en-US" w:eastAsia="zh-CN"/>
        </w:rPr>
        <w:t>线上进行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的解密。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应在规定的解密时限内完成解密。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6.2.2.5</w:t>
      </w:r>
      <w:r>
        <w:rPr>
          <w:rFonts w:hint="eastAsia" w:ascii="宋体" w:hAnsi="宋体" w:eastAsia="宋体" w:cs="宋体"/>
          <w:b/>
          <w:bCs/>
          <w:color w:val="auto"/>
          <w:sz w:val="24"/>
          <w:szCs w:val="24"/>
          <w:highlight w:val="none"/>
          <w:lang w:val="en-US" w:eastAsia="zh-CN"/>
        </w:rPr>
        <w:t>唱标：</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报价不当众宣读。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6.2.2.6</w:t>
      </w:r>
      <w:r>
        <w:rPr>
          <w:rFonts w:hint="eastAsia" w:ascii="宋体" w:hAnsi="宋体" w:eastAsia="宋体" w:cs="宋体"/>
          <w:b/>
          <w:color w:val="auto"/>
          <w:sz w:val="24"/>
          <w:szCs w:val="24"/>
          <w:highlight w:val="none"/>
        </w:rPr>
        <w:t>开标结束：</w:t>
      </w:r>
      <w:r>
        <w:rPr>
          <w:rFonts w:hint="eastAsia" w:ascii="宋体" w:hAnsi="宋体" w:eastAsia="宋体" w:cs="宋体"/>
          <w:color w:val="auto"/>
          <w:sz w:val="24"/>
          <w:szCs w:val="24"/>
          <w:highlight w:val="none"/>
        </w:rPr>
        <w:t>开标结束后进入评标环节，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等待，评标期间</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可能会要求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做必要的澄清、说明和纠正</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lang w:eastAsia="zh-CN"/>
        </w:rPr>
        <w:t>等待二次报价</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
          <w:sz w:val="24"/>
          <w:szCs w:val="24"/>
          <w:highlight w:val="none"/>
          <w:lang w:eastAsia="zh-CN"/>
        </w:rPr>
        <w:t>。不可退出系统，</w:t>
      </w:r>
      <w:r>
        <w:rPr>
          <w:rFonts w:hint="eastAsia" w:ascii="宋体" w:hAnsi="宋体" w:eastAsia="宋体" w:cs="宋体"/>
          <w:color w:val="auto"/>
          <w:sz w:val="24"/>
          <w:szCs w:val="24"/>
          <w:highlight w:val="none"/>
        </w:rPr>
        <w:t>因供应商擅自离席造成的不利后果，由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6.2.2.7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对开标过程有疑义，以及认为采购人、采购代理机构相关工作人员有需要回避情形的，应</w:t>
      </w:r>
      <w:r>
        <w:rPr>
          <w:rFonts w:hint="eastAsia" w:ascii="宋体" w:hAnsi="宋体" w:eastAsia="宋体" w:cs="宋体"/>
          <w:color w:val="auto"/>
          <w:kern w:val="0"/>
          <w:sz w:val="24"/>
          <w:szCs w:val="24"/>
          <w:highlight w:val="none"/>
          <w:lang w:val="en-US" w:eastAsia="zh-CN"/>
        </w:rPr>
        <w:t>线上</w:t>
      </w:r>
      <w:r>
        <w:rPr>
          <w:rFonts w:hint="eastAsia" w:ascii="宋体" w:hAnsi="宋体" w:eastAsia="宋体" w:cs="宋体"/>
          <w:color w:val="auto"/>
          <w:kern w:val="0"/>
          <w:sz w:val="24"/>
          <w:szCs w:val="24"/>
          <w:highlight w:val="none"/>
        </w:rPr>
        <w:t>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代表提出的询问或者回避申请应当及时处理，并制作记录。</w:t>
      </w:r>
    </w:p>
    <w:p>
      <w:pPr>
        <w:spacing w:line="360" w:lineRule="auto"/>
        <w:rPr>
          <w:rFonts w:hint="eastAsia" w:ascii="宋体" w:hAnsi="宋体" w:eastAsia="宋体" w:cs="宋体"/>
          <w:b/>
          <w:bCs/>
          <w:highlight w:val="none"/>
        </w:rPr>
      </w:pPr>
      <w:r>
        <w:rPr>
          <w:rFonts w:hint="eastAsia" w:ascii="宋体" w:hAnsi="宋体" w:eastAsia="宋体" w:cs="宋体"/>
          <w:b/>
          <w:bCs/>
          <w:color w:val="auto"/>
          <w:kern w:val="0"/>
          <w:sz w:val="24"/>
          <w:szCs w:val="24"/>
          <w:highlight w:val="none"/>
        </w:rPr>
        <w:t>建议：为顺利实现本项目开评标的远程交互，建议投标人配置较高的硬件设施，包括高配置电脑、高速稳定的网络、电源（不间断）、CA锁、音视频设备（话筒、耳麦、高清摄像头、音响等），使用IE浏览器，且电脑已经正确安装了陕西省公共资源交易平台CA驱动。</w:t>
      </w:r>
    </w:p>
    <w:bookmarkEnd w:id="43"/>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6.2.3  </w:t>
      </w:r>
      <w:r>
        <w:rPr>
          <w:rFonts w:hint="eastAsia" w:ascii="宋体" w:hAnsi="宋体" w:eastAsia="宋体" w:cs="宋体"/>
          <w:color w:val="auto"/>
          <w:sz w:val="24"/>
          <w:szCs w:val="24"/>
          <w:highlight w:val="none"/>
        </w:rPr>
        <w:t>开标环节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存在以下情形之一的</w:t>
      </w:r>
      <w:r>
        <w:rPr>
          <w:rFonts w:hint="eastAsia" w:ascii="宋体" w:hAnsi="宋体" w:eastAsia="宋体" w:cs="宋体"/>
          <w:b/>
          <w:color w:val="auto"/>
          <w:sz w:val="24"/>
          <w:szCs w:val="24"/>
          <w:highlight w:val="none"/>
        </w:rPr>
        <w:t>，其投标无效：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放弃或拒绝对电子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进行解密的；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上传的电子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无法正常打开的；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自身原因，导致未在规定的解密时限内完整解密的（如忘带CA锁、或CA锁与加密文件的CA锁不同、或使用旧版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（4）法律法规规定的其他无效情形。</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6.2.4 突发状况的应急处置</w:t>
      </w:r>
    </w:p>
    <w:p>
      <w:pPr>
        <w:pStyle w:val="5"/>
        <w:spacing w:before="120" w:beforeLines="50" w:after="120" w:afterLines="50" w:line="360" w:lineRule="auto"/>
        <w:ind w:firstLine="0"/>
        <w:rPr>
          <w:rFonts w:hint="eastAsia"/>
        </w:rPr>
      </w:pPr>
      <w:r>
        <w:rPr>
          <w:rFonts w:hint="eastAsia" w:ascii="宋体" w:hAnsi="宋体" w:eastAsia="宋体" w:cs="宋体"/>
          <w:color w:val="auto"/>
          <w:sz w:val="24"/>
          <w:szCs w:val="24"/>
          <w:highlight w:val="none"/>
        </w:rPr>
        <w:t>在开评标过程中，因停电、断网、电子交易系统故障等特殊情况导致电子开标、评标工作无法正常进行的，采购代理机构应当及时向政府采购监管部门报告，并等待指令，是否中止后续采购活动。</w:t>
      </w:r>
    </w:p>
    <w:p>
      <w:pPr>
        <w:pStyle w:val="5"/>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7.</w:t>
      </w:r>
      <w:r>
        <w:rPr>
          <w:rFonts w:hint="eastAsia" w:ascii="宋体" w:hAnsi="宋体" w:cs="宋体"/>
          <w:b/>
          <w:bCs/>
          <w:color w:val="auto"/>
          <w:sz w:val="24"/>
          <w:szCs w:val="24"/>
          <w:highlight w:val="none"/>
          <w:lang w:eastAsia="zh-CN"/>
        </w:rPr>
        <w:t>磋商</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7.1 </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小组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7.1.1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由采购代理机构依法组建的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小组负责。</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由采购人代表和评审专家组成，成员由3人以上单数组成，或者达到公开招标限额标准的项目由5人以上单数组成，或者采购预算金额在1000万元以上、技术复杂的项目或者社会影响较大的项目由7人以上单数组成，其中评审专家不得少于成员总数的三分之二。</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评审专家应当从省级财政部门设立的政府采购评审专家库内相关专业的专家名单中随机抽取。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7.1.3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小组成员到位后，推荐一名评审专家担任</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小组组长，并由</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小组组长牵头组织本项目</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工作。采购人代表，不得担任</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小组组长。</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7.1.4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小组成员有下列情形之一的，应当回避：</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（1）采购人或供应商的主要负责人的近亲属；</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（2）与供应商有经济利益关系，可能影响对响应文件公正评审的；</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（3）曾因在招标、评审以及其他与招标投标有关活动中从事违法行为而受过行政处罚或刑事处罚的。</w:t>
      </w:r>
    </w:p>
    <w:p>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 xml:space="preserve">7.1.5 </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过程中，因</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小组成员缺席、回避或者健康等特殊原因导致</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小组组成不符合规定的，采购代理机构应当依法补足后继续</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。被更换的</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小组成员所作出的评审意见无效。无法及时补足</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小组成员的，采购代理机构应当停止</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活动，封存所有响应文件和开起响应文件、</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和评审资料，依法重新组建</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小组进行</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。原</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小组所作出的评审意见无效。</w:t>
      </w:r>
      <w:r>
        <w:rPr>
          <w:rFonts w:hint="eastAsia" w:ascii="宋体" w:hAnsi="宋体" w:eastAsia="宋体" w:cs="宋体"/>
          <w:color w:val="auto"/>
          <w:kern w:val="0"/>
          <w:sz w:val="24"/>
          <w:szCs w:val="24"/>
          <w:highlight w:val="none"/>
          <w:lang w:val="zh-CN"/>
        </w:rPr>
        <w:t>采购代理机构</w:t>
      </w:r>
      <w:r>
        <w:rPr>
          <w:rFonts w:hint="eastAsia" w:ascii="宋体" w:hAnsi="宋体" w:eastAsia="宋体" w:cs="宋体"/>
          <w:color w:val="auto"/>
          <w:kern w:val="0"/>
          <w:sz w:val="24"/>
          <w:szCs w:val="24"/>
          <w:highlight w:val="none"/>
        </w:rPr>
        <w:t>应当将变更、重新组建</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小组的情况予以记录，并随采购文件一并存档。</w:t>
      </w:r>
    </w:p>
    <w:p>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7.1.6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小组成员名单在成交结果公告前，应当保密。</w:t>
      </w:r>
    </w:p>
    <w:p>
      <w:pPr>
        <w:widowControl/>
        <w:autoSpaceDE w:val="0"/>
        <w:autoSpaceDN w:val="0"/>
        <w:spacing w:line="360" w:lineRule="auto"/>
        <w:ind w:right="5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7.1.7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小组及其成员，在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中不得有下列行为：</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（1）确定参与</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至</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结束前私自接触供应商；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（2）接受供应商提出的与响应文件不一致的澄清和说明；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（3）征询采购人的倾向性意见；</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（4）对响应文件协商评审；</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（5）对客观评审因素评审不一致；</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过程中擅离职守，影响</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程序正常进行的；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（7）记录、复制或带走任何评审资料；</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0"/>
          <w:sz w:val="24"/>
          <w:szCs w:val="24"/>
          <w:highlight w:val="none"/>
        </w:rPr>
        <w:t>其他不遵守评审纪律的行为。</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小组成员有前款第一至四项行为之一的，其评审意见无效，</w:t>
      </w:r>
      <w:r>
        <w:rPr>
          <w:rFonts w:hint="eastAsia" w:ascii="宋体" w:hAnsi="宋体" w:eastAsia="宋体" w:cs="宋体"/>
          <w:color w:val="auto"/>
          <w:kern w:val="0"/>
          <w:sz w:val="24"/>
          <w:szCs w:val="24"/>
          <w:highlight w:val="none"/>
        </w:rPr>
        <w:t>并不得获取评审劳务报酬和报销异地评审差旅费。</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7.2 </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原则</w:t>
      </w:r>
    </w:p>
    <w:p>
      <w:pPr>
        <w:tabs>
          <w:tab w:val="left" w:pos="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7.2.1“客观、公正、审慎”为本次</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的基本原则，</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小组按照这一原则的要求，公正、平等地对待各供应商。同时，在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中恪守以下原则：</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（1）统一性原则：</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小组将按照统一的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原则和方法，用统一标准进行评审。</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（2）独立性原则：</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工作在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小组内部独立进行，不受外界任何因素的干扰和影响。</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小组成员对其出具的意见承担个人责任。</w:t>
      </w:r>
      <w:r>
        <w:rPr>
          <w:rFonts w:hint="eastAsia" w:ascii="宋体" w:hAnsi="宋体" w:eastAsia="宋体" w:cs="宋体"/>
          <w:color w:val="auto"/>
          <w:kern w:val="0"/>
          <w:sz w:val="24"/>
          <w:szCs w:val="24"/>
          <w:highlight w:val="none"/>
        </w:rPr>
        <w:t>供应商试图影响或干预评审的任何行为，将导致其丧失</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的资格，并承担相应的法律责任。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（3）物有所值原则：通过首轮的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报价，激发供应商展开竞争，进一步优化方案，并使报价符合预期目标。</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（4）客观性原则：</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小组将严格按照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文件要求，对供应商的响应文件进行认真评审；</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小组对响应文件的评审仅依据响应文件本身，而不依据响应文件以外的任何因素。</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（5）保密性原则：采购代理机构应当采取必要的措施，保证评审在严格保密情况下进行。</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（6）综合性原则:</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小组将综合分析、评审供应商的各项指标，而不以单项指标的优劣评定出成交供应商。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磋商小组有权对整个磋商和评审过程中出现的所有问题，可根据《中华人民共和国政府采购法》及实施条例和《政府采购竞争性磋商采购方式管理暂行办法》等相关规定进行处理。</w:t>
      </w:r>
    </w:p>
    <w:p>
      <w:pPr>
        <w:spacing w:before="120" w:beforeLines="50" w:after="120" w:afterLines="5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7.3</w:t>
      </w:r>
      <w:r>
        <w:rPr>
          <w:rFonts w:hint="eastAsia" w:ascii="宋体" w:hAnsi="宋体" w:cs="宋体"/>
          <w:b/>
          <w:color w:val="auto"/>
          <w:sz w:val="24"/>
          <w:szCs w:val="24"/>
          <w:highlight w:val="none"/>
          <w:lang w:eastAsia="zh-CN"/>
        </w:rPr>
        <w:t>磋商</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磋商小组根据磋商文件第四章“磋商办法”规定的方法、评审因素、标准和程序，在与单一供应商进行反复磋商的基础上，对其响应文件进行评审。第四章“磋商办法”没有规定的方法、评审因素和标准，不作为评审依据。</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磋商小组负责具体磋商事务，并独立履行下列职责：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（1）审查、评价响应文件是否符合磋商文件的商务、技术、服务等实质性要求；</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（2）要求供应商对响应文件有关事项作出澄清或者说明；</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（3）与合格的供应商分别就技术和商务事务进行磋商；</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（4）对响应文件进行比较和评价；</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（5）推荐成交候选人名单，或者根据采购人委托直接确定成交供应商；</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（6）向采购人、采购代理机构或者有关部门报告非法干预磋商工作的行为。</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7.3.3磋商小组成员应当履行下列义务：</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（1）遵纪守法，客观、公正、廉洁地履行职责；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（2）根据采购文件的规定独立进行评审，对个人的评审意见承担法律责任；</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（3）参与评审报告的起草；</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（4）配合采购人、采购代理机构答复供应商提出的质疑；</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（5）配合财政部门的投诉处理和监督检查工作。</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7.3.4 采购代理机构负责组织磋商工作并履行下列职责：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（2）宣布磋商纪律和开启录音录像设备；</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（3）公布提交了响应文件的供应商名单，告知评审专家应当回避的情形；</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（4）组织磋商小组成员推选磋商小组组长，采购人代表不得担任组长；</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（5）在磋商期间采取必要的通讯管理措施，保证磋商活动不受外界干扰；</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（6）根据磋商小组的要求介绍政府采购相关政策法规、磋商文件；</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（7）维护磋商秩序，监督磋商小组依照磋商文件规定的磋商程序、评审方法和标准进行独立评审，对采购人代表、磋商小组成员的倾向性言论或违法违规行为及时制止和纠正；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（8）核对评审结果，有《政府采购竞争性磋商采购方式暂行管理办法》第三十二条第一款规定情形的，要求磋商小组复核或书面说明理由，磋商小组拒绝的，应予记录并向采购人本级财政部门报告；</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（9）磋商工作完成后，按照规定向评审专家支付劳务报酬和异地评审差旅费，不得向评审专家以外的其他人员支付评审劳务报酬；</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（10）处理与磋商有关的其他事项。</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7.3.5 采购人可以在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前介绍项目背景和采购需求，介绍内容不得含有歧视性、倾向性意见，不得超出</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文件所述范围。介绍应当提交书面介绍材料，并随采购文件一并存档。</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7.3.6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过程严格保密</w:t>
      </w:r>
    </w:p>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7.3.6.1 </w:t>
      </w:r>
      <w:r>
        <w:rPr>
          <w:rFonts w:hint="eastAsia" w:ascii="宋体" w:hAnsi="宋体" w:eastAsia="宋体" w:cs="宋体"/>
          <w:color w:val="auto"/>
          <w:kern w:val="0"/>
          <w:sz w:val="24"/>
          <w:szCs w:val="24"/>
          <w:highlight w:val="none"/>
        </w:rPr>
        <w:t>采购人、采购代理机构应当采取必要措施，保证</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在严格保密的情况下进行。除采购人代表、</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现场组织人员外，采购人的其他工作人员以及与</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工作无关的人员不得进入</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现场。</w:t>
      </w:r>
    </w:p>
    <w:p>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7.3.6.2 有关人员对</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情况以及在</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过程中获悉的国家秘密、商业秘密负有保密责任。</w:t>
      </w:r>
      <w:r>
        <w:rPr>
          <w:rFonts w:hint="eastAsia" w:ascii="宋体" w:hAnsi="宋体" w:eastAsia="宋体" w:cs="宋体"/>
          <w:color w:val="auto"/>
          <w:sz w:val="24"/>
          <w:szCs w:val="24"/>
          <w:highlight w:val="none"/>
        </w:rPr>
        <w:t>开启响应文件后，直至授予成交供应商合同为止，凡属于对响应文件的审查、澄清、评价和比较的有关资料以及成交候选人的推荐情况，与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有关的其他任何情况均严格保密。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7.3.7 供应商对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过程或合同授予决定施加影响的任何行为都可能导致其响应文件无效。</w:t>
      </w:r>
    </w:p>
    <w:p>
      <w:p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7.3.8</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完成后，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小组应当向采购人提交书面评审报告，并由采购代理机构转送。</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44" w:name="_Toc217446061"/>
      <w:r>
        <w:rPr>
          <w:rFonts w:hint="eastAsia" w:ascii="宋体" w:hAnsi="宋体" w:eastAsia="宋体" w:cs="宋体"/>
          <w:color w:val="auto"/>
          <w:sz w:val="24"/>
          <w:szCs w:val="24"/>
          <w:highlight w:val="none"/>
        </w:rPr>
        <w:t>.确定成交供应商</w:t>
      </w:r>
    </w:p>
    <w:p>
      <w:pPr>
        <w:spacing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8.1确定成交供应商原则</w:t>
      </w:r>
      <w:bookmarkEnd w:id="44"/>
    </w:p>
    <w:p>
      <w:pPr>
        <w:spacing w:line="360" w:lineRule="auto"/>
        <w:ind w:firstLine="470" w:firstLineChars="196"/>
        <w:rPr>
          <w:rFonts w:hint="eastAsia" w:ascii="宋体" w:hAnsi="宋体" w:eastAsia="宋体" w:cs="宋体"/>
          <w:color w:val="auto"/>
          <w:sz w:val="24"/>
          <w:szCs w:val="24"/>
          <w:highlight w:val="none"/>
        </w:rPr>
      </w:pPr>
      <w:bookmarkStart w:id="45" w:name="_Toc217446062"/>
      <w:r>
        <w:rPr>
          <w:rFonts w:hint="eastAsia" w:ascii="宋体" w:hAnsi="宋体" w:eastAsia="宋体" w:cs="宋体"/>
          <w:color w:val="auto"/>
          <w:sz w:val="24"/>
          <w:szCs w:val="24"/>
          <w:highlight w:val="none"/>
        </w:rPr>
        <w:t>采购人或其授权的磋商小组按照评审报告中提出的成交候人中，按照顺序由高到低的原则确定成交供应商。</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确定成交供应商程序</w:t>
      </w:r>
      <w:bookmarkEnd w:id="45"/>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8.2.1磋商小组将评审情况写出书面报告，推荐3个成交候选人，并按照综合得分高低标明排列顺序。得分相同的，按照最后报价由低到高顺序排列；得分且最后报价相同的按照技术指标优劣顺序排列。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采购代理机构在评审结束后2个工作日内将评审报告送采购人确认。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 采购人应当在收到评审报告后5个工作日内，按照评审报告中推荐的成交候选人中，按照顺序由高到低确定成交供应商。同时，将确定成交供应商的结果复函至采购代理机构。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采购人逾期未确定成交供应商，且不提出异议的，视同确定评审报告提出的排名第一的成交候选人为成交供应商。</w:t>
      </w:r>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8.2.4采购代理机构应当在接到采购人“定标”复函之日起2个工作日内，根据采购人确定的成交供应商，在省级以上财政部门指定的媒体上公告成交结果，</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文件应当随成交结果同时公告；成交供应商的《中小企业声明函》或者《残疾人福利性单位声明函》</w:t>
      </w:r>
      <w:r>
        <w:rPr>
          <w:rFonts w:hint="eastAsia" w:ascii="宋体" w:hAnsi="宋体" w:cs="宋体"/>
          <w:color w:val="auto"/>
          <w:sz w:val="24"/>
          <w:szCs w:val="24"/>
          <w:highlight w:val="none"/>
          <w:lang w:val="en-US" w:eastAsia="zh-CN"/>
        </w:rPr>
        <w:t>或者《监狱企业》</w:t>
      </w:r>
      <w:r>
        <w:rPr>
          <w:rFonts w:hint="eastAsia" w:ascii="宋体" w:hAnsi="宋体" w:eastAsia="宋体" w:cs="宋体"/>
          <w:color w:val="auto"/>
          <w:sz w:val="24"/>
          <w:szCs w:val="24"/>
          <w:highlight w:val="none"/>
        </w:rPr>
        <w:t>也应随成交结果同时公告。</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8.3 成交通知书</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成交通知书为签订政府采购合同的依据之一，是合同的有效组成部分。</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8.3.2 成交通知书对采购人和成交供应商均具有法律效力。成交通知书发出后，采购人不得违法改变成交结果，成交供应商无正当理由不得放弃成交资格。否则，应当承担相应的法律责任。</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8.3.3 成交供应商应当在接到采购代理机构通知之日起2个工作日内领取《成交通知书》。</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9.合同授予</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9.1 履约保证金</w:t>
      </w:r>
    </w:p>
    <w:p>
      <w:pPr>
        <w:tabs>
          <w:tab w:val="left" w:pos="7665"/>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按照供应商须知前附表的规定本项目需要提交履约保证金的，成交供应商在收到采购代理机构的成交通知书后10日内，应当按照供应商须知前附表规定的形式、金额，向采购人提交履约保证金或履约担保。联合体成交的，履约保证金或履约担保由联合体各方或者联合体中牵头人的名义提交。</w:t>
      </w:r>
    </w:p>
    <w:p>
      <w:pPr>
        <w:tabs>
          <w:tab w:val="left" w:pos="7665"/>
        </w:tabs>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9.1.2 成交供应商</w:t>
      </w:r>
      <w:r>
        <w:rPr>
          <w:rFonts w:hint="eastAsia" w:ascii="宋体" w:hAnsi="宋体" w:eastAsia="宋体" w:cs="宋体"/>
          <w:color w:val="auto"/>
          <w:spacing w:val="4"/>
          <w:sz w:val="24"/>
          <w:szCs w:val="24"/>
          <w:highlight w:val="none"/>
        </w:rPr>
        <w:t>不能按照本章第9.1.1项规定</w:t>
      </w:r>
      <w:r>
        <w:rPr>
          <w:rFonts w:hint="eastAsia" w:ascii="宋体" w:hAnsi="宋体" w:eastAsia="宋体" w:cs="宋体"/>
          <w:color w:val="auto"/>
          <w:sz w:val="24"/>
          <w:szCs w:val="24"/>
          <w:highlight w:val="none"/>
        </w:rPr>
        <w:t>提交履约保证金或履约担保的</w:t>
      </w:r>
      <w:r>
        <w:rPr>
          <w:rFonts w:hint="eastAsia" w:ascii="宋体" w:hAnsi="宋体" w:eastAsia="宋体" w:cs="宋体"/>
          <w:color w:val="auto"/>
          <w:spacing w:val="4"/>
          <w:sz w:val="24"/>
          <w:szCs w:val="24"/>
          <w:highlight w:val="none"/>
        </w:rPr>
        <w:t>，视为放弃</w:t>
      </w:r>
      <w:r>
        <w:rPr>
          <w:rFonts w:hint="eastAsia" w:ascii="宋体" w:hAnsi="宋体" w:eastAsia="宋体" w:cs="宋体"/>
          <w:color w:val="auto"/>
          <w:sz w:val="24"/>
          <w:szCs w:val="24"/>
          <w:highlight w:val="none"/>
        </w:rPr>
        <w:t>成交资格</w:t>
      </w:r>
      <w:r>
        <w:rPr>
          <w:rFonts w:hint="eastAsia" w:ascii="宋体" w:hAnsi="宋体" w:eastAsia="宋体" w:cs="宋体"/>
          <w:color w:val="auto"/>
          <w:spacing w:val="4"/>
          <w:sz w:val="24"/>
          <w:szCs w:val="24"/>
          <w:highlight w:val="none"/>
        </w:rPr>
        <w:t>，有</w:t>
      </w:r>
      <w:r>
        <w:rPr>
          <w:rFonts w:hint="eastAsia" w:ascii="宋体" w:hAnsi="宋体" w:cs="宋体"/>
          <w:color w:val="auto"/>
          <w:spacing w:val="2"/>
          <w:sz w:val="24"/>
          <w:szCs w:val="24"/>
          <w:highlight w:val="none"/>
          <w:lang w:eastAsia="zh-CN"/>
        </w:rPr>
        <w:t>磋商</w:t>
      </w:r>
      <w:r>
        <w:rPr>
          <w:rFonts w:hint="eastAsia" w:ascii="宋体" w:hAnsi="宋体" w:eastAsia="宋体" w:cs="宋体"/>
          <w:color w:val="auto"/>
          <w:spacing w:val="2"/>
          <w:sz w:val="24"/>
          <w:szCs w:val="24"/>
          <w:highlight w:val="none"/>
        </w:rPr>
        <w:t>保证金的不予退还，给采购人造成损失的，成交供应商应当予以赔偿。</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9.2 签订合同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9.2.1采购人应当自《成交通知书》发出之日起30日内，按照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文件和成交供应商响应文件的的规定，与成交供应商签订书面合同。成交供应商无正当理由拒签合同，或者在签订合同时向采购人提出附件条件，采购人有权取消其成交资格，有</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保证金的不予退还，给采购人造成损失的，</w:t>
      </w:r>
      <w:r>
        <w:rPr>
          <w:rFonts w:hint="eastAsia" w:ascii="宋体" w:hAnsi="宋体" w:eastAsia="宋体" w:cs="宋体"/>
          <w:color w:val="auto"/>
          <w:spacing w:val="2"/>
          <w:sz w:val="24"/>
          <w:szCs w:val="24"/>
          <w:highlight w:val="none"/>
        </w:rPr>
        <w:t>成交供应商应当予以赔偿。采购人可以</w:t>
      </w:r>
      <w:r>
        <w:rPr>
          <w:rFonts w:hint="eastAsia" w:ascii="宋体" w:hAnsi="宋体" w:eastAsia="宋体" w:cs="宋体"/>
          <w:color w:val="auto"/>
          <w:sz w:val="24"/>
          <w:szCs w:val="24"/>
          <w:highlight w:val="none"/>
        </w:rPr>
        <w:t>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9.2.2 发出成交通知书后，采购人不得向成交供应商提出任何不合理要求，作为签订合同的条件，不得与成交供应商私下订立背离合同实质性内容的任何协议，所签订的合同不得对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文件确定的事项和成交供应商响应文件做实质性修改。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9.2.3 联合体成交的，联合体各方应当与采购人签订采购合同，就成交项目向采购人承担连带责任。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9.2.4 采购人应当自政府采购合同签订之日起2个工作日内，在省级以上财政部门指定的媒体上对合同进行公示，但政府采购合同中涉及国家秘密、商业秘密的内容除外。</w:t>
      </w:r>
    </w:p>
    <w:p>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9.2.5 采购人应当自合同签订之日起7个工作日内将政府采购合同报送监管机构备案。</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9.3 合同履行</w:t>
      </w:r>
    </w:p>
    <w:p>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 政府采购合同一经签订，双方应严格履行合同规定的义务。在合同履行过程中，如发生合同纠纷，合同双方应按照《中华人民共和国民法典》及合同条款的有关规定进行处理。</w:t>
      </w:r>
    </w:p>
    <w:p>
      <w:pPr>
        <w:tabs>
          <w:tab w:val="left" w:pos="426"/>
        </w:tabs>
        <w:autoSpaceDE w:val="0"/>
        <w:autoSpaceDN w:val="0"/>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9.3.2 </w:t>
      </w:r>
      <w:r>
        <w:rPr>
          <w:rFonts w:hint="eastAsia" w:ascii="宋体" w:hAnsi="宋体" w:eastAsia="宋体" w:cs="宋体"/>
          <w:color w:val="auto"/>
          <w:sz w:val="24"/>
          <w:szCs w:val="24"/>
          <w:highlight w:val="none"/>
          <w:lang w:eastAsia="zh-TW"/>
        </w:rPr>
        <w:t>政府采购合同订立后，合同各方不得擅自变更</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TW"/>
        </w:rPr>
        <w:t>中止或者终止合同。政府采购合同需要变更的，采购人应将有关合同变更内容，以书面形式报政府采购监督管理</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lang w:eastAsia="zh-TW"/>
        </w:rPr>
        <w:t>备案；因特殊情况需要中止或终止合同的，采购人应将中止或终止合同的理由以及相应措施，以书面形式报政府采购监督管理</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lang w:eastAsia="zh-TW"/>
        </w:rPr>
        <w:t>备案。</w:t>
      </w:r>
    </w:p>
    <w:p>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9.3.3 </w:t>
      </w:r>
      <w:r>
        <w:rPr>
          <w:rFonts w:hint="eastAsia" w:ascii="宋体" w:hAnsi="宋体" w:eastAsia="宋体" w:cs="宋体"/>
          <w:color w:val="auto"/>
          <w:sz w:val="24"/>
          <w:szCs w:val="24"/>
          <w:highlight w:val="none"/>
          <w:lang w:eastAsia="zh-TW"/>
        </w:rPr>
        <w:t>政府采购合同履行中，采购人需追加与合同标的相同的货物的，在不改变合同其他条款的前提下，可以与</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eastAsia="zh-TW"/>
        </w:rPr>
        <w:t>签订补充合同，但所补充合同的采购金额不得超过原</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TW"/>
        </w:rPr>
        <w:t>采购金额的百分之十。签订补充合同的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eastAsia="zh-TW"/>
        </w:rPr>
        <w:t>按规定备案。</w:t>
      </w:r>
    </w:p>
    <w:p>
      <w:pPr>
        <w:spacing w:before="120" w:beforeLines="50" w:after="12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10.终止</w:t>
      </w:r>
      <w:r>
        <w:rPr>
          <w:rFonts w:hint="eastAsia" w:ascii="宋体" w:hAnsi="宋体" w:cs="宋体"/>
          <w:color w:val="auto"/>
          <w:sz w:val="24"/>
          <w:szCs w:val="24"/>
          <w:highlight w:val="none"/>
          <w:lang w:eastAsia="zh-CN"/>
        </w:rPr>
        <w:t>磋商</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10.1出现下列情形之一的，采购人或者采购代理机构应当终止本次竞争性</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采购活动，发布终止公告并说明原因，重新开展采购活动：</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（1）因情况变化，不再符合规定的竞争性</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采购方式适用情形的；</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（2）出现影响采购公正的违法、违规行为的；</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（3）除《政府采购竞争性</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采购方式管理暂行办法》办法第21条第3款规定的情形外，在采购过程中符合要求的供应商或者</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报价未超过采购预算的供应商不足3家的。</w:t>
      </w:r>
    </w:p>
    <w:p>
      <w:pPr>
        <w:pStyle w:val="5"/>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10.2 </w:t>
      </w:r>
      <w:r>
        <w:rPr>
          <w:rFonts w:hint="eastAsia" w:ascii="宋体" w:hAnsi="宋体" w:eastAsia="宋体" w:cs="宋体"/>
          <w:color w:val="auto"/>
          <w:sz w:val="24"/>
          <w:szCs w:val="24"/>
          <w:highlight w:val="none"/>
        </w:rPr>
        <w:t>符合资格条件的供应商少于3家情形的，应当按照《政府采购促进中小企业发展管理办法》（财库[2020]46号）第十条的规定，视同未预留份额的采购项目或者采购包，重新组织采购活动。</w:t>
      </w:r>
    </w:p>
    <w:p>
      <w:pPr>
        <w:pStyle w:val="26"/>
        <w:snapToGrid w:val="0"/>
        <w:spacing w:before="0" w:beforeAutospacing="0" w:after="0" w:afterAutospacing="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szCs w:val="24"/>
          <w:highlight w:val="none"/>
        </w:rPr>
        <w:t>10.3在采购活动中因重大变故，采购任务取消的，采购人或者采购代理机构应当终止</w:t>
      </w:r>
      <w:r>
        <w:rPr>
          <w:rFonts w:hint="eastAsia" w:ascii="宋体" w:hAnsi="宋体" w:eastAsia="宋体" w:cs="宋体"/>
          <w:b/>
          <w:snapToGrid w:val="0"/>
          <w:color w:val="auto"/>
          <w:sz w:val="24"/>
          <w:szCs w:val="24"/>
          <w:highlight w:val="none"/>
        </w:rPr>
        <w:t>项目</w:t>
      </w:r>
      <w:r>
        <w:rPr>
          <w:rFonts w:hint="eastAsia" w:ascii="宋体" w:hAnsi="宋体" w:eastAsia="宋体" w:cs="宋体"/>
          <w:snapToGrid w:val="0"/>
          <w:color w:val="auto"/>
          <w:sz w:val="24"/>
          <w:szCs w:val="24"/>
          <w:highlight w:val="none"/>
        </w:rPr>
        <w:t>采购活动，通知所有参加采购活动的供应商，并将项目实施情况和采购任务取消原因报送本级财政部门。</w:t>
      </w:r>
    </w:p>
    <w:p>
      <w:pPr>
        <w:tabs>
          <w:tab w:val="left" w:pos="426"/>
        </w:tabs>
        <w:autoSpaceDE w:val="0"/>
        <w:autoSpaceDN w:val="0"/>
        <w:adjustRightInd w:val="0"/>
        <w:snapToGrid w:val="0"/>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11.质疑与投诉</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11.1质疑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如供应商对本次采购活动有疑问，认为需要提出质疑和投诉的，应当按照《政府采购质疑投诉办法》（财政部94号令）的有关规定办理。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供应商对采购文件、采购过程或成交结果使自身的合法权益受到损害，应当在法定期限内，按照质疑函范本格式要求以书面形式向采购代理机构或采购人提出质疑，并附必要的证明材料。</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质疑函应当包括下列内容：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供应商为法人的，应当由法定代表人或者其委托代理人签名或者盖章，并加盖单位章。</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11.1.4质疑人可以委托代理人办理质疑事项，代理人办理质疑事项时，除提交质疑函外，还应当提交质疑人的授权委托书及代理人的有效身份证明，授权委托书应当载明委托代理的具体权限期限和相关事项。</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质疑函范本格式在中国政府采购网站（http://www.ccgp.gov.cn/）自行下载。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接收质疑函的联系部门、联系电话和通讯地址同</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公告。</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有下列情形之一的，属于无效质疑：</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（1）对采购文件提出质疑的质疑人不是依法获取采购文件的潜在供应商；对采购过程、成交结果提出质疑的不是参与本次政府采购项目的供应商；</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（2）质疑人与质疑事项不存在利害关系的；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（3）未在法定期限内提出质疑的；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（4）质疑未以书面形式提出，以传真、电子邮件、移动通信等形式即时收悉提交的质疑材料；</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（5）质疑未按质疑函范本格式提出的；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（6）未提交营业执照或法人证书复印件，由授权代表签名的，未提交授权委托书；</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（7）质疑书没有合法有效的签名、盖章的；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（8）以非法手段取得证据、材料的；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（9）质疑答复后，同一质疑人就同一事项再次提出质疑的；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（10）不符合法律、法规、规章和政府采购监管机构规定的其他条件的。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采购代理机构或采购人将在收到书面质疑后7个工作日内做出答复，并以书面形式通知质疑人和其他有关供应商。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 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11.2.1 质疑人对采购代理机构或采购人的答复不满意，或者采购人、采购代理机构未在规定时间内作出答复的，可以在答复期满后15个工作日内向</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凤县财政局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（财政部门）提起投诉</w:t>
      </w:r>
      <w:r>
        <w:rPr>
          <w:rFonts w:hint="eastAsia" w:ascii="宋体" w:hAnsi="宋体" w:cs="宋体"/>
          <w:color w:val="auto"/>
          <w:sz w:val="24"/>
          <w:szCs w:val="24"/>
          <w:highlight w:val="none"/>
          <w:lang w:eastAsia="zh-CN"/>
        </w:rPr>
        <w:t>。</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供应商投诉时,应当提交投诉书和必要的证明材料，并按照被投诉采购人、采购代理机构（以下简称被投诉人）和与投诉事项有关的供应商数量提供投诉书的副本。投诉书应当包括下列内容：</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（1）投诉人和被投诉人的姓名或者名称、通讯地址、邮编、联系人及联系电话；</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（2）质疑和质疑答复情况说明及相关证明材料；</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（3）具体、明确的投诉事项和与投诉事项相关的投诉请求；</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（6）提起投诉的日期。</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投诉人为自然人的，应当由本人签名；投诉人为法人或者其他组织的，应当由法定代表人、主要负责人，或者其委托代理人签名或者盖章，并加盖单位章。</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投诉书范本格式在中国政府采购网站（http://www.ccgp.gov.cn/）自行下载。</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投诉人提起投诉应当符合下列条件：</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（1）提起投诉前已依法进行质疑；</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（2）投诉书内容符合财政部94号令的规定；</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（3）在投诉有效期限内提起投诉；</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（4）同一投诉事项未经财政部门投诉处理；</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（5）财政部规定的其他条件。</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投诉人投诉的事项不得超出已质疑事项的范围，但基于质疑答复内容提出的投诉事项除外。</w:t>
      </w:r>
    </w:p>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11.3恶意质疑、投诉的法律后果</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11.3.1对捏造事实、提供虚假材料进行质疑、投诉的行为将予以严肃处理：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11.3.2对捏造事实诬告陷害他人、诽谤他人的法律适用：</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（2）《中华人民共和国刑法》第246条【侮辱罪、诽谤罪】以暴力或者其他方法公然侮辱他人或者捏造事实诽谤他人，情节严重的，处三年以下有期徒刑、拘役、管制或者剥夺政治权利。</w:t>
      </w:r>
    </w:p>
    <w:p>
      <w:pPr>
        <w:spacing w:before="240" w:beforeLines="100" w:after="12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12.其他</w:t>
      </w:r>
    </w:p>
    <w:p>
      <w:pPr>
        <w:spacing w:before="120" w:beforeLines="50" w:after="12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采购代理服务费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.1由成交供应商支付采购代理服务费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成交供应商在领取《成交通知书》之前，应向采购代理机构交纳采购代理服务费。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采购代理服务费</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rPr>
        <w:t>《国家计委关于印发招标代理服务收费管理暂行办法的通知》（计价格〔2002〕1980号）和国家发改委办公厅颁发的《关于招标代理服务收费有关问题的通知》（发改办价格〔2003〕857号）文件规定标准收取。具体收费金额将在成交公告中公布。</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供应商须知前附表要求供应商提交</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保证金的，成交供应商不得用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保证金冲抵</w:t>
      </w:r>
      <w:r>
        <w:rPr>
          <w:rFonts w:hint="eastAsia" w:ascii="宋体" w:hAnsi="宋体" w:cs="宋体"/>
          <w:color w:val="auto"/>
          <w:sz w:val="24"/>
          <w:szCs w:val="24"/>
          <w:highlight w:val="none"/>
          <w:lang w:val="en-US" w:eastAsia="zh-CN"/>
        </w:rPr>
        <w:t>代理服务费</w:t>
      </w:r>
      <w:r>
        <w:rPr>
          <w:rFonts w:hint="eastAsia" w:ascii="宋体" w:hAnsi="宋体" w:eastAsia="宋体" w:cs="宋体"/>
          <w:color w:val="auto"/>
          <w:sz w:val="24"/>
          <w:szCs w:val="24"/>
          <w:highlight w:val="none"/>
        </w:rPr>
        <w:t>，未按本章第12.2.1项规定交纳采购代理服务费的，其</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保证金将被采购代理机构全额没收。</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after="120" w:afterLines="50" w:line="360" w:lineRule="auto"/>
        <w:jc w:val="center"/>
        <w:outlineLvl w:val="0"/>
        <w:rPr>
          <w:rFonts w:hint="eastAsia" w:ascii="宋体" w:hAnsi="宋体" w:eastAsia="宋体" w:cs="宋体"/>
          <w:b/>
          <w:color w:val="auto"/>
          <w:sz w:val="30"/>
          <w:szCs w:val="30"/>
          <w:highlight w:val="none"/>
        </w:rPr>
      </w:pPr>
      <w:bookmarkStart w:id="46" w:name="_Toc16253"/>
      <w:r>
        <w:rPr>
          <w:rFonts w:hint="eastAsia" w:ascii="宋体" w:hAnsi="宋体" w:eastAsia="宋体" w:cs="宋体"/>
          <w:b/>
          <w:color w:val="auto"/>
          <w:sz w:val="30"/>
          <w:szCs w:val="30"/>
          <w:highlight w:val="none"/>
        </w:rPr>
        <w:t>第三章 资格审查办法</w:t>
      </w:r>
      <w:bookmarkEnd w:id="46"/>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根据《中华人民共和国政府采购法》及其实施条例和财政部《政府采购竞争性磋商采购方式管理暂行办法》（财库〔2014〕214号）等法律法规的规定，结合采购项目特点，制定本资格审查办法。</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1.资格审查小组</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根据陕西省财政厅2022年9月30日发布的陕财办采【2022】9号文陕西省财政厅关于印发《政府采购项目电子化交易规则(试行)》通知的第二十六条，竞争性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，由采购人或采购人委托的采购代理机构或评审专家通过电子化交易平台进行资格审查。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资格审查小组，由</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小组担任，</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小组组长担任资格审查小组组长。</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资格审查小组成立后，全体小组成员应当在签到表中签到。</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2.资格审查程序</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资格审查按下列程序进行：</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（1）供应商基本资格条件审查；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（2）供应商落实政府采购政策资格条件审查（仅限专门面向中小企业采购的项目）</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（4）编写供应商资格审查报告；</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3.资格审查方法和标准</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资格审查依据</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3.1.1 资格审查小组将依据供应商响应文件之资格证明文件，按照第二章第3.1条款所述资格要求对供应商进行资格审查，以确定其是否具备相应的资格条件。</w:t>
      </w:r>
      <w:r>
        <w:rPr>
          <w:rFonts w:hint="eastAsia" w:ascii="宋体" w:hAnsi="宋体" w:eastAsia="宋体" w:cs="宋体"/>
          <w:color w:val="auto"/>
          <w:kern w:val="0"/>
          <w:sz w:val="24"/>
          <w:szCs w:val="24"/>
          <w:highlight w:val="none"/>
        </w:rPr>
        <w:t>如果供应商不具备或者不满足</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文件所规定的资格条件,将视为未实质性响应</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w:t>
      </w:r>
      <w:r>
        <w:rPr>
          <w:rFonts w:hint="eastAsia" w:ascii="宋体" w:hAnsi="宋体" w:eastAsia="宋体" w:cs="宋体"/>
          <w:b/>
          <w:color w:val="auto"/>
          <w:kern w:val="0"/>
          <w:sz w:val="24"/>
          <w:szCs w:val="24"/>
          <w:highlight w:val="none"/>
        </w:rPr>
        <w:t>其响应文件无效</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3.2供应商资格条件的审查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3.2.1 资格条件审查方法</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含基本资格和特定资格</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对</w:t>
      </w:r>
      <w:r>
        <w:rPr>
          <w:rFonts w:hint="eastAsia" w:ascii="宋体" w:hAnsi="宋体" w:eastAsia="宋体" w:cs="宋体"/>
          <w:color w:val="auto"/>
          <w:kern w:val="0"/>
          <w:sz w:val="24"/>
          <w:szCs w:val="24"/>
          <w:highlight w:val="none"/>
        </w:rPr>
        <w:t>供应商营业执照，不审查原件，通过国家企业信用信息公示系统进行相关信息的核实；</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3.2.2资格条件审查标准：</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（1）资格审查小组将按下表所列举的审查标准对供应商资格条件进行审查，供应商若有一项不合格，即判定其资格条件审查结果为不合格，</w:t>
      </w:r>
      <w:r>
        <w:rPr>
          <w:rFonts w:hint="eastAsia" w:ascii="宋体" w:hAnsi="宋体" w:eastAsia="宋体" w:cs="宋体"/>
          <w:b/>
          <w:color w:val="auto"/>
          <w:kern w:val="0"/>
          <w:sz w:val="24"/>
          <w:szCs w:val="24"/>
          <w:highlight w:val="none"/>
        </w:rPr>
        <w:t>其响应文件无效</w:t>
      </w:r>
      <w:r>
        <w:rPr>
          <w:rFonts w:hint="eastAsia" w:ascii="宋体" w:hAnsi="宋体" w:eastAsia="宋体" w:cs="宋体"/>
          <w:color w:val="auto"/>
          <w:kern w:val="0"/>
          <w:sz w:val="24"/>
          <w:szCs w:val="24"/>
          <w:highlight w:val="none"/>
        </w:rPr>
        <w:t>。</w:t>
      </w:r>
    </w:p>
    <w:tbl>
      <w:tblPr>
        <w:tblStyle w:val="30"/>
        <w:tblW w:w="8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5659"/>
        <w:gridCol w:w="1020"/>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211" w:firstLineChars="100"/>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标准</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521" w:leftChars="-3" w:hanging="527" w:hangingChars="25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主体资格证明</w:t>
            </w:r>
            <w:r>
              <w:rPr>
                <w:rFonts w:hint="eastAsia" w:ascii="宋体" w:hAnsi="宋体" w:eastAsia="宋体" w:cs="宋体"/>
                <w:color w:val="auto"/>
                <w:kern w:val="0"/>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rPr>
            </w:pPr>
            <w:bookmarkStart w:id="47" w:name="OLE_LINK23"/>
            <w:r>
              <w:rPr>
                <w:rFonts w:hint="eastAsia" w:ascii="宋体" w:hAnsi="宋体" w:eastAsia="宋体" w:cs="宋体"/>
                <w:b w:val="0"/>
                <w:kern w:val="2"/>
                <w:sz w:val="21"/>
                <w:szCs w:val="21"/>
                <w:highlight w:val="none"/>
                <w:lang w:val="en-US" w:eastAsia="zh-CN" w:bidi="ar-SA"/>
              </w:rPr>
              <w:t>供应商具有独立承担民事责任的能力，提供统一社会信用代码的营业执照</w:t>
            </w:r>
            <w:bookmarkEnd w:id="47"/>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bookmarkStart w:id="48" w:name="OLE_LINK24"/>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rPr>
            </w:pPr>
            <w:bookmarkStart w:id="49" w:name="OLE_LINK25"/>
            <w:r>
              <w:rPr>
                <w:rFonts w:hint="eastAsia" w:ascii="宋体" w:hAnsi="宋体" w:eastAsia="宋体" w:cs="宋体"/>
                <w:b w:val="0"/>
                <w:kern w:val="2"/>
                <w:sz w:val="21"/>
                <w:szCs w:val="21"/>
                <w:highlight w:val="none"/>
                <w:lang w:val="en-US" w:eastAsia="zh-CN" w:bidi="ar-SA"/>
              </w:rPr>
              <w:t>供应商应授权合法的人员参加投标全过程，其中法定代表人直接参加投标的，须出具法人身份证明，并与营业执照上信息一致，法定代表人授权代表参加投标的，须出具法定代表人授权书及授权代表身份证明</w:t>
            </w:r>
            <w:bookmarkEnd w:id="49"/>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519" w:leftChars="97" w:hanging="315" w:hangingChars="15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519" w:leftChars="-3" w:hanging="525" w:hangingChars="250"/>
              <w:jc w:val="center"/>
              <w:textAlignment w:val="auto"/>
              <w:rPr>
                <w:rFonts w:hint="eastAsia" w:ascii="宋体" w:hAnsi="宋体" w:eastAsia="宋体" w:cs="宋体"/>
                <w:color w:val="auto"/>
                <w:kern w:val="0"/>
                <w:sz w:val="21"/>
                <w:szCs w:val="21"/>
                <w:highlight w:val="none"/>
              </w:rPr>
            </w:pPr>
            <w:bookmarkStart w:id="50" w:name="OLE_LINK26"/>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文件提</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519" w:leftChars="-3" w:hanging="525" w:hangingChars="25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供的格式</w:t>
            </w:r>
            <w:bookmarkEnd w:id="5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bookmarkStart w:id="51" w:name="OLE_LINK29"/>
            <w:r>
              <w:rPr>
                <w:rFonts w:hint="eastAsia" w:ascii="宋体" w:hAnsi="宋体" w:eastAsia="宋体" w:cs="宋体"/>
                <w:b w:val="0"/>
                <w:kern w:val="2"/>
                <w:sz w:val="21"/>
                <w:szCs w:val="21"/>
                <w:highlight w:val="none"/>
                <w:lang w:val="en-US" w:eastAsia="zh-CN" w:bidi="ar-SA"/>
              </w:rPr>
              <w:t>供应商须具备工程设计水利行业乙级(含乙级)以上资质或工程设计水利行业城市防洪专业乙级(含乙级)以上资质，拟派项目负责人须具备相关专业中级（含中级）以上技术职称</w:t>
            </w:r>
            <w:bookmarkEnd w:id="51"/>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bookmarkStart w:id="52" w:name="OLE_LINK30"/>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bookmarkEnd w:id="5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5659"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宋体" w:hAnsi="宋体" w:eastAsia="宋体" w:cs="宋体"/>
                <w:b/>
                <w:color w:val="auto"/>
                <w:kern w:val="0"/>
                <w:sz w:val="21"/>
                <w:szCs w:val="21"/>
                <w:highlight w:val="none"/>
              </w:rPr>
            </w:pPr>
            <w:bookmarkStart w:id="53" w:name="OLE_LINK31"/>
            <w:r>
              <w:rPr>
                <w:rFonts w:hint="eastAsia" w:ascii="宋体" w:hAnsi="宋体" w:eastAsia="宋体" w:cs="宋体"/>
                <w:b/>
                <w:color w:val="auto"/>
                <w:kern w:val="0"/>
                <w:sz w:val="21"/>
                <w:szCs w:val="21"/>
                <w:highlight w:val="none"/>
              </w:rPr>
              <w:t>税收缴纳证明</w:t>
            </w:r>
            <w:bookmarkEnd w:id="53"/>
            <w:r>
              <w:rPr>
                <w:rFonts w:hint="eastAsia" w:ascii="宋体" w:hAnsi="宋体" w:eastAsia="宋体" w:cs="宋体"/>
                <w:b/>
                <w:color w:val="auto"/>
                <w:kern w:val="0"/>
                <w:sz w:val="21"/>
                <w:szCs w:val="21"/>
                <w:highlight w:val="none"/>
              </w:rPr>
              <w:t>：</w:t>
            </w:r>
          </w:p>
          <w:p>
            <w:pPr>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rPr>
            </w:pPr>
            <w:bookmarkStart w:id="54" w:name="OLE_LINK32"/>
            <w:r>
              <w:rPr>
                <w:rFonts w:hint="eastAsia" w:ascii="宋体" w:hAnsi="宋体" w:eastAsia="宋体" w:cs="宋体"/>
                <w:b w:val="0"/>
                <w:kern w:val="2"/>
                <w:sz w:val="21"/>
                <w:szCs w:val="21"/>
                <w:highlight w:val="none"/>
                <w:lang w:val="en-US" w:eastAsia="zh-CN" w:bidi="ar-SA"/>
              </w:rPr>
              <w:t>提供2024年5月至今已缴纳的至少3个月的完税证明或纳税证明（任意税种），依法免税的单位应提供相关证明材料</w:t>
            </w:r>
            <w:bookmarkEnd w:id="54"/>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5659"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社保资金缴纳证明：</w:t>
            </w:r>
          </w:p>
          <w:p>
            <w:pPr>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rPr>
            </w:pPr>
            <w:bookmarkStart w:id="55" w:name="OLE_LINK33"/>
            <w:r>
              <w:rPr>
                <w:rFonts w:hint="eastAsia" w:ascii="宋体" w:hAnsi="宋体" w:eastAsia="宋体" w:cs="宋体"/>
                <w:b w:val="0"/>
                <w:kern w:val="2"/>
                <w:sz w:val="21"/>
                <w:szCs w:val="21"/>
                <w:highlight w:val="none"/>
                <w:lang w:val="en-US" w:eastAsia="zh-CN" w:bidi="ar-SA"/>
              </w:rPr>
              <w:t>提供2024年5月至今已缴存的至少3个月的社会保障资金缴存单据或社保机构开具的社会保险参保缴费情况证明，依法不需要缴纳社会保障资金的单位应提供相关证明材料</w:t>
            </w:r>
            <w:bookmarkEnd w:id="55"/>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5659"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rPr>
            </w:pPr>
            <w:bookmarkStart w:id="56" w:name="OLE_LINK38"/>
            <w:r>
              <w:rPr>
                <w:rFonts w:hint="eastAsia" w:ascii="宋体" w:hAnsi="宋体" w:eastAsia="宋体" w:cs="宋体"/>
                <w:b/>
                <w:bCs/>
                <w:color w:val="auto"/>
                <w:kern w:val="0"/>
                <w:sz w:val="21"/>
                <w:szCs w:val="21"/>
                <w:highlight w:val="none"/>
                <w:lang w:val="en-US" w:eastAsia="zh-CN"/>
              </w:rPr>
              <w:t>财务状况报告</w:t>
            </w:r>
            <w:bookmarkEnd w:id="56"/>
            <w:r>
              <w:rPr>
                <w:rFonts w:hint="eastAsia" w:ascii="宋体" w:hAnsi="宋体" w:eastAsia="宋体" w:cs="宋体"/>
                <w:color w:val="auto"/>
                <w:kern w:val="0"/>
                <w:sz w:val="21"/>
                <w:szCs w:val="21"/>
                <w:highlight w:val="none"/>
                <w:lang w:val="en-US" w:eastAsia="zh-CN"/>
              </w:rPr>
              <w:t>：</w:t>
            </w:r>
            <w:bookmarkStart w:id="57" w:name="OLE_LINK39"/>
            <w:r>
              <w:rPr>
                <w:rFonts w:hint="eastAsia" w:ascii="宋体" w:hAnsi="宋体" w:eastAsia="宋体" w:cs="宋体"/>
                <w:b w:val="0"/>
                <w:kern w:val="2"/>
                <w:sz w:val="21"/>
                <w:szCs w:val="21"/>
                <w:highlight w:val="none"/>
                <w:lang w:val="en-US" w:eastAsia="zh-CN" w:bidi="ar-SA"/>
              </w:rPr>
              <w:t>提供2023年度或2024年度经审计的财务报告或提供响应文件截止时间3个月内其基本账户开户银行出具的资信证明</w:t>
            </w:r>
            <w:bookmarkEnd w:id="57"/>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bookmarkStart w:id="58" w:name="OLE_LINK40"/>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5659"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rPr>
            </w:pPr>
            <w:bookmarkStart w:id="59" w:name="OLE_LINK41"/>
            <w:r>
              <w:rPr>
                <w:rFonts w:hint="eastAsia" w:ascii="宋体" w:hAnsi="宋体" w:eastAsia="宋体" w:cs="宋体"/>
                <w:b w:val="0"/>
                <w:kern w:val="2"/>
                <w:sz w:val="21"/>
                <w:szCs w:val="21"/>
                <w:highlight w:val="none"/>
                <w:lang w:val="en-US" w:eastAsia="zh-CN" w:bidi="ar-SA"/>
              </w:rPr>
              <w:t>参加本次政府采购活动近三年内在经营活动中没有重大违纪的书面声明；</w:t>
            </w:r>
            <w:bookmarkEnd w:id="59"/>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bookmarkStart w:id="60" w:name="OLE_LINK42"/>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文件提供的格式</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5659"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rPr>
            </w:pPr>
            <w:bookmarkStart w:id="61" w:name="OLE_LINK43"/>
            <w:r>
              <w:rPr>
                <w:rFonts w:hint="eastAsia" w:ascii="宋体" w:hAnsi="宋体" w:eastAsia="宋体" w:cs="宋体"/>
                <w:b w:val="0"/>
                <w:kern w:val="2"/>
                <w:sz w:val="21"/>
                <w:szCs w:val="21"/>
                <w:highlight w:val="none"/>
                <w:lang w:val="en-US" w:eastAsia="zh-CN" w:bidi="ar-SA"/>
              </w:rPr>
              <w:t>单位负责人为同一人或者存在直接控股、管理关系的不同投标人，不得参加同一合同项下的政府采购活动</w:t>
            </w:r>
            <w:bookmarkEnd w:id="61"/>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bookmarkStart w:id="62" w:name="OLE_LINK44"/>
            <w:r>
              <w:rPr>
                <w:rFonts w:hint="eastAsia" w:ascii="宋体" w:hAnsi="宋体" w:eastAsia="宋体" w:cs="宋体"/>
                <w:color w:val="auto"/>
                <w:kern w:val="0"/>
                <w:sz w:val="21"/>
                <w:szCs w:val="21"/>
                <w:highlight w:val="none"/>
                <w:lang w:val="en-US" w:eastAsia="zh-CN"/>
              </w:rPr>
              <w:t>提供证明材料</w:t>
            </w:r>
            <w:bookmarkEnd w:id="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lang w:eastAsia="zh-CN"/>
              </w:rPr>
            </w:pPr>
            <w:bookmarkStart w:id="63" w:name="OLE_LINK45"/>
            <w:r>
              <w:rPr>
                <w:rFonts w:hint="eastAsia" w:ascii="宋体" w:hAnsi="宋体" w:eastAsia="宋体" w:cs="宋体"/>
                <w:b w:val="0"/>
                <w:kern w:val="2"/>
                <w:sz w:val="21"/>
                <w:szCs w:val="21"/>
                <w:highlight w:val="none"/>
                <w:lang w:val="en-US" w:eastAsia="zh-CN" w:bidi="ar-SA"/>
              </w:rPr>
              <w:t>供应商不得为：“信用中国”网站（www.creditchina.gov.cn）中列入失信被执行人和重大税收违法失信主体的当事人，不得为中国政府采购网（www.ccgp.gov.cn）政府采购严重违法失信行为记录名单中被财政部门禁止参加政府采购活动的当事人，近三年（2022年6月1日至今）不得有行贿犯罪行为；</w:t>
            </w:r>
            <w:bookmarkEnd w:id="63"/>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bookmarkStart w:id="64" w:name="OLE_LINK46"/>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bookmarkStart w:id="65" w:name="OLE_LINK47"/>
            <w:r>
              <w:rPr>
                <w:rFonts w:hint="eastAsia" w:ascii="宋体" w:hAnsi="宋体" w:eastAsia="宋体" w:cs="宋体"/>
                <w:b w:val="0"/>
                <w:kern w:val="2"/>
                <w:sz w:val="21"/>
                <w:szCs w:val="21"/>
                <w:highlight w:val="none"/>
                <w:lang w:val="en-US" w:eastAsia="zh-CN" w:bidi="ar-SA"/>
              </w:rPr>
              <w:t>提供具有履行本项目合同所必需的技术设备和专业能力的承诺书</w:t>
            </w:r>
            <w:bookmarkEnd w:id="65"/>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bookmarkStart w:id="66" w:name="OLE_LINK13"/>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rPr>
            </w:pPr>
            <w:bookmarkStart w:id="67" w:name="OLE_LINK48"/>
            <w:r>
              <w:rPr>
                <w:rFonts w:hint="eastAsia" w:ascii="宋体" w:hAnsi="宋体" w:eastAsia="宋体" w:cs="宋体"/>
                <w:b/>
                <w:color w:val="auto"/>
                <w:kern w:val="0"/>
                <w:sz w:val="21"/>
                <w:szCs w:val="21"/>
                <w:highlight w:val="none"/>
              </w:rPr>
              <w:t>交纳</w:t>
            </w:r>
            <w:r>
              <w:rPr>
                <w:rFonts w:hint="eastAsia" w:ascii="宋体" w:hAnsi="宋体" w:eastAsia="宋体" w:cs="宋体"/>
                <w:b/>
                <w:color w:val="auto"/>
                <w:kern w:val="0"/>
                <w:sz w:val="21"/>
                <w:szCs w:val="21"/>
                <w:highlight w:val="none"/>
                <w:lang w:eastAsia="zh-CN"/>
              </w:rPr>
              <w:t>磋商</w:t>
            </w:r>
            <w:r>
              <w:rPr>
                <w:rFonts w:hint="eastAsia" w:ascii="宋体" w:hAnsi="宋体" w:eastAsia="宋体" w:cs="宋体"/>
                <w:b/>
                <w:color w:val="auto"/>
                <w:kern w:val="0"/>
                <w:sz w:val="21"/>
                <w:szCs w:val="21"/>
                <w:highlight w:val="none"/>
              </w:rPr>
              <w:t>保证金证明</w:t>
            </w:r>
            <w:bookmarkEnd w:id="67"/>
            <w:r>
              <w:rPr>
                <w:rFonts w:hint="eastAsia" w:ascii="宋体" w:hAnsi="宋体" w:eastAsia="宋体" w:cs="宋体"/>
                <w:b/>
                <w:color w:val="auto"/>
                <w:kern w:val="0"/>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kern w:val="0"/>
                <w:sz w:val="21"/>
                <w:szCs w:val="21"/>
                <w:highlight w:val="none"/>
              </w:rPr>
            </w:pPr>
            <w:bookmarkStart w:id="68" w:name="OLE_LINK49"/>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保证金交纳凭证</w:t>
            </w:r>
            <w:r>
              <w:rPr>
                <w:rFonts w:hint="eastAsia" w:ascii="宋体" w:hAnsi="宋体" w:eastAsia="宋体" w:cs="宋体"/>
                <w:color w:val="auto"/>
                <w:kern w:val="0"/>
                <w:sz w:val="21"/>
                <w:szCs w:val="21"/>
                <w:highlight w:val="none"/>
                <w:lang w:val="en-US" w:eastAsia="zh-CN"/>
              </w:rPr>
              <w:t>（基本账户开户证明或基本存款账户信息）</w:t>
            </w:r>
            <w:bookmarkEnd w:id="68"/>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bookmarkStart w:id="69" w:name="OLE_LINK50"/>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bookmarkStart w:id="70" w:name="OLE_LINK51"/>
            <w:r>
              <w:rPr>
                <w:rFonts w:hint="eastAsia" w:ascii="宋体" w:hAnsi="宋体" w:eastAsia="宋体" w:cs="宋体"/>
                <w:color w:val="auto"/>
                <w:sz w:val="21"/>
                <w:szCs w:val="21"/>
                <w:highlight w:val="none"/>
                <w:lang w:val="en-US" w:eastAsia="zh-CN"/>
              </w:rPr>
              <w:t>本项目不接受联合体（承诺书）</w:t>
            </w:r>
            <w:bookmarkEnd w:id="70"/>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color w:val="auto"/>
                <w:kern w:val="0"/>
                <w:sz w:val="21"/>
                <w:szCs w:val="21"/>
                <w:highlight w:val="none"/>
              </w:rPr>
            </w:pPr>
            <w:bookmarkStart w:id="71" w:name="OLE_LINK52"/>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bookmarkEnd w:id="71"/>
          </w:p>
        </w:tc>
      </w:tr>
    </w:tbl>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before="360" w:beforeLines="150" w:after="120" w:afterLines="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3.3供应商落实政府采购政策资格条件审查</w:t>
      </w:r>
    </w:p>
    <w:p>
      <w:pPr>
        <w:tabs>
          <w:tab w:val="left" w:pos="0"/>
        </w:tabs>
        <w:adjustRightInd w:val="0"/>
        <w:snapToGrid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3.3.1供应商落实政府采购政策资格条件审查方法：</w:t>
      </w:r>
    </w:p>
    <w:p>
      <w:pPr>
        <w:spacing w:before="120" w:beforeLines="50" w:after="120" w:afterLines="50" w:line="240" w:lineRule="auto"/>
        <w:ind w:firstLine="723" w:firstLineChars="300"/>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本项目专门面向中小企业采购，供应商应当为中小企业（含残疾人福利性单位</w:t>
      </w:r>
      <w:r>
        <w:rPr>
          <w:rFonts w:hint="eastAsia" w:ascii="宋体" w:hAnsi="宋体" w:cs="宋体"/>
          <w:b/>
          <w:bCs/>
          <w:i w:val="0"/>
          <w:iCs w:val="0"/>
          <w:caps w:val="0"/>
          <w:color w:val="auto"/>
          <w:spacing w:val="0"/>
          <w:sz w:val="24"/>
          <w:szCs w:val="24"/>
          <w:highlight w:val="none"/>
          <w:shd w:val="clear" w:color="auto" w:fill="FFFFFF"/>
          <w:lang w:val="en-US" w:eastAsia="zh-CN"/>
        </w:rPr>
        <w:t>、监狱企业</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（1）审查供应商提供的《中小企业声明函》或者《残疾人福利性单位声明函》</w:t>
      </w:r>
      <w:r>
        <w:rPr>
          <w:rFonts w:hint="eastAsia" w:hAnsi="宋体" w:cs="宋体"/>
          <w:color w:val="auto"/>
          <w:kern w:val="0"/>
          <w:sz w:val="24"/>
          <w:szCs w:val="24"/>
          <w:highlight w:val="none"/>
          <w:lang w:val="en-US" w:eastAsia="zh-CN" w:bidi="ar-SA"/>
        </w:rPr>
        <w:t>或者《监狱企业》</w:t>
      </w:r>
      <w:r>
        <w:rPr>
          <w:rFonts w:hint="eastAsia" w:ascii="宋体" w:hAnsi="宋体" w:eastAsia="宋体" w:cs="宋体"/>
          <w:color w:val="auto"/>
          <w:kern w:val="0"/>
          <w:sz w:val="24"/>
          <w:szCs w:val="24"/>
          <w:highlight w:val="none"/>
          <w:lang w:val="en-US" w:eastAsia="zh-CN" w:bidi="ar-SA"/>
        </w:rPr>
        <w:t>盖章证明文件。</w:t>
      </w:r>
    </w:p>
    <w:p>
      <w:pPr>
        <w:pStyle w:val="2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（2）供应商提供的《中小企业声明函》或者《残疾人福利性单位声明函》</w:t>
      </w:r>
      <w:r>
        <w:rPr>
          <w:rFonts w:hint="eastAsia" w:hAnsi="宋体" w:cs="宋体"/>
          <w:color w:val="auto"/>
          <w:kern w:val="0"/>
          <w:sz w:val="24"/>
          <w:szCs w:val="24"/>
          <w:highlight w:val="none"/>
          <w:lang w:val="en-US" w:eastAsia="zh-CN" w:bidi="ar-SA"/>
        </w:rPr>
        <w:t>或者《监狱企业》</w:t>
      </w:r>
      <w:r>
        <w:rPr>
          <w:rFonts w:hint="eastAsia" w:ascii="宋体" w:hAnsi="宋体" w:eastAsia="宋体" w:cs="宋体"/>
          <w:color w:val="auto"/>
          <w:kern w:val="0"/>
          <w:sz w:val="24"/>
          <w:szCs w:val="24"/>
          <w:highlight w:val="none"/>
          <w:lang w:val="en-US" w:eastAsia="zh-CN" w:bidi="ar-SA"/>
        </w:rPr>
        <w:t>存在明显错误的，资格审查小组可以按照第四章第1.3条款的规定，要求供应商作出澄清；澄清后，符合中小企业条件的，予以通过资格审查；否则，不予通过资格审查，</w:t>
      </w:r>
      <w:r>
        <w:rPr>
          <w:rFonts w:hint="eastAsia" w:ascii="宋体" w:hAnsi="宋体" w:eastAsia="宋体" w:cs="宋体"/>
          <w:b/>
          <w:bCs/>
          <w:color w:val="auto"/>
          <w:kern w:val="0"/>
          <w:sz w:val="24"/>
          <w:szCs w:val="24"/>
          <w:highlight w:val="none"/>
          <w:lang w:val="en-US" w:eastAsia="zh-CN" w:bidi="ar-SA"/>
        </w:rPr>
        <w:t>其响应文件无效。</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3.3.2供应商落实政府采购政策资格条件审查标准：</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（1）供应商未提供《中小企业声明函》或者《残疾人福利性单位声明函》</w:t>
      </w:r>
      <w:r>
        <w:rPr>
          <w:rFonts w:hint="eastAsia" w:hAnsi="宋体" w:cs="宋体"/>
          <w:color w:val="auto"/>
          <w:kern w:val="0"/>
          <w:sz w:val="24"/>
          <w:szCs w:val="24"/>
          <w:highlight w:val="none"/>
          <w:lang w:val="en-US" w:eastAsia="zh-CN" w:bidi="ar-SA"/>
        </w:rPr>
        <w:t>或者《监狱企业》</w:t>
      </w:r>
      <w:r>
        <w:rPr>
          <w:rFonts w:hint="eastAsia" w:ascii="宋体" w:hAnsi="宋体" w:eastAsia="宋体" w:cs="宋体"/>
          <w:color w:val="auto"/>
          <w:kern w:val="0"/>
          <w:sz w:val="24"/>
          <w:szCs w:val="24"/>
          <w:highlight w:val="none"/>
          <w:lang w:val="en-US" w:eastAsia="zh-CN" w:bidi="ar-SA"/>
        </w:rPr>
        <w:t>盖章证明文件的，即判定其不满足资格条件要求，资格不予审查通过，</w:t>
      </w:r>
      <w:r>
        <w:rPr>
          <w:rFonts w:hint="eastAsia" w:ascii="宋体" w:hAnsi="宋体" w:eastAsia="宋体" w:cs="宋体"/>
          <w:b/>
          <w:bCs/>
          <w:color w:val="auto"/>
          <w:kern w:val="0"/>
          <w:sz w:val="24"/>
          <w:szCs w:val="24"/>
          <w:highlight w:val="none"/>
          <w:lang w:val="en-US" w:eastAsia="zh-CN" w:bidi="ar-SA"/>
        </w:rPr>
        <w:t>其响应文件无效</w:t>
      </w:r>
      <w:r>
        <w:rPr>
          <w:rFonts w:hint="eastAsia" w:ascii="宋体" w:hAnsi="宋体" w:eastAsia="宋体" w:cs="宋体"/>
          <w:color w:val="auto"/>
          <w:kern w:val="0"/>
          <w:sz w:val="24"/>
          <w:szCs w:val="24"/>
          <w:highlight w:val="none"/>
          <w:lang w:val="en-US" w:eastAsia="zh-CN" w:bidi="ar-SA"/>
        </w:rPr>
        <w:t>。</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（2）供应商提供《残疾人福利性单位声明函》的，存在不符合残疾人福利性单位政策条件情形的，资格不予审查通过，</w:t>
      </w:r>
      <w:r>
        <w:rPr>
          <w:rFonts w:hint="eastAsia" w:ascii="宋体" w:hAnsi="宋体" w:eastAsia="宋体" w:cs="宋体"/>
          <w:b/>
          <w:bCs/>
          <w:color w:val="auto"/>
          <w:kern w:val="0"/>
          <w:sz w:val="24"/>
          <w:szCs w:val="24"/>
          <w:highlight w:val="none"/>
          <w:lang w:val="en-US" w:eastAsia="zh-CN" w:bidi="ar-SA"/>
        </w:rPr>
        <w:t>其响应文件无效</w:t>
      </w:r>
      <w:r>
        <w:rPr>
          <w:rFonts w:hint="eastAsia" w:ascii="宋体" w:hAnsi="宋体" w:eastAsia="宋体" w:cs="宋体"/>
          <w:color w:val="auto"/>
          <w:kern w:val="0"/>
          <w:sz w:val="24"/>
          <w:szCs w:val="24"/>
          <w:highlight w:val="none"/>
          <w:lang w:val="en-US" w:eastAsia="zh-CN" w:bidi="ar-SA"/>
        </w:rPr>
        <w:t>。</w:t>
      </w:r>
    </w:p>
    <w:p>
      <w:pPr>
        <w:pStyle w:val="29"/>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（3）供应商提供《监狱企业证明》，存在开具证明的单位不符合要求情形的，资格不予审查通过，</w:t>
      </w:r>
      <w:r>
        <w:rPr>
          <w:rFonts w:hint="eastAsia" w:hAnsi="宋体" w:cs="宋体"/>
          <w:b/>
          <w:bCs/>
          <w:color w:val="auto"/>
          <w:kern w:val="0"/>
          <w:sz w:val="24"/>
          <w:szCs w:val="24"/>
          <w:highlight w:val="none"/>
          <w:lang w:val="en-US" w:eastAsia="zh-CN" w:bidi="ar-SA"/>
        </w:rPr>
        <w:t>其响应文件无效</w:t>
      </w:r>
      <w:r>
        <w:rPr>
          <w:rFonts w:hint="eastAsia" w:hAnsi="宋体" w:cs="宋体"/>
          <w:color w:val="auto"/>
          <w:kern w:val="0"/>
          <w:sz w:val="24"/>
          <w:szCs w:val="24"/>
          <w:highlight w:val="none"/>
          <w:lang w:val="en-US" w:eastAsia="zh-CN" w:bidi="ar-SA"/>
        </w:rPr>
        <w:t>。</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3.4资格审查小组将依据供应商响应文件之资格证明文件和通过国家企业信用信息公示系统（http://www.gsxt.gov.cn/index.html）对供应商之间存在隶属关系或者其他利害关系进行相关信息的核实。</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（1）供应商存在第二章第1.3.2条列举情形之一的，审查不予通过，即判定其限定资格条件审查结果为不合格，其响应文件无效。</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4.资格审查报告</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4.1 资格审查报告由资格审查小组负责编制，以采购代理机构名义向采购人提交，其附表《供应商资格审查表》应当经资格审查小组全体成员签名确认。资格审查报告经采购人盖章确认后随采购文件一并存档。</w:t>
      </w:r>
    </w:p>
    <w:p>
      <w:pPr>
        <w:tabs>
          <w:tab w:val="left" w:pos="0"/>
        </w:tabs>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sz w:val="24"/>
          <w:szCs w:val="24"/>
          <w:highlight w:val="none"/>
        </w:rPr>
        <w:t>未通过资格审查的供应商，不得进入后续</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、评审环节。</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360" w:lineRule="auto"/>
        <w:ind w:left="0" w:leftChars="0" w:firstLine="0" w:firstLineChars="0"/>
        <w:jc w:val="center"/>
        <w:outlineLvl w:val="0"/>
        <w:rPr>
          <w:rFonts w:hint="eastAsia" w:ascii="宋体" w:hAnsi="宋体" w:eastAsia="宋体" w:cs="宋体"/>
          <w:b/>
          <w:color w:val="auto"/>
          <w:sz w:val="30"/>
          <w:szCs w:val="30"/>
          <w:highlight w:val="none"/>
        </w:rPr>
      </w:pPr>
      <w:bookmarkStart w:id="72" w:name="_Toc8197"/>
      <w:r>
        <w:rPr>
          <w:rFonts w:hint="eastAsia" w:ascii="宋体" w:hAnsi="宋体" w:eastAsia="宋体" w:cs="宋体"/>
          <w:b/>
          <w:color w:val="auto"/>
          <w:sz w:val="30"/>
          <w:szCs w:val="30"/>
          <w:highlight w:val="none"/>
        </w:rPr>
        <w:t xml:space="preserve">第四章 </w:t>
      </w:r>
      <w:r>
        <w:rPr>
          <w:rFonts w:hint="eastAsia" w:ascii="宋体" w:hAnsi="宋体" w:cs="宋体"/>
          <w:b/>
          <w:color w:val="auto"/>
          <w:sz w:val="30"/>
          <w:szCs w:val="30"/>
          <w:highlight w:val="none"/>
          <w:lang w:eastAsia="zh-CN"/>
        </w:rPr>
        <w:t>磋商</w:t>
      </w:r>
      <w:r>
        <w:rPr>
          <w:rFonts w:hint="eastAsia" w:ascii="宋体" w:hAnsi="宋体" w:eastAsia="宋体" w:cs="宋体"/>
          <w:b/>
          <w:color w:val="auto"/>
          <w:sz w:val="30"/>
          <w:szCs w:val="30"/>
          <w:highlight w:val="none"/>
        </w:rPr>
        <w:t>办法</w:t>
      </w:r>
      <w:bookmarkEnd w:id="72"/>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根据《中华人民共和国政府采购法》及其实施条例和《政府采购竞争性磋商采购方式管理暂行办法》（财政部财库[2014]21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号）等法律法规的规定，结合采购项目特点，制定本磋商办法。</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程序</w:t>
      </w:r>
    </w:p>
    <w:p>
      <w:pPr>
        <w:spacing w:before="120" w:beforeLines="50" w:after="120" w:afterLines="5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 xml:space="preserve">1.1 </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按下列程序进行：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（1）响应文件响应文件符合性审查；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（2）响应文件的澄清；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（3）磋商（包括技术磋商、商务磋商、提交最后报价）；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（4）响应文件详细评审；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（5）复核与核对评审结果；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（6）确定成交候选人名单；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（7）编写评审报告。</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响应文件符合性审查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小组依法对通过资格条件审查的供应商响应文件进行符合性审查。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小组从响应文件的有效性、完整性和对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文件的响应程度进行审查，以确定其是否对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文件实质性要求作出响应，有无恶意串通行为。</w:t>
      </w:r>
    </w:p>
    <w:p>
      <w:pPr>
        <w:tabs>
          <w:tab w:val="left" w:pos="0"/>
        </w:tabs>
        <w:adjustRightInd w:val="0"/>
        <w:snapToGrid w:val="0"/>
        <w:spacing w:after="120" w:afterLines="5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1.2.2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小组将按下列评审标准对供应商的响应文件进行符合性审查，</w:t>
      </w:r>
      <w:r>
        <w:rPr>
          <w:rFonts w:hint="eastAsia" w:ascii="宋体" w:hAnsi="宋体" w:eastAsia="宋体" w:cs="宋体"/>
          <w:bCs/>
          <w:color w:val="auto"/>
          <w:sz w:val="24"/>
          <w:szCs w:val="24"/>
          <w:highlight w:val="none"/>
        </w:rPr>
        <w:t>供应商若</w:t>
      </w:r>
      <w:r>
        <w:rPr>
          <w:rFonts w:hint="eastAsia" w:ascii="宋体" w:hAnsi="宋体" w:eastAsia="宋体" w:cs="宋体"/>
          <w:color w:val="auto"/>
          <w:kern w:val="0"/>
          <w:sz w:val="24"/>
          <w:szCs w:val="24"/>
          <w:highlight w:val="none"/>
        </w:rPr>
        <w:t>有一项不合格，即判定其符合性审查结果为不合格，将不具备</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资格，</w:t>
      </w:r>
      <w:r>
        <w:rPr>
          <w:rFonts w:hint="eastAsia" w:ascii="宋体" w:hAnsi="宋体" w:eastAsia="宋体" w:cs="宋体"/>
          <w:b/>
          <w:color w:val="auto"/>
          <w:kern w:val="0"/>
          <w:sz w:val="24"/>
          <w:szCs w:val="24"/>
          <w:highlight w:val="none"/>
        </w:rPr>
        <w:t>其响应文件无效</w:t>
      </w:r>
      <w:r>
        <w:rPr>
          <w:rFonts w:hint="eastAsia" w:ascii="宋体" w:hAnsi="宋体" w:eastAsia="宋体" w:cs="宋体"/>
          <w:color w:val="auto"/>
          <w:kern w:val="0"/>
          <w:sz w:val="24"/>
          <w:szCs w:val="24"/>
          <w:highlight w:val="none"/>
        </w:rPr>
        <w:t>。</w:t>
      </w: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tbl>
      <w:tblPr>
        <w:tblStyle w:val="30"/>
        <w:tblW w:w="8699"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002"/>
        <w:gridCol w:w="2718"/>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97" w:type="dxa"/>
            <w:noWrap w:val="0"/>
            <w:vAlign w:val="center"/>
          </w:tcPr>
          <w:p>
            <w:pPr>
              <w:tabs>
                <w:tab w:val="left" w:pos="0"/>
              </w:tabs>
              <w:adjustRightInd w:val="0"/>
              <w:snapToGrid w:val="0"/>
              <w:spacing w:line="240" w:lineRule="auto"/>
              <w:ind w:left="0" w:leftChars="0" w:firstLine="0" w:firstLineChars="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720" w:type="dxa"/>
            <w:gridSpan w:val="2"/>
            <w:noWrap w:val="0"/>
            <w:vAlign w:val="center"/>
          </w:tcPr>
          <w:p>
            <w:pPr>
              <w:tabs>
                <w:tab w:val="left" w:pos="0"/>
              </w:tabs>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4182" w:type="dxa"/>
            <w:noWrap w:val="0"/>
            <w:vAlign w:val="center"/>
          </w:tcPr>
          <w:p>
            <w:pPr>
              <w:tabs>
                <w:tab w:val="left" w:pos="0"/>
              </w:tabs>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trPr>
        <w:tc>
          <w:tcPr>
            <w:tcW w:w="797" w:type="dxa"/>
            <w:vMerge w:val="restart"/>
            <w:noWrap w:val="0"/>
            <w:vAlign w:val="center"/>
          </w:tcPr>
          <w:p>
            <w:pPr>
              <w:tabs>
                <w:tab w:val="left" w:pos="0"/>
              </w:tabs>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2" w:type="dxa"/>
            <w:vMerge w:val="restart"/>
            <w:noWrap w:val="0"/>
            <w:vAlign w:val="center"/>
          </w:tcPr>
          <w:p>
            <w:pPr>
              <w:tabs>
                <w:tab w:val="left" w:pos="0"/>
              </w:tabs>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rPr>
            </w:pPr>
            <w:bookmarkStart w:id="73" w:name="OLE_LINK53"/>
            <w:r>
              <w:rPr>
                <w:rFonts w:hint="eastAsia" w:ascii="宋体" w:hAnsi="宋体" w:eastAsia="宋体" w:cs="宋体"/>
                <w:color w:val="auto"/>
                <w:sz w:val="21"/>
                <w:szCs w:val="21"/>
                <w:highlight w:val="none"/>
              </w:rPr>
              <w:t>有效性审查</w:t>
            </w:r>
            <w:bookmarkEnd w:id="73"/>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74" w:name="OLE_LINK54"/>
            <w:r>
              <w:rPr>
                <w:rFonts w:hint="eastAsia" w:ascii="宋体" w:hAnsi="宋体" w:eastAsia="宋体" w:cs="宋体"/>
                <w:color w:val="auto"/>
                <w:sz w:val="21"/>
                <w:szCs w:val="21"/>
                <w:highlight w:val="none"/>
              </w:rPr>
              <w:t>（1）响应文件的签署盖章</w:t>
            </w:r>
            <w:bookmarkEnd w:id="74"/>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75" w:name="OLE_LINK55"/>
            <w:r>
              <w:rPr>
                <w:rFonts w:hint="eastAsia" w:ascii="宋体" w:hAnsi="宋体" w:eastAsia="宋体" w:cs="宋体"/>
                <w:color w:val="000000"/>
                <w:sz w:val="21"/>
                <w:szCs w:val="21"/>
                <w:highlight w:val="none"/>
              </w:rPr>
              <w:t>符合第二章“供应商须知”第4.6条款的规定</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7" w:type="dxa"/>
            <w:vMerge w:val="continue"/>
            <w:noWrap w:val="0"/>
            <w:vAlign w:val="top"/>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1002" w:type="dxa"/>
            <w:vMerge w:val="continue"/>
            <w:noWrap w:val="0"/>
            <w:vAlign w:val="top"/>
          </w:tcPr>
          <w:p>
            <w:pPr>
              <w:tabs>
                <w:tab w:val="left" w:pos="0"/>
              </w:tabs>
              <w:adjustRightInd w:val="0"/>
              <w:snapToGrid w:val="0"/>
              <w:spacing w:line="240" w:lineRule="auto"/>
              <w:rPr>
                <w:rFonts w:hint="eastAsia" w:ascii="宋体" w:hAnsi="宋体" w:eastAsia="宋体" w:cs="宋体"/>
                <w:color w:val="auto"/>
                <w:sz w:val="21"/>
                <w:szCs w:val="21"/>
                <w:highlight w:val="none"/>
              </w:rPr>
            </w:pP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76" w:name="OLE_LINK56"/>
            <w:r>
              <w:rPr>
                <w:rFonts w:hint="eastAsia" w:ascii="宋体" w:hAnsi="宋体" w:eastAsia="宋体" w:cs="宋体"/>
                <w:color w:val="auto"/>
                <w:sz w:val="21"/>
                <w:szCs w:val="21"/>
                <w:highlight w:val="none"/>
              </w:rPr>
              <w:t>（2）响应文件格式</w:t>
            </w:r>
            <w:bookmarkEnd w:id="76"/>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77" w:name="OLE_LINK57"/>
            <w:r>
              <w:rPr>
                <w:rFonts w:hint="eastAsia" w:ascii="宋体" w:hAnsi="宋体" w:eastAsia="宋体" w:cs="宋体"/>
                <w:color w:val="auto"/>
                <w:sz w:val="21"/>
                <w:szCs w:val="21"/>
                <w:highlight w:val="none"/>
              </w:rPr>
              <w:t>符合第七章“响应文件格式”的规定</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97" w:type="dxa"/>
            <w:vMerge w:val="continue"/>
            <w:noWrap w:val="0"/>
            <w:vAlign w:val="top"/>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1002" w:type="dxa"/>
            <w:vMerge w:val="continue"/>
            <w:noWrap w:val="0"/>
            <w:vAlign w:val="top"/>
          </w:tcPr>
          <w:p>
            <w:pPr>
              <w:tabs>
                <w:tab w:val="left" w:pos="0"/>
              </w:tabs>
              <w:adjustRightInd w:val="0"/>
              <w:snapToGrid w:val="0"/>
              <w:spacing w:line="240" w:lineRule="auto"/>
              <w:rPr>
                <w:rFonts w:hint="eastAsia" w:ascii="宋体" w:hAnsi="宋体" w:eastAsia="宋体" w:cs="宋体"/>
                <w:color w:val="auto"/>
                <w:sz w:val="21"/>
                <w:szCs w:val="21"/>
                <w:highlight w:val="none"/>
              </w:rPr>
            </w:pP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78" w:name="OLE_LINK58"/>
            <w:r>
              <w:rPr>
                <w:rFonts w:hint="eastAsia" w:ascii="宋体" w:hAnsi="宋体" w:eastAsia="宋体" w:cs="宋体"/>
                <w:color w:val="auto"/>
                <w:sz w:val="21"/>
                <w:szCs w:val="21"/>
                <w:highlight w:val="none"/>
              </w:rPr>
              <w:t>（3）报价唯一</w:t>
            </w:r>
            <w:bookmarkEnd w:id="78"/>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79" w:name="OLE_LINK59"/>
            <w:r>
              <w:rPr>
                <w:rFonts w:hint="eastAsia" w:ascii="宋体" w:hAnsi="宋体" w:eastAsia="宋体" w:cs="宋体"/>
                <w:color w:val="auto"/>
                <w:sz w:val="21"/>
                <w:szCs w:val="21"/>
                <w:highlight w:val="none"/>
              </w:rPr>
              <w:t>只能有一个有效报价，不得提交选择性报价，且报价不超过第二章“供应商须知”前附表规定的采购预算金额或最高限价</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97" w:type="dxa"/>
            <w:vMerge w:val="continue"/>
            <w:noWrap w:val="0"/>
            <w:vAlign w:val="center"/>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1002" w:type="dxa"/>
            <w:vMerge w:val="continue"/>
            <w:noWrap w:val="0"/>
            <w:vAlign w:val="center"/>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color w:val="auto"/>
                <w:kern w:val="2"/>
                <w:sz w:val="21"/>
                <w:szCs w:val="21"/>
                <w:highlight w:val="none"/>
                <w:lang w:val="en-US" w:eastAsia="zh-CN" w:bidi="ar-SA"/>
              </w:rPr>
            </w:pPr>
            <w:bookmarkStart w:id="80" w:name="OLE_LINK60"/>
            <w:r>
              <w:rPr>
                <w:rFonts w:hint="eastAsia" w:ascii="宋体" w:hAnsi="宋体"/>
                <w:color w:val="auto"/>
                <w:sz w:val="21"/>
                <w:szCs w:val="21"/>
                <w:highlight w:val="none"/>
              </w:rPr>
              <w:t>（4）电子文件解密</w:t>
            </w:r>
            <w:bookmarkEnd w:id="80"/>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color w:val="auto"/>
                <w:kern w:val="2"/>
                <w:sz w:val="21"/>
                <w:szCs w:val="21"/>
                <w:highlight w:val="none"/>
                <w:lang w:val="en-US" w:eastAsia="zh-CN" w:bidi="ar-SA"/>
              </w:rPr>
            </w:pPr>
            <w:bookmarkStart w:id="81" w:name="OLE_LINK61"/>
            <w:r>
              <w:rPr>
                <w:rFonts w:hint="eastAsia" w:ascii="宋体" w:hAnsi="宋体"/>
                <w:color w:val="auto"/>
                <w:kern w:val="2"/>
                <w:sz w:val="21"/>
                <w:szCs w:val="21"/>
                <w:highlight w:val="none"/>
                <w:lang w:val="en-US" w:eastAsia="zh-CN" w:bidi="ar-SA"/>
              </w:rPr>
              <w:t>符合第二章“供应商须知”第6.2.2.4条款，不存在第6.2.3条款规定的任何一种情形</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97" w:type="dxa"/>
            <w:vMerge w:val="continue"/>
            <w:noWrap w:val="0"/>
            <w:vAlign w:val="center"/>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1002" w:type="dxa"/>
            <w:vMerge w:val="continue"/>
            <w:noWrap w:val="0"/>
            <w:vAlign w:val="center"/>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bookmarkStart w:id="82" w:name="OLE_LINK62"/>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）不存在恶意串通的情形</w:t>
            </w:r>
            <w:bookmarkEnd w:id="82"/>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bookmarkStart w:id="83" w:name="OLE_LINK63"/>
            <w:r>
              <w:rPr>
                <w:rFonts w:hint="eastAsia" w:ascii="宋体" w:hAnsi="宋体" w:eastAsia="宋体" w:cs="宋体"/>
                <w:color w:val="auto"/>
                <w:sz w:val="21"/>
                <w:szCs w:val="21"/>
                <w:highlight w:val="none"/>
              </w:rPr>
              <w:t>不存在本章第1.2.3条款规定的任何一种情形</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97" w:type="dxa"/>
            <w:vMerge w:val="continue"/>
            <w:noWrap w:val="0"/>
            <w:vAlign w:val="center"/>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1002" w:type="dxa"/>
            <w:vMerge w:val="continue"/>
            <w:noWrap w:val="0"/>
            <w:vAlign w:val="center"/>
          </w:tcPr>
          <w:p>
            <w:pPr>
              <w:tabs>
                <w:tab w:val="left" w:pos="0"/>
              </w:tabs>
              <w:adjustRightInd w:val="0"/>
              <w:snapToGrid w:val="0"/>
              <w:spacing w:line="240" w:lineRule="auto"/>
              <w:jc w:val="center"/>
              <w:rPr>
                <w:rFonts w:hint="eastAsia" w:ascii="宋体" w:hAnsi="宋体" w:eastAsia="宋体" w:cs="宋体"/>
                <w:color w:val="auto"/>
                <w:sz w:val="21"/>
                <w:szCs w:val="21"/>
                <w:highlight w:val="none"/>
              </w:rPr>
            </w:pP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color w:val="auto"/>
                <w:kern w:val="2"/>
                <w:sz w:val="21"/>
                <w:szCs w:val="21"/>
                <w:highlight w:val="none"/>
                <w:lang w:val="en-US" w:eastAsia="zh-CN" w:bidi="ar-SA"/>
              </w:rPr>
            </w:pPr>
            <w:bookmarkStart w:id="84" w:name="OLE_LINK64"/>
            <w:r>
              <w:rPr>
                <w:rFonts w:hint="eastAsia" w:ascii="宋体" w:hAnsi="宋体"/>
                <w:color w:val="auto"/>
                <w:sz w:val="21"/>
                <w:szCs w:val="21"/>
                <w:highlight w:val="none"/>
              </w:rPr>
              <w:t>（6）附加条件</w:t>
            </w:r>
            <w:bookmarkEnd w:id="84"/>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color w:val="auto"/>
                <w:kern w:val="2"/>
                <w:sz w:val="21"/>
                <w:szCs w:val="21"/>
                <w:highlight w:val="none"/>
                <w:lang w:val="en-US" w:eastAsia="zh-CN" w:bidi="ar-SA"/>
              </w:rPr>
            </w:pPr>
            <w:bookmarkStart w:id="85" w:name="OLE_LINK65"/>
            <w:r>
              <w:rPr>
                <w:rFonts w:hint="eastAsia" w:ascii="宋体" w:hAnsi="宋体"/>
                <w:color w:val="auto"/>
                <w:sz w:val="21"/>
                <w:szCs w:val="21"/>
                <w:highlight w:val="none"/>
                <w:lang w:val="en-US" w:eastAsia="zh-CN"/>
              </w:rPr>
              <w:t>响应</w:t>
            </w:r>
            <w:r>
              <w:rPr>
                <w:rFonts w:ascii="宋体" w:hAnsi="宋体"/>
                <w:color w:val="auto"/>
                <w:sz w:val="21"/>
                <w:szCs w:val="21"/>
                <w:highlight w:val="none"/>
              </w:rPr>
              <w:t>文件</w:t>
            </w:r>
            <w:r>
              <w:rPr>
                <w:rFonts w:hint="eastAsia" w:ascii="宋体" w:hAnsi="宋体"/>
                <w:color w:val="auto"/>
                <w:sz w:val="21"/>
                <w:szCs w:val="21"/>
                <w:highlight w:val="none"/>
              </w:rPr>
              <w:t>未</w:t>
            </w:r>
            <w:r>
              <w:rPr>
                <w:rFonts w:ascii="宋体" w:hAnsi="宋体"/>
                <w:color w:val="auto"/>
                <w:sz w:val="21"/>
                <w:szCs w:val="21"/>
                <w:highlight w:val="none"/>
              </w:rPr>
              <w:t>含有采购人不能接受的附加条件</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7" w:type="dxa"/>
            <w:noWrap w:val="0"/>
            <w:vAlign w:val="center"/>
          </w:tcPr>
          <w:p>
            <w:pPr>
              <w:tabs>
                <w:tab w:val="left" w:pos="0"/>
              </w:tabs>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02" w:type="dxa"/>
            <w:noWrap w:val="0"/>
            <w:vAlign w:val="center"/>
          </w:tcPr>
          <w:p>
            <w:pPr>
              <w:tabs>
                <w:tab w:val="left" w:pos="0"/>
              </w:tabs>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完整性审查</w:t>
            </w: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86" w:name="OLE_LINK66"/>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）响应内容</w:t>
            </w:r>
            <w:bookmarkEnd w:id="86"/>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87" w:name="OLE_LINK67"/>
            <w:r>
              <w:rPr>
                <w:rFonts w:hint="eastAsia" w:ascii="宋体" w:hAnsi="宋体" w:eastAsia="宋体" w:cs="宋体"/>
                <w:color w:val="auto"/>
                <w:sz w:val="21"/>
                <w:szCs w:val="21"/>
                <w:highlight w:val="none"/>
              </w:rPr>
              <w:t>符合第五章“采购需求”规定的服务范围和产品标的</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97" w:type="dxa"/>
            <w:vMerge w:val="restart"/>
            <w:noWrap w:val="0"/>
            <w:vAlign w:val="center"/>
          </w:tcPr>
          <w:p>
            <w:pPr>
              <w:tabs>
                <w:tab w:val="left" w:pos="0"/>
              </w:tabs>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02" w:type="dxa"/>
            <w:vMerge w:val="restart"/>
            <w:noWrap w:val="0"/>
            <w:vAlign w:val="center"/>
          </w:tcPr>
          <w:p>
            <w:pPr>
              <w:tabs>
                <w:tab w:val="left" w:pos="0"/>
              </w:tabs>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响应性审查</w:t>
            </w: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88" w:name="OLE_LINK6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）对磋商文件响应程度</w:t>
            </w:r>
            <w:bookmarkEnd w:id="88"/>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sz w:val="21"/>
                <w:szCs w:val="21"/>
                <w:highlight w:val="none"/>
              </w:rPr>
            </w:pPr>
            <w:bookmarkStart w:id="89" w:name="OLE_LINK69"/>
            <w:r>
              <w:rPr>
                <w:rFonts w:hint="eastAsia" w:ascii="宋体" w:hAnsi="宋体" w:eastAsia="宋体" w:cs="宋体"/>
                <w:color w:val="auto"/>
                <w:sz w:val="21"/>
                <w:szCs w:val="21"/>
                <w:highlight w:val="none"/>
              </w:rPr>
              <w:t>符合磋商文件实质性要求的规定</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97" w:type="dxa"/>
            <w:vMerge w:val="continue"/>
            <w:noWrap w:val="0"/>
            <w:vAlign w:val="top"/>
          </w:tcPr>
          <w:p>
            <w:pPr>
              <w:tabs>
                <w:tab w:val="left" w:pos="0"/>
              </w:tabs>
              <w:adjustRightInd w:val="0"/>
              <w:snapToGrid w:val="0"/>
              <w:spacing w:line="240" w:lineRule="auto"/>
              <w:rPr>
                <w:rFonts w:hint="eastAsia" w:ascii="宋体" w:hAnsi="宋体" w:eastAsia="宋体" w:cs="宋体"/>
                <w:color w:val="auto"/>
                <w:sz w:val="21"/>
                <w:szCs w:val="21"/>
                <w:highlight w:val="none"/>
              </w:rPr>
            </w:pPr>
          </w:p>
        </w:tc>
        <w:tc>
          <w:tcPr>
            <w:tcW w:w="1002" w:type="dxa"/>
            <w:vMerge w:val="continue"/>
            <w:noWrap w:val="0"/>
            <w:vAlign w:val="top"/>
          </w:tcPr>
          <w:p>
            <w:pPr>
              <w:tabs>
                <w:tab w:val="left" w:pos="0"/>
              </w:tabs>
              <w:adjustRightInd w:val="0"/>
              <w:snapToGrid w:val="0"/>
              <w:spacing w:line="240" w:lineRule="auto"/>
              <w:rPr>
                <w:rFonts w:hint="eastAsia" w:ascii="宋体" w:hAnsi="宋体" w:eastAsia="宋体" w:cs="宋体"/>
                <w:color w:val="auto"/>
                <w:sz w:val="21"/>
                <w:szCs w:val="21"/>
                <w:highlight w:val="none"/>
              </w:rPr>
            </w:pP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bookmarkStart w:id="90" w:name="OLE_LINK70"/>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）磋商有效期</w:t>
            </w:r>
            <w:bookmarkEnd w:id="90"/>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bookmarkStart w:id="91" w:name="OLE_LINK71"/>
            <w:r>
              <w:rPr>
                <w:rFonts w:hint="eastAsia" w:ascii="宋体" w:hAnsi="宋体" w:eastAsia="宋体" w:cs="宋体"/>
                <w:color w:val="auto"/>
                <w:sz w:val="21"/>
                <w:szCs w:val="21"/>
                <w:highlight w:val="none"/>
              </w:rPr>
              <w:t>符合第二章“供应商须知”第4.4.1条款的规定</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97" w:type="dxa"/>
            <w:vMerge w:val="continue"/>
            <w:noWrap w:val="0"/>
            <w:vAlign w:val="top"/>
          </w:tcPr>
          <w:p>
            <w:pPr>
              <w:tabs>
                <w:tab w:val="left" w:pos="0"/>
              </w:tabs>
              <w:adjustRightInd w:val="0"/>
              <w:snapToGrid w:val="0"/>
              <w:spacing w:line="240" w:lineRule="auto"/>
              <w:rPr>
                <w:rFonts w:hint="eastAsia" w:ascii="宋体" w:hAnsi="宋体" w:eastAsia="宋体" w:cs="宋体"/>
                <w:color w:val="auto"/>
                <w:sz w:val="21"/>
                <w:szCs w:val="21"/>
                <w:highlight w:val="none"/>
              </w:rPr>
            </w:pPr>
          </w:p>
        </w:tc>
        <w:tc>
          <w:tcPr>
            <w:tcW w:w="1002" w:type="dxa"/>
            <w:vMerge w:val="continue"/>
            <w:noWrap w:val="0"/>
            <w:vAlign w:val="top"/>
          </w:tcPr>
          <w:p>
            <w:pPr>
              <w:tabs>
                <w:tab w:val="left" w:pos="0"/>
              </w:tabs>
              <w:adjustRightInd w:val="0"/>
              <w:snapToGrid w:val="0"/>
              <w:spacing w:line="240" w:lineRule="auto"/>
              <w:rPr>
                <w:rFonts w:hint="eastAsia" w:ascii="宋体" w:hAnsi="宋体" w:eastAsia="宋体" w:cs="宋体"/>
                <w:color w:val="auto"/>
                <w:sz w:val="21"/>
                <w:szCs w:val="21"/>
                <w:highlight w:val="none"/>
              </w:rPr>
            </w:pPr>
          </w:p>
        </w:tc>
        <w:tc>
          <w:tcPr>
            <w:tcW w:w="2718" w:type="dxa"/>
            <w:noWrap w:val="0"/>
            <w:vAlign w:val="center"/>
          </w:tcPr>
          <w:p>
            <w:pPr>
              <w:tabs>
                <w:tab w:val="left" w:pos="0"/>
              </w:tabs>
              <w:adjustRightInd w:val="0"/>
              <w:snapToGrid w:val="0"/>
              <w:spacing w:line="240" w:lineRule="auto"/>
              <w:ind w:left="0" w:leftChars="0" w:firstLine="0" w:firstLineChars="0"/>
              <w:rPr>
                <w:rFonts w:hint="eastAsia" w:ascii="宋体" w:hAnsi="宋体"/>
                <w:color w:val="auto"/>
                <w:kern w:val="2"/>
                <w:sz w:val="21"/>
                <w:szCs w:val="21"/>
                <w:highlight w:val="none"/>
                <w:lang w:val="en-US" w:eastAsia="zh-CN" w:bidi="ar-SA"/>
              </w:rPr>
            </w:pPr>
            <w:bookmarkStart w:id="92" w:name="OLE_LINK72"/>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）权利义务</w:t>
            </w:r>
            <w:bookmarkEnd w:id="92"/>
          </w:p>
        </w:tc>
        <w:tc>
          <w:tcPr>
            <w:tcW w:w="4182" w:type="dxa"/>
            <w:noWrap w:val="0"/>
            <w:vAlign w:val="center"/>
          </w:tcPr>
          <w:p>
            <w:pPr>
              <w:tabs>
                <w:tab w:val="left" w:pos="0"/>
              </w:tabs>
              <w:adjustRightInd w:val="0"/>
              <w:snapToGrid w:val="0"/>
              <w:spacing w:line="240" w:lineRule="auto"/>
              <w:ind w:left="0" w:leftChars="0" w:firstLine="0" w:firstLineChars="0"/>
              <w:rPr>
                <w:rFonts w:hint="eastAsia" w:ascii="宋体" w:hAnsi="宋体"/>
                <w:color w:val="auto"/>
                <w:kern w:val="2"/>
                <w:sz w:val="21"/>
                <w:szCs w:val="21"/>
                <w:highlight w:val="none"/>
                <w:lang w:val="en-US" w:eastAsia="zh-CN" w:bidi="ar-SA"/>
              </w:rPr>
            </w:pPr>
            <w:bookmarkStart w:id="93" w:name="OLE_LINK73"/>
            <w:r>
              <w:rPr>
                <w:rFonts w:hint="eastAsia" w:ascii="宋体" w:hAnsi="宋体"/>
                <w:color w:val="auto"/>
                <w:sz w:val="21"/>
                <w:szCs w:val="21"/>
                <w:highlight w:val="none"/>
              </w:rPr>
              <w:t>符合第六章“政府采购合同格式”条款中实质性要求和条件</w:t>
            </w:r>
            <w:bookmarkEnd w:id="93"/>
          </w:p>
        </w:tc>
      </w:tr>
    </w:tbl>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 有下列情形之一的，视为供应商相互恶意串通，</w:t>
      </w:r>
      <w:r>
        <w:rPr>
          <w:rFonts w:hint="eastAsia" w:ascii="宋体" w:hAnsi="宋体" w:eastAsia="宋体" w:cs="宋体"/>
          <w:b/>
          <w:bCs/>
          <w:color w:val="auto"/>
          <w:kern w:val="0"/>
          <w:sz w:val="24"/>
          <w:szCs w:val="24"/>
          <w:highlight w:val="none"/>
        </w:rPr>
        <w:t>响应文件无效</w:t>
      </w:r>
      <w:r>
        <w:rPr>
          <w:rFonts w:hint="eastAsia" w:ascii="宋体" w:hAnsi="宋体" w:eastAsia="宋体" w:cs="宋体"/>
          <w:color w:val="auto"/>
          <w:kern w:val="0"/>
          <w:sz w:val="24"/>
          <w:szCs w:val="24"/>
          <w:highlight w:val="none"/>
        </w:rPr>
        <w:t>：</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bookmarkStart w:id="94" w:name="OLE_LINK85"/>
      <w:r>
        <w:rPr>
          <w:rFonts w:hint="eastAsia" w:ascii="宋体" w:hAnsi="宋体" w:eastAsia="宋体" w:cs="宋体"/>
          <w:color w:val="auto"/>
          <w:kern w:val="0"/>
          <w:sz w:val="24"/>
          <w:szCs w:val="24"/>
          <w:highlight w:val="none"/>
        </w:rPr>
        <w:t>（1）不同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由同一单位或者个人编制；</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委托同一单位或者个人办理投标事宜；</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载明的项目管理成员为同一人；</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异常一致或者投标报价呈规律性差异；</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（5）不同供应商的响应文件出自同一台制作设备（文件制作机器码一致）</w:t>
      </w:r>
      <w:r>
        <w:rPr>
          <w:rFonts w:hint="eastAsia" w:ascii="宋体" w:hAnsi="宋体" w:eastAsia="宋体" w:cs="宋体"/>
          <w:color w:val="auto"/>
          <w:kern w:val="0"/>
          <w:sz w:val="24"/>
          <w:szCs w:val="24"/>
          <w:highlight w:val="none"/>
        </w:rPr>
        <w:t>。</w:t>
      </w:r>
    </w:p>
    <w:bookmarkEnd w:id="94"/>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1.2.4 </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的雷同性分析</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进行雷同性分析。</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1.2.4.2雷同性分析由两项指标组成，分别是“文件制作机器码”和“文件创建标识码”。其中，前者通过验证电子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制作设备的特征信息（如MAC地址、硬盘序列号、CPU编号、主板号等），判断电子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是否出自同一台设备。</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出自同一台制作设备，根据《陕西省财政厅关于政府采购有关政策的复函》（陕财办采函〔2019〕18号），该情形可以视为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串通投标，</w:t>
      </w:r>
      <w:r>
        <w:rPr>
          <w:rFonts w:hint="eastAsia" w:ascii="宋体" w:hAnsi="宋体" w:eastAsia="宋体" w:cs="宋体"/>
          <w:b/>
          <w:color w:val="auto"/>
          <w:sz w:val="24"/>
          <w:szCs w:val="24"/>
          <w:highlight w:val="none"/>
        </w:rPr>
        <w:t>其投标无效</w:t>
      </w:r>
      <w:r>
        <w:rPr>
          <w:rFonts w:hint="eastAsia" w:ascii="宋体" w:hAnsi="宋体" w:eastAsia="宋体" w:cs="宋体"/>
          <w:color w:val="auto"/>
          <w:sz w:val="24"/>
          <w:szCs w:val="24"/>
          <w:highlight w:val="none"/>
        </w:rPr>
        <w:t>。</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若“文件创建标识码”一致，则表示不同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制作软件时，使用同一源工程文件，该情形建议由评标委员会结合项目情况综合判定。</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 非实质性偏离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非实质性偏离是指响应文件在实质上响应</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文件的要求，但在个别地方存在一些不规则、不一致、不完整的内容，并且澄清、说明或者补正这些内容不会改变响应文件的实质性内容。以下情况属于非实质性偏离：</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（1）文字表述的内容含义不明确；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（2）同类问题表述不一致；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（3）有明显文字和计算错误；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（4）提供的技术信息和数据资料不完整；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）响应文件未按</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文件要求进行装订或未编制目录、页码或者页码混乱；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小组认定的其他非实质性偏离。</w:t>
      </w:r>
    </w:p>
    <w:p>
      <w:pPr>
        <w:tabs>
          <w:tab w:val="left" w:pos="7665"/>
        </w:tabs>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响应文件有上述（1）至（4）情形之一的，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 xml:space="preserve">小组应当书面要求供应商在规定的时间内予以澄清、说明或补正。 </w:t>
      </w:r>
    </w:p>
    <w:p>
      <w:pPr>
        <w:tabs>
          <w:tab w:val="left" w:pos="0"/>
        </w:tabs>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1.2.6 未通过符合性检查的供应商，不得进入后续</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 xml:space="preserve">环节。 </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响应文件的澄清</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对于响应文件（包括供应商首次提交和重新提交的响应文件）中含义不明确、同类问题表述不一致或者有明显文字和计算错误的内容，可以以书面形式要求供应商作出必要的澄清、说明或者补正。涉及响应文件资格部分的，由资格审查小组负责组织，涉及响应文件其他部分的，由磋商小组负责组织。</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1.3.3对供应商提交的澄清、说明或者补正有疑问的，可以要求供应商进一步澄清、说明或者补正，直至满足资格审查小组或者磋商小组的要求。</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 资格审查小组和磋商小组不得暗示或诱导供应商作出澄清、说明或者更正，不得接受供应商主动提出的澄清、说明或者补正。</w:t>
      </w:r>
    </w:p>
    <w:p>
      <w:pPr>
        <w:spacing w:line="360" w:lineRule="auto"/>
        <w:ind w:firstLine="480"/>
        <w:rPr>
          <w:rFonts w:hint="eastAsia" w:ascii="宋体" w:hAnsi="宋体"/>
          <w:b/>
          <w:sz w:val="24"/>
          <w:szCs w:val="24"/>
          <w:highlight w:val="none"/>
        </w:rPr>
      </w:pPr>
      <w:bookmarkStart w:id="95" w:name="_Toc217446093"/>
      <w:r>
        <w:rPr>
          <w:rFonts w:hint="eastAsia" w:ascii="宋体" w:hAnsi="宋体"/>
          <w:b/>
          <w:sz w:val="24"/>
          <w:szCs w:val="24"/>
          <w:highlight w:val="none"/>
        </w:rPr>
        <w:t>1.4.1磋商方式：</w:t>
      </w:r>
    </w:p>
    <w:p>
      <w:pPr>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1.4.1.1 对资格性审查和符合性审查合格的供应商，进入本次采购活动的磋商环节。</w:t>
      </w:r>
    </w:p>
    <w:p>
      <w:pPr>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1.4.1.2 在磋商期间，供应商应派代表参加磋商，代表人数不超过</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1</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人。</w:t>
      </w:r>
    </w:p>
    <w:p>
      <w:pPr>
        <w:spacing w:line="360"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1.4.1.3 磋商小组将通过随机方式确定供应商进行磋商的顺序，所有成员集中与单一供应商按照顺序分别进行磋商，</w:t>
      </w:r>
      <w:r>
        <w:rPr>
          <w:rFonts w:hint="eastAsia"/>
          <w:sz w:val="24"/>
          <w:szCs w:val="24"/>
          <w:highlight w:val="none"/>
        </w:rPr>
        <w:t>并给予所有参加磋商的供应商平等的磋商机会</w:t>
      </w:r>
      <w:r>
        <w:rPr>
          <w:rFonts w:hint="eastAsia" w:ascii="宋体" w:hAnsi="宋体" w:cs="宋体"/>
          <w:color w:val="000000"/>
          <w:kern w:val="0"/>
          <w:sz w:val="24"/>
          <w:szCs w:val="24"/>
          <w:highlight w:val="none"/>
        </w:rPr>
        <w:t>。磋商的任何一方不得透露与磋商有关的其他供应商的技术资料、价格和其他信息。</w:t>
      </w:r>
    </w:p>
    <w:p>
      <w:pPr>
        <w:spacing w:line="360" w:lineRule="auto"/>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1.4.1.4 技术磋商。</w:t>
      </w:r>
    </w:p>
    <w:p>
      <w:pPr>
        <w:spacing w:line="360" w:lineRule="auto"/>
        <w:rPr>
          <w:rFonts w:hint="eastAsia"/>
          <w:sz w:val="24"/>
          <w:szCs w:val="24"/>
          <w:highlight w:val="none"/>
        </w:rPr>
      </w:pPr>
      <w:r>
        <w:rPr>
          <w:rFonts w:hint="eastAsia"/>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rPr>
          <w:rFonts w:hint="eastAsia"/>
          <w:sz w:val="24"/>
          <w:szCs w:val="24"/>
          <w:highlight w:val="none"/>
        </w:rPr>
      </w:pPr>
      <w:r>
        <w:rPr>
          <w:rFonts w:hint="eastAsia"/>
          <w:sz w:val="24"/>
          <w:szCs w:val="24"/>
          <w:highlight w:val="none"/>
        </w:rPr>
        <w:t>对磋商文件作出的实质性变动是磋商文件的有效组成部分，磋商小组应当及时以书面形式同时通知所有参加磋商的供应商。</w:t>
      </w:r>
    </w:p>
    <w:p>
      <w:pPr>
        <w:widowControl/>
        <w:spacing w:line="360" w:lineRule="auto"/>
        <w:rPr>
          <w:rFonts w:hint="eastAsia" w:ascii="宋体" w:hAnsi="宋体" w:cs="宋体"/>
          <w:snapToGrid w:val="0"/>
          <w:kern w:val="0"/>
          <w:sz w:val="24"/>
          <w:szCs w:val="24"/>
          <w:highlight w:val="none"/>
        </w:rPr>
      </w:pPr>
      <w:r>
        <w:rPr>
          <w:rFonts w:hint="eastAsia"/>
          <w:sz w:val="24"/>
          <w:szCs w:val="24"/>
          <w:highlight w:val="none"/>
        </w:rPr>
        <w:t>供应商应当按照磋商文件的变动情况和磋商小组的要求重新提交响应文件，并由其法定代表人或委托代理人签名或者加盖公章。</w:t>
      </w:r>
      <w:r>
        <w:rPr>
          <w:rFonts w:hint="eastAsia" w:ascii="宋体" w:hAnsi="宋体" w:cs="宋体"/>
          <w:snapToGrid w:val="0"/>
          <w:kern w:val="0"/>
          <w:sz w:val="24"/>
          <w:szCs w:val="24"/>
          <w:highlight w:val="none"/>
        </w:rPr>
        <w:t>由委托代理人签名的，应当附法定代表人授权书。供应商为自然人的，应当由本人签名并附身份证明。</w:t>
      </w:r>
    </w:p>
    <w:p>
      <w:pPr>
        <w:spacing w:line="360" w:lineRule="auto"/>
        <w:rPr>
          <w:rFonts w:hint="eastAsia"/>
          <w:sz w:val="24"/>
          <w:szCs w:val="24"/>
          <w:highlight w:val="none"/>
        </w:rPr>
      </w:pPr>
      <w:r>
        <w:rPr>
          <w:rFonts w:hint="eastAsia" w:ascii="宋体" w:hAnsi="宋体" w:cs="宋体"/>
          <w:kern w:val="0"/>
          <w:sz w:val="24"/>
          <w:szCs w:val="24"/>
          <w:highlight w:val="none"/>
        </w:rPr>
        <w:t>磋商小组应当</w:t>
      </w:r>
      <w:r>
        <w:rPr>
          <w:rFonts w:hint="eastAsia" w:ascii="宋体" w:hAnsi="宋体"/>
          <w:sz w:val="24"/>
          <w:szCs w:val="24"/>
          <w:highlight w:val="none"/>
        </w:rPr>
        <w:t>根据磋商文件规定</w:t>
      </w:r>
      <w:r>
        <w:rPr>
          <w:rFonts w:hint="eastAsia" w:ascii="宋体" w:hAnsi="宋体" w:cs="宋体"/>
          <w:kern w:val="0"/>
          <w:sz w:val="24"/>
          <w:szCs w:val="24"/>
          <w:highlight w:val="none"/>
        </w:rPr>
        <w:t>对供应商重新提交的响应文件进行符合性审查。供应商重新提交的响应文件未通过符合性审查的，不得进入商务磋商，也不得要求提交最后报价。</w:t>
      </w:r>
    </w:p>
    <w:p>
      <w:pPr>
        <w:spacing w:line="360" w:lineRule="auto"/>
        <w:rPr>
          <w:rFonts w:hint="eastAsia" w:ascii="宋体" w:hAnsi="宋体"/>
          <w:b/>
          <w:sz w:val="24"/>
          <w:szCs w:val="24"/>
          <w:highlight w:val="none"/>
        </w:rPr>
      </w:pPr>
      <w:r>
        <w:rPr>
          <w:rFonts w:hint="eastAsia" w:ascii="宋体" w:hAnsi="宋体"/>
          <w:b/>
          <w:sz w:val="24"/>
          <w:szCs w:val="24"/>
          <w:highlight w:val="none"/>
        </w:rPr>
        <w:t>1.4.1.5 商务磋商。</w:t>
      </w:r>
    </w:p>
    <w:p>
      <w:pPr>
        <w:spacing w:line="360" w:lineRule="auto"/>
        <w:rPr>
          <w:rFonts w:hint="eastAsia" w:ascii="宋体" w:hAnsi="宋体"/>
          <w:b w:val="0"/>
          <w:bCs/>
          <w:sz w:val="24"/>
          <w:szCs w:val="24"/>
          <w:highlight w:val="none"/>
        </w:rPr>
      </w:pPr>
      <w:r>
        <w:rPr>
          <w:rFonts w:hint="eastAsia" w:ascii="宋体" w:hAnsi="宋体"/>
          <w:b w:val="0"/>
          <w:bCs/>
          <w:sz w:val="24"/>
          <w:szCs w:val="24"/>
          <w:highlight w:val="none"/>
        </w:rPr>
        <w:t>在技术磋商结束后，进行商务磋商。磋商文件能够详细列明采购标的的技术、工程量要求的，磋商小组应当要求所有实质性响应的供应商在规定时间内提交最后报价，提交最后报价的供应商不得少于3家；磋商文件不能详细列明采购标的的技术、工程量要求，需经磋商由供应商提供最终解决方案的，磋商小组应当按照少数服从多数的原则投票推荐3家以上供应商的解决方案，并要求其在规定时间内提交最后报价。</w:t>
      </w:r>
    </w:p>
    <w:p>
      <w:pPr>
        <w:spacing w:line="360" w:lineRule="auto"/>
        <w:rPr>
          <w:rFonts w:hint="eastAsia"/>
          <w:sz w:val="24"/>
          <w:szCs w:val="24"/>
          <w:highlight w:val="none"/>
        </w:rPr>
      </w:pPr>
      <w:r>
        <w:rPr>
          <w:rFonts w:hint="eastAsia" w:ascii="宋体" w:hAnsi="宋体"/>
          <w:sz w:val="24"/>
          <w:szCs w:val="24"/>
          <w:highlight w:val="none"/>
        </w:rPr>
        <w:t xml:space="preserve">1.4.1.6 </w:t>
      </w:r>
      <w:r>
        <w:rPr>
          <w:rFonts w:hint="eastAsia"/>
          <w:sz w:val="24"/>
          <w:szCs w:val="24"/>
          <w:highlight w:val="none"/>
        </w:rPr>
        <w:t>已提交响应文件的供应商，在提交最后报价之前，可以根据磋商情况退出磋商，</w:t>
      </w:r>
      <w:r>
        <w:rPr>
          <w:rFonts w:hint="eastAsia"/>
          <w:sz w:val="24"/>
          <w:szCs w:val="24"/>
          <w:highlight w:val="none"/>
          <w:lang w:val="en-US" w:eastAsia="zh-CN"/>
        </w:rPr>
        <w:t>磋商保证金</w:t>
      </w:r>
      <w:r>
        <w:rPr>
          <w:rFonts w:hint="eastAsia" w:ascii="宋体" w:hAnsi="宋体" w:eastAsia="宋体" w:cs="宋体"/>
          <w:color w:val="auto"/>
          <w:sz w:val="24"/>
          <w:szCs w:val="24"/>
          <w:highlight w:val="none"/>
          <w:lang w:eastAsia="zh-CN"/>
        </w:rPr>
        <w:t>由代理机构线上提交至【全国公共资源交易平台（陕西省·宝鸡市）】，由</w:t>
      </w:r>
      <w:r>
        <w:rPr>
          <w:rFonts w:hint="eastAsia" w:ascii="宋体" w:hAnsi="宋体" w:eastAsia="宋体" w:cs="宋体"/>
          <w:color w:val="auto"/>
          <w:sz w:val="24"/>
          <w:szCs w:val="24"/>
          <w:highlight w:val="none"/>
          <w:lang w:val="en-US" w:eastAsia="zh-CN"/>
        </w:rPr>
        <w:t>宝鸡市公共资源</w:t>
      </w:r>
      <w:r>
        <w:rPr>
          <w:rFonts w:hint="eastAsia" w:ascii="宋体" w:hAnsi="宋体" w:eastAsia="宋体" w:cs="宋体"/>
          <w:color w:val="auto"/>
          <w:sz w:val="24"/>
          <w:szCs w:val="24"/>
          <w:highlight w:val="none"/>
          <w:lang w:eastAsia="zh-CN"/>
        </w:rPr>
        <w:t>交易中心财务人员审核并办理退还事宜。</w:t>
      </w:r>
    </w:p>
    <w:p>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1.4.2磋商步骤：</w:t>
      </w:r>
    </w:p>
    <w:p>
      <w:pPr>
        <w:spacing w:line="360" w:lineRule="auto"/>
        <w:rPr>
          <w:rFonts w:hint="eastAsia" w:ascii="宋体" w:hAnsi="宋体"/>
          <w:sz w:val="24"/>
          <w:szCs w:val="24"/>
          <w:highlight w:val="none"/>
        </w:rPr>
      </w:pPr>
      <w:r>
        <w:rPr>
          <w:rFonts w:hint="eastAsia" w:ascii="宋体" w:hAnsi="宋体"/>
          <w:sz w:val="24"/>
          <w:szCs w:val="24"/>
          <w:highlight w:val="none"/>
        </w:rPr>
        <w:t>1.4.2.1 第一轮磋商。磋商小组对进入第一轮磋商的供应商再次进行评审、质疑和澄清。在此阶段，磋商小组依据参加磋商的供应商递交的响应文件进行技术和商务磋商。</w:t>
      </w:r>
    </w:p>
    <w:p>
      <w:pPr>
        <w:spacing w:line="360" w:lineRule="auto"/>
        <w:rPr>
          <w:rFonts w:hint="eastAsia" w:ascii="宋体" w:hAnsi="宋体"/>
          <w:sz w:val="24"/>
          <w:szCs w:val="24"/>
          <w:highlight w:val="none"/>
        </w:rPr>
      </w:pPr>
      <w:r>
        <w:rPr>
          <w:rFonts w:hint="eastAsia" w:ascii="宋体" w:hAnsi="宋体"/>
          <w:sz w:val="24"/>
          <w:szCs w:val="24"/>
          <w:highlight w:val="none"/>
        </w:rPr>
        <w:t>磋商小组可以根据实际需要提出方案和技术参数要求，与单一供应商分别进行磋商，</w:t>
      </w:r>
      <w:r>
        <w:rPr>
          <w:rFonts w:hint="eastAsia"/>
          <w:sz w:val="24"/>
          <w:szCs w:val="24"/>
          <w:highlight w:val="none"/>
        </w:rPr>
        <w:t>并给予所有参加磋商的供应商平等的磋商机会。要求</w:t>
      </w:r>
      <w:r>
        <w:rPr>
          <w:rFonts w:hint="eastAsia" w:ascii="宋体" w:hAnsi="宋体"/>
          <w:sz w:val="24"/>
          <w:szCs w:val="24"/>
          <w:highlight w:val="none"/>
        </w:rPr>
        <w:t>参加磋商的供应商重新承诺服务、技术要求和第二次磋商报价，以满足采购人的最大需求。</w:t>
      </w:r>
    </w:p>
    <w:p>
      <w:pPr>
        <w:spacing w:line="360" w:lineRule="auto"/>
        <w:rPr>
          <w:rFonts w:hint="default" w:ascii="宋体" w:hAnsi="宋体" w:eastAsia="宋体"/>
          <w:sz w:val="24"/>
          <w:szCs w:val="24"/>
          <w:highlight w:val="none"/>
          <w:lang w:val="en-US" w:eastAsia="zh-CN"/>
        </w:rPr>
      </w:pPr>
      <w:r>
        <w:rPr>
          <w:rFonts w:hint="eastAsia" w:ascii="宋体" w:hAnsi="宋体"/>
          <w:sz w:val="24"/>
          <w:szCs w:val="24"/>
          <w:highlight w:val="none"/>
        </w:rPr>
        <w:t>1.4.2.2 第二轮磋商。对第一轮磋商结果不满意，磋商小组可以再次要求参加磋商的供应商进行第二轮磋商，磋商内容及要求与第一轮磋商相同。</w:t>
      </w:r>
    </w:p>
    <w:p>
      <w:pPr>
        <w:spacing w:line="360" w:lineRule="auto"/>
        <w:rPr>
          <w:rFonts w:hint="eastAsia" w:ascii="宋体" w:hAnsi="宋体"/>
          <w:sz w:val="24"/>
          <w:szCs w:val="24"/>
          <w:highlight w:val="none"/>
        </w:rPr>
      </w:pPr>
      <w:r>
        <w:rPr>
          <w:rFonts w:hint="eastAsia" w:ascii="宋体" w:hAnsi="宋体"/>
          <w:sz w:val="24"/>
          <w:szCs w:val="24"/>
          <w:highlight w:val="none"/>
        </w:rPr>
        <w:t>1.4.2.3 每轮磋商结束后，磋商小组对磋商情况进行讨论，综合考虑供应商提供的服务水平和性价比，有权对服务水平最差供应商或性价比最低点供应商进行淘汰，并将淘汰理由写入评审报告。</w:t>
      </w:r>
    </w:p>
    <w:p>
      <w:pPr>
        <w:spacing w:line="360" w:lineRule="auto"/>
        <w:rPr>
          <w:rFonts w:hint="eastAsia" w:ascii="宋体" w:hAnsi="宋体"/>
          <w:b/>
          <w:sz w:val="24"/>
          <w:szCs w:val="24"/>
          <w:highlight w:val="none"/>
        </w:rPr>
      </w:pPr>
      <w:r>
        <w:rPr>
          <w:rFonts w:hint="eastAsia" w:ascii="宋体" w:hAnsi="宋体"/>
          <w:b/>
          <w:sz w:val="24"/>
          <w:szCs w:val="24"/>
          <w:highlight w:val="none"/>
        </w:rPr>
        <w:t>后一轮磋商报价高于前一轮磋商报价的供应商，视为其自动退出磋商，有磋商保证金的予以退还。</w:t>
      </w:r>
    </w:p>
    <w:p>
      <w:pPr>
        <w:spacing w:line="360" w:lineRule="auto"/>
        <w:rPr>
          <w:rFonts w:hint="eastAsia" w:ascii="宋体" w:hAnsi="宋体"/>
          <w:sz w:val="24"/>
          <w:szCs w:val="24"/>
          <w:highlight w:val="none"/>
        </w:rPr>
      </w:pPr>
      <w:r>
        <w:rPr>
          <w:rFonts w:hint="eastAsia" w:ascii="宋体" w:hAnsi="宋体"/>
          <w:sz w:val="24"/>
          <w:szCs w:val="24"/>
          <w:highlight w:val="none"/>
        </w:rPr>
        <w:t>1.4.2.4 磋商小组应在最后一轮磋商前告知所有符合磋商要求的供应商是否是最后一次磋商。</w:t>
      </w:r>
    </w:p>
    <w:p>
      <w:pPr>
        <w:spacing w:line="360" w:lineRule="auto"/>
        <w:rPr>
          <w:rFonts w:hint="eastAsia" w:ascii="宋体" w:hAnsi="宋体"/>
          <w:sz w:val="24"/>
          <w:szCs w:val="24"/>
          <w:highlight w:val="none"/>
        </w:rPr>
      </w:pPr>
      <w:r>
        <w:rPr>
          <w:rFonts w:hint="eastAsia" w:ascii="宋体" w:hAnsi="宋体"/>
          <w:sz w:val="24"/>
          <w:szCs w:val="24"/>
          <w:highlight w:val="none"/>
        </w:rPr>
        <w:t>1.4.2.5 最后一轮磋商结束后，磋商小组将对进入最后一轮的供应商的响应文件进行详细评审。</w:t>
      </w:r>
    </w:p>
    <w:p>
      <w:pPr>
        <w:spacing w:before="120" w:beforeLines="50" w:after="120" w:afterLines="50" w:line="360" w:lineRule="auto"/>
        <w:rPr>
          <w:rFonts w:hint="eastAsia" w:ascii="宋体" w:hAnsi="宋体"/>
          <w:b/>
          <w:sz w:val="24"/>
          <w:szCs w:val="24"/>
          <w:highlight w:val="none"/>
        </w:rPr>
      </w:pPr>
      <w:r>
        <w:rPr>
          <w:rFonts w:hint="eastAsia" w:ascii="宋体" w:hAnsi="宋体"/>
          <w:b/>
          <w:sz w:val="24"/>
          <w:szCs w:val="24"/>
          <w:highlight w:val="none"/>
        </w:rPr>
        <w:t>1.5 最后报价</w:t>
      </w:r>
    </w:p>
    <w:p>
      <w:pPr>
        <w:widowControl/>
        <w:spacing w:line="360" w:lineRule="auto"/>
        <w:ind w:firstLine="480" w:firstLineChars="200"/>
        <w:rPr>
          <w:rFonts w:hint="eastAsia" w:ascii="宋体" w:hAnsi="宋体" w:cs="宋体"/>
          <w:snapToGrid w:val="0"/>
          <w:kern w:val="0"/>
          <w:sz w:val="24"/>
          <w:szCs w:val="24"/>
          <w:highlight w:val="none"/>
        </w:rPr>
      </w:pPr>
      <w:r>
        <w:rPr>
          <w:rFonts w:hint="eastAsia" w:ascii="宋体" w:hAnsi="宋体"/>
          <w:sz w:val="24"/>
          <w:szCs w:val="24"/>
          <w:highlight w:val="none"/>
        </w:rPr>
        <w:t xml:space="preserve">1.5.1 </w:t>
      </w:r>
      <w:r>
        <w:rPr>
          <w:rFonts w:hint="eastAsia" w:ascii="宋体" w:hAnsi="宋体"/>
          <w:b/>
          <w:bCs/>
          <w:sz w:val="24"/>
          <w:szCs w:val="24"/>
          <w:highlight w:val="none"/>
          <w:u w:val="single"/>
        </w:rPr>
        <w:t>供应商应</w:t>
      </w:r>
      <w:r>
        <w:rPr>
          <w:rFonts w:hint="eastAsia" w:ascii="宋体" w:hAnsi="宋体"/>
          <w:b/>
          <w:bCs/>
          <w:sz w:val="24"/>
          <w:szCs w:val="24"/>
          <w:highlight w:val="none"/>
          <w:u w:val="single"/>
          <w:lang w:val="en-US" w:eastAsia="zh-CN"/>
        </w:rPr>
        <w:t>使用单位CA锁</w:t>
      </w:r>
      <w:r>
        <w:rPr>
          <w:rFonts w:hint="eastAsia" w:ascii="宋体" w:hAnsi="宋体"/>
          <w:b/>
          <w:bCs/>
          <w:sz w:val="24"/>
          <w:szCs w:val="24"/>
          <w:highlight w:val="none"/>
          <w:u w:val="single"/>
        </w:rPr>
        <w:t>最后报价（最后报价将作为综合评分法中价格分的计算依据），并加盖单位章</w:t>
      </w:r>
      <w:r>
        <w:rPr>
          <w:rFonts w:hint="eastAsia" w:ascii="宋体" w:hAnsi="宋体" w:cs="宋体"/>
          <w:b/>
          <w:bCs/>
          <w:snapToGrid w:val="0"/>
          <w:kern w:val="0"/>
          <w:sz w:val="24"/>
          <w:szCs w:val="24"/>
          <w:highlight w:val="none"/>
          <w:u w:val="single"/>
        </w:rPr>
        <w:t>。</w:t>
      </w:r>
      <w:r>
        <w:rPr>
          <w:rFonts w:hint="eastAsia" w:ascii="宋体" w:hAnsi="宋体" w:eastAsia="宋体" w:cs="宋体"/>
          <w:b/>
          <w:bCs/>
          <w:color w:val="auto"/>
          <w:kern w:val="0"/>
          <w:sz w:val="24"/>
          <w:szCs w:val="24"/>
          <w:highlight w:val="none"/>
          <w:u w:val="single"/>
        </w:rPr>
        <w:t>最后报价</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lang w:val="en-US" w:eastAsia="zh-CN"/>
        </w:rPr>
        <w:t>不见面开标，线上进行</w:t>
      </w:r>
      <w:r>
        <w:rPr>
          <w:rFonts w:hint="eastAsia" w:ascii="宋体" w:hAnsi="宋体" w:eastAsia="宋体" w:cs="宋体"/>
          <w:b/>
          <w:bCs/>
          <w:color w:val="auto"/>
          <w:kern w:val="0"/>
          <w:sz w:val="24"/>
          <w:szCs w:val="24"/>
          <w:highlight w:val="none"/>
          <w:u w:val="single"/>
        </w:rPr>
        <w:t>最后</w:t>
      </w:r>
      <w:r>
        <w:rPr>
          <w:rFonts w:hint="eastAsia" w:ascii="宋体" w:hAnsi="宋体" w:eastAsia="宋体" w:cs="宋体"/>
          <w:b/>
          <w:bCs/>
          <w:color w:val="auto"/>
          <w:kern w:val="0"/>
          <w:sz w:val="24"/>
          <w:szCs w:val="24"/>
          <w:highlight w:val="none"/>
          <w:u w:val="single"/>
          <w:lang w:val="en-US" w:eastAsia="zh-CN"/>
        </w:rPr>
        <w:t>报价</w:t>
      </w:r>
      <w:r>
        <w:rPr>
          <w:rFonts w:hint="eastAsia" w:ascii="宋体" w:hAnsi="宋体" w:eastAsia="宋体" w:cs="宋体"/>
          <w:b/>
          <w:bCs/>
          <w:color w:val="auto"/>
          <w:kern w:val="0"/>
          <w:sz w:val="24"/>
          <w:szCs w:val="24"/>
          <w:highlight w:val="none"/>
          <w:u w:val="single"/>
          <w:lang w:eastAsia="zh-CN"/>
        </w:rPr>
        <w:t>）</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1.5.2 最后报价是供应商响应文件的有效组成部分。</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1.5.3 最后报价仅向采购人及监督人员宣布，并由监督人员确认。</w:t>
      </w:r>
    </w:p>
    <w:p>
      <w:pPr>
        <w:spacing w:before="120" w:beforeLines="50" w:after="120" w:afterLines="50" w:line="360" w:lineRule="auto"/>
        <w:rPr>
          <w:rFonts w:hint="eastAsia" w:ascii="宋体" w:hAnsi="宋体"/>
          <w:b/>
          <w:sz w:val="24"/>
          <w:szCs w:val="24"/>
          <w:highlight w:val="none"/>
        </w:rPr>
      </w:pPr>
      <w:r>
        <w:rPr>
          <w:rFonts w:hint="eastAsia" w:ascii="宋体" w:hAnsi="宋体"/>
          <w:b/>
          <w:sz w:val="24"/>
          <w:szCs w:val="24"/>
          <w:highlight w:val="none"/>
        </w:rPr>
        <w:t>1.6 响应文件详细评审</w:t>
      </w:r>
    </w:p>
    <w:p>
      <w:pPr>
        <w:spacing w:line="360" w:lineRule="auto"/>
        <w:ind w:firstLine="480" w:firstLineChars="200"/>
        <w:rPr>
          <w:rFonts w:hint="eastAsia"/>
          <w:sz w:val="24"/>
          <w:szCs w:val="24"/>
          <w:highlight w:val="none"/>
        </w:rPr>
      </w:pPr>
      <w:r>
        <w:rPr>
          <w:rFonts w:hint="eastAsia"/>
          <w:sz w:val="24"/>
          <w:szCs w:val="24"/>
          <w:highlight w:val="none"/>
        </w:rPr>
        <w:t>经磋商确定最终采购需求和提交最后报价的供应商后，由磋商小组采用</w:t>
      </w:r>
      <w:r>
        <w:rPr>
          <w:rFonts w:hint="eastAsia"/>
          <w:b/>
          <w:sz w:val="24"/>
          <w:szCs w:val="24"/>
          <w:highlight w:val="none"/>
        </w:rPr>
        <w:t>综合评分法</w:t>
      </w:r>
      <w:r>
        <w:rPr>
          <w:rFonts w:hint="eastAsia"/>
          <w:sz w:val="24"/>
          <w:szCs w:val="24"/>
          <w:highlight w:val="none"/>
        </w:rPr>
        <w:t>对提交最后报价的供应商的响应文件和最后报价进行综合评分。</w:t>
      </w:r>
    </w:p>
    <w:p>
      <w:pPr>
        <w:spacing w:before="120" w:beforeLines="50"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1.7 复核与核对评审结果</w:t>
      </w:r>
    </w:p>
    <w:p>
      <w:pPr>
        <w:spacing w:before="120" w:before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1.7.1 评分汇总结束后，磋商小组应当进行复核，特别要对拟推荐成交候选人的、最后报价最低的、响应文件被认定无效的进行重点复核。</w:t>
      </w:r>
    </w:p>
    <w:p>
      <w:pPr>
        <w:pStyle w:val="86"/>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1.7.2 评审结果汇总完成后，</w:t>
      </w:r>
      <w:r>
        <w:rPr>
          <w:rFonts w:ascii="宋体" w:hAnsi="宋体"/>
          <w:sz w:val="24"/>
          <w:szCs w:val="24"/>
          <w:highlight w:val="none"/>
        </w:rPr>
        <w:t>评</w:t>
      </w:r>
      <w:r>
        <w:rPr>
          <w:rFonts w:hint="eastAsia" w:ascii="宋体" w:hAnsi="宋体"/>
          <w:sz w:val="24"/>
          <w:szCs w:val="24"/>
          <w:highlight w:val="none"/>
        </w:rPr>
        <w:t>审</w:t>
      </w:r>
      <w:r>
        <w:rPr>
          <w:rFonts w:ascii="宋体" w:hAnsi="宋体"/>
          <w:sz w:val="24"/>
          <w:szCs w:val="24"/>
          <w:highlight w:val="none"/>
        </w:rPr>
        <w:t>报告签署前，</w:t>
      </w:r>
      <w:r>
        <w:rPr>
          <w:rFonts w:hint="eastAsia" w:ascii="宋体" w:hAnsi="宋体"/>
          <w:sz w:val="24"/>
          <w:szCs w:val="24"/>
          <w:highlight w:val="none"/>
        </w:rPr>
        <w:t>采购代理机构应当</w:t>
      </w:r>
      <w:r>
        <w:rPr>
          <w:rFonts w:ascii="宋体" w:hAnsi="宋体"/>
          <w:bCs/>
          <w:sz w:val="24"/>
          <w:szCs w:val="24"/>
          <w:highlight w:val="none"/>
        </w:rPr>
        <w:t>核对评</w:t>
      </w:r>
      <w:r>
        <w:rPr>
          <w:rFonts w:hint="eastAsia" w:ascii="宋体" w:hAnsi="宋体"/>
          <w:bCs/>
          <w:sz w:val="24"/>
          <w:szCs w:val="24"/>
          <w:highlight w:val="none"/>
        </w:rPr>
        <w:t>审</w:t>
      </w:r>
      <w:r>
        <w:rPr>
          <w:rFonts w:ascii="宋体" w:hAnsi="宋体"/>
          <w:bCs/>
          <w:sz w:val="24"/>
          <w:szCs w:val="24"/>
          <w:highlight w:val="none"/>
        </w:rPr>
        <w:t>结果，</w:t>
      </w:r>
      <w:r>
        <w:rPr>
          <w:rFonts w:ascii="宋体" w:hAnsi="宋体"/>
          <w:sz w:val="24"/>
          <w:szCs w:val="24"/>
          <w:highlight w:val="none"/>
        </w:rPr>
        <w:t>除下列情形外，任何人不得修改评</w:t>
      </w:r>
      <w:r>
        <w:rPr>
          <w:rFonts w:hint="eastAsia" w:ascii="宋体" w:hAnsi="宋体"/>
          <w:sz w:val="24"/>
          <w:szCs w:val="24"/>
          <w:highlight w:val="none"/>
        </w:rPr>
        <w:t>审</w:t>
      </w:r>
      <w:r>
        <w:rPr>
          <w:rFonts w:ascii="宋体" w:hAnsi="宋体"/>
          <w:sz w:val="24"/>
          <w:szCs w:val="24"/>
          <w:highlight w:val="none"/>
        </w:rPr>
        <w:t>结果：</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rPr>
        <w:t>资格性认定错误的；</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分值汇总计算错误的；</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）分项评分超出评分标准范围的；</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磋商小组</w:t>
      </w:r>
      <w:r>
        <w:rPr>
          <w:rFonts w:ascii="宋体" w:hAnsi="宋体"/>
          <w:sz w:val="24"/>
          <w:szCs w:val="24"/>
          <w:highlight w:val="none"/>
        </w:rPr>
        <w:t>对客观评审因素评分不一致的；</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）经</w:t>
      </w:r>
      <w:r>
        <w:rPr>
          <w:rFonts w:hint="eastAsia" w:ascii="宋体" w:hAnsi="宋体"/>
          <w:sz w:val="24"/>
          <w:szCs w:val="24"/>
          <w:highlight w:val="none"/>
        </w:rPr>
        <w:t>磋商小组一致</w:t>
      </w:r>
      <w:r>
        <w:rPr>
          <w:rFonts w:ascii="宋体" w:hAnsi="宋体"/>
          <w:sz w:val="24"/>
          <w:szCs w:val="24"/>
          <w:highlight w:val="none"/>
        </w:rPr>
        <w:t>认定评分畸高、畸低的。</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经复核发现存在以上情形之一（除资格性认定错误）的，</w:t>
      </w:r>
      <w:r>
        <w:rPr>
          <w:rFonts w:hint="eastAsia" w:ascii="宋体" w:hAnsi="宋体"/>
          <w:sz w:val="24"/>
          <w:szCs w:val="24"/>
          <w:highlight w:val="none"/>
        </w:rPr>
        <w:t>磋商小组</w:t>
      </w:r>
      <w:r>
        <w:rPr>
          <w:rFonts w:ascii="宋体" w:hAnsi="宋体"/>
          <w:sz w:val="24"/>
          <w:szCs w:val="24"/>
          <w:highlight w:val="none"/>
        </w:rPr>
        <w:t>应当当场修改评</w:t>
      </w:r>
      <w:r>
        <w:rPr>
          <w:rFonts w:hint="eastAsia" w:ascii="宋体" w:hAnsi="宋体"/>
          <w:sz w:val="24"/>
          <w:szCs w:val="24"/>
          <w:highlight w:val="none"/>
        </w:rPr>
        <w:t>审</w:t>
      </w:r>
      <w:r>
        <w:rPr>
          <w:rFonts w:ascii="宋体" w:hAnsi="宋体"/>
          <w:sz w:val="24"/>
          <w:szCs w:val="24"/>
          <w:highlight w:val="none"/>
        </w:rPr>
        <w:t>结果，并在评</w:t>
      </w:r>
      <w:r>
        <w:rPr>
          <w:rFonts w:hint="eastAsia" w:ascii="宋体" w:hAnsi="宋体"/>
          <w:sz w:val="24"/>
          <w:szCs w:val="24"/>
          <w:highlight w:val="none"/>
        </w:rPr>
        <w:t>审</w:t>
      </w:r>
      <w:r>
        <w:rPr>
          <w:rFonts w:ascii="宋体" w:hAnsi="宋体"/>
          <w:sz w:val="24"/>
          <w:szCs w:val="24"/>
          <w:highlight w:val="none"/>
        </w:rPr>
        <w:t>报告中记载；经复核发现资格性认定错误的，由资格审查小组负责修改供应商资格审查报告，并通知磋商小组修改评审报告</w:t>
      </w:r>
      <w:r>
        <w:rPr>
          <w:rFonts w:hint="eastAsia" w:ascii="宋体" w:hAnsi="宋体"/>
          <w:sz w:val="24"/>
          <w:szCs w:val="24"/>
          <w:highlight w:val="none"/>
        </w:rPr>
        <w:t>。</w:t>
      </w:r>
    </w:p>
    <w:p>
      <w:pPr>
        <w:spacing w:before="120" w:beforeLines="50" w:after="120" w:afterLines="50" w:line="360" w:lineRule="auto"/>
        <w:rPr>
          <w:rFonts w:hint="eastAsia" w:ascii="宋体" w:hAnsi="宋体"/>
          <w:b/>
          <w:color w:val="000000"/>
          <w:sz w:val="24"/>
          <w:szCs w:val="24"/>
          <w:highlight w:val="none"/>
        </w:rPr>
      </w:pPr>
      <w:r>
        <w:rPr>
          <w:rFonts w:hint="eastAsia" w:ascii="宋体" w:hAnsi="宋体"/>
          <w:b/>
          <w:sz w:val="24"/>
          <w:szCs w:val="24"/>
          <w:highlight w:val="none"/>
        </w:rPr>
        <w:t xml:space="preserve">1.8 </w:t>
      </w:r>
      <w:r>
        <w:rPr>
          <w:rFonts w:hint="eastAsia" w:ascii="宋体" w:hAnsi="宋体"/>
          <w:b/>
          <w:color w:val="000000"/>
          <w:sz w:val="24"/>
          <w:szCs w:val="24"/>
          <w:highlight w:val="none"/>
        </w:rPr>
        <w:t>确定成交候选人名单</w:t>
      </w:r>
    </w:p>
    <w:p>
      <w:pPr>
        <w:spacing w:before="120" w:beforeLines="50" w:line="360" w:lineRule="auto"/>
        <w:ind w:firstLine="480" w:firstLineChars="200"/>
        <w:rPr>
          <w:rFonts w:hint="eastAsia" w:ascii="宋体" w:hAnsi="宋体"/>
          <w:sz w:val="24"/>
          <w:szCs w:val="24"/>
          <w:highlight w:val="none"/>
        </w:rPr>
      </w:pPr>
      <w:r>
        <w:rPr>
          <w:rFonts w:hint="eastAsia" w:ascii="宋体" w:hAnsi="宋体"/>
          <w:color w:val="000000"/>
          <w:sz w:val="24"/>
          <w:szCs w:val="24"/>
          <w:highlight w:val="none"/>
        </w:rPr>
        <w:t>确定成交候选人程序详</w:t>
      </w:r>
      <w:r>
        <w:rPr>
          <w:rFonts w:hint="eastAsia" w:ascii="宋体" w:hAnsi="宋体"/>
          <w:sz w:val="24"/>
          <w:szCs w:val="24"/>
          <w:highlight w:val="none"/>
        </w:rPr>
        <w:t>见第二章第8.1、8.2条款。</w:t>
      </w:r>
    </w:p>
    <w:p>
      <w:pPr>
        <w:spacing w:before="120" w:beforeLines="50" w:after="120" w:afterLines="50" w:line="360" w:lineRule="auto"/>
        <w:rPr>
          <w:rFonts w:hint="eastAsia" w:ascii="宋体" w:hAnsi="宋体"/>
          <w:b/>
          <w:sz w:val="24"/>
          <w:szCs w:val="24"/>
          <w:highlight w:val="none"/>
        </w:rPr>
      </w:pPr>
      <w:r>
        <w:rPr>
          <w:rFonts w:hint="eastAsia" w:ascii="宋体" w:hAnsi="宋体"/>
          <w:b/>
          <w:sz w:val="24"/>
          <w:szCs w:val="24"/>
          <w:highlight w:val="none"/>
        </w:rPr>
        <w:t>1.9 编写评审报告</w:t>
      </w:r>
    </w:p>
    <w:p>
      <w:pPr>
        <w:spacing w:line="360" w:lineRule="auto"/>
        <w:ind w:firstLine="482"/>
        <w:rPr>
          <w:rFonts w:hint="eastAsia" w:ascii="宋体" w:hAnsi="宋体"/>
          <w:sz w:val="24"/>
          <w:szCs w:val="24"/>
          <w:highlight w:val="none"/>
        </w:rPr>
      </w:pPr>
      <w:r>
        <w:rPr>
          <w:rFonts w:hint="eastAsia" w:ascii="宋体" w:hAnsi="宋体"/>
          <w:sz w:val="24"/>
          <w:szCs w:val="24"/>
          <w:highlight w:val="none"/>
        </w:rPr>
        <w:t>1.9.1 磋商小组在确定成交候选人名单后，应当编写评审报告并向采购人出具。评审报告应当包括以下主要内容：</w:t>
      </w:r>
    </w:p>
    <w:p>
      <w:pPr>
        <w:spacing w:line="360" w:lineRule="auto"/>
        <w:ind w:firstLine="482"/>
        <w:rPr>
          <w:rFonts w:hint="eastAsia" w:ascii="宋体" w:hAnsi="宋体" w:cs="宋体"/>
          <w:snapToGrid w:val="0"/>
          <w:kern w:val="0"/>
          <w:sz w:val="24"/>
          <w:szCs w:val="24"/>
          <w:highlight w:val="none"/>
        </w:rPr>
      </w:pPr>
      <w:r>
        <w:rPr>
          <w:rFonts w:hint="eastAsia" w:ascii="宋体" w:hAnsi="宋体" w:cs="宋体"/>
          <w:kern w:val="0"/>
          <w:sz w:val="24"/>
          <w:szCs w:val="24"/>
          <w:highlight w:val="none"/>
        </w:rPr>
        <w:t>（1）</w:t>
      </w:r>
      <w:r>
        <w:rPr>
          <w:rFonts w:hint="eastAsia" w:ascii="宋体" w:hAnsi="宋体" w:cs="宋体"/>
          <w:snapToGrid w:val="0"/>
          <w:kern w:val="0"/>
          <w:sz w:val="24"/>
          <w:szCs w:val="24"/>
          <w:highlight w:val="none"/>
        </w:rPr>
        <w:t>邀请供应商参加采购活动的具体方式和相关情况；</w:t>
      </w:r>
    </w:p>
    <w:p>
      <w:pPr>
        <w:spacing w:line="360" w:lineRule="auto"/>
        <w:ind w:firstLine="482"/>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（2）响应文件开启日期和地点；</w:t>
      </w:r>
    </w:p>
    <w:p>
      <w:pPr>
        <w:spacing w:line="360" w:lineRule="auto"/>
        <w:ind w:firstLine="482"/>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（3）获取磋商文件的供应商名单和磋商小组成员名单；</w:t>
      </w:r>
    </w:p>
    <w:p>
      <w:pPr>
        <w:spacing w:line="360" w:lineRule="auto"/>
        <w:ind w:firstLine="482"/>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（4）评审情况记录和说明，包括对供应商响应文件评审情况、磋商情况（含磋商文件实质性变动情况）、报价情况等；</w:t>
      </w:r>
    </w:p>
    <w:p>
      <w:pPr>
        <w:spacing w:line="360" w:lineRule="auto"/>
        <w:ind w:firstLine="482"/>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（5）提出的成交候选人的排序名单及理由。</w:t>
      </w:r>
    </w:p>
    <w:p>
      <w:pPr>
        <w:spacing w:line="360" w:lineRule="auto"/>
        <w:ind w:firstLine="482"/>
        <w:rPr>
          <w:rFonts w:hint="eastAsia" w:ascii="宋体" w:hAnsi="宋体" w:cs="宋体"/>
          <w:kern w:val="0"/>
          <w:sz w:val="24"/>
          <w:szCs w:val="24"/>
          <w:highlight w:val="none"/>
        </w:rPr>
      </w:pPr>
      <w:r>
        <w:rPr>
          <w:rFonts w:hint="eastAsia" w:ascii="宋体" w:hAnsi="宋体" w:cs="宋体"/>
          <w:kern w:val="0"/>
          <w:sz w:val="24"/>
          <w:szCs w:val="24"/>
          <w:highlight w:val="none"/>
        </w:rPr>
        <w:t>（6）其他需要说明的情况，包括评审过程中供应商根据磋商小组要求进行的澄清、说明或者更正，磋商小组成员的更换等，报价最高的供应商为第一中标候选人的，对其报价合理性予以特别书面。</w:t>
      </w:r>
    </w:p>
    <w:p>
      <w:pPr>
        <w:widowControl/>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kern w:val="0"/>
          <w:sz w:val="24"/>
          <w:szCs w:val="24"/>
          <w:highlight w:val="none"/>
        </w:rPr>
        <w:t xml:space="preserve">1.9.2 </w:t>
      </w:r>
      <w:r>
        <w:rPr>
          <w:rFonts w:hint="eastAsia" w:ascii="宋体" w:hAnsi="宋体" w:cs="宋体"/>
          <w:snapToGrid w:val="0"/>
          <w:kern w:val="0"/>
          <w:sz w:val="24"/>
          <w:szCs w:val="24"/>
          <w:highlight w:val="none"/>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spacing w:before="120" w:beforeLines="50" w:after="120" w:afterLines="50" w:line="360" w:lineRule="auto"/>
        <w:outlineLvl w:val="1"/>
        <w:rPr>
          <w:rFonts w:hint="eastAsia" w:ascii="宋体" w:hAnsi="宋体" w:eastAsia="宋体" w:cs="宋体"/>
          <w:b/>
          <w:color w:val="000000"/>
          <w:kern w:val="2"/>
          <w:sz w:val="24"/>
          <w:szCs w:val="24"/>
          <w:highlight w:val="none"/>
          <w:lang w:val="en-US" w:eastAsia="zh-CN" w:bidi="ar-SA"/>
        </w:rPr>
      </w:pPr>
      <w:bookmarkStart w:id="96" w:name="_Toc2533"/>
      <w:r>
        <w:rPr>
          <w:rFonts w:hint="eastAsia" w:ascii="宋体" w:hAnsi="宋体" w:eastAsia="宋体" w:cs="宋体"/>
          <w:b/>
          <w:color w:val="000000"/>
          <w:kern w:val="2"/>
          <w:sz w:val="24"/>
          <w:szCs w:val="24"/>
          <w:highlight w:val="none"/>
          <w:lang w:val="en-US" w:eastAsia="zh-CN" w:bidi="ar-SA"/>
        </w:rPr>
        <w:t>2.评审方法</w:t>
      </w:r>
      <w:bookmarkEnd w:id="96"/>
    </w:p>
    <w:p>
      <w:pPr>
        <w:pStyle w:val="5"/>
        <w:spacing w:before="120" w:beforeLines="50" w:after="120" w:afterLines="50" w:line="360" w:lineRule="auto"/>
        <w:ind w:firstLine="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 综合评分法</w:t>
      </w:r>
    </w:p>
    <w:p>
      <w:pPr>
        <w:spacing w:line="360" w:lineRule="auto"/>
        <w:ind w:firstLine="470" w:firstLineChars="196"/>
        <w:rPr>
          <w:rFonts w:hint="eastAsia" w:ascii="宋体" w:hAnsi="宋体" w:eastAsia="宋体" w:cs="宋体"/>
          <w:snapToGrid w:val="0"/>
          <w:color w:val="000000"/>
          <w:kern w:val="0"/>
          <w:sz w:val="24"/>
          <w:szCs w:val="24"/>
          <w:highlight w:val="none"/>
        </w:rPr>
      </w:pPr>
      <w:r>
        <w:rPr>
          <w:rFonts w:hint="eastAsia" w:ascii="宋体" w:hAnsi="宋体" w:eastAsia="宋体" w:cs="宋体"/>
          <w:color w:val="000000"/>
          <w:sz w:val="24"/>
          <w:szCs w:val="24"/>
          <w:highlight w:val="none"/>
        </w:rPr>
        <w:t>2.1.1 本采购项目评审方法采用综合评分法，</w:t>
      </w:r>
      <w:r>
        <w:rPr>
          <w:rFonts w:hint="eastAsia" w:ascii="宋体" w:hAnsi="宋体" w:eastAsia="宋体" w:cs="宋体"/>
          <w:snapToGrid w:val="0"/>
          <w:color w:val="000000"/>
          <w:kern w:val="0"/>
          <w:sz w:val="24"/>
          <w:szCs w:val="24"/>
          <w:highlight w:val="none"/>
        </w:rPr>
        <w:t>是指响应文件满足磋商文件全部实质性要求且按评审因素的量化指标评审得分最高的供应商为成交候选供应商的评审方法。</w:t>
      </w:r>
    </w:p>
    <w:p>
      <w:pPr>
        <w:pStyle w:val="5"/>
        <w:spacing w:line="360" w:lineRule="auto"/>
        <w:ind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综合评分法评审标准中的分值设置应当与评审因素的量化指标相对应。磋商文件中没有规定的评审标准不得作为评审依据。</w:t>
      </w:r>
    </w:p>
    <w:p>
      <w:pPr>
        <w:widowControl/>
        <w:autoSpaceDE w:val="0"/>
        <w:autoSpaceDN w:val="0"/>
        <w:spacing w:before="120" w:beforeLines="50" w:after="120" w:afterLines="50" w:line="360" w:lineRule="auto"/>
        <w:ind w:right="51"/>
        <w:textAlignment w:val="bottom"/>
        <w:rPr>
          <w:rFonts w:hint="eastAsia" w:ascii="宋体" w:hAnsi="宋体"/>
          <w:b/>
          <w:sz w:val="24"/>
          <w:szCs w:val="24"/>
          <w:highlight w:val="none"/>
        </w:rPr>
      </w:pPr>
      <w:r>
        <w:rPr>
          <w:rFonts w:hint="eastAsia" w:ascii="宋体" w:hAnsi="宋体"/>
          <w:b/>
          <w:sz w:val="24"/>
          <w:szCs w:val="24"/>
          <w:highlight w:val="none"/>
        </w:rPr>
        <w:t xml:space="preserve">2.2 </w:t>
      </w:r>
      <w:r>
        <w:rPr>
          <w:rFonts w:hint="eastAsia"/>
          <w:b/>
          <w:sz w:val="24"/>
          <w:szCs w:val="24"/>
          <w:highlight w:val="none"/>
        </w:rPr>
        <w:t>评审细则及标准</w:t>
      </w:r>
    </w:p>
    <w:p>
      <w:pPr>
        <w:tabs>
          <w:tab w:val="left" w:pos="0"/>
        </w:tabs>
        <w:adjustRightInd w:val="0"/>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2.2.1 评审因素</w:t>
      </w:r>
    </w:p>
    <w:p>
      <w:pPr>
        <w:adjustRightInd w:val="0"/>
        <w:snapToGrid w:val="0"/>
        <w:spacing w:before="120" w:beforeLines="50" w:line="360" w:lineRule="auto"/>
        <w:ind w:firstLine="480" w:firstLineChars="200"/>
        <w:jc w:val="left"/>
        <w:rPr>
          <w:rFonts w:ascii="宋体" w:hAnsi="宋体"/>
          <w:bCs/>
          <w:color w:val="auto"/>
          <w:sz w:val="24"/>
          <w:szCs w:val="24"/>
          <w:highlight w:val="none"/>
        </w:rPr>
      </w:pPr>
      <w:r>
        <w:rPr>
          <w:rFonts w:hint="eastAsia" w:ascii="宋体" w:hAnsi="宋体"/>
          <w:sz w:val="24"/>
          <w:szCs w:val="24"/>
          <w:highlight w:val="none"/>
        </w:rPr>
        <w:t>本采购项目评审因</w:t>
      </w:r>
      <w:r>
        <w:rPr>
          <w:rFonts w:hint="eastAsia" w:ascii="宋体" w:hAnsi="宋体"/>
          <w:color w:val="auto"/>
          <w:sz w:val="24"/>
          <w:szCs w:val="24"/>
          <w:highlight w:val="none"/>
        </w:rPr>
        <w:t>素包括：</w:t>
      </w:r>
      <w:r>
        <w:rPr>
          <w:rFonts w:hint="eastAsia" w:ascii="宋体" w:hAnsi="宋体" w:cs="宋体"/>
          <w:b/>
          <w:color w:val="auto"/>
          <w:kern w:val="0"/>
          <w:sz w:val="24"/>
          <w:szCs w:val="24"/>
          <w:highlight w:val="none"/>
        </w:rPr>
        <w:t>磋商</w:t>
      </w:r>
      <w:r>
        <w:rPr>
          <w:rFonts w:hint="eastAsia" w:ascii="宋体" w:hAnsi="宋体" w:cs="宋体"/>
          <w:b/>
          <w:color w:val="auto"/>
          <w:kern w:val="0"/>
          <w:sz w:val="24"/>
          <w:szCs w:val="24"/>
          <w:highlight w:val="none"/>
          <w:lang w:val="en-US" w:eastAsia="zh-CN"/>
        </w:rPr>
        <w:t>最终</w:t>
      </w:r>
      <w:r>
        <w:rPr>
          <w:rFonts w:hint="eastAsia" w:ascii="宋体" w:hAnsi="宋体" w:cs="宋体"/>
          <w:b/>
          <w:color w:val="auto"/>
          <w:kern w:val="0"/>
          <w:sz w:val="24"/>
          <w:szCs w:val="24"/>
          <w:highlight w:val="none"/>
        </w:rPr>
        <w:t>报价、技术</w:t>
      </w:r>
      <w:r>
        <w:rPr>
          <w:rFonts w:hint="eastAsia" w:ascii="宋体" w:hAnsi="宋体" w:cs="宋体"/>
          <w:b/>
          <w:color w:val="auto"/>
          <w:kern w:val="0"/>
          <w:sz w:val="24"/>
          <w:szCs w:val="24"/>
          <w:highlight w:val="none"/>
          <w:lang w:val="en-US" w:eastAsia="zh-CN"/>
        </w:rPr>
        <w:t>要求</w:t>
      </w:r>
      <w:r>
        <w:rPr>
          <w:rFonts w:hint="eastAsia" w:ascii="宋体" w:hAnsi="宋体" w:cs="宋体"/>
          <w:b/>
          <w:color w:val="auto"/>
          <w:kern w:val="0"/>
          <w:sz w:val="24"/>
          <w:szCs w:val="24"/>
          <w:highlight w:val="none"/>
        </w:rPr>
        <w:t>、商务</w:t>
      </w:r>
      <w:r>
        <w:rPr>
          <w:rFonts w:hint="eastAsia" w:ascii="宋体" w:hAnsi="宋体" w:cs="宋体"/>
          <w:b/>
          <w:color w:val="auto"/>
          <w:kern w:val="0"/>
          <w:sz w:val="24"/>
          <w:szCs w:val="24"/>
          <w:highlight w:val="none"/>
          <w:lang w:val="en-US" w:eastAsia="zh-CN"/>
        </w:rPr>
        <w:t>要求</w:t>
      </w:r>
      <w:r>
        <w:rPr>
          <w:rFonts w:hint="eastAsia" w:ascii="宋体" w:hAnsi="宋体" w:cs="宋体"/>
          <w:color w:val="auto"/>
          <w:kern w:val="0"/>
          <w:sz w:val="24"/>
          <w:szCs w:val="24"/>
          <w:highlight w:val="none"/>
        </w:rPr>
        <w:t>等</w:t>
      </w:r>
      <w:r>
        <w:rPr>
          <w:rFonts w:hint="eastAsia" w:ascii="宋体" w:hAnsi="宋体"/>
          <w:color w:val="auto"/>
          <w:sz w:val="24"/>
          <w:szCs w:val="24"/>
          <w:highlight w:val="none"/>
        </w:rPr>
        <w:t>对磋商文件的响应程度，以及相应的比重或者权值等，但不包括第二章第3.1条</w:t>
      </w:r>
      <w:r>
        <w:rPr>
          <w:rFonts w:hint="eastAsia" w:ascii="宋体" w:hAnsi="宋体" w:cs="宋体"/>
          <w:color w:val="auto"/>
          <w:kern w:val="0"/>
          <w:sz w:val="24"/>
          <w:szCs w:val="24"/>
          <w:highlight w:val="none"/>
          <w:lang w:val="zh-CN"/>
        </w:rPr>
        <w:t>款</w:t>
      </w:r>
      <w:r>
        <w:rPr>
          <w:rFonts w:hint="eastAsia" w:ascii="宋体" w:hAnsi="宋体"/>
          <w:color w:val="auto"/>
          <w:sz w:val="24"/>
          <w:szCs w:val="24"/>
          <w:highlight w:val="none"/>
        </w:rPr>
        <w:t>规定的供应商资格条件。</w:t>
      </w:r>
      <w:r>
        <w:rPr>
          <w:rFonts w:hint="eastAsia" w:ascii="宋体" w:hAnsi="宋体"/>
          <w:bCs/>
          <w:color w:val="auto"/>
          <w:sz w:val="24"/>
          <w:szCs w:val="24"/>
          <w:highlight w:val="none"/>
        </w:rPr>
        <w:t>项目的评标因素和标准见 “综合评分明细表”。</w:t>
      </w:r>
    </w:p>
    <w:p>
      <w:pPr>
        <w:tabs>
          <w:tab w:val="left" w:pos="0"/>
        </w:tabs>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2.2.1 评审因素</w:t>
      </w:r>
    </w:p>
    <w:p>
      <w:pPr>
        <w:adjustRightInd w:val="0"/>
        <w:snapToGrid w:val="0"/>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本项目评审因素包括</w:t>
      </w:r>
      <w:r>
        <w:rPr>
          <w:rFonts w:hint="eastAsia" w:ascii="宋体" w:hAnsi="宋体" w:eastAsia="宋体" w:cs="宋体"/>
          <w:b/>
          <w:color w:val="000000"/>
          <w:kern w:val="0"/>
          <w:sz w:val="24"/>
          <w:szCs w:val="24"/>
          <w:highlight w:val="none"/>
        </w:rPr>
        <w:t>磋商报价、技术部分、商务部分</w:t>
      </w:r>
      <w:r>
        <w:rPr>
          <w:rFonts w:hint="eastAsia" w:ascii="宋体" w:hAnsi="宋体" w:eastAsia="宋体" w:cs="宋体"/>
          <w:color w:val="000000"/>
          <w:kern w:val="0"/>
          <w:sz w:val="24"/>
          <w:szCs w:val="24"/>
          <w:highlight w:val="none"/>
        </w:rPr>
        <w:t>等</w:t>
      </w:r>
      <w:r>
        <w:rPr>
          <w:rFonts w:hint="eastAsia" w:ascii="宋体" w:hAnsi="宋体" w:eastAsia="宋体" w:cs="宋体"/>
          <w:color w:val="000000"/>
          <w:sz w:val="24"/>
          <w:szCs w:val="24"/>
          <w:highlight w:val="none"/>
        </w:rPr>
        <w:t>对磋商文件的响应程度，以及相应的比重或者权值等，但不包括第二章第3.1条</w:t>
      </w:r>
      <w:r>
        <w:rPr>
          <w:rFonts w:hint="eastAsia" w:ascii="宋体" w:hAnsi="宋体" w:eastAsia="宋体" w:cs="宋体"/>
          <w:color w:val="000000"/>
          <w:kern w:val="0"/>
          <w:sz w:val="24"/>
          <w:szCs w:val="24"/>
          <w:highlight w:val="none"/>
          <w:lang w:val="zh-CN"/>
        </w:rPr>
        <w:t>款</w:t>
      </w:r>
      <w:r>
        <w:rPr>
          <w:rFonts w:hint="eastAsia" w:ascii="宋体" w:hAnsi="宋体" w:eastAsia="宋体" w:cs="宋体"/>
          <w:color w:val="000000"/>
          <w:sz w:val="24"/>
          <w:szCs w:val="24"/>
          <w:highlight w:val="none"/>
        </w:rPr>
        <w:t>规定的供应商资格条件。</w:t>
      </w:r>
      <w:r>
        <w:rPr>
          <w:rFonts w:hint="eastAsia" w:ascii="宋体" w:hAnsi="宋体" w:eastAsia="宋体" w:cs="宋体"/>
          <w:snapToGrid w:val="0"/>
          <w:color w:val="000000"/>
          <w:sz w:val="24"/>
          <w:szCs w:val="24"/>
          <w:highlight w:val="none"/>
        </w:rPr>
        <w:t xml:space="preserve"> </w:t>
      </w:r>
    </w:p>
    <w:p>
      <w:pPr>
        <w:pStyle w:val="17"/>
        <w:adjustRightInd w:val="0"/>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2.2.2 磋商报价评审</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2.2.2.1供应商的价格分，按照财政部财库〔[2014〕]214号文件第二十四条和财库〔2020〕46号文件的规定，采用低价优先法计算，以本次满足磋商文件要求的</w:t>
      </w:r>
      <w:r>
        <w:rPr>
          <w:rFonts w:hint="eastAsia" w:ascii="宋体" w:hAnsi="宋体" w:eastAsia="宋体" w:cs="宋体"/>
          <w:b/>
          <w:color w:val="000000"/>
          <w:sz w:val="24"/>
          <w:szCs w:val="24"/>
          <w:highlight w:val="none"/>
        </w:rPr>
        <w:t>最低磋商评审价为磋商基准价</w:t>
      </w:r>
      <w:r>
        <w:rPr>
          <w:rFonts w:hint="eastAsia" w:ascii="宋体" w:hAnsi="宋体" w:eastAsia="宋体" w:cs="宋体"/>
          <w:color w:val="000000"/>
          <w:sz w:val="24"/>
          <w:szCs w:val="24"/>
          <w:highlight w:val="none"/>
        </w:rPr>
        <w:t>，其价格为满分。</w:t>
      </w:r>
    </w:p>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2.2.2.2供应商的价格分，统一按照下列公式</w:t>
      </w:r>
      <w:r>
        <w:rPr>
          <w:rFonts w:hint="eastAsia" w:ascii="宋体" w:hAnsi="宋体" w:eastAsia="宋体" w:cs="宋体"/>
          <w:bCs/>
          <w:color w:val="000000"/>
          <w:sz w:val="24"/>
          <w:szCs w:val="24"/>
          <w:highlight w:val="none"/>
        </w:rPr>
        <w:t>计算：</w:t>
      </w:r>
    </w:p>
    <w:p>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最后报价得分=(磋商基准价／最后报价)×100×价格权值</w:t>
      </w:r>
    </w:p>
    <w:p>
      <w:pPr>
        <w:pStyle w:val="18"/>
        <w:widowControl/>
        <w:tabs>
          <w:tab w:val="left" w:pos="1506"/>
        </w:tabs>
        <w:adjustRightInd w:val="0"/>
        <w:snapToGrid w:val="0"/>
        <w:spacing w:line="360" w:lineRule="auto"/>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2.2.3技术、商务评价及政府采购政策评分</w:t>
      </w:r>
    </w:p>
    <w:p>
      <w:pPr>
        <w:pStyle w:val="18"/>
        <w:widowControl/>
        <w:tabs>
          <w:tab w:val="left" w:pos="1506"/>
        </w:tabs>
        <w:adjustRightInd w:val="0"/>
        <w:snapToGrid w:val="0"/>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2.2.3.1技术、商务等评分项响应评分。按照 “综合评分明细表”规定的评审因素和标准，对技术、商务等评分项计算得分。</w:t>
      </w:r>
    </w:p>
    <w:p>
      <w:pPr>
        <w:pStyle w:val="18"/>
        <w:widowControl/>
        <w:tabs>
          <w:tab w:val="left" w:pos="1506"/>
        </w:tabs>
        <w:adjustRightInd w:val="0"/>
        <w:snapToGrid w:val="0"/>
        <w:spacing w:line="360" w:lineRule="auto"/>
        <w:rPr>
          <w:rFonts w:hint="eastAsia" w:ascii="宋体" w:hAnsi="宋体"/>
          <w:color w:val="auto"/>
          <w:sz w:val="24"/>
          <w:szCs w:val="24"/>
          <w:highlight w:val="none"/>
        </w:rPr>
      </w:pPr>
      <w:r>
        <w:rPr>
          <w:rFonts w:hint="eastAsia" w:ascii="宋体" w:hAnsi="宋体"/>
          <w:bCs/>
          <w:color w:val="auto"/>
          <w:sz w:val="24"/>
          <w:szCs w:val="24"/>
          <w:highlight w:val="none"/>
        </w:rPr>
        <w:t>2.2.3.2如本服务项目含有货物采购的，且供应商提供货物（产品）</w:t>
      </w:r>
      <w:r>
        <w:rPr>
          <w:rFonts w:hint="eastAsia" w:ascii="宋体" w:hAnsi="宋体"/>
          <w:color w:val="auto"/>
          <w:sz w:val="24"/>
          <w:szCs w:val="24"/>
          <w:highlight w:val="none"/>
        </w:rPr>
        <w:t>需落实政府采购政策（优先采购）的，对符合第二章第3.4.1条款规定条件的供应商，</w:t>
      </w:r>
      <w:r>
        <w:rPr>
          <w:rFonts w:hint="eastAsia" w:ascii="宋体" w:hAnsi="宋体"/>
          <w:bCs/>
          <w:color w:val="auto"/>
          <w:sz w:val="24"/>
          <w:szCs w:val="24"/>
          <w:highlight w:val="none"/>
        </w:rPr>
        <w:t>按照 “综合评分明细表”的</w:t>
      </w:r>
      <w:r>
        <w:rPr>
          <w:rFonts w:hint="eastAsia" w:ascii="宋体" w:hAnsi="宋体"/>
          <w:color w:val="auto"/>
          <w:sz w:val="24"/>
          <w:szCs w:val="24"/>
          <w:highlight w:val="none"/>
        </w:rPr>
        <w:t>相关标准进行评分。</w:t>
      </w:r>
    </w:p>
    <w:p>
      <w:pPr>
        <w:pStyle w:val="18"/>
        <w:widowControl/>
        <w:tabs>
          <w:tab w:val="left" w:pos="1506"/>
        </w:tabs>
        <w:adjustRightInd w:val="0"/>
        <w:snapToGrid w:val="0"/>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2.2.4 评审总得分</w:t>
      </w:r>
    </w:p>
    <w:p>
      <w:pPr>
        <w:pStyle w:val="18"/>
        <w:widowControl/>
        <w:tabs>
          <w:tab w:val="left" w:pos="1506"/>
        </w:tabs>
        <w:adjustRightInd w:val="0"/>
        <w:snapToGrid w:val="0"/>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2.2.4.1磋商小组成员应当独立对每个供应商的响应文件进行评价，并汇总每个供应商的得分，</w:t>
      </w:r>
      <w:r>
        <w:rPr>
          <w:rFonts w:hint="eastAsia" w:ascii="宋体" w:hAnsi="宋体"/>
          <w:color w:val="auto"/>
          <w:sz w:val="24"/>
          <w:szCs w:val="24"/>
          <w:highlight w:val="none"/>
        </w:rPr>
        <w:t>每个供应商的最终得分为所有磋商小组成员评分的算术平均值。</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评审总得分＝F1＋F2＋……＋Fn</w:t>
      </w:r>
    </w:p>
    <w:p>
      <w:pPr>
        <w:pStyle w:val="18"/>
        <w:widowControl/>
        <w:tabs>
          <w:tab w:val="left" w:pos="1506"/>
        </w:tabs>
        <w:adjustRightInd w:val="0"/>
        <w:snapToGrid w:val="0"/>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F1、F2……Fn分别为各项评审因素的汇总得分</w:t>
      </w:r>
    </w:p>
    <w:p>
      <w:pPr>
        <w:pStyle w:val="18"/>
        <w:widowControl/>
        <w:tabs>
          <w:tab w:val="left" w:pos="1506"/>
        </w:tabs>
        <w:adjustRightInd w:val="0"/>
        <w:snapToGrid w:val="0"/>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2.2.4.2评审过程中，不得去掉报价中的最高报价和最低报价。</w:t>
      </w:r>
    </w:p>
    <w:p>
      <w:pPr>
        <w:tabs>
          <w:tab w:val="left" w:pos="7665"/>
        </w:tabs>
        <w:spacing w:line="360" w:lineRule="auto"/>
        <w:ind w:firstLine="482" w:firstLineChars="200"/>
        <w:rPr>
          <w:rFonts w:hint="eastAsia" w:ascii="宋体"/>
          <w:b/>
          <w:color w:val="auto"/>
          <w:sz w:val="24"/>
          <w:szCs w:val="24"/>
          <w:highlight w:val="none"/>
        </w:rPr>
      </w:pPr>
      <w:r>
        <w:rPr>
          <w:rFonts w:hint="eastAsia" w:ascii="宋体" w:hAnsi="宋体"/>
          <w:b/>
          <w:color w:val="auto"/>
          <w:sz w:val="24"/>
          <w:szCs w:val="24"/>
          <w:highlight w:val="none"/>
        </w:rPr>
        <w:t>2.2.5</w:t>
      </w:r>
      <w:r>
        <w:rPr>
          <w:rFonts w:hint="eastAsia" w:ascii="宋体"/>
          <w:b/>
          <w:color w:val="auto"/>
          <w:sz w:val="24"/>
          <w:szCs w:val="24"/>
          <w:highlight w:val="none"/>
        </w:rPr>
        <w:t>综合评分明细表</w:t>
      </w:r>
    </w:p>
    <w:p>
      <w:pPr>
        <w:tabs>
          <w:tab w:val="left" w:pos="7665"/>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2.2.5.1综合评分明细表的制定以科学合理、降低磋商小组自由裁量权为原则。</w:t>
      </w:r>
    </w:p>
    <w:p>
      <w:pPr>
        <w:tabs>
          <w:tab w:val="left" w:pos="7665"/>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2.2.5.2 综合评分明细表</w:t>
      </w:r>
    </w:p>
    <w:p>
      <w:pPr>
        <w:rPr>
          <w:rFonts w:hint="eastAsia" w:ascii="宋体" w:hAnsi="宋体"/>
          <w:color w:val="auto"/>
          <w:sz w:val="24"/>
          <w:szCs w:val="24"/>
          <w:highlight w:val="none"/>
        </w:rPr>
      </w:pPr>
      <w:r>
        <w:rPr>
          <w:rFonts w:hint="eastAsia" w:ascii="宋体" w:hAnsi="宋体"/>
          <w:color w:val="auto"/>
          <w:sz w:val="24"/>
          <w:szCs w:val="24"/>
          <w:highlight w:val="none"/>
        </w:rPr>
        <w:br w:type="page"/>
      </w:r>
    </w:p>
    <w:p>
      <w:pPr>
        <w:pStyle w:val="14"/>
        <w:keepNext w:val="0"/>
        <w:keepLines w:val="0"/>
        <w:pageBreakBefore w:val="0"/>
        <w:widowControl w:val="0"/>
        <w:tabs>
          <w:tab w:val="left" w:pos="600"/>
        </w:tabs>
        <w:kinsoku/>
        <w:wordWrap/>
        <w:overflowPunct/>
        <w:topLinePunct w:val="0"/>
        <w:autoSpaceDE/>
        <w:autoSpaceDN/>
        <w:bidi w:val="0"/>
        <w:adjustRightInd/>
        <w:snapToGrid/>
        <w:spacing w:line="500" w:lineRule="exact"/>
        <w:jc w:val="both"/>
        <w:textAlignment w:val="auto"/>
        <w:rPr>
          <w:rFonts w:hint="eastAsia" w:ascii="黑体" w:hAnsi="宋体" w:eastAsia="黑体"/>
          <w:color w:val="auto"/>
          <w:szCs w:val="32"/>
          <w:highlight w:val="none"/>
        </w:rPr>
      </w:pPr>
      <w:r>
        <w:rPr>
          <w:rFonts w:hint="eastAsia" w:ascii="黑体" w:hAnsi="宋体" w:eastAsia="黑体"/>
          <w:color w:val="auto"/>
          <w:szCs w:val="32"/>
          <w:highlight w:val="none"/>
        </w:rPr>
        <w:t>综合评分明细表</w:t>
      </w:r>
    </w:p>
    <w:tbl>
      <w:tblPr>
        <w:tblStyle w:val="31"/>
        <w:tblpPr w:leftFromText="180" w:rightFromText="180" w:vertAnchor="text" w:horzAnchor="page" w:tblpXSpec="center" w:tblpY="473"/>
        <w:tblOverlap w:val="never"/>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32"/>
        <w:gridCol w:w="59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内容</w:t>
            </w: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13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报价（25 分</w:t>
            </w:r>
            <w:r>
              <w:rPr>
                <w:rFonts w:hint="eastAsia" w:ascii="宋体" w:hAnsi="宋体" w:eastAsia="宋体" w:cs="宋体"/>
                <w:color w:val="auto"/>
                <w:sz w:val="24"/>
                <w:szCs w:val="24"/>
                <w:lang w:eastAsia="zh-CN"/>
              </w:rPr>
              <w:t>）</w:t>
            </w: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按照财政部《政府采购货物和服务招标投标管理办法》（财政部令第87号）的有关规定：价格分采用低价优先法计算，将满足</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要求且投标报价最低的投标报价作为评标基准价，</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其价格分为满分。其他供应商的价格分统一按照下列公式计算： </w:t>
            </w:r>
            <w:bookmarkStart w:id="97" w:name="OLE_LINK27"/>
            <w:r>
              <w:rPr>
                <w:rFonts w:hint="eastAsia" w:ascii="宋体" w:hAnsi="宋体" w:eastAsia="宋体" w:cs="宋体"/>
                <w:color w:val="auto"/>
                <w:sz w:val="24"/>
                <w:szCs w:val="24"/>
              </w:rPr>
              <w:t>投标报价得分=（评标基准价/投标报价） ×价格权值×100</w:t>
            </w:r>
            <w:bookmarkEnd w:id="97"/>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bookmarkStart w:id="98" w:name="OLE_LINK34"/>
            <w:r>
              <w:rPr>
                <w:rFonts w:hint="eastAsia" w:ascii="宋体" w:hAnsi="宋体" w:eastAsia="宋体" w:cs="宋体"/>
                <w:b/>
                <w:bCs/>
                <w:color w:val="auto"/>
                <w:sz w:val="24"/>
                <w:szCs w:val="24"/>
              </w:rPr>
              <w:t>注：本项目为专门面向中小企业采购项目，专门面向中小企业采购的项目，不再执行价格评审优惠的扶持政策。</w:t>
            </w:r>
            <w:bookmarkEnd w:id="98"/>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306"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方案 （</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分）</w:t>
            </w: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bookmarkStart w:id="99" w:name="OLE_LINK28"/>
            <w:bookmarkStart w:id="100" w:name="OLE_LINK93"/>
            <w:r>
              <w:rPr>
                <w:rFonts w:hint="eastAsia" w:ascii="宋体" w:hAnsi="宋体" w:eastAsia="宋体" w:cs="宋体"/>
                <w:color w:val="auto"/>
                <w:sz w:val="24"/>
                <w:szCs w:val="24"/>
                <w:lang w:val="zh-CN"/>
              </w:rPr>
              <w:t>服务方案</w:t>
            </w:r>
            <w:bookmarkEnd w:id="99"/>
            <w:bookmarkEnd w:id="100"/>
          </w:p>
        </w:tc>
        <w:tc>
          <w:tcPr>
            <w:tcW w:w="5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b/>
                <w:bCs w:val="0"/>
                <w:color w:val="auto"/>
                <w:sz w:val="24"/>
                <w:szCs w:val="24"/>
                <w:lang w:eastAsia="zh-CN"/>
              </w:rPr>
            </w:pPr>
            <w:bookmarkStart w:id="101" w:name="OLE_LINK74"/>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根据</w:t>
            </w:r>
            <w:r>
              <w:rPr>
                <w:rFonts w:hint="eastAsia" w:ascii="宋体" w:hAnsi="宋体" w:eastAsia="宋体" w:cs="宋体"/>
                <w:b/>
                <w:bCs w:val="0"/>
                <w:color w:val="auto"/>
                <w:sz w:val="24"/>
                <w:szCs w:val="24"/>
                <w:lang w:eastAsia="zh-CN"/>
              </w:rPr>
              <w:t>采购人</w:t>
            </w:r>
            <w:r>
              <w:rPr>
                <w:rFonts w:hint="eastAsia" w:ascii="宋体" w:hAnsi="宋体" w:eastAsia="宋体" w:cs="宋体"/>
                <w:b/>
                <w:bCs w:val="0"/>
                <w:color w:val="auto"/>
                <w:sz w:val="24"/>
                <w:szCs w:val="24"/>
              </w:rPr>
              <w:t>的需求和项目具体内容并结合自身情况制定详尽、完善的</w:t>
            </w:r>
            <w:r>
              <w:rPr>
                <w:rFonts w:hint="eastAsia" w:ascii="宋体" w:hAnsi="宋体" w:eastAsia="宋体" w:cs="宋体"/>
                <w:b/>
                <w:bCs w:val="0"/>
                <w:color w:val="auto"/>
                <w:sz w:val="24"/>
                <w:szCs w:val="24"/>
                <w:lang w:val="en-US" w:eastAsia="zh-CN"/>
              </w:rPr>
              <w:t>服务</w:t>
            </w:r>
            <w:r>
              <w:rPr>
                <w:rFonts w:hint="eastAsia" w:ascii="宋体" w:hAnsi="宋体" w:eastAsia="宋体" w:cs="宋体"/>
                <w:b/>
                <w:bCs w:val="0"/>
                <w:color w:val="auto"/>
                <w:sz w:val="24"/>
                <w:szCs w:val="24"/>
              </w:rPr>
              <w:t>方案</w:t>
            </w:r>
            <w:r>
              <w:rPr>
                <w:rFonts w:hint="eastAsia" w:ascii="宋体" w:hAnsi="宋体" w:eastAsia="宋体" w:cs="宋体"/>
                <w:b/>
                <w:bCs w:val="0"/>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实施方</w:t>
            </w:r>
            <w:r>
              <w:rPr>
                <w:rFonts w:hint="eastAsia" w:ascii="宋体" w:hAnsi="宋体" w:eastAsia="宋体" w:cs="宋体"/>
                <w:color w:val="auto"/>
                <w:sz w:val="24"/>
                <w:szCs w:val="24"/>
                <w:lang w:eastAsia="zh-CN"/>
              </w:rPr>
              <w:t>案内容全面细致、思路清晰，与本项目实际情况结合紧密易于实施</w:t>
            </w:r>
            <w:r>
              <w:rPr>
                <w:rFonts w:hint="eastAsia" w:ascii="宋体" w:hAnsi="宋体" w:eastAsia="宋体" w:cs="宋体"/>
                <w:color w:val="auto"/>
                <w:sz w:val="24"/>
                <w:szCs w:val="24"/>
              </w:rPr>
              <w:t>计</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实施方案内容完整，能基本满足项目实施的大体要求计</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实施方案描述符合招标文件要求，内容一般计0-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bookmarkEnd w:id="101"/>
            <w:r>
              <w:rPr>
                <w:rFonts w:hint="eastAsia" w:ascii="宋体" w:hAnsi="宋体" w:eastAsia="宋体" w:cs="宋体"/>
                <w:color w:val="auto"/>
                <w:sz w:val="24"/>
                <w:szCs w:val="24"/>
                <w:lang w:val="zh-CN"/>
              </w:rPr>
              <w:t>不提供不得分。</w:t>
            </w:r>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30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rPr>
            </w:pP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bookmarkStart w:id="102" w:name="OLE_LINK75"/>
            <w:r>
              <w:rPr>
                <w:rFonts w:hint="eastAsia" w:ascii="宋体" w:hAnsi="宋体" w:eastAsia="宋体" w:cs="宋体"/>
                <w:color w:val="auto"/>
                <w:sz w:val="24"/>
                <w:szCs w:val="24"/>
                <w:lang w:val="en-US" w:eastAsia="zh-CN"/>
              </w:rPr>
              <w:t>人员配备</w:t>
            </w:r>
            <w:bookmarkEnd w:id="102"/>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val="zh-CN" w:eastAsia="zh-CN"/>
              </w:rPr>
            </w:pPr>
            <w:bookmarkStart w:id="103" w:name="OLE_LINK76"/>
            <w:r>
              <w:rPr>
                <w:rFonts w:hint="eastAsia" w:ascii="宋体" w:hAnsi="宋体" w:eastAsia="宋体" w:cs="宋体"/>
                <w:color w:val="auto"/>
                <w:sz w:val="24"/>
                <w:szCs w:val="24"/>
              </w:rPr>
              <w:t>提供人员的证书等，根据材料的完整程度，横向对比，完全满足计</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rPr>
              <w:t>，比较满足计</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rPr>
              <w:t>，一般满足计0-4</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rPr>
              <w:t>；</w:t>
            </w:r>
            <w:bookmarkEnd w:id="103"/>
            <w:r>
              <w:rPr>
                <w:rFonts w:hint="eastAsia" w:ascii="宋体" w:hAnsi="宋体" w:eastAsia="宋体" w:cs="宋体"/>
                <w:color w:val="auto"/>
                <w:sz w:val="24"/>
                <w:szCs w:val="24"/>
                <w:lang w:val="zh-CN"/>
              </w:rPr>
              <w:t>不提供不得分。</w:t>
            </w:r>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30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rPr>
            </w:pP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zh-CN"/>
              </w:rPr>
            </w:pPr>
            <w:bookmarkStart w:id="104" w:name="OLE_LINK77"/>
            <w:r>
              <w:rPr>
                <w:rFonts w:hint="eastAsia" w:ascii="宋体" w:hAnsi="宋体" w:eastAsia="宋体" w:cs="宋体"/>
                <w:color w:val="auto"/>
                <w:sz w:val="24"/>
                <w:szCs w:val="24"/>
                <w:lang w:val="zh-CN"/>
              </w:rPr>
              <w:t>进度计划及应对措施</w:t>
            </w:r>
            <w:bookmarkEnd w:id="104"/>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val="en-US" w:eastAsia="zh-CN"/>
              </w:rPr>
            </w:pPr>
            <w:bookmarkStart w:id="105" w:name="OLE_LINK78"/>
            <w:r>
              <w:rPr>
                <w:rFonts w:hint="eastAsia" w:ascii="宋体" w:hAnsi="宋体" w:eastAsia="宋体" w:cs="宋体"/>
                <w:color w:val="auto"/>
                <w:sz w:val="24"/>
                <w:szCs w:val="24"/>
                <w:lang w:val="zh-CN"/>
              </w:rPr>
              <w:t>项目</w:t>
            </w:r>
            <w:bookmarkStart w:id="106" w:name="OLE_LINK7"/>
            <w:r>
              <w:rPr>
                <w:rFonts w:hint="eastAsia" w:ascii="宋体" w:hAnsi="宋体" w:eastAsia="宋体" w:cs="宋体"/>
                <w:color w:val="auto"/>
                <w:sz w:val="24"/>
                <w:szCs w:val="24"/>
                <w:lang w:val="zh-CN"/>
              </w:rPr>
              <w:t>工作进度计划及应对措施</w:t>
            </w:r>
            <w:bookmarkEnd w:id="106"/>
            <w:r>
              <w:rPr>
                <w:rFonts w:hint="eastAsia" w:ascii="宋体" w:hAnsi="宋体" w:eastAsia="宋体" w:cs="宋体"/>
                <w:color w:val="auto"/>
                <w:sz w:val="24"/>
                <w:szCs w:val="24"/>
                <w:lang w:val="zh-CN"/>
              </w:rPr>
              <w:t>合理、可行、内容完整，目标明确，质保体系完整、职责明确，科学、合理得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分，较合理得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7分</w:t>
            </w:r>
            <w:r>
              <w:rPr>
                <w:rFonts w:hint="eastAsia" w:ascii="宋体" w:hAnsi="宋体" w:eastAsia="宋体" w:cs="宋体"/>
                <w:color w:val="auto"/>
                <w:sz w:val="24"/>
                <w:szCs w:val="24"/>
                <w:lang w:val="zh-CN"/>
              </w:rPr>
              <w:t>，一般得0-3分。</w:t>
            </w:r>
            <w:bookmarkEnd w:id="105"/>
            <w:r>
              <w:rPr>
                <w:rFonts w:hint="eastAsia" w:ascii="宋体" w:hAnsi="宋体" w:eastAsia="宋体" w:cs="宋体"/>
                <w:color w:val="auto"/>
                <w:sz w:val="24"/>
                <w:szCs w:val="24"/>
                <w:lang w:val="zh-CN"/>
              </w:rPr>
              <w:t>不提供不得分。</w:t>
            </w:r>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rPr>
            </w:pP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val="zh-CN"/>
              </w:rPr>
            </w:pPr>
            <w:bookmarkStart w:id="107" w:name="OLE_LINK6"/>
            <w:bookmarkStart w:id="108" w:name="OLE_LINK97"/>
            <w:r>
              <w:rPr>
                <w:rFonts w:hint="eastAsia" w:ascii="宋体" w:hAnsi="宋体" w:eastAsia="宋体" w:cs="宋体"/>
                <w:color w:val="auto"/>
                <w:sz w:val="24"/>
                <w:szCs w:val="24"/>
                <w:lang w:val="en-US" w:eastAsia="zh-CN"/>
              </w:rPr>
              <w:t>保密</w:t>
            </w:r>
            <w:r>
              <w:rPr>
                <w:rFonts w:hint="eastAsia" w:ascii="宋体" w:hAnsi="宋体" w:eastAsia="宋体" w:cs="宋体"/>
                <w:color w:val="auto"/>
                <w:sz w:val="24"/>
                <w:szCs w:val="24"/>
                <w:lang w:val="zh-CN"/>
              </w:rPr>
              <w:t>措施</w:t>
            </w:r>
            <w:bookmarkEnd w:id="107"/>
            <w:bookmarkEnd w:id="108"/>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val="zh-CN"/>
              </w:rPr>
            </w:pPr>
            <w:bookmarkStart w:id="109" w:name="OLE_LINK35"/>
            <w:bookmarkStart w:id="110" w:name="OLE_LINK98"/>
            <w:r>
              <w:rPr>
                <w:rFonts w:hint="eastAsia" w:ascii="宋体" w:hAnsi="宋体" w:eastAsia="宋体" w:cs="宋体"/>
                <w:color w:val="auto"/>
                <w:sz w:val="24"/>
                <w:szCs w:val="24"/>
                <w:lang w:val="en-US" w:eastAsia="zh-CN"/>
              </w:rPr>
              <w:t>保密</w:t>
            </w:r>
            <w:r>
              <w:rPr>
                <w:rFonts w:hint="eastAsia" w:ascii="宋体" w:hAnsi="宋体" w:eastAsia="宋体" w:cs="宋体"/>
                <w:color w:val="auto"/>
                <w:sz w:val="24"/>
                <w:szCs w:val="24"/>
                <w:lang w:val="zh-CN"/>
              </w:rPr>
              <w:t>措施完整、到位，可行性强的得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-10分；</w:t>
            </w:r>
            <w:bookmarkEnd w:id="109"/>
            <w:bookmarkStart w:id="111" w:name="OLE_LINK36"/>
            <w:r>
              <w:rPr>
                <w:rFonts w:hint="eastAsia" w:ascii="宋体" w:hAnsi="宋体" w:eastAsia="宋体" w:cs="宋体"/>
                <w:color w:val="auto"/>
                <w:sz w:val="24"/>
                <w:szCs w:val="24"/>
                <w:lang w:val="en-US" w:eastAsia="zh-CN"/>
              </w:rPr>
              <w:t>保密</w:t>
            </w:r>
            <w:r>
              <w:rPr>
                <w:rFonts w:hint="eastAsia" w:ascii="宋体" w:hAnsi="宋体" w:eastAsia="宋体" w:cs="宋体"/>
                <w:color w:val="auto"/>
                <w:sz w:val="24"/>
                <w:szCs w:val="24"/>
                <w:lang w:val="zh-CN"/>
              </w:rPr>
              <w:t>措施基本完整、基本可行的得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-6分；</w:t>
            </w:r>
            <w:bookmarkEnd w:id="111"/>
            <w:bookmarkStart w:id="112" w:name="OLE_LINK37"/>
            <w:r>
              <w:rPr>
                <w:rFonts w:hint="eastAsia" w:ascii="宋体" w:hAnsi="宋体" w:eastAsia="宋体" w:cs="宋体"/>
                <w:color w:val="auto"/>
                <w:sz w:val="24"/>
                <w:szCs w:val="24"/>
                <w:lang w:val="en-US" w:eastAsia="zh-CN"/>
              </w:rPr>
              <w:t>保密</w:t>
            </w:r>
            <w:r>
              <w:rPr>
                <w:rFonts w:hint="eastAsia" w:ascii="宋体" w:hAnsi="宋体" w:eastAsia="宋体" w:cs="宋体"/>
                <w:color w:val="auto"/>
                <w:sz w:val="24"/>
                <w:szCs w:val="24"/>
                <w:lang w:val="zh-CN"/>
              </w:rPr>
              <w:t>措施基本完整、可行性差的得 0-3分；</w:t>
            </w:r>
            <w:bookmarkStart w:id="113" w:name="OLE_LINK107"/>
            <w:r>
              <w:rPr>
                <w:rFonts w:hint="eastAsia" w:ascii="宋体" w:hAnsi="宋体" w:eastAsia="宋体" w:cs="宋体"/>
                <w:color w:val="auto"/>
                <w:sz w:val="24"/>
                <w:szCs w:val="24"/>
                <w:lang w:val="zh-CN"/>
              </w:rPr>
              <w:t>不提供不得分。</w:t>
            </w:r>
            <w:bookmarkEnd w:id="110"/>
            <w:bookmarkEnd w:id="112"/>
            <w:bookmarkEnd w:id="113"/>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0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rPr>
            </w:pP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rPr>
            </w:pPr>
            <w:bookmarkStart w:id="114" w:name="OLE_LINK79"/>
            <w:r>
              <w:rPr>
                <w:rFonts w:hint="eastAsia" w:ascii="宋体" w:hAnsi="宋体" w:eastAsia="宋体" w:cs="宋体"/>
                <w:color w:val="auto"/>
                <w:sz w:val="24"/>
                <w:szCs w:val="24"/>
                <w:lang w:val="en-US" w:eastAsia="zh-CN"/>
              </w:rPr>
              <w:t>质量保证</w:t>
            </w:r>
            <w:r>
              <w:rPr>
                <w:rFonts w:hint="eastAsia" w:ascii="宋体" w:hAnsi="宋体" w:eastAsia="宋体" w:cs="宋体"/>
                <w:color w:val="auto"/>
                <w:sz w:val="24"/>
                <w:szCs w:val="24"/>
              </w:rPr>
              <w:t>措施</w:t>
            </w:r>
            <w:bookmarkEnd w:id="114"/>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bookmarkStart w:id="115" w:name="OLE_LINK80"/>
            <w:r>
              <w:rPr>
                <w:rFonts w:hint="eastAsia" w:ascii="宋体" w:hAnsi="宋体" w:eastAsia="宋体" w:cs="宋体"/>
                <w:color w:val="auto"/>
                <w:sz w:val="24"/>
                <w:szCs w:val="24"/>
                <w:lang w:val="en-US" w:eastAsia="zh-CN"/>
              </w:rPr>
              <w:t>对本项目的</w:t>
            </w:r>
            <w:bookmarkStart w:id="116" w:name="OLE_LINK5"/>
            <w:r>
              <w:rPr>
                <w:rFonts w:hint="eastAsia" w:ascii="宋体" w:hAnsi="宋体" w:eastAsia="宋体" w:cs="宋体"/>
                <w:color w:val="auto"/>
                <w:sz w:val="24"/>
                <w:szCs w:val="24"/>
                <w:lang w:val="en-US" w:eastAsia="zh-CN"/>
              </w:rPr>
              <w:t>质量保证</w:t>
            </w:r>
            <w:bookmarkEnd w:id="116"/>
            <w:r>
              <w:rPr>
                <w:rFonts w:hint="eastAsia" w:ascii="宋体" w:hAnsi="宋体" w:eastAsia="宋体" w:cs="宋体"/>
                <w:color w:val="auto"/>
                <w:sz w:val="24"/>
                <w:szCs w:val="24"/>
                <w:lang w:val="en-US" w:eastAsia="zh-CN"/>
              </w:rPr>
              <w:t>体系安排合理，</w:t>
            </w:r>
            <w:r>
              <w:rPr>
                <w:rFonts w:hint="eastAsia" w:ascii="宋体" w:hAnsi="宋体" w:eastAsia="宋体" w:cs="宋体"/>
                <w:color w:val="auto"/>
                <w:sz w:val="24"/>
                <w:szCs w:val="24"/>
                <w:lang w:val="zh-CN"/>
              </w:rPr>
              <w:t>合理得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分，较合理得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7分</w:t>
            </w:r>
            <w:r>
              <w:rPr>
                <w:rFonts w:hint="eastAsia" w:ascii="宋体" w:hAnsi="宋体" w:eastAsia="宋体" w:cs="宋体"/>
                <w:color w:val="auto"/>
                <w:sz w:val="24"/>
                <w:szCs w:val="24"/>
                <w:lang w:val="zh-CN"/>
              </w:rPr>
              <w:t>，一般得0-3分。</w:t>
            </w:r>
            <w:bookmarkEnd w:id="115"/>
            <w:r>
              <w:rPr>
                <w:rFonts w:hint="eastAsia" w:ascii="宋体" w:hAnsi="宋体" w:eastAsia="宋体" w:cs="宋体"/>
                <w:color w:val="auto"/>
                <w:sz w:val="24"/>
                <w:szCs w:val="24"/>
                <w:lang w:val="zh-CN"/>
              </w:rPr>
              <w:t>不提供不得分。</w:t>
            </w:r>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0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rPr>
            </w:pP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bookmarkStart w:id="117" w:name="OLE_LINK81"/>
            <w:r>
              <w:rPr>
                <w:rFonts w:hint="eastAsia" w:ascii="宋体" w:hAnsi="宋体" w:eastAsia="宋体" w:cs="宋体"/>
                <w:color w:val="auto"/>
                <w:sz w:val="24"/>
                <w:szCs w:val="24"/>
                <w:lang w:val="en-US" w:eastAsia="zh-CN"/>
              </w:rPr>
              <w:t>应急</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rPr>
            </w:pPr>
            <w:bookmarkStart w:id="118" w:name="OLE_LINK82"/>
            <w:r>
              <w:rPr>
                <w:rFonts w:hint="eastAsia" w:ascii="宋体" w:hAnsi="宋体" w:eastAsia="宋体" w:cs="宋体"/>
                <w:color w:val="auto"/>
                <w:sz w:val="24"/>
                <w:szCs w:val="24"/>
                <w:lang w:val="en-US" w:eastAsia="zh-CN"/>
              </w:rPr>
              <w:t>预案</w:t>
            </w:r>
            <w:bookmarkEnd w:id="117"/>
            <w:bookmarkEnd w:id="118"/>
          </w:p>
        </w:tc>
        <w:tc>
          <w:tcPr>
            <w:tcW w:w="5975"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b/>
                <w:bCs/>
                <w:color w:val="auto"/>
                <w:sz w:val="24"/>
                <w:szCs w:val="24"/>
                <w:lang w:eastAsia="zh-CN"/>
              </w:rPr>
            </w:pPr>
            <w:bookmarkStart w:id="119" w:name="OLE_LINK83"/>
            <w:r>
              <w:rPr>
                <w:rFonts w:hint="eastAsia" w:ascii="宋体" w:hAnsi="宋体" w:eastAsia="宋体" w:cs="宋体"/>
                <w:b/>
                <w:bCs/>
                <w:color w:val="auto"/>
                <w:sz w:val="24"/>
                <w:szCs w:val="24"/>
              </w:rPr>
              <w:t>针对突发事件有明确的应急措施及承诺，保证发生突发事件时能够不受影响或影响降至最低，根据方案的响应程度</w:t>
            </w:r>
            <w:r>
              <w:rPr>
                <w:rFonts w:hint="eastAsia" w:ascii="宋体" w:hAnsi="宋体" w:eastAsia="宋体" w:cs="宋体"/>
                <w:b/>
                <w:bCs/>
                <w:color w:val="auto"/>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预案详细完善计</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预案比较完善计</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预案有瑕疵或不利于项目进行计0-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bookmarkEnd w:id="119"/>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不提供不得分。</w:t>
            </w:r>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306"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其他因素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rPr>
            </w:pPr>
            <w:bookmarkStart w:id="120" w:name="OLE_LINK101"/>
            <w:r>
              <w:rPr>
                <w:rFonts w:hint="eastAsia" w:ascii="宋体" w:hAnsi="宋体" w:eastAsia="宋体" w:cs="宋体"/>
                <w:color w:val="auto"/>
                <w:sz w:val="24"/>
                <w:szCs w:val="24"/>
              </w:rPr>
              <w:t>近3年完成的类似业绩情况</w:t>
            </w:r>
            <w:bookmarkEnd w:id="120"/>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bookmarkStart w:id="121" w:name="OLE_LINK21"/>
            <w:bookmarkStart w:id="122" w:name="OLE_LINK102"/>
            <w:r>
              <w:rPr>
                <w:rFonts w:hint="eastAsia" w:ascii="宋体" w:hAnsi="宋体" w:eastAsia="宋体" w:cs="宋体"/>
                <w:color w:val="auto"/>
                <w:sz w:val="24"/>
                <w:szCs w:val="24"/>
              </w:rPr>
              <w:t>供应商近3年（</w:t>
            </w:r>
            <w:r>
              <w:rPr>
                <w:rFonts w:hint="eastAsia" w:ascii="宋体" w:hAnsi="宋体" w:eastAsia="宋体" w:cs="宋体"/>
                <w:color w:val="auto"/>
                <w:sz w:val="24"/>
                <w:szCs w:val="24"/>
                <w:lang w:eastAsia="zh-CN"/>
              </w:rPr>
              <w:t>2022年6月至今</w:t>
            </w:r>
            <w:r>
              <w:rPr>
                <w:rFonts w:hint="eastAsia" w:ascii="宋体" w:hAnsi="宋体" w:eastAsia="宋体" w:cs="宋体"/>
                <w:color w:val="auto"/>
                <w:sz w:val="24"/>
                <w:szCs w:val="24"/>
              </w:rPr>
              <w:t>）完成过类似项目业绩1项者得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bookmarkEnd w:id="121"/>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注：投标文件中须附加盖供应商公章的合同协议书复印件</w:t>
            </w:r>
            <w:r>
              <w:rPr>
                <w:rFonts w:hint="eastAsia" w:ascii="宋体" w:hAnsi="宋体" w:eastAsia="宋体" w:cs="宋体"/>
                <w:color w:val="auto"/>
                <w:sz w:val="24"/>
                <w:szCs w:val="24"/>
                <w:lang w:val="en-US" w:eastAsia="zh-CN"/>
              </w:rPr>
              <w:t>（或中标通知书）</w:t>
            </w:r>
            <w:r>
              <w:rPr>
                <w:rFonts w:hint="eastAsia" w:ascii="宋体" w:hAnsi="宋体" w:eastAsia="宋体" w:cs="宋体"/>
                <w:color w:val="auto"/>
                <w:sz w:val="24"/>
                <w:szCs w:val="24"/>
              </w:rPr>
              <w:t>，不符合要求的不予计分。（时间以合同签订时间为准）</w:t>
            </w:r>
            <w:bookmarkEnd w:id="122"/>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0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rPr>
            </w:pPr>
          </w:p>
        </w:tc>
        <w:tc>
          <w:tcPr>
            <w:tcW w:w="133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bookmarkStart w:id="123" w:name="OLE_LINK106"/>
            <w:r>
              <w:rPr>
                <w:rFonts w:hint="eastAsia" w:ascii="宋体" w:hAnsi="宋体" w:eastAsia="宋体" w:cs="宋体"/>
                <w:color w:val="auto"/>
                <w:sz w:val="24"/>
                <w:szCs w:val="24"/>
              </w:rPr>
              <w:t>服务承诺</w:t>
            </w:r>
            <w:bookmarkEnd w:id="123"/>
          </w:p>
        </w:tc>
        <w:tc>
          <w:tcPr>
            <w:tcW w:w="5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宋体" w:hAnsi="宋体" w:eastAsia="宋体" w:cs="宋体"/>
                <w:color w:val="auto"/>
                <w:sz w:val="24"/>
                <w:szCs w:val="24"/>
              </w:rPr>
            </w:pPr>
            <w:bookmarkStart w:id="124" w:name="OLE_LINK84"/>
            <w:r>
              <w:rPr>
                <w:rFonts w:hint="eastAsia" w:ascii="宋体" w:hAnsi="宋体" w:eastAsia="宋体" w:cs="宋体"/>
                <w:color w:val="auto"/>
                <w:sz w:val="24"/>
                <w:szCs w:val="24"/>
                <w:lang w:val="zh-CN"/>
              </w:rPr>
              <w:t>针对本项目实际需求提供详细具体可行的售后服务措施承诺，并有明确的承诺，根据完整性、可行性赋分</w:t>
            </w:r>
            <w:r>
              <w:rPr>
                <w:rFonts w:hint="eastAsia" w:ascii="宋体" w:hAnsi="宋体" w:eastAsia="宋体" w:cs="宋体"/>
                <w:color w:val="auto"/>
                <w:sz w:val="24"/>
                <w:szCs w:val="24"/>
                <w:lang w:val="en-US" w:eastAsia="zh-CN"/>
              </w:rPr>
              <w:t>,0-5分。</w:t>
            </w:r>
            <w:bookmarkEnd w:id="124"/>
          </w:p>
        </w:tc>
        <w:tc>
          <w:tcPr>
            <w:tcW w:w="100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bl>
    <w:p>
      <w:pPr>
        <w:rPr>
          <w:rFonts w:hint="eastAsia" w:ascii="宋体" w:hAnsi="宋体"/>
          <w:color w:val="auto"/>
          <w:sz w:val="24"/>
          <w:szCs w:val="24"/>
          <w:highlight w:val="none"/>
        </w:rPr>
      </w:pPr>
      <w:r>
        <w:rPr>
          <w:rFonts w:hint="eastAsia" w:ascii="宋体" w:hAnsi="宋体"/>
          <w:color w:val="auto"/>
          <w:sz w:val="24"/>
          <w:szCs w:val="24"/>
          <w:highlight w:val="none"/>
        </w:rPr>
        <w:br w:type="page"/>
      </w:r>
    </w:p>
    <w:p>
      <w:pPr>
        <w:widowControl/>
        <w:autoSpaceDE w:val="0"/>
        <w:autoSpaceDN w:val="0"/>
        <w:spacing w:before="360" w:beforeLines="150" w:after="120" w:afterLines="50" w:line="360" w:lineRule="auto"/>
        <w:ind w:right="51"/>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特殊情况的处理</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响应文件中如果出现前后不一致的，按照下列规定修正：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（1）响应文件中的大写金额与小写金额不一致的，以大写金额为准；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（2）响应文件中的总报价与按单价计算的汇总报价不一致的，以单价计算的汇总报价为准；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（3）响应文件中的报价有明显小数点错误的，以总报价为准，并修改报价；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（4）响应文件中有关分项表内容与“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报价一览表”不一致的，以“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（5）响应文件中图表与文字表述不一致的，以文字表述为准；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（6）响应文件正本与副本不一致的，以正本为准；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（7）对不同文字文本响应文件的解释发生异议的，以中文文本为准。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按上述修正错误的方法调整的报价应对供应商具有约束力。如果供应商不接受修正后的价格，</w:t>
      </w:r>
      <w:r>
        <w:rPr>
          <w:rFonts w:hint="eastAsia" w:ascii="宋体" w:hAnsi="宋体" w:eastAsia="宋体" w:cs="宋体"/>
          <w:b/>
          <w:color w:val="auto"/>
          <w:sz w:val="24"/>
          <w:szCs w:val="24"/>
          <w:highlight w:val="none"/>
        </w:rPr>
        <w:t>其响应文件将被拒绝</w:t>
      </w:r>
      <w:r>
        <w:rPr>
          <w:rFonts w:hint="eastAsia" w:ascii="宋体" w:hAnsi="宋体" w:eastAsia="宋体" w:cs="宋体"/>
          <w:color w:val="auto"/>
          <w:sz w:val="24"/>
          <w:szCs w:val="24"/>
          <w:highlight w:val="none"/>
        </w:rPr>
        <w:t>。</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评审过程中，各种数字的计算结果，均保留两位小数，第三位“四舍五入”，但计算百分数时应精确到千分位，万分位“四舍五入”。</w:t>
      </w:r>
    </w:p>
    <w:p>
      <w:pPr>
        <w:adjustRightInd w:val="0"/>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2.3.3</w:t>
      </w:r>
      <w:r>
        <w:rPr>
          <w:rFonts w:hint="eastAsia" w:ascii="宋体" w:hAnsi="宋体" w:cs="宋体"/>
          <w:b/>
          <w:color w:val="auto"/>
          <w:sz w:val="24"/>
          <w:szCs w:val="24"/>
          <w:highlight w:val="none"/>
          <w:lang w:eastAsia="zh-CN"/>
        </w:rPr>
        <w:t>磋商</w:t>
      </w:r>
      <w:r>
        <w:rPr>
          <w:rFonts w:hint="eastAsia" w:ascii="宋体" w:hAnsi="宋体" w:eastAsia="宋体" w:cs="宋体"/>
          <w:b/>
          <w:color w:val="auto"/>
          <w:kern w:val="0"/>
          <w:sz w:val="24"/>
          <w:szCs w:val="24"/>
          <w:highlight w:val="none"/>
        </w:rPr>
        <w:t>报价异常处理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2.3.2磋商报价异常处理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2.3.2.1 磋商小组认为供应商的最后报价明显低于其他通过资格性、符合性审查供应商的最后报价，有可能影响工程质量或者不能诚信履约的，应当要求其在评审现场合理的时间内提供书面说明，必要时提交相关证明材料。</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2.3.2.2 供应商证明其能够诚信履约，并承诺成交后提供磋商文件规定以外的履约担保的，可以继续参加评审，否则磋商小组应当将其作为无效响应文件处理。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2.3.3 磋商小组成员打分超过得分界限或未按本办法赋分时，该成员的打分，按废票处理。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2.3.4 评审过程中，各种数字的计算结果，均保留两位小数，第三位“四舍五入”，但计算百分数时应精确到千分位，万分位“四舍五入”。</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2.3.5 评审过程中，若出现本磋商办法以外的特殊情况时，将暂停评审，待磋商小组商榷后，再进行评审。</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2.3.6 评审过程中，若出现合格供应商不足3家时，采购人将依法重新组织采购活动。</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2.3.7 评审报告签署后，采购人或者采购代理机构发现存在本章第1.7.2条款情形之一的，应当组织原磋商小组进行重新评审，重新评审改变成交结果的，书面报告本级财政部门。</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2.3.8 采购人、采购代理机构发现磋商小组未按照磋商文件规定的评审标准进行评审的，应当重新开展采购活动，并同时书面报告本级财政部门。</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2.3.9评审争议处理原则</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磋商小组在评审过程中，对响应文件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pPr>
        <w:tabs>
          <w:tab w:val="left" w:pos="7665"/>
        </w:tabs>
        <w:spacing w:line="360" w:lineRule="auto"/>
        <w:ind w:firstLine="482"/>
        <w:rPr>
          <w:rFonts w:hint="eastAsia" w:ascii="宋体" w:hAnsi="宋体" w:eastAsia="宋体" w:cs="宋体"/>
          <w:color w:val="auto"/>
          <w:spacing w:val="2"/>
          <w:sz w:val="24"/>
          <w:highlight w:val="none"/>
        </w:rPr>
      </w:pPr>
      <w:bookmarkStart w:id="125" w:name="_Toc20651224"/>
      <w:r>
        <w:rPr>
          <w:rFonts w:hint="eastAsia" w:ascii="宋体" w:hAnsi="宋体" w:eastAsia="宋体" w:cs="宋体"/>
          <w:color w:val="auto"/>
          <w:spacing w:val="2"/>
          <w:sz w:val="24"/>
          <w:highlight w:val="none"/>
        </w:rPr>
        <w:t>2.3.10停止评</w:t>
      </w:r>
      <w:bookmarkEnd w:id="125"/>
      <w:r>
        <w:rPr>
          <w:rFonts w:hint="eastAsia" w:ascii="宋体" w:hAnsi="宋体" w:eastAsia="宋体" w:cs="宋体"/>
          <w:color w:val="auto"/>
          <w:spacing w:val="2"/>
          <w:sz w:val="24"/>
          <w:highlight w:val="none"/>
        </w:rPr>
        <w:t>审</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磋商小组发现磋商文件存在歧义、重大缺陷导致评审工作无法进行，或者磋商文件内容违反国家有关强制性规定的，应当停止评审工作，与采购人、采购代理机构沟通并作书面记录。采购人、采购代理机构应当确认和修改磋商文件后，重新组织采购活动。</w:t>
      </w:r>
    </w:p>
    <w:p>
      <w:pPr>
        <w:tabs>
          <w:tab w:val="left" w:pos="7665"/>
        </w:tabs>
        <w:spacing w:line="360" w:lineRule="auto"/>
        <w:ind w:firstLine="482"/>
        <w:rPr>
          <w:rFonts w:hint="eastAsia" w:ascii="宋体" w:hAnsi="宋体" w:eastAsia="宋体" w:cs="宋体"/>
          <w:color w:val="auto"/>
          <w:spacing w:val="2"/>
          <w:sz w:val="24"/>
          <w:highlight w:val="none"/>
        </w:rPr>
      </w:pPr>
      <w:bookmarkStart w:id="126" w:name="_Toc20651225"/>
      <w:r>
        <w:rPr>
          <w:rFonts w:hint="eastAsia" w:ascii="宋体" w:hAnsi="宋体" w:eastAsia="宋体" w:cs="宋体"/>
          <w:color w:val="auto"/>
          <w:spacing w:val="2"/>
          <w:sz w:val="24"/>
          <w:highlight w:val="none"/>
        </w:rPr>
        <w:t>2.3.11采购人、采购代理机构发现磋商小组未按照磋商文件规定的评审标准进行评审的，应当重新开展采购活动，并同时书面报告本级财政部门。</w:t>
      </w:r>
    </w:p>
    <w:bookmarkEnd w:id="126"/>
    <w:p>
      <w:pPr>
        <w:tabs>
          <w:tab w:val="left" w:pos="7665"/>
        </w:tabs>
        <w:spacing w:line="360" w:lineRule="auto"/>
        <w:ind w:firstLine="482"/>
        <w:rPr>
          <w:rFonts w:hint="eastAsia" w:ascii="宋体" w:hAnsi="宋体" w:eastAsia="宋体" w:cs="宋体"/>
          <w:color w:val="auto"/>
          <w:spacing w:val="2"/>
          <w:sz w:val="24"/>
          <w:highlight w:val="none"/>
        </w:rPr>
      </w:pPr>
    </w:p>
    <w:p>
      <w:pPr>
        <w:pageBreakBefore w:val="0"/>
        <w:numPr>
          <w:ilvl w:val="0"/>
          <w:numId w:val="0"/>
        </w:numPr>
        <w:tabs>
          <w:tab w:val="left" w:pos="7665"/>
        </w:tabs>
        <w:kinsoku/>
        <w:wordWrap/>
        <w:overflowPunct/>
        <w:topLinePunct w:val="0"/>
        <w:bidi w:val="0"/>
        <w:adjustRightInd/>
        <w:snapToGrid/>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spacing w:val="2"/>
          <w:sz w:val="24"/>
          <w:highlight w:val="none"/>
          <w:lang w:eastAsia="zh-CN"/>
        </w:rPr>
        <w:br w:type="page"/>
      </w:r>
      <w:bookmarkStart w:id="127" w:name="_Toc14288"/>
      <w:bookmarkStart w:id="128" w:name="OLE_LINK9"/>
      <w:r>
        <w:rPr>
          <w:rFonts w:hint="eastAsia" w:ascii="宋体" w:hAnsi="宋体" w:eastAsia="宋体" w:cs="宋体"/>
          <w:b/>
          <w:bCs/>
          <w:color w:val="auto"/>
          <w:sz w:val="30"/>
          <w:szCs w:val="30"/>
          <w:highlight w:val="none"/>
          <w:lang w:val="en-US" w:eastAsia="zh-CN"/>
        </w:rPr>
        <w:t xml:space="preserve">第五章  </w:t>
      </w:r>
      <w:r>
        <w:rPr>
          <w:rFonts w:hint="eastAsia" w:ascii="宋体" w:hAnsi="宋体" w:eastAsia="宋体" w:cs="宋体"/>
          <w:b/>
          <w:bCs/>
          <w:color w:val="auto"/>
          <w:sz w:val="30"/>
          <w:szCs w:val="30"/>
          <w:highlight w:val="none"/>
        </w:rPr>
        <w:t>采购</w:t>
      </w:r>
      <w:bookmarkEnd w:id="95"/>
      <w:r>
        <w:rPr>
          <w:rFonts w:hint="eastAsia" w:ascii="宋体" w:hAnsi="宋体" w:eastAsia="宋体" w:cs="宋体"/>
          <w:b/>
          <w:bCs/>
          <w:color w:val="auto"/>
          <w:sz w:val="30"/>
          <w:szCs w:val="30"/>
          <w:highlight w:val="none"/>
        </w:rPr>
        <w:t>需求</w:t>
      </w:r>
      <w:bookmarkEnd w:id="127"/>
    </w:p>
    <w:p>
      <w:pPr>
        <w:pStyle w:val="4"/>
        <w:keepNext/>
        <w:keepLines/>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default" w:ascii="宋体" w:hAnsi="宋体" w:eastAsia="宋体" w:cs="宋体"/>
          <w:color w:val="auto"/>
          <w:sz w:val="24"/>
          <w:szCs w:val="24"/>
          <w:highlight w:val="none"/>
          <w:lang w:val="en-US" w:eastAsia="zh-CN"/>
        </w:rPr>
      </w:pPr>
      <w:bookmarkStart w:id="129" w:name="_Toc26240"/>
      <w:r>
        <w:rPr>
          <w:rFonts w:hint="eastAsia" w:ascii="宋体" w:hAnsi="宋体" w:eastAsia="宋体" w:cs="宋体"/>
          <w:color w:val="auto"/>
          <w:sz w:val="24"/>
          <w:szCs w:val="24"/>
          <w:highlight w:val="none"/>
          <w:lang w:val="en-US" w:eastAsia="zh-CN"/>
        </w:rPr>
        <w:t>技术部分：</w:t>
      </w:r>
    </w:p>
    <w:bookmarkEnd w:id="129"/>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服务内容</w:t>
      </w:r>
    </w:p>
    <w:p>
      <w:pPr>
        <w:pStyle w:val="5"/>
        <w:pageBreakBefore w:val="0"/>
        <w:numPr>
          <w:ilvl w:val="0"/>
          <w:numId w:val="0"/>
        </w:numPr>
        <w:kinsoku/>
        <w:wordWrap/>
        <w:overflowPunct/>
        <w:topLinePunct w:val="0"/>
        <w:bidi w:val="0"/>
        <w:adjustRightInd/>
        <w:snapToGrid/>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（1）采购2025年拟建9座农村公路桥梁防洪影响评价报告的编制单位，其中小型桥梁5座，中型桥梁4座。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2）按照《陕西省河道管理范围内建设项目管理办法》及编制的梁防洪影响评价报告的相关规定，编制9座农村公路桥梁防洪影响评价报告，并提交审批机构进行审批</w:t>
      </w:r>
      <w:r>
        <w:rPr>
          <w:rFonts w:hint="eastAsia" w:ascii="宋体" w:hAnsi="宋体" w:eastAsia="宋体" w:cs="宋体"/>
          <w:b w:val="0"/>
          <w:bCs w:val="0"/>
          <w:color w:val="auto"/>
          <w:sz w:val="24"/>
          <w:szCs w:val="24"/>
          <w:highlight w:val="none"/>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eastAsia="宋体"/>
          <w:b w:val="0"/>
          <w:bCs w:val="0"/>
          <w:color w:val="000000"/>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025年凤县农村公路桥梁建设防洪影响评价报告编制项目编制防洪评价报告，并通过有关行政主管部门的技术评审，分析评价设防标准洪水与该项目工程措施的影响，分析评价设防标准洪水对施安全的影响，分析评价项目工程措施对</w:t>
      </w:r>
      <w:r>
        <w:rPr>
          <w:rFonts w:hint="eastAsia" w:ascii="宋体" w:hAnsi="宋体" w:eastAsia="宋体" w:cs="宋体"/>
          <w:b w:val="0"/>
          <w:bCs w:val="0"/>
          <w:color w:val="auto"/>
          <w:sz w:val="24"/>
          <w:szCs w:val="24"/>
          <w:highlight w:val="none"/>
        </w:rPr>
        <w:t>农村公路桥梁</w:t>
      </w:r>
      <w:r>
        <w:rPr>
          <w:rFonts w:hint="eastAsia" w:ascii="宋体" w:hAnsi="宋体" w:eastAsia="宋体" w:cs="宋体"/>
          <w:b w:val="0"/>
          <w:bCs w:val="0"/>
          <w:color w:val="auto"/>
          <w:sz w:val="24"/>
          <w:szCs w:val="24"/>
          <w:highlight w:val="none"/>
          <w:lang w:eastAsia="zh-CN"/>
        </w:rPr>
        <w:t>的影响及其他设施的影响，分析评价涉水工程措施的可行性和适应性等。</w:t>
      </w:r>
      <w:r>
        <w:rPr>
          <w:rFonts w:hint="eastAsia" w:ascii="宋体" w:hAnsi="宋体" w:eastAsia="宋体" w:cs="宋体"/>
          <w:b w:val="0"/>
          <w:bCs w:val="0"/>
          <w:color w:val="auto"/>
          <w:sz w:val="24"/>
          <w:szCs w:val="24"/>
          <w:highlight w:val="none"/>
          <w:lang w:val="en-US" w:eastAsia="zh-CN"/>
        </w:rPr>
        <w:t xml:space="preserve"> </w:t>
      </w:r>
      <w:r>
        <w:rPr>
          <w:rFonts w:hint="eastAsia"/>
          <w:b w:val="0"/>
          <w:bCs w:val="0"/>
          <w:color w:val="000000"/>
          <w:lang w:val="en-US" w:eastAsia="zh-CN"/>
        </w:rPr>
        <w:t xml:space="preserve">   </w:t>
      </w:r>
    </w:p>
    <w:p>
      <w:pPr>
        <w:pStyle w:val="4"/>
        <w:keepNext/>
        <w:keepLines/>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color w:val="auto"/>
          <w:sz w:val="24"/>
          <w:szCs w:val="24"/>
          <w:highlight w:val="none"/>
          <w:lang w:val="en-US" w:eastAsia="zh-CN"/>
        </w:rPr>
      </w:pPr>
      <w:bookmarkStart w:id="130" w:name="_Toc3124"/>
      <w:bookmarkStart w:id="131" w:name="_Toc28539"/>
      <w:bookmarkStart w:id="132" w:name="_Toc26698"/>
      <w:bookmarkStart w:id="133" w:name="_Toc452708689"/>
      <w:r>
        <w:rPr>
          <w:rFonts w:hint="eastAsia" w:ascii="宋体" w:hAnsi="宋体" w:eastAsia="宋体" w:cs="宋体"/>
          <w:color w:val="auto"/>
          <w:sz w:val="24"/>
          <w:szCs w:val="24"/>
          <w:highlight w:val="none"/>
          <w:lang w:val="en-US" w:eastAsia="zh-CN"/>
        </w:rPr>
        <w:t>商务</w:t>
      </w:r>
      <w:bookmarkStart w:id="134" w:name="OLE_LINK18"/>
      <w:r>
        <w:rPr>
          <w:rFonts w:hint="eastAsia" w:ascii="宋体" w:hAnsi="宋体" w:eastAsia="宋体" w:cs="宋体"/>
          <w:color w:val="auto"/>
          <w:sz w:val="24"/>
          <w:szCs w:val="24"/>
          <w:highlight w:val="none"/>
          <w:lang w:val="en-US" w:eastAsia="zh-CN"/>
        </w:rPr>
        <w:t>部分：</w:t>
      </w:r>
      <w:bookmarkEnd w:id="134"/>
    </w:p>
    <w:p>
      <w:pPr>
        <w:pStyle w:val="4"/>
        <w:keepNext/>
        <w:keepLines/>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项目概况及</w:t>
      </w:r>
      <w:r>
        <w:rPr>
          <w:rFonts w:hint="eastAsia" w:ascii="宋体" w:hAnsi="宋体" w:eastAsia="宋体" w:cs="宋体"/>
          <w:color w:val="auto"/>
          <w:sz w:val="24"/>
          <w:szCs w:val="24"/>
          <w:highlight w:val="none"/>
          <w:lang w:val="en-US" w:eastAsia="zh-CN"/>
        </w:rPr>
        <w:t>采购内容</w:t>
      </w:r>
    </w:p>
    <w:p>
      <w:pPr>
        <w:pStyle w:val="5"/>
        <w:pageBreakBefore w:val="0"/>
        <w:numPr>
          <w:ilvl w:val="0"/>
          <w:numId w:val="0"/>
        </w:numPr>
        <w:kinsoku/>
        <w:wordWrap/>
        <w:overflowPunct/>
        <w:topLinePunct w:val="0"/>
        <w:bidi w:val="0"/>
        <w:adjustRightInd/>
        <w:snapToGrid/>
        <w:spacing w:line="5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项目名称：</w:t>
      </w:r>
      <w:r>
        <w:rPr>
          <w:rFonts w:hint="eastAsia" w:ascii="宋体" w:hAnsi="宋体" w:cs="宋体"/>
          <w:color w:val="auto"/>
          <w:sz w:val="24"/>
          <w:szCs w:val="24"/>
          <w:highlight w:val="none"/>
          <w:lang w:val="en-US" w:eastAsia="zh-CN"/>
        </w:rPr>
        <w:t>2</w:t>
      </w:r>
      <w:bookmarkStart w:id="135" w:name="OLE_LINK8"/>
      <w:r>
        <w:rPr>
          <w:rFonts w:hint="eastAsia" w:ascii="宋体" w:hAnsi="宋体" w:cs="宋体"/>
          <w:color w:val="auto"/>
          <w:sz w:val="24"/>
          <w:szCs w:val="24"/>
          <w:highlight w:val="none"/>
          <w:lang w:val="en-US" w:eastAsia="zh-CN"/>
        </w:rPr>
        <w:t>025年凤县农村公路桥梁建设防洪影响评价报告编制项目</w:t>
      </w:r>
      <w:bookmarkEnd w:id="135"/>
    </w:p>
    <w:p>
      <w:pPr>
        <w:pStyle w:val="5"/>
        <w:pageBreakBefore w:val="0"/>
        <w:numPr>
          <w:ilvl w:val="0"/>
          <w:numId w:val="0"/>
        </w:numPr>
        <w:kinsoku/>
        <w:wordWrap/>
        <w:overflowPunct/>
        <w:topLinePunct w:val="0"/>
        <w:bidi w:val="0"/>
        <w:adjustRightInd/>
        <w:snapToGrid/>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（2）服务期（合同履行期）：2个月</w:t>
      </w:r>
    </w:p>
    <w:p>
      <w:pPr>
        <w:pStyle w:val="5"/>
        <w:pageBreakBefore w:val="0"/>
        <w:numPr>
          <w:ilvl w:val="0"/>
          <w:numId w:val="0"/>
        </w:numPr>
        <w:kinsoku/>
        <w:wordWrap/>
        <w:overflowPunct/>
        <w:topLinePunct w:val="0"/>
        <w:bidi w:val="0"/>
        <w:adjustRightInd/>
        <w:snapToGrid/>
        <w:spacing w:line="500" w:lineRule="exact"/>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（3）质量标准：合格（符合国家、地方以及相关专业的现行技术规范、标准、法规）</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2" w:firstLineChars="200"/>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en-US" w:bidi="ar-SA"/>
        </w:rPr>
        <w:t>、付款方式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bCs/>
          <w:sz w:val="24"/>
          <w:szCs w:val="24"/>
          <w:lang w:val="en-US" w:eastAsia="en-US"/>
        </w:rPr>
      </w:pPr>
      <w:r>
        <w:rPr>
          <w:rFonts w:hint="eastAsia" w:ascii="宋体" w:hAnsi="宋体" w:eastAsia="宋体" w:cs="宋体"/>
          <w:sz w:val="24"/>
          <w:szCs w:val="24"/>
          <w:lang w:val="en-US" w:eastAsia="zh-CN"/>
        </w:rPr>
        <w:t>根据项目进度进行支付，具体比例及额度由甲乙双方在合同协议书中明确规定。</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lang w:val="en-US" w:eastAsia="en-US"/>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en-US"/>
        </w:rPr>
        <w:t>、违约责任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1、按《中华人民共和国民法典》中的相关条款执行。</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2、未按合同要求的标准提供服务或质量检查考核评定为不合格的，甲方有权终止合同，给招标人造成的损失由中标人赔偿损失，并承担相应的法律责任。</w:t>
      </w:r>
    </w:p>
    <w:p>
      <w:pPr>
        <w:pageBreakBefore w:val="0"/>
        <w:kinsoku/>
        <w:wordWrap/>
        <w:overflowPunct/>
        <w:topLinePunct w:val="0"/>
        <w:bidi w:val="0"/>
        <w:adjustRightInd/>
        <w:snapToGrid/>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br w:type="page"/>
      </w:r>
    </w:p>
    <w:bookmarkEnd w:id="128"/>
    <w:bookmarkEnd w:id="130"/>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cs="宋体"/>
          <w:b/>
          <w:color w:val="auto"/>
          <w:kern w:val="2"/>
          <w:sz w:val="28"/>
          <w:szCs w:val="28"/>
          <w:highlight w:val="none"/>
          <w:lang w:val="en-US" w:eastAsia="zh-CN" w:bidi="ar-SA"/>
        </w:rPr>
      </w:pPr>
      <w:bookmarkStart w:id="136" w:name="_Toc20407"/>
      <w:bookmarkStart w:id="137" w:name="_Toc7483"/>
      <w:r>
        <w:rPr>
          <w:rFonts w:hint="eastAsia" w:ascii="宋体" w:hAnsi="宋体" w:cs="宋体"/>
          <w:b/>
          <w:color w:val="auto"/>
          <w:kern w:val="2"/>
          <w:sz w:val="28"/>
          <w:szCs w:val="28"/>
          <w:highlight w:val="none"/>
          <w:lang w:val="en-US" w:eastAsia="zh-CN" w:bidi="ar-SA"/>
        </w:rPr>
        <w:t>服务清单</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480" w:firstLineChars="200"/>
        <w:jc w:val="both"/>
        <w:textAlignment w:val="auto"/>
        <w:rPr>
          <w:rFonts w:hint="eastAsia"/>
          <w:b w:val="0"/>
          <w:bCs/>
          <w:sz w:val="20"/>
          <w:szCs w:val="22"/>
          <w:lang w:val="en-US" w:eastAsia="zh-CN"/>
        </w:rPr>
      </w:pPr>
      <w:bookmarkStart w:id="138" w:name="OLE_LINK19"/>
      <w:r>
        <w:rPr>
          <w:rFonts w:hint="eastAsia" w:ascii="宋体" w:hAnsi="宋体" w:cs="宋体"/>
          <w:b w:val="0"/>
          <w:bCs/>
          <w:color w:val="auto"/>
          <w:kern w:val="2"/>
          <w:sz w:val="24"/>
          <w:szCs w:val="24"/>
          <w:highlight w:val="none"/>
          <w:lang w:val="en-US" w:eastAsia="zh-CN" w:bidi="ar-SA"/>
        </w:rPr>
        <w:t>项目名称：2025年凤县农村公路桥梁建设防洪影响评价报告编制项目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86"/>
        <w:gridCol w:w="1202"/>
        <w:gridCol w:w="907"/>
        <w:gridCol w:w="1512"/>
        <w:gridCol w:w="129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序号</w:t>
            </w:r>
          </w:p>
        </w:tc>
        <w:tc>
          <w:tcPr>
            <w:tcW w:w="158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项目名称</w:t>
            </w:r>
          </w:p>
        </w:tc>
        <w:tc>
          <w:tcPr>
            <w:tcW w:w="120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单位</w:t>
            </w: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数量</w:t>
            </w:r>
          </w:p>
        </w:tc>
        <w:tc>
          <w:tcPr>
            <w:tcW w:w="151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单价（元）</w:t>
            </w:r>
          </w:p>
        </w:tc>
        <w:tc>
          <w:tcPr>
            <w:tcW w:w="129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合计（元）</w:t>
            </w:r>
          </w:p>
        </w:tc>
        <w:tc>
          <w:tcPr>
            <w:tcW w:w="1203"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w:t>
            </w:r>
          </w:p>
        </w:tc>
        <w:tc>
          <w:tcPr>
            <w:tcW w:w="158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小型桥梁</w:t>
            </w:r>
          </w:p>
        </w:tc>
        <w:tc>
          <w:tcPr>
            <w:tcW w:w="120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座</w:t>
            </w: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5</w:t>
            </w:r>
          </w:p>
        </w:tc>
        <w:tc>
          <w:tcPr>
            <w:tcW w:w="151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96"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w:t>
            </w:r>
          </w:p>
        </w:tc>
        <w:tc>
          <w:tcPr>
            <w:tcW w:w="158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中型桥梁</w:t>
            </w:r>
          </w:p>
        </w:tc>
        <w:tc>
          <w:tcPr>
            <w:tcW w:w="120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座</w:t>
            </w: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4</w:t>
            </w:r>
          </w:p>
        </w:tc>
        <w:tc>
          <w:tcPr>
            <w:tcW w:w="151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96"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586"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202"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907"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512"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296"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3" w:type="dxa"/>
            <w:gridSpan w:val="5"/>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宋体"/>
                <w:vertAlign w:val="baseline"/>
                <w:lang w:val="en-US" w:eastAsia="zh-CN"/>
              </w:rPr>
            </w:pPr>
            <w:r>
              <w:rPr>
                <w:rFonts w:hint="eastAsia" w:eastAsia="宋体"/>
                <w:vertAlign w:val="baseline"/>
                <w:lang w:val="en-US" w:eastAsia="zh-CN"/>
              </w:rPr>
              <w:t>合计</w:t>
            </w:r>
          </w:p>
        </w:tc>
        <w:tc>
          <w:tcPr>
            <w:tcW w:w="1296" w:type="dxa"/>
          </w:tcPr>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eastAsia="宋体"/>
                <w:vertAlign w:val="baseline"/>
                <w:lang w:val="en-US" w:eastAsia="zh-CN"/>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r>
      <w:bookmarkEnd w:id="138"/>
    </w:tbl>
    <w:p>
      <w:pPr>
        <w:pStyle w:val="2"/>
        <w:rPr>
          <w:rFonts w:hint="default"/>
          <w:lang w:val="en-US"/>
        </w:rPr>
      </w:pPr>
    </w:p>
    <w:p/>
    <w:p>
      <w:pP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br w:type="page"/>
      </w:r>
    </w:p>
    <w:p>
      <w:pPr>
        <w:pageBreakBefore w:val="0"/>
        <w:widowControl/>
        <w:kinsoku/>
        <w:wordWrap/>
        <w:overflowPunct/>
        <w:topLinePunct w:val="0"/>
        <w:autoSpaceDE/>
        <w:autoSpaceDN/>
        <w:bidi w:val="0"/>
        <w:snapToGrid/>
        <w:spacing w:line="360" w:lineRule="auto"/>
        <w:jc w:val="center"/>
        <w:outlineLvl w:val="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第六章  政府采购合同格式</w:t>
      </w:r>
      <w:bookmarkEnd w:id="136"/>
      <w:bookmarkEnd w:id="137"/>
    </w:p>
    <w:p>
      <w:pPr>
        <w:pStyle w:val="81"/>
        <w:pageBreakBefore w:val="0"/>
        <w:kinsoku/>
        <w:wordWrap/>
        <w:overflowPunct/>
        <w:topLinePunct w:val="0"/>
        <w:autoSpaceDE/>
        <w:autoSpaceDN/>
        <w:bidi w:val="0"/>
        <w:snapToGrid/>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pStyle w:val="81"/>
        <w:pageBreakBefore w:val="0"/>
        <w:kinsoku/>
        <w:wordWrap/>
        <w:overflowPunct/>
        <w:topLinePunct w:val="0"/>
        <w:autoSpaceDE/>
        <w:autoSpaceDN/>
        <w:bidi w:val="0"/>
        <w:snapToGrid/>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p>
    <w:p>
      <w:pPr>
        <w:pStyle w:val="81"/>
        <w:pageBreakBefore w:val="0"/>
        <w:kinsoku/>
        <w:wordWrap/>
        <w:overflowPunct/>
        <w:topLinePunct w:val="0"/>
        <w:autoSpaceDE/>
        <w:autoSpaceDN/>
        <w:bidi w:val="0"/>
        <w:snapToGrid/>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p>
    <w:p>
      <w:pPr>
        <w:pStyle w:val="81"/>
        <w:pageBreakBefore w:val="0"/>
        <w:kinsoku/>
        <w:wordWrap/>
        <w:overflowPunct/>
        <w:topLinePunct w:val="0"/>
        <w:autoSpaceDE/>
        <w:autoSpaceDN/>
        <w:bidi w:val="0"/>
        <w:snapToGrid/>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pPr>
        <w:pStyle w:val="81"/>
        <w:pageBreakBefore w:val="0"/>
        <w:kinsoku/>
        <w:wordWrap/>
        <w:overflowPunct/>
        <w:topLinePunct w:val="0"/>
        <w:autoSpaceDE/>
        <w:autoSpaceDN/>
        <w:bidi w:val="0"/>
        <w:snapToGrid/>
        <w:spacing w:line="360" w:lineRule="auto"/>
        <w:ind w:firstLine="42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供应商（乙方）：</w:t>
      </w:r>
    </w:p>
    <w:p>
      <w:pPr>
        <w:pStyle w:val="81"/>
        <w:pageBreakBefore w:val="0"/>
        <w:kinsoku/>
        <w:wordWrap/>
        <w:overflowPunct/>
        <w:topLinePunct w:val="0"/>
        <w:autoSpaceDE/>
        <w:autoSpaceDN/>
        <w:bidi w:val="0"/>
        <w:snapToGrid/>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根据《中华人民共和国政府采购法》及实施条例、《中华人民共和国民法典》和</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w:t>
      </w:r>
      <w:r>
        <w:rPr>
          <w:rFonts w:hint="eastAsia" w:ascii="宋体" w:hAnsi="宋体" w:cs="宋体"/>
          <w:color w:val="auto"/>
          <w:sz w:val="24"/>
          <w:szCs w:val="24"/>
          <w:highlight w:val="none"/>
          <w:u w:val="single"/>
          <w:lang w:eastAsia="zh-CN"/>
        </w:rPr>
        <w:t>2025年凤县农村公路桥梁建设防洪影响评价报告编制项目</w:t>
      </w:r>
      <w:r>
        <w:rPr>
          <w:rFonts w:hint="eastAsia" w:ascii="宋体" w:hAnsi="宋体" w:eastAsia="宋体" w:cs="宋体"/>
          <w:color w:val="auto"/>
          <w:sz w:val="24"/>
          <w:szCs w:val="24"/>
          <w:highlight w:val="none"/>
        </w:rPr>
        <w:t>（采购项目编号：</w:t>
      </w:r>
      <w:r>
        <w:rPr>
          <w:rFonts w:hint="eastAsia" w:ascii="宋体" w:hAnsi="宋体" w:cs="宋体"/>
          <w:color w:val="auto"/>
          <w:sz w:val="24"/>
          <w:szCs w:val="24"/>
          <w:highlight w:val="none"/>
          <w:u w:val="single"/>
          <w:lang w:eastAsia="zh-CN"/>
        </w:rPr>
        <w:t>ZZDBJ招2025-006</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的采购文件、响应文件等有关规定，为确保甲方采购项目的顺利实施，甲、乙双方在平等自愿原则下签订本合同，并共同遵守如下条款：</w:t>
      </w:r>
    </w:p>
    <w:p>
      <w:pPr>
        <w:keepNext w:val="0"/>
        <w:keepLines w:val="0"/>
        <w:pageBreakBefore w:val="0"/>
        <w:widowControl w:val="0"/>
        <w:numPr>
          <w:ilvl w:val="0"/>
          <w:numId w:val="0"/>
        </w:numPr>
        <w:tabs>
          <w:tab w:val="left" w:pos="1379"/>
        </w:tabs>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bookmarkStart w:id="139" w:name="_Toc1906"/>
      <w:r>
        <w:rPr>
          <w:rFonts w:hint="eastAsia" w:ascii="宋体" w:hAnsi="宋体" w:eastAsia="宋体" w:cs="宋体"/>
          <w:b/>
          <w:color w:val="auto"/>
          <w:sz w:val="24"/>
          <w:szCs w:val="24"/>
          <w:highlight w:val="none"/>
          <w:lang w:val="en-US" w:eastAsia="zh-CN"/>
        </w:rPr>
        <w:t xml:space="preserve">第一条 </w:t>
      </w:r>
      <w:r>
        <w:rPr>
          <w:rFonts w:hint="eastAsia" w:ascii="宋体" w:hAnsi="宋体" w:eastAsia="宋体" w:cs="宋体"/>
          <w:b/>
          <w:color w:val="auto"/>
          <w:sz w:val="24"/>
          <w:szCs w:val="24"/>
          <w:highlight w:val="none"/>
        </w:rPr>
        <w:t>项目基本情况</w:t>
      </w:r>
      <w:bookmarkEnd w:id="139"/>
    </w:p>
    <w:p>
      <w:pPr>
        <w:pStyle w:val="5"/>
        <w:keepNext w:val="0"/>
        <w:keepLines w:val="0"/>
        <w:pageBreakBefore w:val="0"/>
        <w:widowControl w:val="0"/>
        <w:kinsoku/>
        <w:wordWrap/>
        <w:overflowPunct/>
        <w:topLinePunct w:val="0"/>
        <w:autoSpaceDE/>
        <w:autoSpaceDN/>
        <w:bidi w:val="0"/>
        <w:adjustRightInd w:val="0"/>
        <w:snapToGrid/>
        <w:spacing w:line="360" w:lineRule="auto"/>
        <w:ind w:left="19" w:leftChars="9"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r>
        <w:rPr>
          <w:rFonts w:hint="eastAsia" w:ascii="宋体" w:hAnsi="宋体" w:cs="宋体"/>
          <w:color w:val="auto"/>
          <w:sz w:val="24"/>
          <w:szCs w:val="24"/>
          <w:highlight w:val="none"/>
          <w:lang w:eastAsia="zh-CN"/>
        </w:rPr>
        <w:t>2025年凤县农村公路桥梁建设防洪影响评价报告编制项目</w:t>
      </w:r>
    </w:p>
    <w:p>
      <w:pPr>
        <w:keepNext w:val="0"/>
        <w:keepLines w:val="0"/>
        <w:pageBreakBefore w:val="0"/>
        <w:widowControl w:val="0"/>
        <w:numPr>
          <w:ilvl w:val="0"/>
          <w:numId w:val="0"/>
        </w:numPr>
        <w:tabs>
          <w:tab w:val="left" w:pos="1379"/>
        </w:tabs>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bookmarkStart w:id="140" w:name="_Toc6487"/>
      <w:r>
        <w:rPr>
          <w:rFonts w:hint="eastAsia" w:ascii="宋体" w:hAnsi="宋体" w:eastAsia="宋体" w:cs="宋体"/>
          <w:b/>
          <w:color w:val="auto"/>
          <w:sz w:val="24"/>
          <w:szCs w:val="24"/>
          <w:highlight w:val="none"/>
          <w:lang w:val="en-US" w:eastAsia="zh-CN"/>
        </w:rPr>
        <w:t xml:space="preserve">第二条 </w:t>
      </w:r>
      <w:r>
        <w:rPr>
          <w:rFonts w:hint="eastAsia" w:ascii="宋体" w:hAnsi="宋体" w:eastAsia="宋体" w:cs="宋体"/>
          <w:b/>
          <w:color w:val="auto"/>
          <w:sz w:val="24"/>
          <w:szCs w:val="24"/>
          <w:highlight w:val="none"/>
        </w:rPr>
        <w:t>合同期限</w:t>
      </w:r>
      <w:bookmarkEnd w:id="14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服务期（合同履行期）：</w:t>
      </w:r>
      <w:r>
        <w:rPr>
          <w:rFonts w:hint="eastAsia" w:ascii="宋体" w:hAnsi="宋体" w:cs="宋体"/>
          <w:color w:val="auto"/>
          <w:kern w:val="2"/>
          <w:sz w:val="24"/>
          <w:szCs w:val="24"/>
          <w:highlight w:val="none"/>
          <w:lang w:val="en-US" w:eastAsia="zh-CN" w:bidi="ar-SA"/>
        </w:rPr>
        <w:t>2个月</w:t>
      </w:r>
    </w:p>
    <w:p>
      <w:pPr>
        <w:keepNext w:val="0"/>
        <w:keepLines w:val="0"/>
        <w:pageBreakBefore w:val="0"/>
        <w:widowControl w:val="0"/>
        <w:numPr>
          <w:ilvl w:val="0"/>
          <w:numId w:val="0"/>
        </w:numPr>
        <w:tabs>
          <w:tab w:val="left" w:pos="1379"/>
        </w:tabs>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bookmarkStart w:id="141" w:name="_Toc18933"/>
      <w:bookmarkStart w:id="142" w:name="_Toc251768862"/>
      <w:bookmarkStart w:id="143" w:name="_Toc225670751"/>
      <w:bookmarkStart w:id="144" w:name="_Toc247334841"/>
      <w:bookmarkStart w:id="145" w:name="_Toc237145406"/>
      <w:bookmarkStart w:id="146" w:name="_Toc239568418"/>
      <w:bookmarkStart w:id="147" w:name="_Toc225654644"/>
      <w:bookmarkStart w:id="148" w:name="_Toc212019594"/>
      <w:bookmarkStart w:id="149" w:name="_Toc232492928"/>
      <w:bookmarkStart w:id="150" w:name="_Toc282696226"/>
      <w:bookmarkStart w:id="151" w:name="_Toc286993786"/>
      <w:bookmarkStart w:id="152" w:name="_Toc283019214"/>
      <w:bookmarkStart w:id="153" w:name="_Toc241833903"/>
      <w:bookmarkStart w:id="154" w:name="_Toc185395249"/>
      <w:bookmarkStart w:id="155" w:name="_Toc225244852"/>
      <w:bookmarkStart w:id="156" w:name="_Toc239233914"/>
      <w:bookmarkStart w:id="157" w:name="_Toc238984975"/>
      <w:bookmarkStart w:id="158" w:name="_Toc211911348"/>
      <w:bookmarkStart w:id="159" w:name="_Toc211854449"/>
      <w:r>
        <w:rPr>
          <w:rFonts w:hint="eastAsia" w:ascii="宋体" w:hAnsi="宋体" w:eastAsia="宋体" w:cs="宋体"/>
          <w:b/>
          <w:color w:val="auto"/>
          <w:sz w:val="24"/>
          <w:szCs w:val="24"/>
          <w:highlight w:val="none"/>
          <w:lang w:val="en-US" w:eastAsia="zh-CN"/>
        </w:rPr>
        <w:t xml:space="preserve">第三条 </w:t>
      </w:r>
      <w:r>
        <w:rPr>
          <w:rFonts w:hint="eastAsia" w:ascii="宋体" w:hAnsi="宋体" w:eastAsia="宋体" w:cs="宋体"/>
          <w:b/>
          <w:color w:val="auto"/>
          <w:sz w:val="24"/>
          <w:szCs w:val="24"/>
          <w:highlight w:val="none"/>
        </w:rPr>
        <w:t>服务内容</w:t>
      </w:r>
      <w:r>
        <w:rPr>
          <w:rFonts w:hint="eastAsia" w:ascii="宋体" w:hAnsi="宋体" w:eastAsia="宋体" w:cs="宋体"/>
          <w:b/>
          <w:color w:val="auto"/>
          <w:sz w:val="24"/>
          <w:szCs w:val="24"/>
          <w:highlight w:val="none"/>
          <w:lang w:eastAsia="zh-CN"/>
        </w:rPr>
        <w:t>与</w:t>
      </w:r>
      <w:r>
        <w:rPr>
          <w:rFonts w:hint="eastAsia" w:ascii="宋体" w:hAnsi="宋体" w:eastAsia="宋体" w:cs="宋体"/>
          <w:b/>
          <w:color w:val="auto"/>
          <w:sz w:val="24"/>
          <w:szCs w:val="24"/>
          <w:highlight w:val="none"/>
        </w:rPr>
        <w:t>质量标准</w:t>
      </w:r>
      <w:bookmarkEnd w:id="141"/>
    </w:p>
    <w:p>
      <w:pPr>
        <w:pStyle w:val="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服务内容：</w:t>
      </w:r>
    </w:p>
    <w:p>
      <w:pPr>
        <w:pStyle w:val="5"/>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质量标准：合格（符合国家、地方以及相关专业的现行技术规范、标准、法规）</w:t>
      </w:r>
    </w:p>
    <w:p>
      <w:pPr>
        <w:keepNext w:val="0"/>
        <w:keepLines w:val="0"/>
        <w:pageBreakBefore w:val="0"/>
        <w:widowControl w:val="0"/>
        <w:numPr>
          <w:ilvl w:val="0"/>
          <w:numId w:val="0"/>
        </w:numPr>
        <w:tabs>
          <w:tab w:val="left" w:pos="1379"/>
        </w:tabs>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bookmarkStart w:id="160" w:name="_Toc29001"/>
      <w:r>
        <w:rPr>
          <w:rFonts w:hint="eastAsia" w:ascii="宋体" w:hAnsi="宋体" w:eastAsia="宋体" w:cs="宋体"/>
          <w:b/>
          <w:color w:val="auto"/>
          <w:sz w:val="24"/>
          <w:szCs w:val="24"/>
          <w:highlight w:val="none"/>
          <w:lang w:val="en-US" w:eastAsia="zh-CN"/>
        </w:rPr>
        <w:t xml:space="preserve">第四条 </w:t>
      </w:r>
      <w:r>
        <w:rPr>
          <w:rFonts w:hint="eastAsia" w:ascii="宋体" w:hAnsi="宋体" w:eastAsia="宋体" w:cs="宋体"/>
          <w:b/>
          <w:color w:val="auto"/>
          <w:sz w:val="24"/>
          <w:szCs w:val="24"/>
          <w:highlight w:val="none"/>
        </w:rPr>
        <w:t>服务费用</w:t>
      </w:r>
      <w:bookmarkEnd w:id="160"/>
    </w:p>
    <w:p>
      <w:pPr>
        <w:pStyle w:val="4"/>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color w:val="auto"/>
          <w:sz w:val="24"/>
          <w:szCs w:val="24"/>
          <w:highlight w:val="none"/>
        </w:rPr>
      </w:pPr>
      <w:bookmarkStart w:id="161" w:name="_Toc12719"/>
      <w:r>
        <w:rPr>
          <w:rFonts w:hint="eastAsia" w:ascii="宋体" w:hAnsi="宋体" w:eastAsia="宋体" w:cs="宋体"/>
          <w:b w:val="0"/>
          <w:color w:val="auto"/>
          <w:sz w:val="24"/>
          <w:szCs w:val="24"/>
          <w:highlight w:val="none"/>
        </w:rPr>
        <w:t>1.服务总费用为人民币（大写）：</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元，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w:t>
      </w:r>
      <w:bookmarkEnd w:id="161"/>
    </w:p>
    <w:p>
      <w:pPr>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2.本项目服务费用由以下组成：</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本合同执行期间服务总费用不变，甲方无须另向乙方支付本合同规定之外的其他任何费用。</w:t>
      </w:r>
    </w:p>
    <w:p>
      <w:pPr>
        <w:keepNext w:val="0"/>
        <w:keepLines w:val="0"/>
        <w:pageBreakBefore w:val="0"/>
        <w:kinsoku/>
        <w:wordWrap/>
        <w:overflowPunct/>
        <w:topLinePunct w:val="0"/>
        <w:autoSpaceDE/>
        <w:autoSpaceDN/>
        <w:bidi w:val="0"/>
        <w:snapToGrid/>
        <w:spacing w:line="360" w:lineRule="auto"/>
        <w:ind w:left="0" w:leftChars="0" w:firstLine="482" w:firstLineChars="200"/>
        <w:outlineLvl w:val="1"/>
        <w:rPr>
          <w:rFonts w:hint="eastAsia" w:ascii="宋体" w:hAnsi="宋体" w:eastAsia="宋体" w:cs="宋体"/>
          <w:b/>
          <w:color w:val="auto"/>
          <w:sz w:val="24"/>
          <w:szCs w:val="24"/>
          <w:highlight w:val="none"/>
        </w:rPr>
      </w:pPr>
      <w:bookmarkStart w:id="162" w:name="_Toc26507"/>
      <w:r>
        <w:rPr>
          <w:rFonts w:hint="eastAsia" w:ascii="宋体" w:hAnsi="宋体" w:eastAsia="宋体" w:cs="宋体"/>
          <w:b/>
          <w:color w:val="auto"/>
          <w:sz w:val="24"/>
          <w:szCs w:val="24"/>
          <w:highlight w:val="none"/>
        </w:rPr>
        <w:t>第五条  服务费支付方式</w:t>
      </w:r>
      <w:bookmarkEnd w:id="162"/>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lang w:val="en-US" w:eastAsia="zh-CN"/>
        </w:rPr>
        <w:t>乙方提交最终技术服务成果并通过专家评审验收或省部级检查后，甲方向乙方一次性支付技术服务费。</w:t>
      </w:r>
    </w:p>
    <w:p>
      <w:pPr>
        <w:keepNext w:val="0"/>
        <w:keepLines w:val="0"/>
        <w:pageBreakBefore w:val="0"/>
        <w:kinsoku/>
        <w:wordWrap/>
        <w:overflowPunct/>
        <w:topLinePunct w:val="0"/>
        <w:autoSpaceDE/>
        <w:autoSpaceDN/>
        <w:bidi w:val="0"/>
        <w:snapToGrid/>
        <w:spacing w:line="360" w:lineRule="auto"/>
        <w:ind w:left="0" w:leftChars="0" w:firstLine="482" w:firstLineChars="200"/>
        <w:outlineLvl w:val="1"/>
        <w:rPr>
          <w:rFonts w:hint="eastAsia" w:ascii="宋体" w:hAnsi="宋体" w:eastAsia="宋体" w:cs="宋体"/>
          <w:b/>
          <w:color w:val="auto"/>
          <w:sz w:val="24"/>
          <w:szCs w:val="24"/>
          <w:highlight w:val="none"/>
        </w:rPr>
      </w:pPr>
      <w:bookmarkStart w:id="163" w:name="_Toc21054"/>
      <w:r>
        <w:rPr>
          <w:rFonts w:hint="eastAsia" w:ascii="宋体" w:hAnsi="宋体" w:eastAsia="宋体" w:cs="宋体"/>
          <w:b/>
          <w:color w:val="auto"/>
          <w:sz w:val="24"/>
          <w:szCs w:val="24"/>
          <w:highlight w:val="none"/>
        </w:rPr>
        <w:t>第六条   知识产权</w:t>
      </w:r>
      <w:bookmarkEnd w:id="163"/>
    </w:p>
    <w:p>
      <w:pPr>
        <w:keepNext w:val="0"/>
        <w:keepLines w:val="0"/>
        <w:pageBreakBefore w:val="0"/>
        <w:tabs>
          <w:tab w:val="left" w:pos="1440"/>
        </w:tabs>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keepNext w:val="0"/>
        <w:keepLines w:val="0"/>
        <w:pageBreakBefore w:val="0"/>
        <w:kinsoku/>
        <w:wordWrap/>
        <w:overflowPunct/>
        <w:topLinePunct w:val="0"/>
        <w:autoSpaceDE/>
        <w:autoSpaceDN/>
        <w:bidi w:val="0"/>
        <w:snapToGrid/>
        <w:spacing w:line="360" w:lineRule="auto"/>
        <w:ind w:left="0" w:leftChars="0" w:firstLine="482" w:firstLineChars="200"/>
        <w:outlineLvl w:val="1"/>
        <w:rPr>
          <w:rFonts w:hint="eastAsia" w:ascii="宋体" w:hAnsi="宋体" w:eastAsia="宋体" w:cs="宋体"/>
          <w:b/>
          <w:color w:val="auto"/>
          <w:sz w:val="24"/>
          <w:szCs w:val="24"/>
          <w:highlight w:val="none"/>
        </w:rPr>
      </w:pPr>
      <w:bookmarkStart w:id="164" w:name="_Toc22784"/>
      <w:r>
        <w:rPr>
          <w:rFonts w:hint="eastAsia" w:ascii="宋体" w:hAnsi="宋体" w:eastAsia="宋体" w:cs="宋体"/>
          <w:b/>
          <w:color w:val="auto"/>
          <w:sz w:val="24"/>
          <w:szCs w:val="24"/>
          <w:highlight w:val="none"/>
        </w:rPr>
        <w:t>第七条  无产权瑕疵条款</w:t>
      </w:r>
      <w:bookmarkEnd w:id="164"/>
    </w:p>
    <w:p>
      <w:pPr>
        <w:keepNext w:val="0"/>
        <w:keepLines w:val="0"/>
        <w:pageBreakBefore w:val="0"/>
        <w:tabs>
          <w:tab w:val="left" w:pos="1440"/>
        </w:tabs>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kinsoku/>
        <w:wordWrap/>
        <w:overflowPunct/>
        <w:topLinePunct w:val="0"/>
        <w:autoSpaceDE/>
        <w:autoSpaceDN/>
        <w:bidi w:val="0"/>
        <w:snapToGrid/>
        <w:spacing w:line="360" w:lineRule="auto"/>
        <w:ind w:left="0" w:leftChars="0" w:firstLine="482" w:firstLineChars="200"/>
        <w:jc w:val="left"/>
        <w:outlineLvl w:val="1"/>
        <w:rPr>
          <w:rFonts w:hint="eastAsia" w:ascii="宋体" w:hAnsi="宋体" w:eastAsia="宋体" w:cs="宋体"/>
          <w:b/>
          <w:color w:val="auto"/>
          <w:sz w:val="24"/>
          <w:szCs w:val="24"/>
          <w:highlight w:val="none"/>
        </w:rPr>
      </w:pPr>
      <w:bookmarkStart w:id="165" w:name="_Toc27929"/>
      <w:r>
        <w:rPr>
          <w:rFonts w:hint="eastAsia" w:ascii="宋体" w:hAnsi="宋体" w:eastAsia="宋体" w:cs="宋体"/>
          <w:b/>
          <w:color w:val="auto"/>
          <w:sz w:val="24"/>
          <w:szCs w:val="24"/>
          <w:highlight w:val="none"/>
        </w:rPr>
        <w:t>第八条   履约保证金</w:t>
      </w:r>
      <w:bookmarkEnd w:id="165"/>
    </w:p>
    <w:p>
      <w:pPr>
        <w:keepNext w:val="0"/>
        <w:keepLines w:val="0"/>
        <w:pageBreakBefore w:val="0"/>
        <w:widowControl/>
        <w:kinsoku/>
        <w:wordWrap/>
        <w:overflowPunct/>
        <w:topLinePunct w:val="0"/>
        <w:autoSpaceDE/>
        <w:autoSpaceDN/>
        <w:bidi w:val="0"/>
        <w:snapToGrid/>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1.乙方在签订本合同之前，向甲方构提交履约保证金人民币（大写）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kern w:val="0"/>
          <w:sz w:val="24"/>
          <w:szCs w:val="24"/>
          <w:highlight w:val="none"/>
        </w:rPr>
        <w:t>履约保证金的有效期为乙方承诺的服务期限。</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3.履约保证金作为违约金的一部分及用于补偿甲方因乙方不能履行合同义务而蒙受的损失。</w:t>
      </w:r>
    </w:p>
    <w:p>
      <w:pPr>
        <w:keepNext w:val="0"/>
        <w:keepLines w:val="0"/>
        <w:pageBreakBefore w:val="0"/>
        <w:widowControl/>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服务期限结束后，甲方财务部门接到甲方确认本合同服务等约定事项已经履行完毕的正式书面文件后的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日内，向乙方退还履约保证金。</w:t>
      </w:r>
    </w:p>
    <w:p>
      <w:pPr>
        <w:keepNext w:val="0"/>
        <w:keepLines w:val="0"/>
        <w:pageBreakBefore w:val="0"/>
        <w:widowControl/>
        <w:kinsoku/>
        <w:wordWrap/>
        <w:overflowPunct/>
        <w:topLinePunct w:val="0"/>
        <w:autoSpaceDE/>
        <w:autoSpaceDN/>
        <w:bidi w:val="0"/>
        <w:snapToGrid/>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5.乙方可以履约担保函的形式交纳履约保证金（格式见附件1）。</w:t>
      </w:r>
    </w:p>
    <w:p>
      <w:pPr>
        <w:keepNext w:val="0"/>
        <w:keepLines w:val="0"/>
        <w:pageBreakBefore w:val="0"/>
        <w:kinsoku/>
        <w:wordWrap/>
        <w:overflowPunct/>
        <w:topLinePunct w:val="0"/>
        <w:autoSpaceDE/>
        <w:autoSpaceDN/>
        <w:bidi w:val="0"/>
        <w:snapToGrid/>
        <w:spacing w:line="360" w:lineRule="auto"/>
        <w:ind w:left="0" w:leftChars="0" w:firstLine="482" w:firstLineChars="200"/>
        <w:outlineLvl w:val="1"/>
        <w:rPr>
          <w:rFonts w:hint="eastAsia" w:ascii="宋体" w:hAnsi="宋体" w:eastAsia="宋体" w:cs="宋体"/>
          <w:b/>
          <w:color w:val="auto"/>
          <w:sz w:val="24"/>
          <w:szCs w:val="24"/>
          <w:highlight w:val="none"/>
        </w:rPr>
      </w:pPr>
      <w:bookmarkStart w:id="166" w:name="_Toc222"/>
      <w:r>
        <w:rPr>
          <w:rFonts w:hint="eastAsia" w:ascii="宋体" w:hAnsi="宋体" w:eastAsia="宋体" w:cs="宋体"/>
          <w:b/>
          <w:color w:val="auto"/>
          <w:sz w:val="24"/>
          <w:szCs w:val="24"/>
          <w:highlight w:val="none"/>
        </w:rPr>
        <w:t>第九条  甲方的权利和义务</w:t>
      </w:r>
      <w:bookmarkEnd w:id="166"/>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keepNext w:val="0"/>
        <w:keepLines w:val="0"/>
        <w:pageBreakBefore w:val="0"/>
        <w:kinsoku/>
        <w:wordWrap/>
        <w:overflowPunct/>
        <w:topLinePunct w:val="0"/>
        <w:autoSpaceDE/>
        <w:autoSpaceDN/>
        <w:bidi w:val="0"/>
        <w:snapToGrid/>
        <w:spacing w:line="360" w:lineRule="auto"/>
        <w:ind w:left="0" w:leftChars="0" w:firstLine="482" w:firstLineChars="200"/>
        <w:outlineLvl w:val="1"/>
        <w:rPr>
          <w:rFonts w:hint="eastAsia" w:ascii="宋体" w:hAnsi="宋体" w:eastAsia="宋体" w:cs="宋体"/>
          <w:b/>
          <w:color w:val="auto"/>
          <w:sz w:val="24"/>
          <w:szCs w:val="24"/>
          <w:highlight w:val="none"/>
        </w:rPr>
      </w:pPr>
      <w:bookmarkStart w:id="167" w:name="_Toc14805"/>
      <w:r>
        <w:rPr>
          <w:rFonts w:hint="eastAsia" w:ascii="宋体" w:hAnsi="宋体" w:eastAsia="宋体" w:cs="宋体"/>
          <w:b/>
          <w:color w:val="auto"/>
          <w:sz w:val="24"/>
          <w:szCs w:val="24"/>
          <w:highlight w:val="none"/>
        </w:rPr>
        <w:t>第十条  乙方的权利和义务</w:t>
      </w:r>
      <w:bookmarkEnd w:id="167"/>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keepNext w:val="0"/>
        <w:keepLines w:val="0"/>
        <w:pageBreakBefore w:val="0"/>
        <w:kinsoku/>
        <w:wordWrap/>
        <w:overflowPunct/>
        <w:topLinePunct w:val="0"/>
        <w:autoSpaceDE/>
        <w:autoSpaceDN/>
        <w:bidi w:val="0"/>
        <w:snapToGrid/>
        <w:spacing w:line="360" w:lineRule="auto"/>
        <w:ind w:left="0" w:leftChars="0" w:firstLine="482" w:firstLineChars="200"/>
        <w:outlineLvl w:val="1"/>
        <w:rPr>
          <w:rFonts w:hint="eastAsia" w:ascii="宋体" w:hAnsi="宋体" w:eastAsia="宋体" w:cs="宋体"/>
          <w:b/>
          <w:color w:val="auto"/>
          <w:sz w:val="24"/>
          <w:szCs w:val="24"/>
          <w:highlight w:val="none"/>
        </w:rPr>
      </w:pPr>
      <w:bookmarkStart w:id="168" w:name="_Toc17616"/>
      <w:r>
        <w:rPr>
          <w:rFonts w:hint="eastAsia" w:ascii="宋体" w:hAnsi="宋体" w:eastAsia="宋体" w:cs="宋体"/>
          <w:b/>
          <w:color w:val="auto"/>
          <w:sz w:val="24"/>
          <w:szCs w:val="24"/>
          <w:highlight w:val="none"/>
        </w:rPr>
        <w:t>第十一条  违约责任</w:t>
      </w:r>
      <w:bookmarkEnd w:id="168"/>
    </w:p>
    <w:p>
      <w:pPr>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pageBreakBefore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color w:val="auto"/>
          <w:sz w:val="24"/>
          <w:szCs w:val="24"/>
          <w:highlight w:val="none"/>
        </w:rPr>
      </w:pPr>
      <w:bookmarkStart w:id="169" w:name="_Toc2602"/>
      <w:r>
        <w:rPr>
          <w:rFonts w:hint="eastAsia" w:ascii="宋体" w:hAnsi="宋体" w:eastAsia="宋体" w:cs="宋体"/>
          <w:b/>
          <w:color w:val="auto"/>
          <w:sz w:val="24"/>
          <w:szCs w:val="24"/>
          <w:highlight w:val="none"/>
        </w:rPr>
        <w:t>第十二条  不可抗力事件处理</w:t>
      </w:r>
      <w:bookmarkEnd w:id="169"/>
    </w:p>
    <w:p>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w:t>
      </w:r>
      <w:r>
        <w:rPr>
          <w:rFonts w:hint="eastAsia" w:ascii="宋体" w:hAnsi="宋体" w:eastAsia="宋体" w:cs="宋体"/>
          <w:color w:val="auto"/>
          <w:sz w:val="24"/>
          <w:szCs w:val="24"/>
          <w:highlight w:val="none"/>
          <w:u w:val="single"/>
          <w:lang w:val="en-US" w:eastAsia="zh-CN"/>
        </w:rPr>
        <w:t xml:space="preserve"> 7 </w:t>
      </w:r>
      <w:r>
        <w:rPr>
          <w:rFonts w:hint="eastAsia" w:ascii="宋体" w:hAnsi="宋体" w:eastAsia="宋体" w:cs="宋体"/>
          <w:color w:val="auto"/>
          <w:sz w:val="24"/>
          <w:szCs w:val="24"/>
          <w:highlight w:val="none"/>
        </w:rPr>
        <w:t>天以上，双方应通过友好协商，确定是否继续履行合同。</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color w:val="auto"/>
          <w:kern w:val="0"/>
          <w:sz w:val="24"/>
          <w:szCs w:val="24"/>
          <w:highlight w:val="none"/>
        </w:rPr>
      </w:pPr>
      <w:bookmarkStart w:id="170" w:name="_Toc12137"/>
      <w:bookmarkStart w:id="171" w:name="_Toc238984980"/>
      <w:bookmarkStart w:id="172" w:name="_Toc185395254"/>
      <w:bookmarkStart w:id="173" w:name="_Toc251768867"/>
      <w:bookmarkStart w:id="174" w:name="_Toc225244857"/>
      <w:bookmarkStart w:id="175" w:name="_Toc239233919"/>
      <w:bookmarkStart w:id="176" w:name="_Toc212019599"/>
      <w:bookmarkStart w:id="177" w:name="_Toc211911353"/>
      <w:bookmarkStart w:id="178" w:name="_Toc232492933"/>
      <w:bookmarkStart w:id="179" w:name="_Toc237145411"/>
      <w:bookmarkStart w:id="180" w:name="_Toc241833908"/>
      <w:bookmarkStart w:id="181" w:name="_Toc286993792"/>
      <w:bookmarkStart w:id="182" w:name="_Toc225670756"/>
      <w:bookmarkStart w:id="183" w:name="_Toc247334846"/>
      <w:bookmarkStart w:id="184" w:name="_Toc239568423"/>
      <w:bookmarkStart w:id="185" w:name="_Toc211854454"/>
      <w:bookmarkStart w:id="186" w:name="_Toc225654649"/>
      <w:r>
        <w:rPr>
          <w:rFonts w:hint="eastAsia" w:ascii="宋体" w:hAnsi="宋体" w:eastAsia="宋体" w:cs="宋体"/>
          <w:b/>
          <w:color w:val="auto"/>
          <w:sz w:val="24"/>
          <w:szCs w:val="24"/>
          <w:highlight w:val="none"/>
        </w:rPr>
        <w:t xml:space="preserve">第十三条  </w:t>
      </w:r>
      <w:r>
        <w:rPr>
          <w:rFonts w:hint="eastAsia" w:ascii="宋体" w:hAnsi="宋体" w:eastAsia="宋体" w:cs="宋体"/>
          <w:b/>
          <w:color w:val="auto"/>
          <w:kern w:val="0"/>
          <w:sz w:val="24"/>
          <w:szCs w:val="24"/>
          <w:highlight w:val="none"/>
        </w:rPr>
        <w:t>合同的变更和终止</w:t>
      </w:r>
      <w:bookmarkEnd w:id="170"/>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除《中华人民共和国政府采购法》第49条、第50条第二款规定的情形外，本合同一经签订，甲乙双方不得擅自变更、中止或终止合同。</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color w:val="auto"/>
          <w:sz w:val="24"/>
          <w:szCs w:val="24"/>
          <w:highlight w:val="none"/>
        </w:rPr>
      </w:pPr>
      <w:bookmarkStart w:id="187" w:name="_Toc10042"/>
      <w:r>
        <w:rPr>
          <w:rFonts w:hint="eastAsia" w:ascii="宋体" w:hAnsi="宋体" w:eastAsia="宋体" w:cs="宋体"/>
          <w:b/>
          <w:color w:val="auto"/>
          <w:sz w:val="24"/>
          <w:szCs w:val="24"/>
          <w:highlight w:val="none"/>
        </w:rPr>
        <w:t>第十四条  解决合同纠纷的方式</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8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天内不能达成协议时，</w:t>
      </w:r>
      <w:r>
        <w:rPr>
          <w:rFonts w:hint="eastAsia" w:ascii="宋体" w:hAnsi="宋体" w:eastAsia="宋体" w:cs="宋体"/>
          <w:color w:val="auto"/>
          <w:kern w:val="0"/>
          <w:sz w:val="24"/>
          <w:szCs w:val="24"/>
          <w:highlight w:val="none"/>
        </w:rPr>
        <w:t>则采取以下第</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rPr>
        <w:t>种方式解决争议：</w:t>
      </w:r>
    </w:p>
    <w:p>
      <w:pPr>
        <w:pStyle w:val="8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pPr>
        <w:pStyle w:val="8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w:t>
      </w:r>
      <w:r>
        <w:rPr>
          <w:rFonts w:hint="eastAsia" w:ascii="宋体" w:hAnsi="宋体" w:eastAsia="宋体" w:cs="宋体"/>
          <w:color w:val="auto"/>
          <w:kern w:val="0"/>
          <w:sz w:val="24"/>
          <w:szCs w:val="24"/>
          <w:highlight w:val="none"/>
          <w:u w:val="single"/>
          <w:lang w:val="en-US" w:eastAsia="zh-CN"/>
        </w:rPr>
        <w:t xml:space="preserve">  宝鸡   </w:t>
      </w:r>
      <w:r>
        <w:rPr>
          <w:rFonts w:hint="eastAsia" w:ascii="宋体" w:hAnsi="宋体" w:eastAsia="宋体" w:cs="宋体"/>
          <w:color w:val="auto"/>
          <w:kern w:val="0"/>
          <w:sz w:val="24"/>
          <w:szCs w:val="24"/>
          <w:highlight w:val="none"/>
        </w:rPr>
        <w:t>仲裁委员会按其仲裁规则申请仲裁。</w:t>
      </w:r>
    </w:p>
    <w:p>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2.在仲裁期间，本合同应继续履行。</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color w:val="auto"/>
          <w:sz w:val="24"/>
          <w:szCs w:val="24"/>
          <w:highlight w:val="none"/>
        </w:rPr>
      </w:pPr>
      <w:bookmarkStart w:id="188" w:name="_Toc225654650"/>
      <w:bookmarkStart w:id="189" w:name="_Toc241833909"/>
      <w:bookmarkStart w:id="190" w:name="_Toc225244858"/>
      <w:bookmarkStart w:id="191" w:name="_Toc212019600"/>
      <w:bookmarkStart w:id="192" w:name="_Toc232492934"/>
      <w:bookmarkStart w:id="193" w:name="_Toc239568424"/>
      <w:bookmarkStart w:id="194" w:name="_Toc247334847"/>
      <w:bookmarkStart w:id="195" w:name="_Toc283019219"/>
      <w:bookmarkStart w:id="196" w:name="_Toc185395255"/>
      <w:bookmarkStart w:id="197" w:name="_Toc211854455"/>
      <w:bookmarkStart w:id="198" w:name="_Toc286993793"/>
      <w:bookmarkStart w:id="199" w:name="_Toc251768868"/>
      <w:bookmarkStart w:id="200" w:name="_Toc237145412"/>
      <w:bookmarkStart w:id="201" w:name="_Toc239233920"/>
      <w:bookmarkStart w:id="202" w:name="_Toc282696231"/>
      <w:bookmarkStart w:id="203" w:name="_Toc238984981"/>
      <w:bookmarkStart w:id="204" w:name="_Toc225670757"/>
      <w:bookmarkStart w:id="205" w:name="_Toc211911354"/>
      <w:bookmarkStart w:id="206" w:name="_Toc29388"/>
      <w:r>
        <w:rPr>
          <w:rFonts w:hint="eastAsia" w:ascii="宋体" w:hAnsi="宋体" w:eastAsia="宋体" w:cs="宋体"/>
          <w:b/>
          <w:color w:val="auto"/>
          <w:sz w:val="24"/>
          <w:szCs w:val="24"/>
          <w:highlight w:val="none"/>
        </w:rPr>
        <w:t>第十四条  合同</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eastAsia="宋体" w:cs="宋体"/>
          <w:b/>
          <w:color w:val="auto"/>
          <w:sz w:val="24"/>
          <w:szCs w:val="24"/>
          <w:highlight w:val="none"/>
        </w:rPr>
        <w:t>生效及其他</w:t>
      </w:r>
      <w:bookmarkEnd w:id="206"/>
    </w:p>
    <w:p>
      <w:pPr>
        <w:pStyle w:val="5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pPr>
        <w:pStyle w:val="5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5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份，自双方签章之日起起效。甲方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份，政府采购代理机构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份，同级财政部门备案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color w:val="auto"/>
          <w:sz w:val="24"/>
          <w:szCs w:val="24"/>
          <w:highlight w:val="none"/>
        </w:rPr>
      </w:pPr>
      <w:bookmarkStart w:id="207" w:name="_Toc31225"/>
      <w:r>
        <w:rPr>
          <w:rFonts w:hint="eastAsia" w:ascii="宋体" w:hAnsi="宋体" w:eastAsia="宋体" w:cs="宋体"/>
          <w:b/>
          <w:color w:val="auto"/>
          <w:sz w:val="24"/>
          <w:szCs w:val="24"/>
          <w:highlight w:val="none"/>
        </w:rPr>
        <w:t>第十五条  附件</w:t>
      </w:r>
      <w:bookmarkEnd w:id="207"/>
    </w:p>
    <w:p>
      <w:pPr>
        <w:pStyle w:val="53"/>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p>
    <w:p>
      <w:pPr>
        <w:pStyle w:val="53"/>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pStyle w:val="53"/>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w:t>
      </w:r>
      <w:r>
        <w:rPr>
          <w:rFonts w:hint="eastAsia" w:ascii="宋体" w:hAnsi="宋体" w:eastAsia="宋体" w:cs="宋体"/>
          <w:color w:val="auto"/>
          <w:sz w:val="24"/>
          <w:szCs w:val="24"/>
          <w:highlight w:val="none"/>
          <w:lang w:val="en-US" w:eastAsia="zh-CN"/>
        </w:rPr>
        <w:t>投标响应</w:t>
      </w:r>
      <w:r>
        <w:rPr>
          <w:rFonts w:hint="eastAsia" w:ascii="宋体" w:hAnsi="宋体" w:eastAsia="宋体" w:cs="宋体"/>
          <w:color w:val="auto"/>
          <w:sz w:val="24"/>
          <w:szCs w:val="24"/>
          <w:highlight w:val="none"/>
        </w:rPr>
        <w:t>文件</w:t>
      </w:r>
    </w:p>
    <w:p>
      <w:pPr>
        <w:pStyle w:val="53"/>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pPr>
        <w:pStyle w:val="53"/>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   （盖章）</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             法定代表人（委托代理人）：</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年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月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xml:space="preserve">    年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月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p>
    <w:p>
      <w:pPr>
        <w:pageBreakBefore w:val="0"/>
        <w:kinsoku/>
        <w:wordWrap/>
        <w:overflowPunct/>
        <w:topLinePunct w:val="0"/>
        <w:autoSpaceDE/>
        <w:autoSpaceDN/>
        <w:bidi w:val="0"/>
        <w:snapToGrid/>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 xml:space="preserve">政府采购履约担保函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560" w:firstLineChars="3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（以下简称成交供应商）于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政府采购合同》（以下简称主合同），且依据该合同的约定，成交供应商应在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日前向你方交纳履约保证金，且可以履约担保函的形式交纳履约保证金。应成交供应商的申请，我方以保证的方式向你方提供如下履约保证金担保：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（一）在成交供应商出现下列情形之一时，我方承担保证责任：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1.将成交项目转让给他人，或者在响应文件中未说明，且未经你方同意，将成交项目分包给他人的；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2.主合同约定的应当缴纳履约保证金的情形: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（1）未按主合同约定的质量、数量和期限提供服务的；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（二）我方的保证范围是主合同约定的合同价款总额的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。（即主合同履约保证金金额）</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我方保证的期间为：自本合同生效之日起至成交供应商按照主合同约定的供货期限届满后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如果成交供应商未按主合同约定向贵方供应货物的，由我方在保证金额内向你方支付上述款项。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1.你方要求我方承担保证责任的，应在本保函保证期间内向我方发出书面索赔通知。索赔通知应写明要求索赔的金额，支付款项应到达的帐号。并附有证明成交供应商违约事实的证明材料。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如果你方与成交供应商因货物质量问题产生争议，你方还需同时提供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2.我方收到你方的书面索赔通知及相应证明材料，在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1.保证期间届满你方未向我方书面主张保证责任的，自保证期间届满次日起，我方保证责任自动终止。保证期间届满前，主合同约定的服务全部验收合格的，自验收合格日起，我方保证责任自动终止。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与成交供应商修改主合同，加重我方保证责任的，我方对加重部分不承担保证责任，但该等修改事先经我方书面同意的除外；你方与成交供应商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ind w:firstLine="340" w:firstLineChars="14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1.因你方违反主合同约定致使成交供应商不能履行义务的，我方不承担保证责任。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2.依照法律法规的规定或你方与成交供应商的另行约定，全部或者部分免除成交供应商应缴纳的保证金义务的，我方亦免除相应的保证责任。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3.因不可抗力造成成交供应商不能履行供货义务的，我方不承担保证责任。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40" w:firstLineChars="14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因本保函发生的纠纷，由你我双方协商解决，协商不成的，通过诉讼程序解决，诉讼管辖地法院为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法院。</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本保函自我方加盖公章之日起生效。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保证人：（盖单位章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snapToGrid/>
        <w:spacing w:line="360" w:lineRule="auto"/>
        <w:ind w:firstLine="6240" w:firstLineChars="2600"/>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 xml:space="preserve">    年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highlight w:val="none"/>
        </w:rPr>
        <w:br w:type="page"/>
      </w:r>
    </w:p>
    <w:p>
      <w:pPr>
        <w:pStyle w:val="3"/>
        <w:spacing w:line="520" w:lineRule="exact"/>
        <w:jc w:val="center"/>
        <w:outlineLvl w:val="0"/>
        <w:rPr>
          <w:rFonts w:hint="eastAsia" w:ascii="宋体" w:hAnsi="宋体" w:eastAsia="宋体" w:cs="宋体"/>
          <w:color w:val="auto"/>
          <w:sz w:val="30"/>
          <w:szCs w:val="30"/>
          <w:highlight w:val="none"/>
        </w:rPr>
      </w:pPr>
      <w:bookmarkStart w:id="208" w:name="_Toc7111"/>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七</w:t>
      </w:r>
      <w:r>
        <w:rPr>
          <w:rFonts w:hint="eastAsia" w:ascii="宋体" w:hAnsi="宋体" w:eastAsia="宋体" w:cs="宋体"/>
          <w:color w:val="auto"/>
          <w:sz w:val="30"/>
          <w:szCs w:val="30"/>
          <w:highlight w:val="none"/>
          <w:lang w:eastAsia="zh-CN"/>
        </w:rPr>
        <w:t>章</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竞争性</w:t>
      </w:r>
      <w:r>
        <w:rPr>
          <w:rFonts w:hint="eastAsia" w:ascii="宋体" w:hAnsi="宋体" w:cs="宋体"/>
          <w:color w:val="auto"/>
          <w:sz w:val="30"/>
          <w:szCs w:val="30"/>
          <w:highlight w:val="none"/>
          <w:lang w:eastAsia="zh-CN"/>
        </w:rPr>
        <w:t>磋商</w:t>
      </w:r>
      <w:r>
        <w:rPr>
          <w:rFonts w:hint="eastAsia" w:ascii="宋体" w:hAnsi="宋体" w:eastAsia="宋体" w:cs="宋体"/>
          <w:color w:val="auto"/>
          <w:sz w:val="30"/>
          <w:szCs w:val="30"/>
          <w:highlight w:val="none"/>
        </w:rPr>
        <w:t>响应文件格式</w:t>
      </w:r>
      <w:bookmarkEnd w:id="131"/>
      <w:bookmarkEnd w:id="132"/>
      <w:bookmarkEnd w:id="133"/>
      <w:bookmarkEnd w:id="208"/>
    </w:p>
    <w:p>
      <w:pPr>
        <w:spacing w:line="480" w:lineRule="exact"/>
        <w:ind w:left="0" w:leftChars="0" w:firstLine="0" w:firstLineChars="0"/>
        <w:jc w:val="both"/>
        <w:rPr>
          <w:rFonts w:hint="eastAsia" w:ascii="宋体" w:hAnsi="宋体" w:eastAsia="宋体" w:cs="宋体"/>
          <w:color w:val="auto"/>
          <w:sz w:val="32"/>
          <w:szCs w:val="32"/>
          <w:highlight w:val="none"/>
        </w:rPr>
      </w:pPr>
    </w:p>
    <w:p>
      <w:pPr>
        <w:spacing w:line="480" w:lineRule="exact"/>
        <w:ind w:left="0" w:lef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竞争性</w:t>
      </w:r>
      <w:r>
        <w:rPr>
          <w:rFonts w:hint="eastAsia" w:ascii="宋体" w:hAnsi="宋体" w:cs="宋体"/>
          <w:b/>
          <w:bCs/>
          <w:color w:val="auto"/>
          <w:sz w:val="30"/>
          <w:szCs w:val="30"/>
          <w:highlight w:val="none"/>
          <w:lang w:eastAsia="zh-CN"/>
        </w:rPr>
        <w:t>磋商</w:t>
      </w:r>
      <w:r>
        <w:rPr>
          <w:rFonts w:hint="eastAsia" w:ascii="宋体" w:hAnsi="宋体" w:eastAsia="宋体" w:cs="宋体"/>
          <w:b/>
          <w:bCs/>
          <w:color w:val="auto"/>
          <w:sz w:val="30"/>
          <w:szCs w:val="30"/>
          <w:highlight w:val="none"/>
        </w:rPr>
        <w:t>响应文件编制说明</w:t>
      </w:r>
    </w:p>
    <w:p>
      <w:pPr>
        <w:pStyle w:val="47"/>
        <w:rPr>
          <w:rFonts w:hint="eastAsia" w:ascii="宋体" w:hAnsi="宋体" w:eastAsia="宋体" w:cs="宋体"/>
          <w:color w:val="auto"/>
          <w:highlight w:val="none"/>
        </w:rPr>
      </w:pPr>
    </w:p>
    <w:p>
      <w:pPr>
        <w:widowControl/>
        <w:spacing w:line="48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4"/>
          <w:szCs w:val="24"/>
          <w:highlight w:val="none"/>
        </w:rPr>
        <w:t>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响应文件应当使用竞争性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文件规定的全部格式（表格可以按同样格式扩展）编写，除明确允许供应商可以自行编写的外，供应商不得以“竞争性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响应文件格式”规定之外的方式填写相关内容。</w:t>
      </w: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响应文件的编制应按照样本格式提供的内容，做出逐一明确的答复；供应商认为有必要，还可以做其它补充说明。</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必须按照竞争性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的规定和要求由法定代表人或被授权人签字（或盖章）。</w:t>
      </w: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47"/>
        <w:rPr>
          <w:rFonts w:hint="eastAsia" w:ascii="宋体" w:hAnsi="宋体" w:eastAsia="宋体" w:cs="宋体"/>
          <w:color w:val="auto"/>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left="0" w:leftChars="0" w:firstLine="0" w:firstLineChars="0"/>
        <w:rPr>
          <w:rFonts w:hint="eastAsia" w:ascii="宋体" w:hAnsi="宋体" w:eastAsia="宋体" w:cs="宋体"/>
          <w:color w:val="auto"/>
          <w:sz w:val="28"/>
          <w:szCs w:val="28"/>
          <w:highlight w:val="none"/>
        </w:rPr>
      </w:pPr>
    </w:p>
    <w:p>
      <w:pPr>
        <w:spacing w:line="520" w:lineRule="exact"/>
        <w:ind w:left="0" w:leftChars="0" w:firstLine="0" w:firstLineChars="0"/>
        <w:jc w:val="both"/>
        <w:rPr>
          <w:rFonts w:hint="eastAsia" w:ascii="宋体" w:hAnsi="宋体" w:eastAsia="宋体" w:cs="宋体"/>
          <w:color w:val="auto"/>
          <w:sz w:val="28"/>
          <w:szCs w:val="28"/>
          <w:highlight w:val="none"/>
        </w:rPr>
      </w:pPr>
    </w:p>
    <w:p>
      <w:pPr>
        <w:spacing w:line="520" w:lineRule="exact"/>
        <w:ind w:right="360" w:firstLine="723"/>
        <w:jc w:val="right"/>
        <w:rPr>
          <w:rFonts w:hint="eastAsia" w:ascii="宋体" w:hAnsi="宋体" w:eastAsia="宋体" w:cs="宋体"/>
          <w:b/>
          <w:color w:val="auto"/>
          <w:sz w:val="36"/>
          <w:szCs w:val="36"/>
          <w:highlight w:val="none"/>
          <w:bdr w:val="single" w:color="auto" w:sz="4" w:space="0"/>
          <w:shd w:val="pct10" w:color="auto" w:fill="FFFFFF"/>
        </w:rPr>
      </w:pPr>
    </w:p>
    <w:p>
      <w:pPr>
        <w:pStyle w:val="2"/>
        <w:rPr>
          <w:rFonts w:hint="eastAsia"/>
          <w:highlight w:val="none"/>
        </w:rPr>
      </w:pPr>
    </w:p>
    <w:p>
      <w:pPr>
        <w:spacing w:line="520" w:lineRule="exact"/>
        <w:ind w:left="0" w:leftChars="0" w:right="360" w:firstLine="0" w:firstLineChars="0"/>
        <w:jc w:val="left"/>
        <w:rPr>
          <w:rFonts w:hint="eastAsia" w:ascii="宋体" w:hAnsi="宋体" w:eastAsia="宋体" w:cs="宋体"/>
          <w:b/>
          <w:color w:val="auto"/>
          <w:sz w:val="28"/>
          <w:szCs w:val="28"/>
          <w:highlight w:val="none"/>
        </w:rPr>
      </w:pPr>
      <w:bookmarkStart w:id="209" w:name="OLE_LINK86"/>
      <w:r>
        <w:rPr>
          <w:rFonts w:hint="eastAsia" w:ascii="宋体" w:hAnsi="宋体" w:eastAsia="宋体" w:cs="宋体"/>
          <w:b/>
          <w:color w:val="auto"/>
          <w:sz w:val="28"/>
          <w:szCs w:val="28"/>
          <w:highlight w:val="none"/>
        </w:rPr>
        <w:t>政府采购项目</w:t>
      </w:r>
    </w:p>
    <w:p>
      <w:pPr>
        <w:pStyle w:val="29"/>
        <w:spacing w:line="480" w:lineRule="auto"/>
        <w:ind w:left="0" w:leftChars="0" w:firstLine="0" w:firstLineChars="0"/>
        <w:jc w:val="both"/>
        <w:rPr>
          <w:rFonts w:hint="default" w:ascii="宋体" w:hAnsi="宋体" w:eastAsia="宋体" w:cs="宋体"/>
          <w:b/>
          <w:color w:val="auto"/>
          <w:kern w:val="2"/>
          <w:sz w:val="52"/>
          <w:szCs w:val="52"/>
          <w:highlight w:val="none"/>
          <w:lang w:val="en-US" w:eastAsia="zh-CN" w:bidi="ar-SA"/>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 xml:space="preserve">ZZDBJ招2025-006  </w:t>
      </w:r>
    </w:p>
    <w:p>
      <w:pPr>
        <w:pStyle w:val="29"/>
        <w:spacing w:line="480" w:lineRule="auto"/>
        <w:ind w:left="0" w:leftChars="0" w:firstLine="0" w:firstLineChars="0"/>
        <w:jc w:val="center"/>
        <w:rPr>
          <w:rFonts w:hint="eastAsia" w:ascii="宋体" w:hAnsi="宋体" w:eastAsia="宋体" w:cs="宋体"/>
          <w:b/>
          <w:color w:val="auto"/>
          <w:kern w:val="2"/>
          <w:sz w:val="24"/>
          <w:szCs w:val="24"/>
          <w:highlight w:val="none"/>
          <w:lang w:val="en-US" w:eastAsia="zh-CN" w:bidi="ar-SA"/>
        </w:rPr>
      </w:pPr>
    </w:p>
    <w:p>
      <w:pPr>
        <w:pStyle w:val="28"/>
        <w:jc w:val="center"/>
        <w:rPr>
          <w:rFonts w:hint="eastAsia"/>
          <w:highlight w:val="none"/>
          <w:lang w:val="en-US" w:eastAsia="zh-CN"/>
        </w:rPr>
      </w:pPr>
    </w:p>
    <w:p>
      <w:pPr>
        <w:pStyle w:val="29"/>
        <w:jc w:val="center"/>
        <w:rPr>
          <w:rFonts w:hint="eastAsia"/>
          <w:highlight w:val="none"/>
          <w:lang w:val="en-US" w:eastAsia="zh-CN"/>
        </w:rPr>
      </w:pP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100"/>
        <w:jc w:val="center"/>
        <w:textAlignment w:val="auto"/>
        <w:rPr>
          <w:rFonts w:hint="default" w:ascii="宋体" w:hAnsi="宋体" w:eastAsia="宋体" w:cs="宋体"/>
          <w:b/>
          <w:color w:val="auto"/>
          <w:sz w:val="28"/>
          <w:szCs w:val="28"/>
          <w:highlight w:val="none"/>
          <w:lang w:val="en-US"/>
        </w:rPr>
      </w:pPr>
      <w:r>
        <w:rPr>
          <w:rFonts w:hint="eastAsia" w:ascii="宋体" w:hAnsi="宋体" w:cs="宋体"/>
          <w:b/>
          <w:color w:val="auto"/>
          <w:kern w:val="2"/>
          <w:sz w:val="48"/>
          <w:szCs w:val="48"/>
          <w:highlight w:val="none"/>
          <w:lang w:val="en-US" w:eastAsia="zh-CN" w:bidi="ar-SA"/>
        </w:rPr>
        <w:t>2025年凤县农村公路桥梁建设防洪影响评价报告编制项目</w:t>
      </w: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spacing w:line="240" w:lineRule="auto"/>
        <w:ind w:left="0" w:leftChars="0" w:firstLine="0" w:firstLineChars="0"/>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竞争性</w:t>
      </w:r>
      <w:r>
        <w:rPr>
          <w:rFonts w:hint="eastAsia" w:ascii="宋体" w:hAnsi="宋体" w:cs="宋体"/>
          <w:b/>
          <w:color w:val="auto"/>
          <w:sz w:val="52"/>
          <w:szCs w:val="52"/>
          <w:highlight w:val="none"/>
          <w:lang w:eastAsia="zh-CN"/>
        </w:rPr>
        <w:t>磋商</w:t>
      </w:r>
      <w:r>
        <w:rPr>
          <w:rFonts w:hint="eastAsia" w:ascii="宋体" w:hAnsi="宋体" w:eastAsia="宋体" w:cs="宋体"/>
          <w:b/>
          <w:color w:val="auto"/>
          <w:sz w:val="52"/>
          <w:szCs w:val="52"/>
          <w:highlight w:val="none"/>
          <w:lang w:eastAsia="zh-CN"/>
        </w:rPr>
        <w:t>响应文件</w:t>
      </w:r>
    </w:p>
    <w:p>
      <w:pPr>
        <w:pStyle w:val="2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 xml:space="preserve"> </w:t>
      </w: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spacing w:line="520" w:lineRule="exact"/>
        <w:ind w:firstLine="562"/>
        <w:rPr>
          <w:rFonts w:hint="eastAsia" w:ascii="宋体" w:hAnsi="宋体" w:eastAsia="宋体" w:cs="宋体"/>
          <w:b/>
          <w:color w:val="auto"/>
          <w:sz w:val="28"/>
          <w:szCs w:val="28"/>
          <w:highlight w:val="none"/>
        </w:rPr>
      </w:pPr>
    </w:p>
    <w:p>
      <w:pPr>
        <w:spacing w:line="520" w:lineRule="exact"/>
        <w:ind w:left="0" w:leftChars="0" w:firstLine="1124" w:firstLineChars="400"/>
        <w:jc w:val="both"/>
        <w:rPr>
          <w:rFonts w:hint="eastAsia" w:ascii="宋体" w:hAnsi="宋体" w:eastAsia="宋体" w:cs="宋体"/>
          <w:b/>
          <w:bCs/>
          <w:color w:val="auto"/>
          <w:spacing w:val="20"/>
          <w:kern w:val="0"/>
          <w:sz w:val="28"/>
          <w:szCs w:val="28"/>
          <w:highlight w:val="none"/>
          <w:u w:val="none"/>
          <w:lang w:val="en-US" w:eastAsia="zh-CN"/>
        </w:rPr>
      </w:pPr>
      <w:r>
        <w:rPr>
          <w:rFonts w:hint="eastAsia" w:ascii="宋体" w:hAnsi="宋体" w:eastAsia="宋体" w:cs="宋体"/>
          <w:b/>
          <w:color w:val="auto"/>
          <w:sz w:val="28"/>
          <w:szCs w:val="28"/>
          <w:highlight w:val="none"/>
        </w:rPr>
        <w:t>供  应  商：</w:t>
      </w:r>
      <w:r>
        <w:rPr>
          <w:rFonts w:hint="eastAsia" w:ascii="宋体" w:hAnsi="宋体" w:eastAsia="宋体" w:cs="宋体"/>
          <w:b/>
          <w:bCs/>
          <w:color w:val="auto"/>
          <w:spacing w:val="20"/>
          <w:kern w:val="0"/>
          <w:sz w:val="28"/>
          <w:szCs w:val="28"/>
          <w:highlight w:val="none"/>
          <w:u w:val="single"/>
          <w:lang w:val="en-US" w:eastAsia="zh-CN"/>
        </w:rPr>
        <w:t xml:space="preserve">          </w:t>
      </w:r>
      <w:r>
        <w:rPr>
          <w:rFonts w:hint="eastAsia" w:ascii="宋体" w:hAnsi="宋体" w:cs="宋体"/>
          <w:b/>
          <w:bCs/>
          <w:color w:val="auto"/>
          <w:spacing w:val="20"/>
          <w:kern w:val="0"/>
          <w:sz w:val="28"/>
          <w:szCs w:val="28"/>
          <w:highlight w:val="none"/>
          <w:u w:val="single"/>
          <w:lang w:val="en-US" w:eastAsia="zh-CN"/>
        </w:rPr>
        <w:t xml:space="preserve">  </w:t>
      </w:r>
      <w:r>
        <w:rPr>
          <w:rFonts w:hint="eastAsia" w:ascii="宋体" w:hAnsi="宋体" w:eastAsia="宋体" w:cs="宋体"/>
          <w:b/>
          <w:bCs/>
          <w:color w:val="auto"/>
          <w:spacing w:val="20"/>
          <w:kern w:val="0"/>
          <w:sz w:val="28"/>
          <w:szCs w:val="28"/>
          <w:highlight w:val="none"/>
          <w:u w:val="single"/>
          <w:lang w:val="en-US" w:eastAsia="zh-CN"/>
        </w:rPr>
        <w:t xml:space="preserve">        </w:t>
      </w:r>
      <w:r>
        <w:rPr>
          <w:rFonts w:hint="eastAsia" w:ascii="宋体" w:hAnsi="宋体" w:eastAsia="宋体" w:cs="宋体"/>
          <w:b/>
          <w:bCs/>
          <w:color w:val="auto"/>
          <w:spacing w:val="20"/>
          <w:kern w:val="0"/>
          <w:sz w:val="28"/>
          <w:szCs w:val="28"/>
          <w:highlight w:val="none"/>
          <w:u w:val="none"/>
          <w:lang w:val="en-US" w:eastAsia="zh-CN"/>
        </w:rPr>
        <w:t>（盖单位公章）</w:t>
      </w:r>
    </w:p>
    <w:p>
      <w:pPr>
        <w:pStyle w:val="2"/>
        <w:jc w:val="center"/>
        <w:rPr>
          <w:rFonts w:hint="eastAsia" w:ascii="宋体" w:hAnsi="宋体" w:eastAsia="宋体" w:cs="宋体"/>
          <w:color w:val="auto"/>
          <w:sz w:val="28"/>
          <w:szCs w:val="28"/>
          <w:highlight w:val="none"/>
        </w:rPr>
      </w:pPr>
    </w:p>
    <w:p>
      <w:pPr>
        <w:spacing w:beforeLines="50" w:line="360" w:lineRule="auto"/>
        <w:ind w:left="0" w:leftChars="0" w:right="-78" w:rightChars="-37" w:firstLine="1124" w:firstLineChars="400"/>
        <w:jc w:val="both"/>
        <w:rPr>
          <w:rFonts w:hint="eastAsia" w:ascii="宋体" w:hAnsi="宋体" w:eastAsia="宋体" w:cs="宋体"/>
          <w:b/>
          <w:bCs/>
          <w:color w:val="auto"/>
          <w:spacing w:val="20"/>
          <w:kern w:val="0"/>
          <w:sz w:val="28"/>
          <w:szCs w:val="28"/>
          <w:highlight w:val="none"/>
          <w:u w:val="none"/>
          <w:lang w:val="en-US" w:eastAsia="zh-CN"/>
        </w:rPr>
      </w:pPr>
      <w:r>
        <w:rPr>
          <w:rFonts w:hint="eastAsia" w:ascii="宋体" w:hAnsi="宋体" w:eastAsia="宋体" w:cs="宋体"/>
          <w:b/>
          <w:color w:val="auto"/>
          <w:sz w:val="28"/>
          <w:szCs w:val="28"/>
          <w:highlight w:val="none"/>
          <w:lang w:eastAsia="zh-CN"/>
        </w:rPr>
        <w:t>法人或委托代理人</w:t>
      </w:r>
      <w:r>
        <w:rPr>
          <w:rFonts w:hint="eastAsia" w:ascii="宋体" w:hAnsi="宋体" w:eastAsia="宋体" w:cs="宋体"/>
          <w:b/>
          <w:bCs/>
          <w:color w:val="auto"/>
          <w:spacing w:val="20"/>
          <w:kern w:val="0"/>
          <w:sz w:val="28"/>
          <w:szCs w:val="28"/>
          <w:highlight w:val="none"/>
          <w:lang w:eastAsia="zh-CN"/>
        </w:rPr>
        <w:t>：</w:t>
      </w:r>
      <w:r>
        <w:rPr>
          <w:rFonts w:hint="eastAsia" w:ascii="宋体" w:hAnsi="宋体" w:eastAsia="宋体" w:cs="宋体"/>
          <w:b/>
          <w:bCs/>
          <w:color w:val="auto"/>
          <w:spacing w:val="20"/>
          <w:kern w:val="0"/>
          <w:sz w:val="28"/>
          <w:szCs w:val="28"/>
          <w:highlight w:val="none"/>
          <w:u w:val="single"/>
          <w:lang w:val="en-US" w:eastAsia="zh-CN"/>
        </w:rPr>
        <w:t xml:space="preserve">               </w:t>
      </w:r>
      <w:r>
        <w:rPr>
          <w:rFonts w:hint="eastAsia" w:ascii="宋体" w:hAnsi="宋体" w:eastAsia="宋体" w:cs="宋体"/>
          <w:b/>
          <w:bCs/>
          <w:color w:val="auto"/>
          <w:spacing w:val="20"/>
          <w:kern w:val="0"/>
          <w:sz w:val="28"/>
          <w:szCs w:val="28"/>
          <w:highlight w:val="none"/>
          <w:u w:val="none"/>
          <w:lang w:val="en-US" w:eastAsia="zh-CN"/>
        </w:rPr>
        <w:t>（签字或盖章）</w:t>
      </w:r>
    </w:p>
    <w:p>
      <w:pPr>
        <w:pStyle w:val="2"/>
        <w:jc w:val="center"/>
        <w:rPr>
          <w:rFonts w:hint="eastAsia" w:ascii="宋体" w:hAnsi="宋体" w:eastAsia="宋体" w:cs="宋体"/>
          <w:color w:val="auto"/>
          <w:sz w:val="28"/>
          <w:szCs w:val="28"/>
          <w:highlight w:val="none"/>
          <w:lang w:val="en-US" w:eastAsia="zh-CN"/>
        </w:rPr>
      </w:pPr>
    </w:p>
    <w:p>
      <w:pPr>
        <w:spacing w:beforeLines="50" w:line="360" w:lineRule="auto"/>
        <w:ind w:left="0" w:leftChars="0" w:right="-78" w:rightChars="-37" w:firstLine="1687" w:firstLineChars="600"/>
        <w:jc w:val="center"/>
        <w:rPr>
          <w:rFonts w:hint="eastAsia" w:ascii="宋体" w:hAnsi="宋体" w:eastAsia="宋体" w:cs="宋体"/>
          <w:b/>
          <w:bCs/>
          <w:color w:val="auto"/>
          <w:spacing w:val="20"/>
          <w:kern w:val="0"/>
          <w:sz w:val="28"/>
          <w:szCs w:val="28"/>
          <w:highlight w:val="none"/>
          <w:u w:val="none"/>
          <w:lang w:val="en-US" w:eastAsia="zh-CN"/>
        </w:rPr>
      </w:pPr>
      <w:r>
        <w:rPr>
          <w:rFonts w:hint="eastAsia" w:ascii="宋体" w:hAnsi="宋体" w:cs="宋体"/>
          <w:b/>
          <w:color w:val="auto"/>
          <w:sz w:val="28"/>
          <w:szCs w:val="28"/>
          <w:highlight w:val="none"/>
          <w:lang w:val="en-US" w:eastAsia="zh-CN"/>
        </w:rPr>
        <w:t xml:space="preserve">日  期 </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u w:val="none"/>
          <w:lang w:val="en-US" w:eastAsia="zh-CN"/>
        </w:rPr>
        <w:t xml:space="preserve">    </w:t>
      </w:r>
      <w:r>
        <w:rPr>
          <w:rFonts w:hint="eastAsia" w:ascii="宋体" w:hAnsi="宋体" w:eastAsia="宋体" w:cs="宋体"/>
          <w:b/>
          <w:bCs/>
          <w:color w:val="auto"/>
          <w:spacing w:val="20"/>
          <w:kern w:val="0"/>
          <w:sz w:val="28"/>
          <w:szCs w:val="28"/>
          <w:highlight w:val="none"/>
          <w:u w:val="none"/>
          <w:lang w:eastAsia="zh-CN"/>
        </w:rPr>
        <w:t>年</w:t>
      </w:r>
      <w:r>
        <w:rPr>
          <w:rFonts w:hint="eastAsia" w:ascii="宋体" w:hAnsi="宋体" w:eastAsia="宋体" w:cs="宋体"/>
          <w:b/>
          <w:bCs/>
          <w:color w:val="auto"/>
          <w:spacing w:val="20"/>
          <w:kern w:val="0"/>
          <w:sz w:val="28"/>
          <w:szCs w:val="28"/>
          <w:highlight w:val="none"/>
          <w:u w:val="none"/>
          <w:lang w:val="en-US" w:eastAsia="zh-CN"/>
        </w:rPr>
        <w:t xml:space="preserve">   月   日</w:t>
      </w:r>
    </w:p>
    <w:p>
      <w:pPr>
        <w:rPr>
          <w:rFonts w:hint="eastAsia" w:ascii="宋体" w:hAnsi="宋体" w:eastAsia="宋体" w:cs="宋体"/>
          <w:b/>
          <w:bCs/>
          <w:color w:val="auto"/>
          <w:spacing w:val="20"/>
          <w:kern w:val="0"/>
          <w:sz w:val="30"/>
          <w:szCs w:val="30"/>
          <w:highlight w:val="none"/>
          <w:lang w:val="en-US" w:eastAsia="zh-CN"/>
        </w:rPr>
      </w:pPr>
      <w:r>
        <w:rPr>
          <w:rFonts w:hint="eastAsia" w:ascii="宋体" w:hAnsi="宋体" w:eastAsia="宋体" w:cs="宋体"/>
          <w:b/>
          <w:bCs/>
          <w:color w:val="auto"/>
          <w:spacing w:val="20"/>
          <w:kern w:val="0"/>
          <w:sz w:val="30"/>
          <w:szCs w:val="30"/>
          <w:highlight w:val="none"/>
          <w:lang w:val="en-US" w:eastAsia="zh-CN"/>
        </w:rPr>
        <w:br w:type="page"/>
      </w:r>
    </w:p>
    <w:p>
      <w:pPr>
        <w:numPr>
          <w:ilvl w:val="0"/>
          <w:numId w:val="0"/>
        </w:numPr>
        <w:spacing w:line="480" w:lineRule="auto"/>
        <w:ind w:leftChars="0"/>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en-US" w:eastAsia="zh-CN"/>
        </w:rPr>
        <w:t>目</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en-US" w:eastAsia="zh-CN"/>
        </w:rPr>
        <w:t xml:space="preserve">  录</w:t>
      </w:r>
    </w:p>
    <w:p>
      <w:pPr>
        <w:numPr>
          <w:ilvl w:val="0"/>
          <w:numId w:val="0"/>
        </w:numPr>
        <w:spacing w:line="480" w:lineRule="auto"/>
        <w:ind w:leftChars="0"/>
        <w:jc w:val="left"/>
        <w:rPr>
          <w:rFonts w:hint="eastAsia" w:ascii="宋体" w:hAnsi="宋体" w:eastAsia="宋体" w:cs="宋体"/>
          <w:b w:val="0"/>
          <w:bCs w:val="0"/>
          <w:color w:val="auto"/>
          <w:sz w:val="24"/>
          <w:szCs w:val="24"/>
          <w:highlight w:val="none"/>
          <w:lang w:val="en-US" w:eastAsia="zh-CN"/>
        </w:rPr>
      </w:pPr>
    </w:p>
    <w:p>
      <w:pPr>
        <w:rPr>
          <w:rFonts w:hint="default" w:ascii="宋体" w:hAnsi="宋体" w:eastAsia="宋体" w:cs="宋体"/>
          <w:b w:val="0"/>
          <w:bCs w:val="0"/>
          <w:color w:val="auto"/>
          <w:sz w:val="24"/>
          <w:szCs w:val="24"/>
          <w:highlight w:val="none"/>
          <w:lang w:val="en-US" w:eastAsia="zh-CN"/>
        </w:rPr>
      </w:pPr>
    </w:p>
    <w:p>
      <w:pPr>
        <w:rPr>
          <w:rFonts w:hint="eastAsia" w:eastAsiaTheme="minorEastAsia"/>
          <w:highlight w:val="none"/>
          <w:lang w:eastAsia="zh-CN"/>
        </w:rPr>
      </w:pPr>
      <w:r>
        <w:rPr>
          <w:rFonts w:hint="eastAsia" w:ascii="宋体" w:hAnsi="宋体" w:cs="宋体"/>
          <w:b/>
          <w:bCs/>
          <w:color w:val="auto"/>
          <w:sz w:val="24"/>
          <w:szCs w:val="24"/>
          <w:highlight w:val="none"/>
          <w:lang w:val="en-US" w:eastAsia="zh-CN"/>
        </w:rPr>
        <w:t>第一部分</w:t>
      </w:r>
      <w:r>
        <w:rPr>
          <w:rFonts w:hint="eastAsia" w:ascii="宋体" w:hAnsi="宋体" w:eastAsia="宋体" w:cs="宋体"/>
          <w:b/>
          <w:bCs/>
          <w:color w:val="auto"/>
          <w:sz w:val="24"/>
          <w:szCs w:val="24"/>
          <w:highlight w:val="none"/>
          <w:lang w:val="en-US" w:eastAsia="zh-CN"/>
        </w:rPr>
        <w:t>、资格证明文件</w:t>
      </w: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pStyle w:val="2"/>
        <w:numPr>
          <w:ilvl w:val="0"/>
          <w:numId w:val="3"/>
        </w:num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符合性证明文件</w:t>
      </w: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pStyle w:val="2"/>
        <w:numPr>
          <w:ilvl w:val="0"/>
          <w:numId w:val="3"/>
        </w:numPr>
        <w:ind w:left="0"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响应方案</w:t>
      </w: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numPr>
          <w:ilvl w:val="0"/>
          <w:numId w:val="0"/>
        </w:numPr>
        <w:spacing w:line="480" w:lineRule="auto"/>
        <w:ind w:leftChars="0"/>
        <w:jc w:val="left"/>
        <w:rPr>
          <w:rFonts w:hint="eastAsia" w:ascii="宋体" w:hAnsi="宋体" w:eastAsia="宋体" w:cs="宋体"/>
          <w:b w:val="0"/>
          <w:bCs w:val="0"/>
          <w:color w:val="auto"/>
          <w:sz w:val="24"/>
          <w:szCs w:val="24"/>
          <w:highlight w:val="none"/>
          <w:lang w:val="en-US" w:eastAsia="zh-CN"/>
        </w:rPr>
      </w:pPr>
    </w:p>
    <w:p>
      <w:pPr>
        <w:numPr>
          <w:ilvl w:val="0"/>
          <w:numId w:val="0"/>
        </w:numPr>
        <w:spacing w:line="480" w:lineRule="auto"/>
        <w:ind w:leftChars="0"/>
        <w:jc w:val="left"/>
        <w:rPr>
          <w:rFonts w:hint="eastAsia" w:ascii="宋体" w:hAnsi="宋体" w:eastAsia="宋体" w:cs="宋体"/>
          <w:b w:val="0"/>
          <w:bCs w:val="0"/>
          <w:color w:val="auto"/>
          <w:sz w:val="24"/>
          <w:szCs w:val="24"/>
          <w:highlight w:val="none"/>
          <w:lang w:val="en-US" w:eastAsia="zh-CN"/>
        </w:rPr>
      </w:pPr>
    </w:p>
    <w:p>
      <w:pPr>
        <w:pStyle w:val="2"/>
        <w:jc w:val="center"/>
        <w:rPr>
          <w:rFonts w:hint="default"/>
          <w:highlight w:val="none"/>
          <w:lang w:val="en-US" w:eastAsia="zh-CN"/>
        </w:rPr>
      </w:pPr>
      <w:r>
        <w:rPr>
          <w:rFonts w:hint="eastAsia" w:ascii="宋体" w:hAnsi="宋体" w:eastAsia="宋体" w:cs="宋体"/>
          <w:b w:val="0"/>
          <w:bCs w:val="0"/>
          <w:color w:val="auto"/>
          <w:sz w:val="24"/>
          <w:szCs w:val="24"/>
          <w:highlight w:val="none"/>
          <w:lang w:val="en-US" w:eastAsia="zh-CN"/>
        </w:rPr>
        <w:t>详细格式自拟</w:t>
      </w:r>
    </w:p>
    <w:p>
      <w:pP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br w:type="page"/>
      </w:r>
    </w:p>
    <w:bookmarkEnd w:id="209"/>
    <w:p>
      <w:pPr>
        <w:jc w:val="center"/>
        <w:rPr>
          <w:rFonts w:hint="eastAsia" w:ascii="宋体" w:hAnsi="宋体" w:eastAsia="宋体" w:cs="宋体"/>
          <w:b/>
          <w:bCs/>
          <w:color w:val="auto"/>
          <w:sz w:val="24"/>
          <w:szCs w:val="24"/>
          <w:highlight w:val="none"/>
          <w:lang w:val="en-US" w:eastAsia="zh-CN"/>
        </w:rPr>
      </w:pPr>
      <w:bookmarkStart w:id="210" w:name="OLE_LINK87"/>
      <w:bookmarkStart w:id="211" w:name="_Toc15318"/>
      <w:bookmarkStart w:id="212" w:name="_Toc22423"/>
      <w:bookmarkStart w:id="213" w:name="_Toc15340"/>
      <w:bookmarkStart w:id="214" w:name="_Toc4223"/>
      <w:bookmarkStart w:id="215" w:name="_Toc39"/>
      <w:bookmarkStart w:id="216" w:name="_Toc5388"/>
      <w:bookmarkStart w:id="217" w:name="_Toc193126882"/>
      <w:bookmarkStart w:id="218" w:name="_Toc193187098"/>
      <w:bookmarkStart w:id="219" w:name="_Toc188808834"/>
      <w:bookmarkStart w:id="220" w:name="_Toc194663919"/>
      <w:r>
        <w:rPr>
          <w:rFonts w:hint="eastAsia" w:ascii="宋体" w:hAnsi="宋体" w:cs="宋体"/>
          <w:b/>
          <w:bCs/>
          <w:color w:val="auto"/>
          <w:sz w:val="24"/>
          <w:szCs w:val="24"/>
          <w:highlight w:val="none"/>
          <w:lang w:val="en-US" w:eastAsia="zh-CN"/>
        </w:rPr>
        <w:t>第一部分</w:t>
      </w:r>
      <w:r>
        <w:rPr>
          <w:rFonts w:hint="eastAsia" w:ascii="宋体" w:hAnsi="宋体" w:eastAsia="宋体" w:cs="宋体"/>
          <w:b/>
          <w:bCs/>
          <w:color w:val="auto"/>
          <w:sz w:val="24"/>
          <w:szCs w:val="24"/>
          <w:highlight w:val="none"/>
          <w:lang w:val="en-US" w:eastAsia="zh-CN"/>
        </w:rPr>
        <w:t>、资格证明文件</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Times New Roman"/>
          <w:b w:val="0"/>
          <w:kern w:val="2"/>
          <w:sz w:val="24"/>
          <w:szCs w:val="24"/>
          <w:highlight w:val="none"/>
          <w:lang w:val="en-US" w:eastAsia="zh-CN" w:bidi="ar-SA"/>
        </w:rPr>
      </w:pPr>
      <w:bookmarkStart w:id="221" w:name="OLE_LINK15"/>
      <w:r>
        <w:rPr>
          <w:rFonts w:hint="eastAsia" w:ascii="宋体" w:hAnsi="宋体" w:eastAsia="宋体" w:cs="Times New Roman"/>
          <w:b w:val="0"/>
          <w:kern w:val="2"/>
          <w:sz w:val="24"/>
          <w:szCs w:val="24"/>
          <w:highlight w:val="none"/>
          <w:lang w:val="en-US" w:eastAsia="zh-CN" w:bidi="ar-SA"/>
        </w:rPr>
        <w:t>（1）</w:t>
      </w:r>
      <w:bookmarkEnd w:id="221"/>
      <w:r>
        <w:rPr>
          <w:rFonts w:hint="eastAsia" w:ascii="宋体" w:hAnsi="宋体" w:eastAsia="宋体" w:cs="Times New Roman"/>
          <w:b w:val="0"/>
          <w:kern w:val="2"/>
          <w:sz w:val="24"/>
          <w:szCs w:val="24"/>
          <w:highlight w:val="none"/>
          <w:lang w:val="en-US" w:eastAsia="zh-CN" w:bidi="ar-SA"/>
        </w:rPr>
        <w:t>供应商具有独立承担民事责任的能力，提供统一社会信用代码的营业执照；</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2</w:t>
      </w:r>
      <w:r>
        <w:rPr>
          <w:rFonts w:hint="eastAsia" w:ascii="宋体" w:hAnsi="宋体" w:eastAsia="宋体" w:cs="Times New Roman"/>
          <w:b w:val="0"/>
          <w:kern w:val="2"/>
          <w:sz w:val="24"/>
          <w:szCs w:val="24"/>
          <w:highlight w:val="none"/>
          <w:lang w:val="en-US" w:eastAsia="zh-CN" w:bidi="ar-SA"/>
        </w:rPr>
        <w:t>）供应商须具备工程设计水利行业乙级(含乙级)以上资质或工程设计水利行业城市防洪专业乙级(含乙级)以上资质，拟派项目负责人须具备相关专业中级（含中级）以上技术职称。</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3</w:t>
      </w:r>
      <w:r>
        <w:rPr>
          <w:rFonts w:hint="eastAsia" w:ascii="宋体" w:hAnsi="宋体" w:eastAsia="宋体" w:cs="Times New Roman"/>
          <w:b w:val="0"/>
          <w:kern w:val="2"/>
          <w:sz w:val="24"/>
          <w:szCs w:val="24"/>
          <w:highlight w:val="none"/>
          <w:lang w:val="en-US" w:eastAsia="zh-CN" w:bidi="ar-SA"/>
        </w:rPr>
        <w:t>）税收缴纳证明：提供2024年5月至今已缴纳的至少3个月的完税证明或纳税证明（任意税种），依法免税的单位应提供相关证明材料；</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4</w:t>
      </w:r>
      <w:r>
        <w:rPr>
          <w:rFonts w:hint="eastAsia" w:ascii="宋体" w:hAnsi="宋体" w:eastAsia="宋体" w:cs="Times New Roman"/>
          <w:b w:val="0"/>
          <w:kern w:val="2"/>
          <w:sz w:val="24"/>
          <w:szCs w:val="24"/>
          <w:highlight w:val="none"/>
          <w:lang w:val="en-US" w:eastAsia="zh-CN" w:bidi="ar-SA"/>
        </w:rPr>
        <w:t>）社会保障资金缴纳证明：提供2024年5月至今已缴存的至少3个月的社会保障资金缴存单据或社保机构开具的社会保险参保缴费情况证明，依法不需要缴纳社会保障资金的单位应提供相关证明材料；</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5</w:t>
      </w:r>
      <w:r>
        <w:rPr>
          <w:rFonts w:hint="eastAsia" w:ascii="宋体" w:hAnsi="宋体" w:eastAsia="宋体" w:cs="Times New Roman"/>
          <w:b w:val="0"/>
          <w:kern w:val="2"/>
          <w:sz w:val="24"/>
          <w:szCs w:val="24"/>
          <w:highlight w:val="none"/>
          <w:lang w:val="en-US" w:eastAsia="zh-CN" w:bidi="ar-SA"/>
        </w:rPr>
        <w:t>）财务状况报告：提供2023年度或2024年度经审计的财务报告或提供响应文件截止时间3个月内其基本账户开户银行出具的资信证明；</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6</w:t>
      </w:r>
      <w:r>
        <w:rPr>
          <w:rFonts w:hint="eastAsia" w:ascii="宋体" w:hAnsi="宋体" w:eastAsia="宋体" w:cs="Times New Roman"/>
          <w:b w:val="0"/>
          <w:kern w:val="2"/>
          <w:sz w:val="24"/>
          <w:szCs w:val="24"/>
          <w:highlight w:val="none"/>
          <w:lang w:val="en-US" w:eastAsia="zh-CN" w:bidi="ar-SA"/>
        </w:rPr>
        <w:t>）参加本次政府采购活动近三年内在经营活动中没有重大违纪的书面声明；</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7</w:t>
      </w:r>
      <w:r>
        <w:rPr>
          <w:rFonts w:hint="eastAsia" w:ascii="宋体" w:hAnsi="宋体" w:eastAsia="宋体" w:cs="Times New Roman"/>
          <w:b w:val="0"/>
          <w:kern w:val="2"/>
          <w:sz w:val="24"/>
          <w:szCs w:val="24"/>
          <w:highlight w:val="none"/>
          <w:lang w:val="en-US" w:eastAsia="zh-CN" w:bidi="ar-SA"/>
        </w:rPr>
        <w:t>）单位负责人为同一人或者存在直接控股、管理关系的不同投标人，不得参加同一合同项下的政府采购活动；</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8</w:t>
      </w:r>
      <w:r>
        <w:rPr>
          <w:rFonts w:hint="eastAsia" w:ascii="宋体" w:hAnsi="宋体" w:eastAsia="宋体" w:cs="Times New Roman"/>
          <w:b w:val="0"/>
          <w:kern w:val="2"/>
          <w:sz w:val="24"/>
          <w:szCs w:val="24"/>
          <w:highlight w:val="none"/>
          <w:lang w:val="en-US" w:eastAsia="zh-CN" w:bidi="ar-SA"/>
        </w:rPr>
        <w:t>）供应商不得为：“信用中国”网站（www.creditchina.gov.cn）中列入失信被执行人和重大税收违法失信主体的当事人，不得为中国政府采购网（www.ccgp.gov.cn）政府采购严重违法失信行为记录名单中被财政部门禁止参加政府采购活动的当事人，近三年（2022年6月1日至今）不得有行贿犯罪行为；</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w:t>
      </w:r>
      <w:r>
        <w:rPr>
          <w:rFonts w:hint="eastAsia" w:ascii="宋体" w:hAnsi="宋体" w:cs="Times New Roman"/>
          <w:b w:val="0"/>
          <w:kern w:val="2"/>
          <w:sz w:val="24"/>
          <w:szCs w:val="24"/>
          <w:highlight w:val="none"/>
          <w:lang w:val="en-US" w:eastAsia="zh-CN" w:bidi="ar-SA"/>
        </w:rPr>
        <w:t>9</w:t>
      </w:r>
      <w:r>
        <w:rPr>
          <w:rFonts w:hint="eastAsia" w:ascii="宋体" w:hAnsi="宋体" w:eastAsia="宋体" w:cs="Times New Roman"/>
          <w:b w:val="0"/>
          <w:kern w:val="2"/>
          <w:sz w:val="24"/>
          <w:szCs w:val="24"/>
          <w:highlight w:val="none"/>
          <w:lang w:val="en-US" w:eastAsia="zh-CN" w:bidi="ar-SA"/>
        </w:rPr>
        <w:t>）提供具有履行本项目合同所必需的技术设备和专业能力的承诺书。</w:t>
      </w:r>
      <w:r>
        <w:rPr>
          <w:rFonts w:hint="eastAsia" w:ascii="宋体" w:hAnsi="宋体" w:eastAsia="宋体" w:cs="Times New Roman"/>
          <w:b w:val="0"/>
          <w:kern w:val="2"/>
          <w:sz w:val="24"/>
          <w:szCs w:val="24"/>
          <w:highlight w:val="none"/>
          <w:lang w:val="en-US" w:eastAsia="zh-CN" w:bidi="ar-SA"/>
        </w:rPr>
        <w:br w:type="textWrapping"/>
      </w:r>
      <w:r>
        <w:rPr>
          <w:rFonts w:hint="eastAsia" w:ascii="宋体" w:hAnsi="宋体" w:eastAsia="宋体" w:cs="Times New Roman"/>
          <w:b w:val="0"/>
          <w:kern w:val="2"/>
          <w:sz w:val="24"/>
          <w:szCs w:val="24"/>
          <w:highlight w:val="none"/>
          <w:lang w:val="en-US" w:eastAsia="zh-CN" w:bidi="ar-SA"/>
        </w:rPr>
        <w:t>（1</w:t>
      </w:r>
      <w:r>
        <w:rPr>
          <w:rFonts w:hint="eastAsia" w:ascii="宋体" w:hAnsi="宋体" w:cs="Times New Roman"/>
          <w:b w:val="0"/>
          <w:kern w:val="2"/>
          <w:sz w:val="24"/>
          <w:szCs w:val="24"/>
          <w:highlight w:val="none"/>
          <w:lang w:val="en-US" w:eastAsia="zh-CN" w:bidi="ar-SA"/>
        </w:rPr>
        <w:t>0</w:t>
      </w:r>
      <w:r>
        <w:rPr>
          <w:rFonts w:hint="eastAsia" w:ascii="宋体" w:hAnsi="宋体" w:eastAsia="宋体" w:cs="Times New Roman"/>
          <w:b w:val="0"/>
          <w:kern w:val="2"/>
          <w:sz w:val="24"/>
          <w:szCs w:val="24"/>
          <w:highlight w:val="none"/>
          <w:lang w:val="en-US" w:eastAsia="zh-CN" w:bidi="ar-SA"/>
        </w:rPr>
        <w:t>）供应商应授权合法的人员参加投标全过程，其中法定代表人直接参加投标的，须出具法人身份证明，并与营业执照上信息一致，法定代表人授权代表参加投标的，须出具法定代表人授权书及授权代表身份证明。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b w:val="0"/>
          <w:kern w:val="2"/>
          <w:sz w:val="24"/>
          <w:szCs w:val="24"/>
          <w:highlight w:val="none"/>
          <w:lang w:val="en-US" w:eastAsia="zh-CN" w:bidi="ar-SA"/>
        </w:rPr>
      </w:pPr>
      <w:r>
        <w:rPr>
          <w:rFonts w:hint="eastAsia" w:ascii="宋体" w:hAnsi="宋体" w:eastAsia="宋体" w:cs="Times New Roman"/>
          <w:b w:val="0"/>
          <w:kern w:val="2"/>
          <w:sz w:val="24"/>
          <w:szCs w:val="24"/>
          <w:highlight w:val="none"/>
          <w:lang w:val="en-US" w:eastAsia="zh-CN" w:bidi="ar-SA"/>
        </w:rPr>
        <w:t>（1</w:t>
      </w:r>
      <w:r>
        <w:rPr>
          <w:rFonts w:hint="eastAsia" w:ascii="宋体" w:hAnsi="宋体" w:cs="Times New Roman"/>
          <w:b w:val="0"/>
          <w:kern w:val="2"/>
          <w:sz w:val="24"/>
          <w:szCs w:val="24"/>
          <w:highlight w:val="none"/>
          <w:lang w:val="en-US" w:eastAsia="zh-CN" w:bidi="ar-SA"/>
        </w:rPr>
        <w:t>1</w:t>
      </w:r>
      <w:r>
        <w:rPr>
          <w:rFonts w:hint="eastAsia" w:ascii="宋体" w:hAnsi="宋体" w:eastAsia="宋体" w:cs="Times New Roman"/>
          <w:b w:val="0"/>
          <w:kern w:val="2"/>
          <w:sz w:val="24"/>
          <w:szCs w:val="24"/>
          <w:highlight w:val="none"/>
          <w:lang w:val="en-US" w:eastAsia="zh-CN" w:bidi="ar-SA"/>
        </w:rPr>
        <w:t>）提供交纳磋商保证金凭证</w:t>
      </w:r>
      <w:bookmarkStart w:id="222" w:name="OLE_LINK17"/>
      <w:r>
        <w:rPr>
          <w:rFonts w:hint="eastAsia" w:ascii="宋体" w:hAnsi="宋体" w:cs="Times New Roman"/>
          <w:b w:val="0"/>
          <w:kern w:val="2"/>
          <w:sz w:val="24"/>
          <w:szCs w:val="24"/>
          <w:highlight w:val="none"/>
          <w:lang w:val="en-US" w:eastAsia="zh-CN" w:bidi="ar-SA"/>
        </w:rPr>
        <w:t>（</w:t>
      </w:r>
      <w:r>
        <w:rPr>
          <w:rFonts w:hint="eastAsia" w:ascii="宋体" w:hAnsi="宋体" w:eastAsia="宋体" w:cs="Times New Roman"/>
          <w:b w:val="0"/>
          <w:kern w:val="2"/>
          <w:sz w:val="24"/>
          <w:szCs w:val="24"/>
          <w:highlight w:val="none"/>
          <w:lang w:val="en-US" w:eastAsia="zh-CN" w:bidi="ar-SA"/>
        </w:rPr>
        <w:t>基本账户开户证明或基本存款账户信息</w:t>
      </w:r>
      <w:r>
        <w:rPr>
          <w:rFonts w:hint="eastAsia" w:ascii="宋体" w:hAnsi="宋体" w:cs="Times New Roman"/>
          <w:b w:val="0"/>
          <w:kern w:val="2"/>
          <w:sz w:val="24"/>
          <w:szCs w:val="24"/>
          <w:highlight w:val="none"/>
          <w:lang w:val="en-US" w:eastAsia="zh-CN" w:bidi="ar-SA"/>
        </w:rPr>
        <w:t>）</w:t>
      </w:r>
      <w:bookmarkEnd w:id="222"/>
      <w:r>
        <w:rPr>
          <w:rFonts w:hint="eastAsia" w:ascii="宋体" w:hAnsi="宋体" w:cs="Times New Roman"/>
          <w:b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b w:val="0"/>
          <w:kern w:val="2"/>
          <w:sz w:val="24"/>
          <w:szCs w:val="24"/>
          <w:highlight w:val="none"/>
          <w:lang w:val="en-US" w:eastAsia="zh-CN" w:bidi="ar-SA"/>
        </w:rPr>
      </w:pPr>
      <w:r>
        <w:rPr>
          <w:rFonts w:hint="eastAsia" w:ascii="宋体" w:hAnsi="宋体" w:eastAsia="宋体" w:cs="Times New Roman"/>
          <w:b w:val="0"/>
          <w:kern w:val="2"/>
          <w:sz w:val="24"/>
          <w:szCs w:val="24"/>
          <w:highlight w:val="none"/>
          <w:lang w:val="en-US" w:eastAsia="zh-CN" w:bidi="ar-SA"/>
        </w:rPr>
        <w:t>（1</w:t>
      </w:r>
      <w:r>
        <w:rPr>
          <w:rFonts w:hint="eastAsia" w:ascii="宋体" w:hAnsi="宋体" w:cs="Times New Roman"/>
          <w:b w:val="0"/>
          <w:kern w:val="2"/>
          <w:sz w:val="24"/>
          <w:szCs w:val="24"/>
          <w:highlight w:val="none"/>
          <w:lang w:val="en-US" w:eastAsia="zh-CN" w:bidi="ar-SA"/>
        </w:rPr>
        <w:t>2</w:t>
      </w:r>
      <w:r>
        <w:rPr>
          <w:rFonts w:hint="eastAsia" w:ascii="宋体" w:hAnsi="宋体" w:eastAsia="宋体" w:cs="Times New Roman"/>
          <w:b w:val="0"/>
          <w:kern w:val="2"/>
          <w:sz w:val="24"/>
          <w:szCs w:val="24"/>
          <w:highlight w:val="none"/>
          <w:lang w:val="en-US" w:eastAsia="zh-CN" w:bidi="ar-SA"/>
        </w:rPr>
        <w:t>）本项目不接受联合体（承诺书）。</w:t>
      </w:r>
    </w:p>
    <w:p>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响应文件中应附一套完整的资格证明材料，缺少一项或某项达不到</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文件要求的按无效响应文件处理，复印件加盖供应商单位公章</w:t>
      </w:r>
      <w:r>
        <w:rPr>
          <w:rFonts w:hint="eastAsia" w:ascii="宋体" w:hAnsi="宋体" w:cs="宋体"/>
          <w:b/>
          <w:bCs/>
          <w:color w:val="auto"/>
          <w:sz w:val="24"/>
          <w:szCs w:val="24"/>
          <w:highlight w:val="none"/>
          <w:lang w:eastAsia="zh-CN"/>
        </w:rPr>
        <w:t>。</w:t>
      </w:r>
    </w:p>
    <w:p>
      <w:pPr>
        <w:rPr>
          <w:rFonts w:hint="eastAsia" w:ascii="宋体" w:hAnsi="宋体" w:eastAsia="宋体" w:cs="宋体"/>
          <w:bCs/>
          <w:caps/>
          <w:color w:val="auto"/>
          <w:sz w:val="24"/>
          <w:szCs w:val="24"/>
          <w:highlight w:val="none"/>
          <w:lang w:val="en-US" w:eastAsia="zh-CN"/>
        </w:rPr>
      </w:pPr>
      <w:r>
        <w:rPr>
          <w:rFonts w:hint="eastAsia" w:ascii="宋体" w:hAnsi="宋体" w:eastAsia="宋体" w:cs="宋体"/>
          <w:bCs/>
          <w:caps/>
          <w:color w:val="auto"/>
          <w:sz w:val="24"/>
          <w:szCs w:val="24"/>
          <w:highlight w:val="none"/>
          <w:lang w:val="en-US" w:eastAsia="zh-CN"/>
        </w:rPr>
        <w:br w:type="page"/>
      </w:r>
    </w:p>
    <w:p>
      <w:pPr>
        <w:numPr>
          <w:ilvl w:val="0"/>
          <w:numId w:val="0"/>
        </w:numPr>
        <w:ind w:leftChars="0"/>
        <w:jc w:val="both"/>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附件1：</w:t>
      </w:r>
    </w:p>
    <w:p>
      <w:pPr>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法定代表人身份证明书或法定代表人授权委托书</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w:t>
      </w:r>
    </w:p>
    <w:p>
      <w:pPr>
        <w:snapToGrid w:val="0"/>
        <w:spacing w:line="480" w:lineRule="auto"/>
        <w:rPr>
          <w:rFonts w:hint="eastAsia" w:ascii="宋体" w:hAnsi="宋体" w:eastAsia="宋体" w:cs="宋体"/>
          <w:color w:val="auto"/>
          <w:sz w:val="24"/>
          <w:szCs w:val="24"/>
          <w:highlight w:val="none"/>
        </w:rPr>
      </w:pP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（供应商名称）的法定代表人。</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pPr>
        <w:snapToGrid w:val="0"/>
        <w:spacing w:line="480" w:lineRule="auto"/>
        <w:rPr>
          <w:rFonts w:hint="eastAsia" w:ascii="宋体" w:hAnsi="宋体" w:eastAsia="宋体" w:cs="宋体"/>
          <w:color w:val="auto"/>
          <w:sz w:val="24"/>
          <w:szCs w:val="24"/>
          <w:highlight w:val="none"/>
        </w:rPr>
      </w:pPr>
    </w:p>
    <w:tbl>
      <w:tblPr>
        <w:tblStyle w:val="3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036" w:type="dxa"/>
            <w:noWrap w:val="0"/>
            <w:vAlign w:val="center"/>
          </w:tcPr>
          <w:p>
            <w:pPr>
              <w:snapToGrid w:val="0"/>
              <w:spacing w:line="480" w:lineRule="auto"/>
              <w:jc w:val="center"/>
              <w:rPr>
                <w:rFonts w:hint="eastAsia" w:ascii="宋体" w:hAnsi="宋体" w:eastAsia="宋体" w:cs="宋体"/>
                <w:color w:val="auto"/>
                <w:sz w:val="24"/>
                <w:szCs w:val="24"/>
                <w:highlight w:val="none"/>
              </w:rPr>
            </w:pPr>
          </w:p>
          <w:p>
            <w:pPr>
              <w:snapToGrid w:val="0"/>
              <w:spacing w:line="480" w:lineRule="auto"/>
              <w:jc w:val="center"/>
              <w:rPr>
                <w:rFonts w:hint="eastAsia" w:ascii="宋体" w:hAnsi="宋体" w:eastAsia="宋体" w:cs="宋体"/>
                <w:color w:val="auto"/>
                <w:sz w:val="24"/>
                <w:szCs w:val="24"/>
                <w:highlight w:val="none"/>
              </w:rPr>
            </w:pPr>
          </w:p>
          <w:p>
            <w:pPr>
              <w:autoSpaceDE w:val="0"/>
              <w:autoSpaceDN w:val="0"/>
              <w:adjustRightInd w:val="0"/>
              <w:snapToGrid w:val="0"/>
              <w:spacing w:before="120" w:beforeLines="5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法定代表人身份证正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反面复印件</w:t>
            </w:r>
          </w:p>
          <w:p>
            <w:pPr>
              <w:snapToGrid w:val="0"/>
              <w:spacing w:line="480" w:lineRule="auto"/>
              <w:jc w:val="center"/>
              <w:rPr>
                <w:rFonts w:hint="eastAsia" w:ascii="宋体" w:hAnsi="宋体" w:eastAsia="宋体" w:cs="宋体"/>
                <w:color w:val="auto"/>
                <w:sz w:val="24"/>
                <w:szCs w:val="24"/>
                <w:highlight w:val="none"/>
              </w:rPr>
            </w:pPr>
          </w:p>
          <w:p>
            <w:pPr>
              <w:snapToGrid w:val="0"/>
              <w:spacing w:line="480" w:lineRule="auto"/>
              <w:jc w:val="center"/>
              <w:rPr>
                <w:rFonts w:hint="eastAsia" w:ascii="宋体" w:hAnsi="宋体" w:eastAsia="宋体" w:cs="宋体"/>
                <w:color w:val="auto"/>
                <w:sz w:val="24"/>
                <w:szCs w:val="24"/>
                <w:highlight w:val="none"/>
              </w:rPr>
            </w:pPr>
          </w:p>
        </w:tc>
      </w:tr>
    </w:tbl>
    <w:p>
      <w:pPr>
        <w:snapToGrid w:val="0"/>
        <w:spacing w:line="480" w:lineRule="auto"/>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ind w:right="420"/>
        <w:rPr>
          <w:rFonts w:hint="eastAsia" w:ascii="宋体" w:hAnsi="宋体" w:eastAsia="宋体" w:cs="宋体"/>
          <w:color w:val="auto"/>
          <w:sz w:val="24"/>
          <w:szCs w:val="24"/>
          <w:highlight w:val="none"/>
        </w:rPr>
      </w:pPr>
    </w:p>
    <w:p>
      <w:pPr>
        <w:adjustRightInd w:val="0"/>
        <w:snapToGrid w:val="0"/>
        <w:spacing w:line="360" w:lineRule="auto"/>
        <w:ind w:left="0" w:leftChars="0" w:right="420" w:firstLine="0" w:firstLineChars="0"/>
        <w:rPr>
          <w:rFonts w:hint="eastAsia" w:ascii="宋体" w:hAnsi="宋体" w:eastAsia="宋体" w:cs="宋体"/>
          <w:color w:val="auto"/>
          <w:sz w:val="24"/>
          <w:szCs w:val="24"/>
          <w:highlight w:val="none"/>
        </w:rPr>
      </w:pPr>
    </w:p>
    <w:p>
      <w:pPr>
        <w:adjustRightInd w:val="0"/>
        <w:snapToGrid w:val="0"/>
        <w:spacing w:line="360" w:lineRule="auto"/>
        <w:ind w:left="0" w:leftChars="0" w:right="420" w:firstLine="0" w:firstLineChars="0"/>
        <w:rPr>
          <w:rFonts w:hint="eastAsia" w:ascii="宋体" w:hAnsi="宋体" w:eastAsia="宋体" w:cs="宋体"/>
          <w:color w:val="auto"/>
          <w:sz w:val="24"/>
          <w:szCs w:val="24"/>
          <w:highlight w:val="none"/>
        </w:rPr>
      </w:pPr>
    </w:p>
    <w:p>
      <w:pPr>
        <w:adjustRightInd w:val="0"/>
        <w:snapToGrid w:val="0"/>
        <w:spacing w:line="360" w:lineRule="auto"/>
        <w:ind w:right="420" w:firstLine="3720" w:firstLineChars="1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adjustRightInd w:val="0"/>
        <w:snapToGrid w:val="0"/>
        <w:spacing w:line="360" w:lineRule="auto"/>
        <w:ind w:right="420" w:firstLine="5520" w:firstLineChars="2300"/>
        <w:rPr>
          <w:rFonts w:hint="eastAsia" w:ascii="宋体" w:hAnsi="宋体" w:eastAsia="宋体" w:cs="宋体"/>
          <w:color w:val="auto"/>
          <w:sz w:val="24"/>
          <w:szCs w:val="24"/>
          <w:highlight w:val="none"/>
        </w:rPr>
      </w:pPr>
    </w:p>
    <w:p>
      <w:pPr>
        <w:spacing w:line="240" w:lineRule="auto"/>
        <w:ind w:firstLine="3840" w:firstLineChars="16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adjustRightInd w:val="0"/>
        <w:snapToGrid w:val="0"/>
        <w:spacing w:line="360" w:lineRule="auto"/>
        <w:ind w:right="420" w:firstLine="4860" w:firstLineChars="2025"/>
        <w:rPr>
          <w:rFonts w:hint="eastAsia" w:ascii="宋体" w:hAnsi="宋体" w:eastAsia="宋体" w:cs="宋体"/>
          <w:color w:val="auto"/>
          <w:sz w:val="24"/>
          <w:szCs w:val="24"/>
          <w:highlight w:val="none"/>
        </w:rPr>
      </w:pPr>
    </w:p>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pPr>
        <w:spacing w:before="240" w:beforeLines="10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（姓名）系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（供应商名称）的法定代表人（单位负责人），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现委托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（姓名）为我方代理人。代理人根据授权，以我方的名义签署、澄清确认、递交、撤回、修改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（采购项目）响应文件、签订合同和全权处理一切与之有关的事宜，</w:t>
      </w:r>
      <w:r>
        <w:rPr>
          <w:rFonts w:hint="eastAsia" w:ascii="宋体" w:hAnsi="宋体" w:eastAsia="宋体" w:cs="宋体"/>
          <w:color w:val="auto"/>
          <w:kern w:val="0"/>
          <w:sz w:val="24"/>
          <w:szCs w:val="24"/>
          <w:highlight w:val="none"/>
        </w:rPr>
        <w:t>其法律后果由我方承担。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委托期限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响应截止之日起90日历天</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代理人无转委托权。</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附：法定代表人（单位负责人）身份证复印件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委托代理人身份证复印件</w:t>
      </w:r>
    </w:p>
    <w:tbl>
      <w:tblPr>
        <w:tblStyle w:val="3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0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96" w:hRule="atLeast"/>
          <w:jc w:val="center"/>
        </w:trPr>
        <w:tc>
          <w:tcPr>
            <w:tcW w:w="8060" w:type="dxa"/>
            <w:tcBorders>
              <w:top w:val="double" w:color="auto" w:sz="4" w:space="0"/>
              <w:left w:val="double" w:color="auto" w:sz="4" w:space="0"/>
              <w:bottom w:val="double" w:color="auto" w:sz="4" w:space="0"/>
              <w:right w:val="double" w:color="auto" w:sz="4" w:space="0"/>
            </w:tcBorders>
            <w:noWrap w:val="0"/>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w:t>
            </w:r>
            <w:r>
              <w:rPr>
                <w:rFonts w:hint="eastAsia" w:ascii="宋体" w:hAnsi="宋体" w:eastAsia="宋体" w:cs="宋体"/>
                <w:color w:val="auto"/>
                <w:sz w:val="24"/>
                <w:szCs w:val="24"/>
                <w:highlight w:val="none"/>
              </w:rPr>
              <w:t>面）</w:t>
            </w:r>
          </w:p>
          <w:p>
            <w:pPr>
              <w:adjustRightInd w:val="0"/>
              <w:snapToGrid w:val="0"/>
              <w:rPr>
                <w:rFonts w:hint="eastAsia" w:ascii="宋体" w:hAnsi="宋体" w:eastAsia="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23" w:hRule="atLeast"/>
          <w:jc w:val="center"/>
        </w:trPr>
        <w:tc>
          <w:tcPr>
            <w:tcW w:w="8060" w:type="dxa"/>
            <w:tcBorders>
              <w:top w:val="double" w:color="auto" w:sz="4" w:space="0"/>
              <w:left w:val="double" w:color="auto" w:sz="4" w:space="0"/>
              <w:bottom w:val="double" w:color="auto" w:sz="4" w:space="0"/>
              <w:right w:val="double" w:color="auto" w:sz="4" w:space="0"/>
            </w:tcBorders>
            <w:noWrap w:val="0"/>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w:t>
            </w:r>
            <w:r>
              <w:rPr>
                <w:rFonts w:hint="eastAsia" w:ascii="宋体" w:hAnsi="宋体" w:eastAsia="宋体" w:cs="宋体"/>
                <w:color w:val="auto"/>
                <w:sz w:val="24"/>
                <w:szCs w:val="24"/>
                <w:highlight w:val="none"/>
              </w:rPr>
              <w:t>面）</w:t>
            </w:r>
          </w:p>
          <w:p>
            <w:pPr>
              <w:adjustRightInd w:val="0"/>
              <w:snapToGrid w:val="0"/>
              <w:rPr>
                <w:rFonts w:hint="eastAsia" w:ascii="宋体" w:hAnsi="宋体" w:eastAsia="宋体" w:cs="宋体"/>
                <w:color w:val="auto"/>
                <w:sz w:val="24"/>
                <w:szCs w:val="24"/>
                <w:highlight w:val="none"/>
              </w:rPr>
            </w:pPr>
          </w:p>
        </w:tc>
      </w:tr>
    </w:tbl>
    <w:p>
      <w:pPr>
        <w:ind w:left="0" w:leftChars="0" w:firstLine="0" w:firstLineChars="0"/>
        <w:rPr>
          <w:rFonts w:hint="eastAsia" w:ascii="宋体" w:hAnsi="宋体" w:eastAsia="宋体" w:cs="宋体"/>
          <w:color w:val="auto"/>
          <w:sz w:val="24"/>
          <w:szCs w:val="24"/>
          <w:highlight w:val="none"/>
        </w:rPr>
      </w:pPr>
    </w:p>
    <w:p>
      <w:pPr>
        <w:spacing w:before="120" w:beforeLines="50" w:line="240" w:lineRule="auto"/>
        <w:ind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（盖单位章） </w:t>
      </w:r>
    </w:p>
    <w:p>
      <w:pPr>
        <w:spacing w:line="240" w:lineRule="auto"/>
        <w:rPr>
          <w:rFonts w:hint="eastAsia" w:ascii="宋体" w:hAnsi="宋体" w:eastAsia="宋体" w:cs="宋体"/>
          <w:color w:val="auto"/>
          <w:sz w:val="24"/>
          <w:szCs w:val="24"/>
          <w:highlight w:val="none"/>
        </w:rPr>
      </w:pPr>
    </w:p>
    <w:p>
      <w:pPr>
        <w:spacing w:line="240" w:lineRule="auto"/>
        <w:ind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法定代表人（单位负责人）: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（签名）</w:t>
      </w:r>
    </w:p>
    <w:p>
      <w:pPr>
        <w:spacing w:line="240" w:lineRule="auto"/>
        <w:rPr>
          <w:rFonts w:hint="eastAsia" w:ascii="宋体" w:hAnsi="宋体" w:eastAsia="宋体" w:cs="宋体"/>
          <w:color w:val="auto"/>
          <w:sz w:val="24"/>
          <w:szCs w:val="24"/>
          <w:highlight w:val="none"/>
        </w:rPr>
      </w:pPr>
    </w:p>
    <w:p>
      <w:pPr>
        <w:spacing w:line="240" w:lineRule="auto"/>
        <w:ind w:firstLine="3240" w:firstLineChars="13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rPr>
        <w:t xml:space="preserve">                        </w:t>
      </w:r>
    </w:p>
    <w:p>
      <w:pPr>
        <w:spacing w:line="240" w:lineRule="auto"/>
        <w:rPr>
          <w:rFonts w:hint="eastAsia" w:ascii="宋体" w:hAnsi="宋体" w:eastAsia="宋体" w:cs="宋体"/>
          <w:color w:val="auto"/>
          <w:sz w:val="24"/>
          <w:szCs w:val="24"/>
          <w:highlight w:val="none"/>
        </w:rPr>
      </w:pPr>
    </w:p>
    <w:p>
      <w:pPr>
        <w:spacing w:line="240" w:lineRule="auto"/>
        <w:ind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（签名）     </w:t>
      </w:r>
    </w:p>
    <w:p>
      <w:pPr>
        <w:spacing w:line="240" w:lineRule="auto"/>
        <w:jc w:val="left"/>
        <w:rPr>
          <w:rFonts w:hint="eastAsia" w:ascii="宋体" w:hAnsi="宋体" w:eastAsia="宋体" w:cs="宋体"/>
          <w:color w:val="auto"/>
          <w:sz w:val="24"/>
          <w:szCs w:val="24"/>
          <w:highlight w:val="none"/>
        </w:rPr>
      </w:pPr>
    </w:p>
    <w:p>
      <w:pPr>
        <w:spacing w:line="240" w:lineRule="auto"/>
        <w:ind w:firstLine="3240" w:firstLineChars="13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rPr>
        <w:t xml:space="preserve">                        </w:t>
      </w:r>
    </w:p>
    <w:p>
      <w:pPr>
        <w:spacing w:line="240" w:lineRule="auto"/>
        <w:rPr>
          <w:rFonts w:hint="eastAsia" w:ascii="宋体" w:hAnsi="宋体" w:eastAsia="宋体" w:cs="宋体"/>
          <w:color w:val="auto"/>
          <w:sz w:val="24"/>
          <w:szCs w:val="24"/>
          <w:highlight w:val="none"/>
        </w:rPr>
      </w:pPr>
    </w:p>
    <w:p>
      <w:pPr>
        <w:spacing w:line="240" w:lineRule="auto"/>
        <w:ind w:firstLine="3120" w:firstLineChars="1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授权委托日期：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numPr>
          <w:ilvl w:val="0"/>
          <w:numId w:val="0"/>
        </w:numPr>
        <w:bidi w:val="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p>
    <w:p>
      <w:pPr>
        <w:numPr>
          <w:ilvl w:val="0"/>
          <w:numId w:val="0"/>
        </w:numPr>
        <w:bidi w:val="0"/>
        <w:jc w:val="center"/>
        <w:outlineLvl w:val="0"/>
        <w:rPr>
          <w:rFonts w:hint="eastAsia" w:ascii="宋体" w:hAnsi="宋体" w:eastAsia="宋体" w:cs="宋体"/>
          <w:b/>
          <w:bCs/>
          <w:color w:val="auto"/>
          <w:sz w:val="24"/>
          <w:szCs w:val="24"/>
          <w:highlight w:val="none"/>
          <w:lang w:val="en-US" w:eastAsia="zh-CN"/>
        </w:rPr>
      </w:pPr>
      <w:bookmarkStart w:id="223" w:name="_Toc22278"/>
      <w:bookmarkStart w:id="224" w:name="_Toc13356"/>
      <w:r>
        <w:rPr>
          <w:rFonts w:hint="eastAsia" w:ascii="宋体" w:hAnsi="宋体" w:eastAsia="宋体" w:cs="宋体"/>
          <w:b/>
          <w:bCs/>
          <w:color w:val="auto"/>
          <w:sz w:val="24"/>
          <w:szCs w:val="24"/>
          <w:highlight w:val="none"/>
          <w:lang w:val="en-US" w:eastAsia="zh-CN"/>
        </w:rPr>
        <w:t>近三年无重大违法、违纪书面声明（格式）</w:t>
      </w:r>
      <w:bookmarkEnd w:id="223"/>
      <w:bookmarkEnd w:id="224"/>
    </w:p>
    <w:p>
      <w:pPr>
        <w:pStyle w:val="47"/>
        <w:rPr>
          <w:rFonts w:hint="eastAsia" w:ascii="宋体" w:hAnsi="宋体" w:eastAsia="宋体" w:cs="宋体"/>
          <w:color w:val="auto"/>
          <w:sz w:val="24"/>
          <w:szCs w:val="24"/>
          <w:highlight w:val="none"/>
          <w:lang w:val="en-US" w:eastAsia="zh-CN"/>
        </w:rPr>
      </w:pPr>
    </w:p>
    <w:p>
      <w:pPr>
        <w:numPr>
          <w:ilvl w:val="0"/>
          <w:numId w:val="0"/>
        </w:numPr>
        <w:bidi w:val="0"/>
        <w:jc w:val="center"/>
        <w:outlineLvl w:val="0"/>
        <w:rPr>
          <w:rFonts w:hint="eastAsia" w:ascii="宋体" w:hAnsi="宋体" w:eastAsia="宋体" w:cs="宋体"/>
          <w:b/>
          <w:bCs/>
          <w:color w:val="auto"/>
          <w:sz w:val="24"/>
          <w:szCs w:val="24"/>
          <w:highlight w:val="none"/>
          <w:lang w:val="en-US" w:eastAsia="zh-CN"/>
        </w:rPr>
      </w:pPr>
      <w:bookmarkStart w:id="225" w:name="_Toc3477"/>
      <w:bookmarkStart w:id="226" w:name="_Toc132"/>
      <w:r>
        <w:rPr>
          <w:rFonts w:hint="eastAsia" w:ascii="宋体" w:hAnsi="宋体" w:eastAsia="宋体" w:cs="宋体"/>
          <w:b/>
          <w:bCs/>
          <w:color w:val="auto"/>
          <w:sz w:val="24"/>
          <w:szCs w:val="24"/>
          <w:highlight w:val="none"/>
          <w:lang w:val="en-US" w:eastAsia="zh-CN"/>
        </w:rPr>
        <w:t>近三年无重大违法、违纪书面声明</w:t>
      </w:r>
      <w:bookmarkEnd w:id="225"/>
      <w:bookmarkEnd w:id="226"/>
    </w:p>
    <w:p>
      <w:pPr>
        <w:pStyle w:val="29"/>
        <w:rPr>
          <w:rFonts w:hint="eastAsia" w:ascii="宋体" w:hAnsi="宋体" w:eastAsia="宋体" w:cs="宋体"/>
          <w:color w:val="auto"/>
          <w:sz w:val="24"/>
          <w:szCs w:val="24"/>
          <w:highlight w:val="none"/>
          <w:lang w:val="en-US" w:eastAsia="zh-CN"/>
        </w:rPr>
      </w:pPr>
    </w:p>
    <w:p>
      <w:pPr>
        <w:spacing w:line="480" w:lineRule="exact"/>
        <w:ind w:left="0" w:leftChars="0" w:firstLine="0" w:firstLineChars="0"/>
        <w:outlineLvl w:val="0"/>
        <w:rPr>
          <w:rFonts w:hint="eastAsia" w:ascii="宋体" w:hAnsi="宋体" w:eastAsia="宋体" w:cs="宋体"/>
          <w:color w:val="auto"/>
          <w:sz w:val="24"/>
          <w:szCs w:val="24"/>
          <w:highlight w:val="none"/>
          <w:lang w:eastAsia="zh-CN"/>
        </w:rPr>
      </w:pPr>
      <w:bookmarkStart w:id="227" w:name="_Toc6967"/>
      <w:bookmarkStart w:id="228" w:name="_Toc15744"/>
      <w:r>
        <w:rPr>
          <w:rFonts w:hint="eastAsia" w:ascii="宋体" w:hAnsi="宋体" w:eastAsia="宋体" w:cs="宋体"/>
          <w:b/>
          <w:color w:val="auto"/>
          <w:sz w:val="24"/>
          <w:szCs w:val="24"/>
          <w:highlight w:val="none"/>
        </w:rPr>
        <w:t>致：</w:t>
      </w:r>
      <w:bookmarkEnd w:id="227"/>
      <w:r>
        <w:rPr>
          <w:rFonts w:hint="eastAsia" w:ascii="宋体" w:hAnsi="宋体" w:cs="宋体"/>
          <w:b/>
          <w:color w:val="auto"/>
          <w:sz w:val="24"/>
          <w:szCs w:val="24"/>
          <w:highlight w:val="none"/>
          <w:u w:val="single"/>
          <w:lang w:eastAsia="zh-CN"/>
        </w:rPr>
        <w:t>中智达项目管理有限公司</w:t>
      </w:r>
      <w:bookmarkEnd w:id="228"/>
      <w:r>
        <w:rPr>
          <w:rFonts w:hint="eastAsia" w:ascii="宋体" w:hAnsi="宋体" w:eastAsia="宋体" w:cs="宋体"/>
          <w:b/>
          <w:color w:val="auto"/>
          <w:sz w:val="24"/>
          <w:szCs w:val="24"/>
          <w:highlight w:val="none"/>
          <w:u w:val="single"/>
          <w:lang w:eastAsia="zh-CN"/>
        </w:rPr>
        <w:t xml:space="preserve">  </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我单位声明参加本次政府采购活动</w:t>
      </w:r>
      <w:r>
        <w:rPr>
          <w:rFonts w:hint="eastAsia" w:ascii="宋体" w:hAnsi="宋体" w:eastAsia="宋体" w:cs="宋体"/>
          <w:color w:val="auto"/>
          <w:sz w:val="24"/>
          <w:szCs w:val="24"/>
          <w:highlight w:val="none"/>
          <w:lang w:eastAsia="zh-CN"/>
        </w:rPr>
        <w:t>近三年</w:t>
      </w:r>
      <w:r>
        <w:rPr>
          <w:rFonts w:hint="eastAsia" w:ascii="宋体" w:hAnsi="宋体" w:eastAsia="宋体" w:cs="宋体"/>
          <w:color w:val="auto"/>
          <w:sz w:val="24"/>
          <w:szCs w:val="24"/>
          <w:highlight w:val="none"/>
        </w:rPr>
        <w:t>内，在经营活动中没有重大违纪，以及未被列入失信被执行人、未在重大税收违法案件当事人名单及政府采购严重违法失信行为记录名单中。</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以上如构成虚假，自愿承担相关法律责任。</w:t>
      </w:r>
    </w:p>
    <w:p>
      <w:pPr>
        <w:spacing w:line="360" w:lineRule="auto"/>
        <w:jc w:val="left"/>
        <w:rPr>
          <w:rFonts w:hint="eastAsia" w:ascii="宋体" w:hAnsi="宋体" w:eastAsia="宋体" w:cs="宋体"/>
          <w:b/>
          <w:color w:val="auto"/>
          <w:sz w:val="24"/>
          <w:szCs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360" w:lineRule="auto"/>
        <w:ind w:firstLine="480" w:firstLineChars="200"/>
        <w:jc w:val="left"/>
        <w:rPr>
          <w:rFonts w:hint="eastAsia" w:ascii="宋体" w:hAnsi="宋体" w:eastAsia="宋体" w:cs="宋体"/>
          <w:color w:val="auto"/>
          <w:sz w:val="24"/>
          <w:szCs w:val="24"/>
          <w:highlight w:val="none"/>
        </w:rPr>
      </w:pPr>
    </w:p>
    <w:p>
      <w:pPr>
        <w:spacing w:line="480" w:lineRule="auto"/>
        <w:ind w:firstLine="480" w:firstLineChars="200"/>
        <w:jc w:val="left"/>
        <w:rPr>
          <w:rFonts w:hint="eastAsia" w:ascii="宋体" w:hAnsi="宋体" w:eastAsia="宋体" w:cs="宋体"/>
          <w:color w:val="auto"/>
          <w:sz w:val="24"/>
          <w:szCs w:val="24"/>
          <w:highlight w:val="none"/>
        </w:rPr>
      </w:pPr>
    </w:p>
    <w:p>
      <w:pPr>
        <w:pStyle w:val="2"/>
        <w:rPr>
          <w:rFonts w:hint="eastAsia"/>
          <w:highlight w:val="none"/>
        </w:rPr>
      </w:pPr>
    </w:p>
    <w:p>
      <w:pPr>
        <w:spacing w:line="48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声明人（公章）：</w:t>
      </w:r>
      <w:r>
        <w:rPr>
          <w:rFonts w:hint="eastAsia" w:ascii="宋体" w:hAnsi="宋体" w:eastAsia="宋体" w:cs="宋体"/>
          <w:color w:val="auto"/>
          <w:sz w:val="24"/>
          <w:szCs w:val="24"/>
          <w:highlight w:val="none"/>
          <w:u w:val="single"/>
        </w:rPr>
        <w:t xml:space="preserve">                        </w:t>
      </w:r>
    </w:p>
    <w:p>
      <w:pPr>
        <w:spacing w:line="48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3990"/>
        </w:tabs>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lang w:val="zh-CN"/>
        </w:rPr>
      </w:pPr>
    </w:p>
    <w:bookmarkEnd w:id="210"/>
    <w:p>
      <w:pPr>
        <w:ind w:left="0" w:leftChars="0" w:firstLine="0" w:firstLineChars="0"/>
        <w:rPr>
          <w:rFonts w:hint="eastAsia" w:ascii="宋体" w:hAnsi="宋体" w:eastAsia="宋体" w:cs="宋体"/>
          <w:color w:val="auto"/>
          <w:sz w:val="24"/>
          <w:szCs w:val="24"/>
          <w:highlight w:val="none"/>
          <w:u w:val="single"/>
          <w:lang w:val="zh-CN" w:eastAsia="zh-CN"/>
        </w:rPr>
      </w:pPr>
    </w:p>
    <w:p>
      <w:pPr>
        <w:ind w:left="0" w:leftChars="0" w:firstLine="0" w:firstLineChars="0"/>
        <w:rPr>
          <w:rFonts w:hint="eastAsia" w:ascii="宋体" w:hAnsi="宋体" w:eastAsia="宋体" w:cs="宋体"/>
          <w:color w:val="auto"/>
          <w:sz w:val="24"/>
          <w:szCs w:val="24"/>
          <w:highlight w:val="none"/>
          <w:u w:val="single"/>
          <w:lang w:val="zh-CN" w:eastAsia="zh-CN"/>
        </w:rPr>
      </w:pP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2"/>
        <w:jc w:val="center"/>
        <w:rPr>
          <w:rFonts w:hint="eastAsia"/>
          <w:highlight w:val="none"/>
          <w:lang w:val="en-US" w:eastAsia="zh-CN"/>
        </w:rPr>
      </w:pPr>
      <w:bookmarkStart w:id="229" w:name="OLE_LINK88"/>
      <w:r>
        <w:rPr>
          <w:rFonts w:hint="eastAsia" w:ascii="宋体" w:hAnsi="宋体" w:cs="宋体"/>
          <w:b/>
          <w:bCs/>
          <w:color w:val="auto"/>
          <w:sz w:val="24"/>
          <w:szCs w:val="24"/>
          <w:highlight w:val="none"/>
          <w:lang w:val="en-US" w:eastAsia="zh-CN"/>
        </w:rPr>
        <w:t>第二部分</w:t>
      </w:r>
      <w:r>
        <w:rPr>
          <w:rFonts w:hint="eastAsia" w:ascii="宋体" w:hAnsi="宋体" w:eastAsia="宋体" w:cs="宋体"/>
          <w:b/>
          <w:bCs/>
          <w:color w:val="auto"/>
          <w:sz w:val="24"/>
          <w:szCs w:val="24"/>
          <w:highlight w:val="none"/>
          <w:lang w:val="en-US" w:eastAsia="zh-CN"/>
        </w:rPr>
        <w:t>、符合性证明文件</w:t>
      </w:r>
    </w:p>
    <w:bookmarkEnd w:id="211"/>
    <w:bookmarkEnd w:id="212"/>
    <w:bookmarkEnd w:id="213"/>
    <w:bookmarkEnd w:id="214"/>
    <w:bookmarkEnd w:id="215"/>
    <w:bookmarkEnd w:id="216"/>
    <w:p>
      <w:pPr>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响</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应</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函</w:t>
      </w:r>
    </w:p>
    <w:p>
      <w:pPr>
        <w:pStyle w:val="47"/>
        <w:numPr>
          <w:ilvl w:val="0"/>
          <w:numId w:val="0"/>
        </w:numPr>
        <w:ind w:leftChars="200"/>
        <w:rPr>
          <w:rFonts w:hint="eastAsia" w:ascii="宋体" w:hAnsi="宋体" w:eastAsia="宋体" w:cs="宋体"/>
          <w:color w:val="auto"/>
          <w:sz w:val="24"/>
          <w:szCs w:val="24"/>
          <w:highlight w:val="none"/>
          <w:lang w:val="en-US" w:eastAsia="zh-CN"/>
        </w:rPr>
      </w:pPr>
    </w:p>
    <w:p>
      <w:pPr>
        <w:spacing w:line="360" w:lineRule="auto"/>
        <w:ind w:left="0" w:leftChars="0" w:firstLine="0" w:firstLineChars="0"/>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致：</w:t>
      </w:r>
      <w:r>
        <w:rPr>
          <w:rFonts w:hint="eastAsia" w:ascii="宋体" w:hAnsi="宋体" w:cs="宋体"/>
          <w:b w:val="0"/>
          <w:bCs/>
          <w:color w:val="auto"/>
          <w:sz w:val="24"/>
          <w:szCs w:val="24"/>
          <w:highlight w:val="none"/>
          <w:u w:val="single"/>
          <w:lang w:val="en-US" w:eastAsia="zh-CN"/>
        </w:rPr>
        <w:t>凤县交通运输局</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（采购</w:t>
      </w:r>
      <w:r>
        <w:rPr>
          <w:rFonts w:hint="eastAsia" w:ascii="宋体"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，我方代表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（姓名、职务）   </w:t>
      </w:r>
      <w:r>
        <w:rPr>
          <w:rFonts w:hint="eastAsia" w:ascii="宋体" w:hAnsi="宋体" w:eastAsia="宋体" w:cs="宋体"/>
          <w:color w:val="auto"/>
          <w:sz w:val="24"/>
          <w:szCs w:val="24"/>
          <w:highlight w:val="none"/>
        </w:rPr>
        <w:t>经正式授权并代表</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就该项目进行</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在此，我方郑重承诺以下诸点，并负法律责任：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1、我方具备本项目竞争性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文件中规定的资格条件。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2、我方已详细审阅竞争性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响应文件，确认无误。</w:t>
      </w:r>
    </w:p>
    <w:p>
      <w:pPr>
        <w:tabs>
          <w:tab w:val="left" w:pos="0"/>
        </w:tabs>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3、我方所附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报价表中应提交</w:t>
      </w:r>
      <w:r>
        <w:rPr>
          <w:rFonts w:hint="eastAsia" w:ascii="宋体" w:hAnsi="宋体" w:eastAsia="宋体" w:cs="宋体"/>
          <w:color w:val="auto"/>
          <w:sz w:val="24"/>
          <w:szCs w:val="24"/>
          <w:highlight w:val="none"/>
          <w:lang w:val="en-US" w:eastAsia="zh-CN"/>
        </w:rPr>
        <w:t>的服务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总价为人民币：</w:t>
      </w:r>
    </w:p>
    <w:p>
      <w:pPr>
        <w:tabs>
          <w:tab w:val="left" w:pos="0"/>
        </w:tabs>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4、我方已详细审查全部竞争性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文件（包括澄清函、补充通知等），完全理解供应商须知的所有条款。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5、我方完全满足和响应竞争性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文件中的各项商务和技术要求，若有偏差，已在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响应文件中明确说明。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6、我方接受竞争性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文件中全部合同条款，且无任何异议；保证忠实地执行双方所签订的合同，并承担合同规定的责任和义务。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7、我方完全理解并同意竞争性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文件中有关没收</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保证金、要求专业担保机构先行偿付和拒绝</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8、我方同意按照要求提供</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响应有关的一切数据或资料。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9、我方同意按竞争性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文件规定，遵守贵方有关</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的各项规定和要求。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10、我方对本次</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 xml:space="preserve">内容及与本项目有关的知识产权、技术资料、商业秘密及相关信息保密。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11、我方与采购人和采购代理机构无任何的隶属关系或者其他利害关系。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12、若我方被选为成交供应商，我方保证按有关规定向贵方支付</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响应有效期为</w:t>
      </w:r>
      <w:r>
        <w:rPr>
          <w:rFonts w:hint="eastAsia" w:ascii="宋体" w:hAnsi="宋体" w:eastAsia="宋体" w:cs="宋体"/>
          <w:color w:val="auto"/>
          <w:sz w:val="24"/>
          <w:szCs w:val="24"/>
          <w:highlight w:val="none"/>
          <w:lang w:eastAsia="zh-CN"/>
        </w:rPr>
        <w:t>自提交</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响应文件的截止之日起</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个日历天</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14、所有关于本项目的函电，请按下列地址联系：</w:t>
      </w:r>
    </w:p>
    <w:p>
      <w:pPr>
        <w:pStyle w:val="53"/>
        <w:spacing w:line="360" w:lineRule="auto"/>
        <w:rPr>
          <w:rFonts w:hint="eastAsia" w:ascii="宋体" w:hAnsi="宋体" w:eastAsia="宋体" w:cs="宋体"/>
          <w:color w:val="auto"/>
          <w:sz w:val="24"/>
          <w:szCs w:val="24"/>
          <w:highlight w:val="none"/>
        </w:rPr>
      </w:pPr>
    </w:p>
    <w:p>
      <w:pPr>
        <w:snapToGrid w:val="0"/>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rPr>
        <w:t xml:space="preserve">                                 </w:t>
      </w:r>
    </w:p>
    <w:p>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xml:space="preserve">                                    </w:t>
      </w:r>
    </w:p>
    <w:p>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p>
    <w:p>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line="480" w:lineRule="auto"/>
        <w:jc w:val="center"/>
        <w:rPr>
          <w:rFonts w:hint="eastAsia" w:ascii="宋体" w:hAnsi="宋体" w:eastAsia="宋体" w:cs="宋体"/>
          <w:color w:val="auto"/>
          <w:sz w:val="24"/>
          <w:szCs w:val="24"/>
          <w:highlight w:val="none"/>
        </w:rPr>
      </w:pPr>
    </w:p>
    <w:p>
      <w:pPr>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480" w:lineRule="auto"/>
        <w:jc w:val="center"/>
        <w:rPr>
          <w:rFonts w:hint="eastAsia" w:ascii="宋体" w:hAnsi="宋体" w:eastAsia="宋体" w:cs="宋体"/>
          <w:color w:val="auto"/>
          <w:sz w:val="24"/>
          <w:szCs w:val="24"/>
          <w:highlight w:val="none"/>
        </w:rPr>
      </w:pPr>
    </w:p>
    <w:p>
      <w:pPr>
        <w:snapToGrid w:val="0"/>
        <w:spacing w:line="480" w:lineRule="auto"/>
        <w:jc w:val="righ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zh-CN"/>
        </w:rPr>
        <w:t xml:space="preserve"> </w:t>
      </w:r>
    </w:p>
    <w:bookmarkEnd w:id="229"/>
    <w:p>
      <w:pPr>
        <w:pStyle w:val="14"/>
        <w:rPr>
          <w:rFonts w:hint="eastAsia" w:ascii="宋体" w:hAnsi="宋体" w:eastAsia="宋体" w:cs="宋体"/>
          <w:color w:val="auto"/>
          <w:sz w:val="24"/>
          <w:szCs w:val="24"/>
          <w:highlight w:val="none"/>
          <w:u w:val="single"/>
          <w:lang w:val="en-US" w:eastAsia="zh-CN"/>
        </w:rPr>
      </w:pPr>
    </w:p>
    <w:p>
      <w:pPr>
        <w:pStyle w:val="14"/>
        <w:rPr>
          <w:rFonts w:hint="eastAsia" w:ascii="宋体" w:hAnsi="宋体" w:eastAsia="宋体" w:cs="宋体"/>
          <w:color w:val="auto"/>
          <w:sz w:val="24"/>
          <w:szCs w:val="24"/>
          <w:highlight w:val="none"/>
          <w:u w:val="single"/>
          <w:lang w:val="en-US" w:eastAsia="zh-CN"/>
        </w:rPr>
      </w:pPr>
    </w:p>
    <w:p>
      <w:pP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br w:type="page"/>
      </w:r>
    </w:p>
    <w:p>
      <w:pPr>
        <w:numPr>
          <w:ilvl w:val="0"/>
          <w:numId w:val="0"/>
        </w:numPr>
        <w:ind w:leftChars="0"/>
        <w:jc w:val="center"/>
        <w:outlineLvl w:val="9"/>
        <w:rPr>
          <w:rFonts w:hint="default" w:ascii="宋体" w:hAnsi="宋体" w:eastAsia="宋体" w:cs="宋体"/>
          <w:b/>
          <w:bCs/>
          <w:color w:val="auto"/>
          <w:sz w:val="24"/>
          <w:szCs w:val="24"/>
          <w:highlight w:val="none"/>
          <w:lang w:val="en-US" w:eastAsia="zh-CN"/>
        </w:rPr>
      </w:pPr>
      <w:bookmarkStart w:id="230" w:name="_Toc8463"/>
      <w:bookmarkStart w:id="231" w:name="_Toc19231"/>
      <w:bookmarkStart w:id="232" w:name="_Toc495681242"/>
      <w:bookmarkStart w:id="233" w:name="_Toc9496"/>
      <w:bookmarkStart w:id="234" w:name="_Toc31028"/>
      <w:bookmarkStart w:id="235" w:name="_Toc6924"/>
      <w:bookmarkStart w:id="236" w:name="_Toc495908038"/>
      <w:bookmarkStart w:id="237" w:name="_Toc495681523"/>
      <w:bookmarkStart w:id="238" w:name="_Toc495681396"/>
      <w:bookmarkStart w:id="239" w:name="_Toc31138"/>
      <w:bookmarkStart w:id="240" w:name="_Toc31519"/>
      <w:bookmarkStart w:id="241" w:name="OLE_LINK89"/>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第一次磋商报价表</w:t>
      </w:r>
    </w:p>
    <w:p>
      <w:pPr>
        <w:pStyle w:val="53"/>
        <w:rPr>
          <w:rFonts w:hint="eastAsia" w:ascii="宋体" w:hAnsi="宋体" w:eastAsia="宋体" w:cs="宋体"/>
          <w:color w:val="auto"/>
          <w:sz w:val="24"/>
          <w:szCs w:val="24"/>
          <w:highlight w:val="none"/>
          <w:lang w:val="en-US" w:eastAsia="zh-CN"/>
        </w:rPr>
      </w:pPr>
    </w:p>
    <w:bookmarkEnd w:id="230"/>
    <w:bookmarkEnd w:id="231"/>
    <w:bookmarkEnd w:id="232"/>
    <w:bookmarkEnd w:id="233"/>
    <w:bookmarkEnd w:id="234"/>
    <w:bookmarkEnd w:id="235"/>
    <w:bookmarkEnd w:id="236"/>
    <w:bookmarkEnd w:id="237"/>
    <w:bookmarkEnd w:id="238"/>
    <w:bookmarkEnd w:id="239"/>
    <w:bookmarkEnd w:id="240"/>
    <w:tbl>
      <w:tblPr>
        <w:tblStyle w:val="30"/>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spacing w:line="36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项目名称</w:t>
            </w:r>
          </w:p>
        </w:tc>
        <w:tc>
          <w:tcPr>
            <w:tcW w:w="6079"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项目编号</w:t>
            </w:r>
          </w:p>
        </w:tc>
        <w:tc>
          <w:tcPr>
            <w:tcW w:w="6079"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520" w:type="dxa"/>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总报价（元）</w:t>
            </w:r>
          </w:p>
        </w:tc>
        <w:tc>
          <w:tcPr>
            <w:tcW w:w="6079"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服务期（合同履行期）</w:t>
            </w:r>
          </w:p>
        </w:tc>
        <w:tc>
          <w:tcPr>
            <w:tcW w:w="6079"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w:t>
            </w:r>
          </w:p>
        </w:tc>
        <w:tc>
          <w:tcPr>
            <w:tcW w:w="6079" w:type="dxa"/>
            <w:vAlign w:val="center"/>
          </w:tcPr>
          <w:p>
            <w:pPr>
              <w:widowControl/>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599" w:type="dxa"/>
            <w:gridSpan w:val="2"/>
            <w:vAlign w:val="center"/>
          </w:tcPr>
          <w:p>
            <w:pPr>
              <w:widowControl/>
              <w:spacing w:line="360" w:lineRule="auto"/>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说明：</w:t>
            </w:r>
            <w:r>
              <w:rPr>
                <w:rFonts w:hint="eastAsia" w:ascii="宋体" w:hAnsi="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报价以元为单位，保留小数点后两位，大小写不一致时，以大写为准。</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 xml:space="preserve">  </w:t>
      </w:r>
    </w:p>
    <w:p>
      <w:pPr>
        <w:spacing w:line="480" w:lineRule="auto"/>
        <w:ind w:firstLine="2150" w:firstLineChars="896"/>
        <w:jc w:val="left"/>
        <w:rPr>
          <w:rFonts w:hint="eastAsia" w:ascii="宋体" w:hAnsi="宋体" w:eastAsia="宋体" w:cs="宋体"/>
          <w:color w:val="auto"/>
          <w:sz w:val="24"/>
          <w:szCs w:val="24"/>
          <w:highlight w:val="none"/>
        </w:rPr>
      </w:pPr>
    </w:p>
    <w:p>
      <w:pPr>
        <w:spacing w:line="480" w:lineRule="auto"/>
        <w:ind w:firstLine="2150" w:firstLineChars="896"/>
        <w:jc w:val="left"/>
        <w:rPr>
          <w:rFonts w:hint="eastAsia" w:ascii="宋体" w:hAnsi="宋体" w:eastAsia="宋体" w:cs="宋体"/>
          <w:color w:val="auto"/>
          <w:sz w:val="24"/>
          <w:szCs w:val="24"/>
          <w:highlight w:val="none"/>
        </w:rPr>
      </w:pPr>
    </w:p>
    <w:p>
      <w:pPr>
        <w:spacing w:line="480" w:lineRule="auto"/>
        <w:ind w:firstLine="2150" w:firstLineChars="896"/>
        <w:jc w:val="left"/>
        <w:rPr>
          <w:rFonts w:hint="eastAsia" w:ascii="宋体" w:hAnsi="宋体" w:eastAsia="宋体" w:cs="宋体"/>
          <w:color w:val="auto"/>
          <w:sz w:val="24"/>
          <w:szCs w:val="24"/>
          <w:highlight w:val="none"/>
        </w:rPr>
      </w:pPr>
      <w:bookmarkStart w:id="242" w:name="OLE_LINK20"/>
      <w:bookmarkStart w:id="243" w:name="OLE_LINK22"/>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480" w:lineRule="auto"/>
        <w:ind w:firstLine="2150" w:firstLineChars="896"/>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法定代表人或其委托代理人（签字</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autoSpaceDE w:val="0"/>
        <w:autoSpaceDN w:val="0"/>
        <w:adjustRightInd w:val="0"/>
        <w:snapToGrid w:val="0"/>
        <w:spacing w:line="480" w:lineRule="auto"/>
        <w:ind w:firstLine="2150" w:firstLineChars="896"/>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bookmarkEnd w:id="242"/>
      <w:r>
        <w:rPr>
          <w:rFonts w:hint="eastAsia" w:ascii="宋体" w:hAnsi="宋体" w:eastAsia="宋体" w:cs="宋体"/>
          <w:color w:val="auto"/>
          <w:sz w:val="24"/>
          <w:szCs w:val="24"/>
          <w:highlight w:val="none"/>
          <w:u w:val="single"/>
        </w:rPr>
        <w:t xml:space="preserve"> </w:t>
      </w:r>
    </w:p>
    <w:bookmarkEnd w:id="217"/>
    <w:bookmarkEnd w:id="218"/>
    <w:bookmarkEnd w:id="219"/>
    <w:bookmarkEnd w:id="220"/>
    <w:bookmarkEnd w:id="241"/>
    <w:bookmarkEnd w:id="243"/>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ind w:left="0" w:leftChars="0" w:firstLine="0" w:firstLineChars="0"/>
        <w:jc w:val="center"/>
        <w:rPr>
          <w:rFonts w:hint="default" w:ascii="宋体" w:hAnsi="宋体" w:cs="宋体"/>
          <w:b/>
          <w:bCs/>
          <w:color w:val="auto"/>
          <w:kern w:val="2"/>
          <w:sz w:val="24"/>
          <w:szCs w:val="24"/>
          <w:highlight w:val="none"/>
          <w:lang w:val="en-US" w:eastAsia="zh-CN" w:bidi="ar-SA"/>
        </w:rPr>
      </w:pPr>
      <w:bookmarkStart w:id="244" w:name="OLE_LINK90"/>
      <w:bookmarkStart w:id="245" w:name="_Toc188808852"/>
      <w:bookmarkStart w:id="246" w:name="_Toc193126902"/>
      <w:bookmarkStart w:id="247" w:name="_Toc194663939"/>
      <w:bookmarkStart w:id="248" w:name="_Toc193187108"/>
      <w:r>
        <w:rPr>
          <w:rFonts w:hint="eastAsia" w:ascii="宋体" w:hAnsi="宋体" w:cs="宋体"/>
          <w:b/>
          <w:bCs/>
          <w:color w:val="auto"/>
          <w:kern w:val="2"/>
          <w:sz w:val="24"/>
          <w:szCs w:val="24"/>
          <w:highlight w:val="none"/>
          <w:lang w:val="en-US" w:eastAsia="zh-CN" w:bidi="ar-SA"/>
        </w:rPr>
        <w:t>分项报价表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b w:val="0"/>
          <w:bCs/>
          <w:sz w:val="20"/>
          <w:szCs w:val="22"/>
          <w:lang w:val="en-US" w:eastAsia="zh-CN"/>
        </w:rPr>
      </w:pPr>
      <w:r>
        <w:rPr>
          <w:rFonts w:hint="eastAsia" w:ascii="宋体" w:hAnsi="宋体" w:cs="宋体"/>
          <w:b w:val="0"/>
          <w:bCs/>
          <w:color w:val="auto"/>
          <w:kern w:val="2"/>
          <w:sz w:val="24"/>
          <w:szCs w:val="24"/>
          <w:highlight w:val="none"/>
          <w:lang w:val="en-US" w:eastAsia="zh-CN" w:bidi="ar-SA"/>
        </w:rPr>
        <w:t>项目名称：2025年凤县农村公路桥梁建设防洪影响评价报告编制项目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86"/>
        <w:gridCol w:w="1202"/>
        <w:gridCol w:w="907"/>
        <w:gridCol w:w="1512"/>
        <w:gridCol w:w="129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序号</w:t>
            </w:r>
          </w:p>
        </w:tc>
        <w:tc>
          <w:tcPr>
            <w:tcW w:w="158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项目名称</w:t>
            </w:r>
          </w:p>
        </w:tc>
        <w:tc>
          <w:tcPr>
            <w:tcW w:w="120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单位</w:t>
            </w: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数量</w:t>
            </w:r>
          </w:p>
        </w:tc>
        <w:tc>
          <w:tcPr>
            <w:tcW w:w="151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单价（元）</w:t>
            </w:r>
          </w:p>
        </w:tc>
        <w:tc>
          <w:tcPr>
            <w:tcW w:w="129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合计（元）</w:t>
            </w:r>
          </w:p>
        </w:tc>
        <w:tc>
          <w:tcPr>
            <w:tcW w:w="1203"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w:t>
            </w:r>
          </w:p>
        </w:tc>
        <w:tc>
          <w:tcPr>
            <w:tcW w:w="158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小型桥梁</w:t>
            </w:r>
          </w:p>
        </w:tc>
        <w:tc>
          <w:tcPr>
            <w:tcW w:w="120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座</w:t>
            </w: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5</w:t>
            </w:r>
          </w:p>
        </w:tc>
        <w:tc>
          <w:tcPr>
            <w:tcW w:w="151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96"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w:t>
            </w:r>
          </w:p>
        </w:tc>
        <w:tc>
          <w:tcPr>
            <w:tcW w:w="1586"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中型桥梁</w:t>
            </w:r>
          </w:p>
        </w:tc>
        <w:tc>
          <w:tcPr>
            <w:tcW w:w="120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座</w:t>
            </w: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4</w:t>
            </w:r>
          </w:p>
        </w:tc>
        <w:tc>
          <w:tcPr>
            <w:tcW w:w="1512" w:type="dxa"/>
            <w:vAlign w:val="center"/>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96"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宋体" w:hAnsi="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586"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202"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907"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512"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296"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3" w:type="dxa"/>
            <w:gridSpan w:val="5"/>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宋体"/>
                <w:vertAlign w:val="baseline"/>
                <w:lang w:val="en-US" w:eastAsia="zh-CN"/>
              </w:rPr>
            </w:pPr>
            <w:r>
              <w:rPr>
                <w:rFonts w:hint="eastAsia" w:eastAsia="宋体"/>
                <w:vertAlign w:val="baseline"/>
                <w:lang w:val="en-US" w:eastAsia="zh-CN"/>
              </w:rPr>
              <w:t>合计</w:t>
            </w:r>
          </w:p>
        </w:tc>
        <w:tc>
          <w:tcPr>
            <w:tcW w:w="1296" w:type="dxa"/>
          </w:tcPr>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eastAsia="宋体"/>
                <w:vertAlign w:val="baseline"/>
                <w:lang w:val="en-US" w:eastAsia="zh-CN"/>
              </w:rPr>
            </w:pPr>
          </w:p>
        </w:tc>
        <w:tc>
          <w:tcPr>
            <w:tcW w:w="1203" w:type="dxa"/>
          </w:tcPr>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vertAlign w:val="baseline"/>
                <w:lang w:val="en-US"/>
              </w:rPr>
            </w:pPr>
          </w:p>
        </w:tc>
      </w:tr>
    </w:tbl>
    <w:p>
      <w:pPr>
        <w:rPr>
          <w:rFonts w:hint="eastAsia" w:ascii="宋体" w:hAnsi="宋体" w:cs="宋体"/>
          <w:b/>
          <w:bCs/>
          <w:color w:val="auto"/>
          <w:kern w:val="2"/>
          <w:sz w:val="24"/>
          <w:szCs w:val="24"/>
          <w:highlight w:val="none"/>
          <w:lang w:val="en-US" w:eastAsia="zh-CN" w:bidi="ar-SA"/>
        </w:rPr>
      </w:pPr>
    </w:p>
    <w:p>
      <w:pPr>
        <w:spacing w:line="480" w:lineRule="auto"/>
        <w:ind w:firstLine="2150" w:firstLineChars="8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480" w:lineRule="auto"/>
        <w:ind w:firstLine="2150" w:firstLineChars="896"/>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法定代表人或其委托代理人（签字</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autoSpaceDE w:val="0"/>
        <w:autoSpaceDN w:val="0"/>
        <w:adjustRightInd w:val="0"/>
        <w:snapToGrid w:val="0"/>
        <w:spacing w:line="480" w:lineRule="auto"/>
        <w:ind w:firstLine="2150" w:firstLineChars="896"/>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bookmarkEnd w:id="244"/>
    <w:p>
      <w:pP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br w:type="page"/>
      </w:r>
    </w:p>
    <w:p>
      <w:pPr>
        <w:ind w:left="0" w:leftChars="0" w:firstLine="0" w:firstLineChars="0"/>
        <w:jc w:val="center"/>
        <w:rPr>
          <w:rFonts w:hint="eastAsia" w:ascii="宋体" w:hAnsi="宋体" w:eastAsia="宋体" w:cs="宋体"/>
          <w:b/>
          <w:bCs/>
          <w:color w:val="auto"/>
          <w:sz w:val="36"/>
          <w:szCs w:val="36"/>
          <w:highlight w:val="none"/>
        </w:rPr>
      </w:pPr>
      <w:bookmarkStart w:id="249" w:name="OLE_LINK91"/>
      <w:r>
        <w:rPr>
          <w:rFonts w:hint="eastAsia" w:ascii="宋体" w:hAnsi="宋体" w:cs="宋体"/>
          <w:b/>
          <w:bCs/>
          <w:color w:val="auto"/>
          <w:kern w:val="2"/>
          <w:sz w:val="24"/>
          <w:szCs w:val="24"/>
          <w:highlight w:val="none"/>
          <w:lang w:val="en-US" w:eastAsia="zh-CN" w:bidi="ar-SA"/>
        </w:rPr>
        <w:t>3、供应商承诺书</w:t>
      </w:r>
    </w:p>
    <w:p>
      <w:pPr>
        <w:pStyle w:val="6"/>
        <w:spacing w:before="240" w:beforeLines="100" w:after="120" w:afterLines="50"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参加政府采购活动行为自律承诺书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作为参加本次政府采购项目的投标人，我方郑重承诺在参与政府采购活动中遵纪守法、公平竞争、诚实守信，如有违反愿承担一切责任及后果：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1．不与采购人、采购代理机构、政府采购评审专家恶意串通，不向其行贿或提供其他不正当利益；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2．不与其他投标人恶意串通，采取“围标、串标、陪标”等商业欺诈手段谋取中标、成交；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3．不提供虚假或无效证明文件（包括但不限于资格证明文件、合同及验收文件、检验检测报告、从业人员资格证书、机构或所投产品的各类认证证书等）或虚假材料谋取中标；</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4．不采取不正当手段诋毁、排挤其他供应商；</w:t>
      </w:r>
      <w:r>
        <w:rPr>
          <w:rFonts w:hint="eastAsia" w:ascii="宋体" w:hAnsi="宋体" w:cs="宋体"/>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5．不以不正当理由拒不与采购人签订政府采购合同，或逾期签订政府采购合同，或不按照采购文件确定的事项签订政府采购合同；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6．不以不正当理由拒绝履行合同义务，不会擅自变更、中止或者终止政府采购合同或将政府采购合同转包；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7．不在提供商品、服务或工程施工过程中提供假冒伪劣产品，损害采购人的合法权益或公共利益；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8．不采取捏造事实、提供虚假材料或者以非法手段取得证明材料进行质疑和投诉；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10．尊重和接受政府采购监督管理部门的监督和采购人、采购代理机构的政府采购工作要求，愿意承担因违约行为给采购人造成的损失。</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（供应商名称、加盖单位章）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br w:type="page"/>
      </w:r>
    </w:p>
    <w:p>
      <w:pPr>
        <w:pStyle w:val="8"/>
        <w:spacing w:before="0" w:line="520" w:lineRule="exact"/>
        <w:ind w:firstLine="0" w:firstLineChars="0"/>
        <w:jc w:val="center"/>
        <w:rPr>
          <w:rFonts w:hint="eastAsia" w:ascii="宋体" w:hAnsi="宋体" w:eastAsia="宋体" w:cs="宋体"/>
          <w:b w:val="0"/>
          <w:bCs w:val="0"/>
          <w:color w:val="auto"/>
          <w:kern w:val="2"/>
          <w:sz w:val="24"/>
          <w:szCs w:val="24"/>
          <w:highlight w:val="none"/>
          <w:lang w:val="en-US" w:eastAsia="zh-CN" w:bidi="ar-SA"/>
        </w:rPr>
      </w:pPr>
      <w:bookmarkStart w:id="250" w:name="_Toc11040"/>
      <w:bookmarkStart w:id="251" w:name="_Toc2741"/>
      <w:r>
        <w:rPr>
          <w:rFonts w:hint="eastAsia" w:ascii="宋体" w:hAnsi="宋体" w:eastAsia="宋体" w:cs="宋体"/>
          <w:b w:val="0"/>
          <w:bCs w:val="0"/>
          <w:color w:val="auto"/>
          <w:kern w:val="2"/>
          <w:sz w:val="24"/>
          <w:szCs w:val="24"/>
          <w:highlight w:val="none"/>
          <w:lang w:val="en-US" w:eastAsia="zh-CN" w:bidi="ar-SA"/>
        </w:rPr>
        <w:t>宝鸡市政府采购供应商诚信承诺书</w:t>
      </w:r>
      <w:bookmarkEnd w:id="250"/>
      <w:bookmarkEnd w:id="25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bCs/>
          <w:color w:val="auto"/>
          <w:sz w:val="24"/>
          <w:szCs w:val="24"/>
          <w:highlight w:val="none"/>
        </w:rPr>
        <w:t>致：</w:t>
      </w:r>
      <w:r>
        <w:rPr>
          <w:rFonts w:hint="eastAsia" w:ascii="宋体" w:hAnsi="宋体" w:cs="宋体"/>
          <w:color w:val="auto"/>
          <w:kern w:val="0"/>
          <w:sz w:val="24"/>
          <w:szCs w:val="24"/>
          <w:highlight w:val="none"/>
          <w:u w:val="single"/>
          <w:lang w:val="en-US" w:eastAsia="zh-CN"/>
        </w:rPr>
        <w:t>凤县交通运输局</w:t>
      </w:r>
      <w:r>
        <w:rPr>
          <w:rFonts w:hint="eastAsia" w:ascii="宋体" w:hAnsi="宋体" w:eastAsia="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统一社会信用代码证为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的我方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（供应商名称）自愿参加贵单位组织的编号为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（采购项目编号）的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项目（采购</w:t>
      </w:r>
      <w:r>
        <w:rPr>
          <w:rFonts w:hint="eastAsia" w:ascii="宋体" w:hAnsi="宋体" w:cs="宋体"/>
          <w:color w:val="auto"/>
          <w:kern w:val="0"/>
          <w:sz w:val="24"/>
          <w:szCs w:val="24"/>
          <w:highlight w:val="none"/>
          <w:lang w:eastAsia="zh-CN"/>
        </w:rPr>
        <w:t>项目名称</w:t>
      </w:r>
      <w:r>
        <w:rPr>
          <w:rFonts w:hint="eastAsia" w:ascii="宋体" w:hAnsi="宋体" w:eastAsia="宋体" w:cs="宋体"/>
          <w:color w:val="auto"/>
          <w:kern w:val="0"/>
          <w:sz w:val="24"/>
          <w:szCs w:val="24"/>
          <w:highlight w:val="none"/>
        </w:rPr>
        <w:t>）的政府采购活动，我方已知悉并理解本项目采购文件的各项要求。为贯彻公开、公平、公正和诚实信用的政府采购原则，共同维护宝鸡市政府采购市场良好秩序，我方郑重声明和承诺如下：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一、在参加本次政府采购活动中严格遵守《中国人民共和国政府采购法》等法律、法规、规章及宝鸡市有关规定。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二、我方郑重声明。在参加本次政府采购活动三年内，无因违法经营受到刑事处罚或者责令停产停业、吊销许可证或者执照、较大数额罚款等重大违法记录。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我方同时声明，在参加本次政府采购活动前，未被列入失信被执行人、重大税收违法案件当事人名单、政府采购严重违法失信行为记录名单。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我方对以上生命的正式性负责，接收采购人、采购代理机构根据相关政策规定进行的信用记录查询。如发现以上声明不实，我方承担相应后果。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三、我方郑重承诺，在参加本次政府采购活动中：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（1）不向采购人、采购代理机构和评审专家提供任何形式的商业贿赂或者提供其他不正当利益。对索取或接受商业贿赂的单位和个人，及时向财政部门和监察机关举报；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（2）不与其他供应商串通采取围标、陪标等商业欺诈手段谋取中标（成交）；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（3）不出借或借用资质；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（4）不与采购人、采购代理机构、评审专家恶意串通；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（6）不以虚假材料谋取中标（成交）；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（7）不以低于成本或恶意低价竞争；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（8）不与采购人在招标采购过程中进行协商</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（9）中标或者成交后不得提供假冒伪劣产品；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（10）中标或者成交后非因不可抗力不得变更投标（响应）文件中承诺的项目管理实施人员；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（11）中标或者成交后无正当理由不得拒不与采购人签订政府采购合同；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（12）不得有未按招标采购文件确定的事项与采购人签订政府采购合同，或者与采购人另行订立背离合同实质性内容协议的行为；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（13）不转包或违法分包政府采购合同，不擅自变更、终止或者终止政府采购合同；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（14）不捏造事实、提供虚假材料或者以非法手段取得证明材料进行质疑、投诉；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（15）不得有拒绝有关部门监督检查或者提供虚假情况的行为；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（16）不得有其他违反国家法律法规和规章要求的违法犯罪或者失信行为</w:t>
      </w:r>
      <w:r>
        <w:rPr>
          <w:rFonts w:hint="eastAsia" w:ascii="宋体" w:hAnsi="宋体" w:cs="宋体"/>
          <w:color w:val="auto"/>
          <w:kern w:val="0"/>
          <w:sz w:val="24"/>
          <w:szCs w:val="24"/>
          <w:highlight w:val="none"/>
          <w:lang w:eastAsia="zh-CN"/>
        </w:rPr>
        <w:t>；</w:t>
      </w:r>
    </w:p>
    <w:p>
      <w:pPr>
        <w:pStyle w:val="2"/>
        <w:rPr>
          <w:rFonts w:hint="eastAsia"/>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1"/>
          <w:szCs w:val="21"/>
          <w:highlight w:val="none"/>
          <w:lang w:val="en-US" w:eastAsia="zh-CN"/>
        </w:rPr>
        <w:t>具有履行本项目合同所必需的技术设备和专业能力。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四、如有违反以上声明或者承诺之一情形的，我方知悉并接受采购人、采购代理机构和政府采购监督管理部门等政府职能部门将采取以下一种或几种方式追究我方责任：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1、投标（响应）无效；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2、不予退还</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保证金或者履约保证金；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3、约谈法定代表人或者主要负责人，责令整改；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4、中标（成交）无效；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5、处以采购金额千分之五以上千分之十以下的罚款，列入不良行为记录名单，在一至三年内禁止参加政府采购活动；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6、没收违法得所得；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7、吊销营业执照；</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8、政府相关部门的联合惩戒措施；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9、追究民事责任；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11、法律法规规定的其他处理处罚措施。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p>
    <w:p>
      <w:pPr>
        <w:pStyle w:val="47"/>
        <w:rPr>
          <w:rFonts w:hint="eastAsia" w:ascii="宋体" w:hAnsi="宋体" w:eastAsia="宋体" w:cs="宋体"/>
          <w:color w:val="auto"/>
          <w:sz w:val="24"/>
          <w:szCs w:val="24"/>
          <w:highlight w:val="none"/>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1260" w:leftChars="0"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ind w:left="126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spacing w:line="480" w:lineRule="auto"/>
        <w:ind w:left="0" w:leftChars="0" w:firstLine="0" w:firstLineChars="0"/>
        <w:rPr>
          <w:rFonts w:hint="eastAsia" w:ascii="宋体" w:hAnsi="宋体" w:eastAsia="宋体" w:cs="宋体"/>
          <w:color w:val="auto"/>
          <w:sz w:val="24"/>
          <w:szCs w:val="24"/>
          <w:highlight w:val="none"/>
          <w:lang w:val="en-US" w:eastAsia="zh-CN"/>
        </w:rPr>
        <w:sectPr>
          <w:footerReference r:id="rId9" w:type="default"/>
          <w:pgSz w:w="11905" w:h="16838"/>
          <w:pgMar w:top="1440" w:right="1083" w:bottom="1440" w:left="1083" w:header="850" w:footer="992" w:gutter="567"/>
          <w:pgBorders>
            <w:top w:val="none" w:sz="0" w:space="0"/>
            <w:left w:val="none" w:sz="0" w:space="0"/>
            <w:bottom w:val="none" w:sz="0" w:space="0"/>
            <w:right w:val="none" w:sz="0" w:space="0"/>
          </w:pgBorders>
          <w:pgNumType w:fmt="decimal" w:start="1"/>
          <w:cols w:space="0" w:num="1"/>
          <w:docGrid w:type="lines" w:linePitch="314" w:charSpace="0"/>
        </w:sectPr>
      </w:pPr>
    </w:p>
    <w:p>
      <w:pPr>
        <w:spacing w:before="0" w:line="520" w:lineRule="exact"/>
        <w:ind w:firstLine="0" w:firstLineChars="0"/>
        <w:jc w:val="center"/>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《拒绝政府采购领域商业贿赂承诺书》</w:t>
      </w:r>
    </w:p>
    <w:p>
      <w:pPr>
        <w:spacing w:before="0" w:line="520" w:lineRule="exact"/>
        <w:ind w:firstLine="0" w:firstLineChars="0"/>
        <w:jc w:val="center"/>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陕西省政府采购供应商</w:t>
      </w:r>
    </w:p>
    <w:p>
      <w:pPr>
        <w:spacing w:before="0" w:line="520" w:lineRule="exact"/>
        <w:ind w:firstLine="0" w:firstLineChars="0"/>
        <w:jc w:val="center"/>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拒绝政府采购领域商业贿赂承诺书</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为响应党中央、国务院关于治理政府采购领域商业贿赂行为的号召，我单位在此庄严承诺：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1、在参与政府采购活动中遵纪守法、诚信经营、公平竞争。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2、不向采购人、采购代理机构和政府采购评审专家进行任何形式的商业贿赂以谋取交易机会。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3、不向政府采购采购代理机构和采购人提供虚假资质文件或采用虚假应标方式参与政府采购市场竞争并谋取成交。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4、不采取“围标、陪标”等商业欺诈手段获得政府采购定单。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5、不采取不正当手段低毁、排挤其他供应商。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6、不在提供商品和服务时“偷梁换柱、以次充好”损害采购人的合法权益。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7、不与采购人、采购代理机构政府采购评审专家或其它供应商恶意串通，进行质疑和投诉，维护政府采购市场秩序。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8、尊重和接受政府采购监督管理部门的监督和政府采购代理机构采购要求，承担因违约行为给采购人造成的损失。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9、不发生其他有悖于政府采购公开、公平、公正和诚信原则的行为。 </w:t>
      </w:r>
    </w:p>
    <w:p>
      <w:pPr>
        <w:pageBreakBefore w:val="0"/>
        <w:widowControl/>
        <w:kinsoku/>
        <w:wordWrap/>
        <w:overflowPunct/>
        <w:topLinePunct w:val="0"/>
        <w:autoSpaceDE/>
        <w:autoSpaceDN/>
        <w:bidi w:val="0"/>
        <w:adjustRightInd/>
        <w:snapToGrid/>
        <w:spacing w:line="520" w:lineRule="exact"/>
        <w:ind w:firstLine="960" w:firstLineChars="4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pPr>
        <w:pageBreakBefore w:val="0"/>
        <w:widowControl/>
        <w:kinsoku/>
        <w:wordWrap/>
        <w:overflowPunct/>
        <w:topLinePunct w:val="0"/>
        <w:autoSpaceDE/>
        <w:autoSpaceDN/>
        <w:bidi w:val="0"/>
        <w:adjustRightInd/>
        <w:snapToGrid/>
        <w:spacing w:line="520" w:lineRule="exact"/>
        <w:ind w:firstLine="960" w:firstLineChars="4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lang w:val="en-US" w:eastAsia="zh-CN"/>
        </w:rPr>
        <w:t xml:space="preserve">                              </w:t>
      </w:r>
    </w:p>
    <w:p>
      <w:pPr>
        <w:pageBreakBefore w:val="0"/>
        <w:widowControl/>
        <w:kinsoku/>
        <w:wordWrap/>
        <w:overflowPunct/>
        <w:topLinePunct w:val="0"/>
        <w:autoSpaceDE/>
        <w:autoSpaceDN/>
        <w:bidi w:val="0"/>
        <w:adjustRightInd/>
        <w:snapToGrid/>
        <w:spacing w:line="520" w:lineRule="exact"/>
        <w:ind w:firstLine="960" w:firstLineChars="400"/>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pPr>
        <w:pageBreakBefore w:val="0"/>
        <w:widowControl/>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电　　话：</w:t>
      </w:r>
      <w:r>
        <w:rPr>
          <w:rFonts w:hint="eastAsia" w:ascii="宋体" w:hAnsi="宋体" w:eastAsia="宋体" w:cs="宋体"/>
          <w:color w:val="auto"/>
          <w:kern w:val="0"/>
          <w:sz w:val="24"/>
          <w:szCs w:val="24"/>
          <w:highlight w:val="none"/>
          <w:u w:val="single"/>
        </w:rPr>
        <w:t>　　　                　　　　</w:t>
      </w:r>
    </w:p>
    <w:p>
      <w:pPr>
        <w:pStyle w:val="8"/>
        <w:pageBreakBefore w:val="0"/>
        <w:kinsoku/>
        <w:wordWrap/>
        <w:overflowPunct/>
        <w:topLinePunct w:val="0"/>
        <w:autoSpaceDE/>
        <w:autoSpaceDN/>
        <w:bidi w:val="0"/>
        <w:adjustRightInd/>
        <w:snapToGrid/>
        <w:spacing w:before="0" w:line="520" w:lineRule="exact"/>
        <w:ind w:firstLine="0" w:firstLineChars="0"/>
        <w:textAlignment w:val="auto"/>
        <w:outlineLvl w:val="9"/>
        <w:rPr>
          <w:rFonts w:hint="eastAsia" w:ascii="宋体" w:hAnsi="宋体" w:eastAsia="宋体" w:cs="宋体"/>
          <w:color w:val="auto"/>
          <w:sz w:val="24"/>
          <w:szCs w:val="24"/>
          <w:highlight w:val="none"/>
        </w:rPr>
        <w:sectPr>
          <w:footerReference r:id="rId11" w:type="first"/>
          <w:footerReference r:id="rId10"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rtlGutter w:val="0"/>
          <w:docGrid w:type="lines" w:linePitch="314" w:charSpace="0"/>
        </w:sectPr>
      </w:pPr>
    </w:p>
    <w:bookmarkEnd w:id="249"/>
    <w:p>
      <w:pPr>
        <w:ind w:left="0" w:leftChars="0" w:firstLine="0" w:firstLineChars="0"/>
        <w:jc w:val="center"/>
        <w:rPr>
          <w:rFonts w:hint="eastAsia" w:ascii="宋体" w:hAnsi="宋体" w:eastAsia="宋体" w:cs="宋体"/>
          <w:b/>
          <w:bCs/>
          <w:color w:val="auto"/>
          <w:kern w:val="2"/>
          <w:sz w:val="24"/>
          <w:szCs w:val="24"/>
          <w:highlight w:val="none"/>
          <w:lang w:val="en-US" w:eastAsia="zh-CN" w:bidi="ar-SA"/>
        </w:rPr>
      </w:pPr>
      <w:bookmarkStart w:id="252" w:name="OLE_LINK94"/>
      <w:r>
        <w:rPr>
          <w:rFonts w:hint="eastAsia" w:ascii="宋体" w:hAnsi="宋体" w:cs="宋体"/>
          <w:b/>
          <w:bCs/>
          <w:color w:val="auto"/>
          <w:kern w:val="2"/>
          <w:sz w:val="24"/>
          <w:szCs w:val="24"/>
          <w:highlight w:val="none"/>
          <w:lang w:val="en-US" w:eastAsia="zh-CN" w:bidi="ar-SA"/>
        </w:rPr>
        <w:t>4、</w:t>
      </w:r>
      <w:bookmarkStart w:id="253" w:name="OLE_LINK92"/>
      <w:r>
        <w:rPr>
          <w:rFonts w:hint="eastAsia" w:ascii="宋体" w:hAnsi="宋体" w:cs="宋体"/>
          <w:b/>
          <w:bCs/>
          <w:color w:val="auto"/>
          <w:kern w:val="2"/>
          <w:sz w:val="24"/>
          <w:szCs w:val="24"/>
          <w:highlight w:val="none"/>
          <w:lang w:val="en-US" w:eastAsia="zh-CN" w:bidi="ar-SA"/>
        </w:rPr>
        <w:t>磋商</w:t>
      </w:r>
      <w:r>
        <w:rPr>
          <w:rFonts w:hint="eastAsia" w:ascii="宋体" w:hAnsi="宋体" w:eastAsia="宋体" w:cs="宋体"/>
          <w:b/>
          <w:bCs/>
          <w:color w:val="auto"/>
          <w:kern w:val="2"/>
          <w:sz w:val="24"/>
          <w:szCs w:val="24"/>
          <w:highlight w:val="none"/>
          <w:lang w:val="en-US" w:eastAsia="zh-CN" w:bidi="ar-SA"/>
        </w:rPr>
        <w:t>声明书</w:t>
      </w:r>
      <w:bookmarkEnd w:id="253"/>
    </w:p>
    <w:p>
      <w:pPr>
        <w:pStyle w:val="51"/>
        <w:keepNext w:val="0"/>
        <w:keepLines w:val="0"/>
        <w:pageBreakBefore w:val="0"/>
        <w:widowControl/>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Cs/>
          <w:color w:val="auto"/>
          <w:sz w:val="24"/>
          <w:szCs w:val="24"/>
          <w:highlight w:val="none"/>
        </w:rPr>
        <w:t>致：</w:t>
      </w:r>
      <w:r>
        <w:rPr>
          <w:rFonts w:hint="eastAsia" w:ascii="宋体" w:hAnsi="宋体" w:cs="宋体"/>
          <w:color w:val="auto"/>
          <w:kern w:val="0"/>
          <w:sz w:val="24"/>
          <w:szCs w:val="24"/>
          <w:highlight w:val="none"/>
          <w:u w:val="single"/>
          <w:lang w:val="en-US" w:eastAsia="zh-CN"/>
        </w:rPr>
        <w:t>凤县交通运输局</w:t>
      </w:r>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254" w:name="_Toc458617487"/>
      <w:r>
        <w:rPr>
          <w:rFonts w:hint="eastAsia" w:ascii="宋体" w:hAnsi="宋体" w:eastAsia="宋体" w:cs="宋体"/>
          <w:color w:val="auto"/>
          <w:sz w:val="24"/>
          <w:szCs w:val="24"/>
          <w:highlight w:val="none"/>
        </w:rPr>
        <w:t>我公司</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，就参加</w:t>
      </w:r>
      <w:r>
        <w:rPr>
          <w:rFonts w:hint="eastAsia" w:ascii="宋体" w:hAnsi="宋体" w:eastAsia="宋体" w:cs="宋体"/>
          <w:color w:val="auto"/>
          <w:sz w:val="24"/>
          <w:szCs w:val="24"/>
          <w:highlight w:val="none"/>
          <w:u w:val="single"/>
        </w:rPr>
        <w:t xml:space="preserve">      （采购</w:t>
      </w:r>
      <w:r>
        <w:rPr>
          <w:rFonts w:hint="eastAsia" w:ascii="宋体"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编号：）</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事宜，在此郑重声明：</w:t>
      </w:r>
      <w:bookmarkEnd w:id="254"/>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255" w:name="_Toc458617488"/>
      <w:r>
        <w:rPr>
          <w:rFonts w:hint="eastAsia" w:ascii="宋体" w:hAnsi="宋体" w:eastAsia="宋体" w:cs="宋体"/>
          <w:color w:val="auto"/>
          <w:sz w:val="24"/>
          <w:szCs w:val="24"/>
          <w:highlight w:val="none"/>
        </w:rPr>
        <w:t>1、我公司所提交的竞争性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响应文件全部真实有效；</w:t>
      </w:r>
      <w:bookmarkEnd w:id="255"/>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256" w:name="_Toc458617489"/>
      <w:r>
        <w:rPr>
          <w:rFonts w:hint="eastAsia" w:ascii="宋体" w:hAnsi="宋体" w:eastAsia="宋体" w:cs="宋体"/>
          <w:color w:val="auto"/>
          <w:sz w:val="24"/>
          <w:szCs w:val="24"/>
          <w:highlight w:val="none"/>
        </w:rPr>
        <w:t>2、我公司近3年来无因安全事故、质量事故、投标违规等不良记录被政府有关部门处罚期内的情形存在；</w:t>
      </w:r>
      <w:bookmarkEnd w:id="256"/>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257" w:name="_Toc458617490"/>
      <w:r>
        <w:rPr>
          <w:rFonts w:hint="eastAsia" w:ascii="宋体" w:hAnsi="宋体" w:eastAsia="宋体" w:cs="宋体"/>
          <w:color w:val="auto"/>
          <w:sz w:val="24"/>
          <w:szCs w:val="24"/>
          <w:highlight w:val="none"/>
        </w:rPr>
        <w:t>3、我公司近3年来无违规违法经营受到责令停产（或停止经营）、吊销生产许可证（或经营许可证）、较大数额罚款等行政处罚的情形存在；</w:t>
      </w:r>
      <w:bookmarkEnd w:id="257"/>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258" w:name="_Toc458617491"/>
      <w:r>
        <w:rPr>
          <w:rFonts w:hint="eastAsia" w:ascii="宋体" w:hAnsi="宋体" w:eastAsia="宋体" w:cs="宋体"/>
          <w:color w:val="auto"/>
          <w:sz w:val="24"/>
          <w:szCs w:val="24"/>
          <w:highlight w:val="none"/>
        </w:rPr>
        <w:t>4、我公司无企业财产被查封、冻结或处于破产状态或严重亏损状态等情形存在；</w:t>
      </w:r>
      <w:bookmarkEnd w:id="258"/>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259" w:name="_Toc458617492"/>
      <w:r>
        <w:rPr>
          <w:rFonts w:hint="eastAsia" w:ascii="宋体" w:hAnsi="宋体" w:eastAsia="宋体" w:cs="宋体"/>
          <w:color w:val="auto"/>
          <w:sz w:val="24"/>
          <w:szCs w:val="24"/>
          <w:highlight w:val="none"/>
        </w:rPr>
        <w:t>5、我公司承诺在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过程中，保证不与其他单位围标、串标，不出让</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资格，不采取不正当手段诋毁、排挤其他</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供应商，不向采购代理机构、评审委员会成员行贿。</w:t>
      </w:r>
      <w:bookmarkEnd w:id="259"/>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260" w:name="_Toc458617493"/>
      <w:r>
        <w:rPr>
          <w:rFonts w:hint="eastAsia" w:ascii="宋体" w:hAnsi="宋体" w:eastAsia="宋体" w:cs="宋体"/>
          <w:color w:val="auto"/>
          <w:sz w:val="24"/>
          <w:szCs w:val="24"/>
          <w:highlight w:val="none"/>
        </w:rPr>
        <w:t>以上声明若违反，一经查实，本公司愿意接受政府有关部门的相应处罚，并愿意承担由此带来的法律后果。</w:t>
      </w:r>
      <w:bookmarkEnd w:id="260"/>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261" w:name="_Toc458617494"/>
      <w:r>
        <w:rPr>
          <w:rFonts w:hint="eastAsia" w:ascii="宋体" w:hAnsi="宋体" w:eastAsia="宋体" w:cs="宋体"/>
          <w:color w:val="auto"/>
          <w:sz w:val="24"/>
          <w:szCs w:val="24"/>
          <w:highlight w:val="none"/>
        </w:rPr>
        <w:t>特此声明！</w:t>
      </w:r>
      <w:bookmarkEnd w:id="261"/>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262" w:name="_Toc458617495"/>
      <w:r>
        <w:rPr>
          <w:rFonts w:hint="eastAsia" w:ascii="宋体" w:hAnsi="宋体" w:eastAsia="宋体" w:cs="宋体"/>
          <w:color w:val="auto"/>
          <w:sz w:val="24"/>
          <w:szCs w:val="24"/>
          <w:highlight w:val="none"/>
        </w:rPr>
        <w:t>声  明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（供应商名称、公章）</w:t>
      </w:r>
      <w:bookmarkEnd w:id="262"/>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263" w:name="_Toc458617496"/>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bookmarkEnd w:id="263"/>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264" w:name="_Toc458617497"/>
      <w:r>
        <w:rPr>
          <w:rFonts w:hint="eastAsia" w:ascii="宋体" w:hAnsi="宋体" w:eastAsia="宋体" w:cs="宋体"/>
          <w:color w:val="auto"/>
          <w:sz w:val="24"/>
          <w:szCs w:val="24"/>
          <w:highlight w:val="none"/>
        </w:rPr>
        <w:t>日      期：</w:t>
      </w:r>
      <w:bookmarkEnd w:id="264"/>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bookmarkEnd w:id="252"/>
    <w:p>
      <w:pPr>
        <w:rPr>
          <w:rFonts w:hint="eastAsia" w:ascii="宋体" w:hAnsi="宋体" w:cs="宋体"/>
          <w:b/>
          <w:bCs w:val="0"/>
          <w:color w:val="auto"/>
          <w:sz w:val="24"/>
          <w:szCs w:val="24"/>
          <w:highlight w:val="none"/>
          <w:lang w:val="en-US" w:eastAsia="zh-CN"/>
        </w:rPr>
      </w:pPr>
    </w:p>
    <w:p>
      <w:pP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br w:type="page"/>
      </w:r>
    </w:p>
    <w:p>
      <w:pPr>
        <w:spacing w:after="240" w:afterLines="100" w:line="360" w:lineRule="auto"/>
        <w:jc w:val="center"/>
        <w:rPr>
          <w:rFonts w:hint="eastAsia" w:ascii="宋体" w:hAnsi="宋体" w:eastAsia="宋体" w:cs="宋体"/>
          <w:b/>
          <w:bCs w:val="0"/>
          <w:color w:val="auto"/>
          <w:sz w:val="24"/>
          <w:szCs w:val="24"/>
          <w:highlight w:val="none"/>
          <w:lang w:val="en-US" w:eastAsia="zh-CN"/>
        </w:rPr>
      </w:pPr>
      <w:bookmarkStart w:id="265" w:name="OLE_LINK96"/>
      <w:r>
        <w:rPr>
          <w:rFonts w:hint="eastAsia" w:ascii="宋体" w:hAnsi="宋体" w:eastAsia="宋体" w:cs="宋体"/>
          <w:b/>
          <w:bCs w:val="0"/>
          <w:color w:val="auto"/>
          <w:sz w:val="24"/>
          <w:szCs w:val="24"/>
          <w:highlight w:val="none"/>
          <w:lang w:val="en-US" w:eastAsia="zh-CN"/>
        </w:rPr>
        <w:t>5、</w:t>
      </w:r>
      <w:bookmarkStart w:id="266" w:name="OLE_LINK95"/>
      <w:r>
        <w:rPr>
          <w:rFonts w:hint="eastAsia" w:ascii="宋体" w:hAnsi="宋体" w:cs="宋体"/>
          <w:b/>
          <w:bCs w:val="0"/>
          <w:color w:val="auto"/>
          <w:sz w:val="24"/>
          <w:szCs w:val="24"/>
          <w:highlight w:val="none"/>
          <w:lang w:val="en-US" w:eastAsia="zh-CN"/>
        </w:rPr>
        <w:t>技术服务偏离表</w:t>
      </w:r>
      <w:bookmarkEnd w:id="266"/>
    </w:p>
    <w:p>
      <w:pPr>
        <w:pStyle w:val="5"/>
        <w:spacing w:before="120" w:beforeLines="50" w:after="120" w:afterLines="50"/>
        <w:ind w:firstLine="0"/>
        <w:rPr>
          <w:rFonts w:hint="eastAsia" w:ascii="宋体" w:hAnsi="宋体"/>
          <w:highlight w:val="none"/>
        </w:rPr>
      </w:pPr>
      <w:r>
        <w:rPr>
          <w:rFonts w:hint="eastAsia" w:ascii="宋体" w:hAnsi="宋体" w:cs="宋体"/>
          <w:color w:val="auto"/>
          <w:sz w:val="24"/>
          <w:szCs w:val="24"/>
          <w:highlight w:val="none"/>
          <w:lang w:val="en-US" w:eastAsia="zh-CN"/>
        </w:rPr>
        <w:t>项目名称</w:t>
      </w:r>
      <w:r>
        <w:rPr>
          <w:rFonts w:hint="eastAsia"/>
          <w:highlight w:val="none"/>
        </w:rPr>
        <w:t xml:space="preserve">：                            </w:t>
      </w:r>
      <w:r>
        <w:rPr>
          <w:rFonts w:hint="eastAsia" w:ascii="宋体" w:hAnsi="宋体"/>
          <w:highlight w:val="none"/>
        </w:rPr>
        <w:t xml:space="preserve">       </w:t>
      </w:r>
      <w:r>
        <w:rPr>
          <w:rFonts w:hint="eastAsia" w:ascii="宋体" w:hAnsi="宋体" w:cs="宋体"/>
          <w:color w:val="auto"/>
          <w:sz w:val="24"/>
          <w:szCs w:val="24"/>
          <w:highlight w:val="none"/>
          <w:lang w:eastAsia="zh-CN"/>
        </w:rPr>
        <w:t>项目编号</w:t>
      </w:r>
      <w:r>
        <w:rPr>
          <w:rFonts w:hint="eastAsia" w:ascii="宋体" w:hAnsi="宋体" w:eastAsia="宋体" w:cs="宋体"/>
          <w:color w:val="auto"/>
          <w:sz w:val="24"/>
          <w:szCs w:val="24"/>
          <w:highlight w:val="none"/>
        </w:rPr>
        <w:t>：</w:t>
      </w:r>
    </w:p>
    <w:tbl>
      <w:tblPr>
        <w:tblStyle w:val="30"/>
        <w:tblW w:w="8821"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164"/>
        <w:gridCol w:w="2203"/>
        <w:gridCol w:w="1848"/>
        <w:gridCol w:w="1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340" w:type="dxa"/>
            <w:noWrap w:val="0"/>
            <w:vAlign w:val="center"/>
          </w:tcPr>
          <w:p>
            <w:pPr>
              <w:spacing w:line="52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164" w:type="dxa"/>
            <w:noWrap w:val="0"/>
            <w:vAlign w:val="center"/>
          </w:tcPr>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磋商文件服务</w:t>
            </w:r>
          </w:p>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（技术）要求</w:t>
            </w:r>
          </w:p>
        </w:tc>
        <w:tc>
          <w:tcPr>
            <w:tcW w:w="2203" w:type="dxa"/>
            <w:noWrap w:val="0"/>
            <w:vAlign w:val="center"/>
          </w:tcPr>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响应文件服务</w:t>
            </w:r>
          </w:p>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（技术）响应</w:t>
            </w:r>
          </w:p>
        </w:tc>
        <w:tc>
          <w:tcPr>
            <w:tcW w:w="1848" w:type="dxa"/>
            <w:noWrap w:val="0"/>
            <w:vAlign w:val="center"/>
          </w:tcPr>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偏离情况</w:t>
            </w:r>
          </w:p>
        </w:tc>
        <w:tc>
          <w:tcPr>
            <w:tcW w:w="1266" w:type="dxa"/>
            <w:noWrap w:val="0"/>
            <w:vAlign w:val="center"/>
          </w:tcPr>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40" w:type="dxa"/>
            <w:noWrap w:val="0"/>
            <w:vAlign w:val="top"/>
          </w:tcPr>
          <w:p>
            <w:pPr>
              <w:adjustRightInd w:val="0"/>
              <w:snapToGrid w:val="0"/>
              <w:spacing w:line="360" w:lineRule="auto"/>
              <w:ind w:right="24"/>
              <w:rPr>
                <w:rFonts w:hint="eastAsia" w:ascii="宋体" w:hAnsi="宋体"/>
                <w:bCs/>
                <w:sz w:val="24"/>
                <w:highlight w:val="none"/>
              </w:rPr>
            </w:pPr>
          </w:p>
        </w:tc>
        <w:tc>
          <w:tcPr>
            <w:tcW w:w="2164" w:type="dxa"/>
            <w:noWrap w:val="0"/>
            <w:vAlign w:val="top"/>
          </w:tcPr>
          <w:p>
            <w:pPr>
              <w:adjustRightInd w:val="0"/>
              <w:snapToGrid w:val="0"/>
              <w:spacing w:line="360" w:lineRule="auto"/>
              <w:ind w:right="24"/>
              <w:rPr>
                <w:rFonts w:hint="eastAsia" w:ascii="宋体" w:hAnsi="宋体"/>
                <w:bCs/>
                <w:sz w:val="24"/>
                <w:highlight w:val="none"/>
              </w:rPr>
            </w:pPr>
          </w:p>
        </w:tc>
        <w:tc>
          <w:tcPr>
            <w:tcW w:w="2203" w:type="dxa"/>
            <w:noWrap w:val="0"/>
            <w:vAlign w:val="top"/>
          </w:tcPr>
          <w:p>
            <w:pPr>
              <w:adjustRightInd w:val="0"/>
              <w:snapToGrid w:val="0"/>
              <w:spacing w:line="360" w:lineRule="auto"/>
              <w:ind w:right="24"/>
              <w:rPr>
                <w:rFonts w:hint="eastAsia" w:ascii="宋体" w:hAnsi="宋体"/>
                <w:bCs/>
                <w:sz w:val="24"/>
                <w:highlight w:val="none"/>
              </w:rPr>
            </w:pPr>
          </w:p>
        </w:tc>
        <w:tc>
          <w:tcPr>
            <w:tcW w:w="1848" w:type="dxa"/>
            <w:noWrap w:val="0"/>
            <w:vAlign w:val="top"/>
          </w:tcPr>
          <w:p>
            <w:pPr>
              <w:adjustRightInd w:val="0"/>
              <w:snapToGrid w:val="0"/>
              <w:spacing w:line="360" w:lineRule="auto"/>
              <w:ind w:right="24"/>
              <w:rPr>
                <w:rFonts w:hint="eastAsia" w:ascii="宋体" w:hAnsi="宋体"/>
                <w:bCs/>
                <w:sz w:val="24"/>
                <w:highlight w:val="none"/>
              </w:rPr>
            </w:pPr>
          </w:p>
        </w:tc>
        <w:tc>
          <w:tcPr>
            <w:tcW w:w="1266" w:type="dxa"/>
            <w:noWrap w:val="0"/>
            <w:vAlign w:val="top"/>
          </w:tcPr>
          <w:p>
            <w:pPr>
              <w:adjustRightInd w:val="0"/>
              <w:snapToGrid w:val="0"/>
              <w:spacing w:line="360" w:lineRule="auto"/>
              <w:ind w:right="24"/>
              <w:rPr>
                <w:rFonts w:hint="eastAsia" w:ascii="宋体" w:hAnsi="宋体"/>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8821" w:type="dxa"/>
            <w:gridSpan w:val="5"/>
            <w:noWrap w:val="0"/>
            <w:vAlign w:val="center"/>
          </w:tcPr>
          <w:p>
            <w:pPr>
              <w:ind w:left="0" w:leftChars="0" w:firstLine="0" w:firstLineChars="0"/>
              <w:rPr>
                <w:rFonts w:hint="eastAsia" w:ascii="宋体" w:hAnsi="宋体"/>
                <w:szCs w:val="21"/>
                <w:highlight w:val="none"/>
              </w:rPr>
            </w:pPr>
            <w:r>
              <w:rPr>
                <w:rFonts w:hint="eastAsia" w:ascii="宋体" w:hAnsi="宋体"/>
                <w:szCs w:val="21"/>
                <w:highlight w:val="none"/>
                <w:lang w:val="en-US" w:eastAsia="zh-CN"/>
              </w:rPr>
              <w:t>注：</w:t>
            </w:r>
            <w:r>
              <w:rPr>
                <w:rFonts w:hint="eastAsia" w:ascii="宋体" w:hAnsi="宋体"/>
                <w:szCs w:val="21"/>
                <w:highlight w:val="none"/>
              </w:rPr>
              <w:t>1.偏离应按照</w:t>
            </w:r>
            <w:r>
              <w:rPr>
                <w:rFonts w:hint="eastAsia" w:ascii="宋体" w:hAnsi="宋体"/>
                <w:szCs w:val="21"/>
                <w:highlight w:val="none"/>
                <w:lang w:eastAsia="zh-CN"/>
              </w:rPr>
              <w:t>磋商文件</w:t>
            </w:r>
            <w:r>
              <w:rPr>
                <w:rFonts w:hint="eastAsia" w:ascii="宋体" w:hAnsi="宋体"/>
                <w:szCs w:val="21"/>
                <w:highlight w:val="none"/>
              </w:rPr>
              <w:t>第二章</w:t>
            </w:r>
            <w:r>
              <w:rPr>
                <w:rFonts w:hint="eastAsia" w:ascii="宋体" w:hAnsi="宋体"/>
                <w:szCs w:val="21"/>
                <w:highlight w:val="none"/>
                <w:lang w:val="en-US" w:eastAsia="zh-CN"/>
              </w:rPr>
              <w:t>条款</w:t>
            </w:r>
            <w:r>
              <w:rPr>
                <w:rFonts w:hint="eastAsia" w:ascii="宋体" w:hAnsi="宋体"/>
                <w:szCs w:val="21"/>
                <w:highlight w:val="none"/>
              </w:rPr>
              <w:t>定义理解，本表只填写有偏离的情况。</w:t>
            </w:r>
          </w:p>
          <w:p>
            <w:pPr>
              <w:adjustRightInd w:val="0"/>
              <w:snapToGrid w:val="0"/>
              <w:ind w:right="24"/>
              <w:rPr>
                <w:rFonts w:hint="eastAsia" w:ascii="宋体" w:hAnsi="宋体"/>
                <w:bCs/>
                <w:sz w:val="24"/>
                <w:highlight w:val="none"/>
              </w:rPr>
            </w:pPr>
            <w:r>
              <w:rPr>
                <w:rFonts w:hint="eastAsia" w:ascii="宋体" w:hAnsi="宋体"/>
                <w:szCs w:val="21"/>
                <w:highlight w:val="none"/>
              </w:rPr>
              <w:t>2.对技术条款中所有要求，除本表所列出偏离外，均视为供应商响应其余全部技术条款要求；如供应商响应磋商文件所有技术条款要求的，必须提交空白表，否则，其</w:t>
            </w:r>
            <w:r>
              <w:rPr>
                <w:rFonts w:hint="eastAsia" w:ascii="宋体" w:hAnsi="宋体"/>
                <w:b/>
                <w:szCs w:val="21"/>
                <w:highlight w:val="none"/>
              </w:rPr>
              <w:t>响应文件无效</w:t>
            </w:r>
            <w:r>
              <w:rPr>
                <w:rFonts w:hint="eastAsia" w:ascii="宋体" w:hAnsi="宋体"/>
                <w:szCs w:val="21"/>
                <w:highlight w:val="none"/>
              </w:rPr>
              <w:t>。</w:t>
            </w:r>
          </w:p>
        </w:tc>
      </w:tr>
    </w:tbl>
    <w:p>
      <w:pPr>
        <w:adjustRightInd w:val="0"/>
        <w:spacing w:line="400" w:lineRule="exact"/>
        <w:ind w:firstLine="480" w:firstLineChars="200"/>
        <w:jc w:val="left"/>
        <w:rPr>
          <w:rFonts w:hint="eastAsia" w:ascii="宋体" w:hAnsi="宋体" w:eastAsia="宋体" w:cs="宋体"/>
          <w:bCs/>
          <w:color w:val="auto"/>
          <w:sz w:val="24"/>
          <w:szCs w:val="24"/>
          <w:highlight w:val="none"/>
        </w:rPr>
      </w:pPr>
    </w:p>
    <w:p>
      <w:pPr>
        <w:spacing w:line="360" w:lineRule="auto"/>
        <w:ind w:left="1260" w:leftChars="0" w:firstLine="420" w:firstLineChars="0"/>
        <w:jc w:val="left"/>
        <w:outlineLvl w:val="9"/>
        <w:rPr>
          <w:rFonts w:hint="eastAsia" w:ascii="宋体" w:hAnsi="宋体" w:eastAsia="宋体" w:cs="宋体"/>
          <w:b w:val="0"/>
          <w:bCs w:val="0"/>
          <w:color w:val="auto"/>
          <w:sz w:val="24"/>
          <w:szCs w:val="24"/>
          <w:highlight w:val="none"/>
          <w:lang w:val="en-US" w:eastAsia="zh-CN"/>
        </w:rPr>
      </w:pPr>
    </w:p>
    <w:p>
      <w:pPr>
        <w:spacing w:line="360" w:lineRule="auto"/>
        <w:ind w:left="1260" w:leftChars="0" w:firstLine="420" w:firstLineChars="0"/>
        <w:jc w:val="left"/>
        <w:outlineLvl w:val="9"/>
        <w:rPr>
          <w:rFonts w:hint="eastAsia" w:ascii="宋体" w:hAnsi="宋体" w:eastAsia="宋体" w:cs="宋体"/>
          <w:b w:val="0"/>
          <w:bCs w:val="0"/>
          <w:color w:val="auto"/>
          <w:sz w:val="24"/>
          <w:szCs w:val="24"/>
          <w:highlight w:val="none"/>
          <w:lang w:val="en-US" w:eastAsia="zh-CN"/>
        </w:rPr>
      </w:pPr>
    </w:p>
    <w:p>
      <w:pPr>
        <w:spacing w:line="360" w:lineRule="auto"/>
        <w:ind w:left="1260" w:leftChars="0" w:firstLine="420" w:firstLine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360" w:lineRule="auto"/>
        <w:ind w:left="126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numPr>
          <w:ilvl w:val="0"/>
          <w:numId w:val="4"/>
        </w:numP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br w:type="page"/>
      </w:r>
    </w:p>
    <w:bookmarkEnd w:id="265"/>
    <w:p>
      <w:pPr>
        <w:spacing w:after="240" w:afterLines="100" w:line="360" w:lineRule="auto"/>
        <w:jc w:val="center"/>
        <w:rPr>
          <w:rFonts w:hint="eastAsia" w:ascii="宋体" w:hAnsi="宋体" w:eastAsia="宋体" w:cs="宋体"/>
          <w:b/>
          <w:bCs w:val="0"/>
          <w:color w:val="auto"/>
          <w:sz w:val="24"/>
          <w:szCs w:val="24"/>
          <w:highlight w:val="none"/>
        </w:rPr>
      </w:pPr>
      <w:bookmarkStart w:id="267" w:name="OLE_LINK100"/>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w:t>
      </w:r>
      <w:bookmarkStart w:id="268" w:name="OLE_LINK99"/>
      <w:r>
        <w:rPr>
          <w:rFonts w:hint="eastAsia" w:ascii="宋体" w:hAnsi="宋体" w:cs="宋体"/>
          <w:b/>
          <w:bCs w:val="0"/>
          <w:color w:val="auto"/>
          <w:sz w:val="24"/>
          <w:szCs w:val="24"/>
          <w:highlight w:val="none"/>
          <w:lang w:val="en-US" w:eastAsia="zh-CN"/>
        </w:rPr>
        <w:t>商务与</w:t>
      </w:r>
      <w:r>
        <w:rPr>
          <w:rFonts w:hint="eastAsia" w:ascii="宋体" w:hAnsi="宋体" w:eastAsia="宋体" w:cs="宋体"/>
          <w:b/>
          <w:bCs w:val="0"/>
          <w:color w:val="auto"/>
          <w:sz w:val="24"/>
          <w:szCs w:val="24"/>
          <w:highlight w:val="none"/>
        </w:rPr>
        <w:t>合同条款偏离表</w:t>
      </w:r>
      <w:bookmarkEnd w:id="268"/>
    </w:p>
    <w:p>
      <w:pPr>
        <w:spacing w:after="120" w:afterLines="50"/>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 xml:space="preserve"> 项目编号</w:t>
      </w:r>
      <w:r>
        <w:rPr>
          <w:rFonts w:hint="eastAsia" w:ascii="宋体" w:hAnsi="宋体" w:eastAsia="宋体" w:cs="宋体"/>
          <w:color w:val="auto"/>
          <w:sz w:val="24"/>
          <w:szCs w:val="24"/>
          <w:highlight w:val="none"/>
        </w:rPr>
        <w:t xml:space="preserve">：    </w:t>
      </w:r>
    </w:p>
    <w:tbl>
      <w:tblPr>
        <w:tblStyle w:val="30"/>
        <w:tblW w:w="8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579"/>
        <w:gridCol w:w="1999"/>
        <w:gridCol w:w="2833"/>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0" w:type="dxa"/>
            <w:noWrap w:val="0"/>
            <w:vAlign w:val="center"/>
          </w:tcPr>
          <w:p>
            <w:pPr>
              <w:spacing w:line="52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579" w:type="dxa"/>
            <w:noWrap w:val="0"/>
            <w:vAlign w:val="center"/>
          </w:tcPr>
          <w:p>
            <w:pPr>
              <w:spacing w:line="240" w:lineRule="auto"/>
              <w:ind w:left="0" w:lef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竞争性</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商务</w:t>
            </w:r>
            <w:r>
              <w:rPr>
                <w:rFonts w:hint="eastAsia" w:ascii="宋体" w:hAnsi="宋体" w:eastAsia="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rPr>
              <w:t>要求</w:t>
            </w:r>
          </w:p>
        </w:tc>
        <w:tc>
          <w:tcPr>
            <w:tcW w:w="1999" w:type="dxa"/>
            <w:noWrap w:val="0"/>
            <w:vAlign w:val="center"/>
          </w:tcPr>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竞争性</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响应</w:t>
            </w:r>
          </w:p>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商务</w:t>
            </w:r>
            <w:r>
              <w:rPr>
                <w:rFonts w:hint="eastAsia" w:ascii="宋体" w:hAnsi="宋体" w:eastAsia="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rPr>
              <w:t>响应</w:t>
            </w:r>
          </w:p>
        </w:tc>
        <w:tc>
          <w:tcPr>
            <w:tcW w:w="2833" w:type="dxa"/>
            <w:noWrap w:val="0"/>
            <w:vAlign w:val="center"/>
          </w:tcPr>
          <w:p>
            <w:pPr>
              <w:spacing w:line="52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偏离情况</w:t>
            </w:r>
          </w:p>
        </w:tc>
        <w:tc>
          <w:tcPr>
            <w:tcW w:w="1126" w:type="dxa"/>
            <w:noWrap w:val="0"/>
            <w:vAlign w:val="center"/>
          </w:tcPr>
          <w:p>
            <w:pPr>
              <w:spacing w:line="520" w:lineRule="exact"/>
              <w:ind w:firstLine="170" w:firstLineChars="71"/>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797" w:type="dxa"/>
            <w:gridSpan w:val="5"/>
            <w:noWrap w:val="0"/>
            <w:vAlign w:val="center"/>
          </w:tcPr>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1.偏离应按</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商文件第二章条款定义理解，本表只填写有偏离的情况。</w:t>
            </w:r>
          </w:p>
          <w:p>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2.对</w:t>
            </w:r>
            <w:r>
              <w:rPr>
                <w:rFonts w:hint="eastAsia" w:ascii="宋体" w:hAnsi="宋体" w:cs="宋体"/>
                <w:color w:val="auto"/>
                <w:sz w:val="21"/>
                <w:szCs w:val="21"/>
                <w:highlight w:val="none"/>
                <w:lang w:val="en-US" w:eastAsia="zh-CN"/>
              </w:rPr>
              <w:t>商务及合同</w:t>
            </w:r>
            <w:r>
              <w:rPr>
                <w:rFonts w:hint="eastAsia" w:ascii="宋体" w:hAnsi="宋体" w:eastAsia="宋体" w:cs="宋体"/>
                <w:color w:val="auto"/>
                <w:sz w:val="21"/>
                <w:szCs w:val="21"/>
                <w:highlight w:val="none"/>
              </w:rPr>
              <w:t>条款中所有要求，除本表所列出偏离外，均视为供应商响应其余全部</w:t>
            </w:r>
            <w:r>
              <w:rPr>
                <w:rFonts w:hint="eastAsia" w:ascii="宋体" w:hAnsi="宋体" w:cs="宋体"/>
                <w:color w:val="auto"/>
                <w:sz w:val="21"/>
                <w:szCs w:val="21"/>
                <w:highlight w:val="none"/>
                <w:lang w:val="en-US" w:eastAsia="zh-CN"/>
              </w:rPr>
              <w:t>商务合同</w:t>
            </w:r>
            <w:r>
              <w:rPr>
                <w:rFonts w:hint="eastAsia" w:ascii="宋体" w:hAnsi="宋体" w:eastAsia="宋体" w:cs="宋体"/>
                <w:color w:val="auto"/>
                <w:sz w:val="21"/>
                <w:szCs w:val="21"/>
                <w:highlight w:val="none"/>
              </w:rPr>
              <w:t>要求；如供应商响应</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文件所有</w:t>
            </w:r>
            <w:r>
              <w:rPr>
                <w:rFonts w:hint="eastAsia" w:ascii="宋体" w:hAnsi="宋体" w:cs="宋体"/>
                <w:color w:val="auto"/>
                <w:sz w:val="21"/>
                <w:szCs w:val="21"/>
                <w:highlight w:val="none"/>
                <w:lang w:val="en-US" w:eastAsia="zh-CN"/>
              </w:rPr>
              <w:t>商务合同</w:t>
            </w:r>
            <w:r>
              <w:rPr>
                <w:rFonts w:hint="eastAsia" w:ascii="宋体" w:hAnsi="宋体" w:eastAsia="宋体" w:cs="宋体"/>
                <w:color w:val="auto"/>
                <w:sz w:val="21"/>
                <w:szCs w:val="21"/>
                <w:highlight w:val="none"/>
              </w:rPr>
              <w:t>要求的，必须提交空白表，否则，其</w:t>
            </w:r>
            <w:r>
              <w:rPr>
                <w:rFonts w:hint="eastAsia" w:ascii="宋体" w:hAnsi="宋体" w:eastAsia="宋体" w:cs="宋体"/>
                <w:b/>
                <w:color w:val="auto"/>
                <w:sz w:val="21"/>
                <w:szCs w:val="21"/>
                <w:highlight w:val="none"/>
              </w:rPr>
              <w:t>响应文件无效</w:t>
            </w:r>
            <w:r>
              <w:rPr>
                <w:rFonts w:hint="eastAsia" w:ascii="宋体" w:hAnsi="宋体" w:eastAsia="宋体" w:cs="宋体"/>
                <w:color w:val="auto"/>
                <w:sz w:val="21"/>
                <w:szCs w:val="21"/>
                <w:highlight w:val="none"/>
              </w:rPr>
              <w:t>。</w:t>
            </w:r>
          </w:p>
        </w:tc>
      </w:tr>
    </w:tbl>
    <w:p>
      <w:pPr>
        <w:adjustRightInd w:val="0"/>
        <w:spacing w:line="400" w:lineRule="exact"/>
        <w:ind w:firstLine="480" w:firstLineChars="200"/>
        <w:jc w:val="left"/>
        <w:rPr>
          <w:rFonts w:hint="eastAsia" w:ascii="宋体" w:hAnsi="宋体" w:eastAsia="宋体" w:cs="宋体"/>
          <w:bCs/>
          <w:color w:val="auto"/>
          <w:sz w:val="24"/>
          <w:szCs w:val="24"/>
          <w:highlight w:val="none"/>
        </w:rPr>
      </w:pPr>
    </w:p>
    <w:p>
      <w:pPr>
        <w:adjustRightInd w:val="0"/>
        <w:spacing w:line="400" w:lineRule="exact"/>
        <w:ind w:firstLine="480" w:firstLineChars="200"/>
        <w:jc w:val="left"/>
        <w:rPr>
          <w:rFonts w:hint="eastAsia" w:ascii="宋体" w:hAnsi="宋体" w:eastAsia="宋体" w:cs="宋体"/>
          <w:bCs/>
          <w:color w:val="auto"/>
          <w:sz w:val="24"/>
          <w:szCs w:val="24"/>
          <w:highlight w:val="none"/>
        </w:rPr>
      </w:pPr>
    </w:p>
    <w:p>
      <w:pPr>
        <w:spacing w:line="360" w:lineRule="auto"/>
        <w:ind w:left="1260" w:leftChars="0" w:firstLine="420" w:firstLine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360" w:lineRule="auto"/>
        <w:ind w:left="126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bookmarkEnd w:id="267"/>
    <w:p>
      <w:pPr>
        <w:spacing w:line="520" w:lineRule="exact"/>
        <w:ind w:left="420" w:firstLine="0" w:firstLineChars="0"/>
        <w:rPr>
          <w:rFonts w:hint="eastAsia" w:ascii="宋体" w:hAnsi="宋体" w:eastAsia="宋体" w:cs="宋体"/>
          <w:color w:val="auto"/>
          <w:sz w:val="24"/>
          <w:szCs w:val="24"/>
          <w:highlight w:val="none"/>
        </w:rPr>
      </w:pPr>
    </w:p>
    <w:p>
      <w:pP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br w:type="page"/>
      </w:r>
    </w:p>
    <w:p>
      <w:pPr>
        <w:pStyle w:val="2"/>
        <w:jc w:val="center"/>
        <w:rPr>
          <w:rFonts w:hint="default"/>
          <w:highlight w:val="none"/>
          <w:lang w:val="en-US" w:eastAsia="zh-CN"/>
        </w:rPr>
      </w:pPr>
      <w:bookmarkStart w:id="269" w:name="OLE_LINK103"/>
      <w:r>
        <w:rPr>
          <w:rFonts w:hint="eastAsia" w:ascii="宋体" w:hAnsi="宋体" w:cs="宋体"/>
          <w:b/>
          <w:bCs/>
          <w:color w:val="auto"/>
          <w:sz w:val="24"/>
          <w:szCs w:val="24"/>
          <w:highlight w:val="none"/>
          <w:lang w:val="en-US" w:eastAsia="zh-CN"/>
        </w:rPr>
        <w:t>第三部分</w:t>
      </w:r>
      <w:r>
        <w:rPr>
          <w:rFonts w:hint="eastAsia" w:ascii="宋体" w:hAnsi="宋体" w:eastAsia="宋体" w:cs="宋体"/>
          <w:b/>
          <w:bCs/>
          <w:color w:val="auto"/>
          <w:sz w:val="24"/>
          <w:szCs w:val="24"/>
          <w:highlight w:val="none"/>
          <w:lang w:val="en-US" w:eastAsia="zh-CN"/>
        </w:rPr>
        <w:t>、响应方案</w:t>
      </w:r>
    </w:p>
    <w:p>
      <w:pPr>
        <w:ind w:left="0" w:leftChars="0" w:firstLine="0" w:firstLineChars="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bookmarkStart w:id="270" w:name="OLE_LINK104"/>
      <w:r>
        <w:rPr>
          <w:rFonts w:hint="eastAsia" w:ascii="宋体" w:hAnsi="宋体" w:cs="宋体"/>
          <w:b/>
          <w:bCs/>
          <w:color w:val="auto"/>
          <w:kern w:val="2"/>
          <w:sz w:val="24"/>
          <w:szCs w:val="24"/>
          <w:highlight w:val="none"/>
          <w:lang w:val="en-US" w:eastAsia="zh-CN" w:bidi="ar-SA"/>
        </w:rPr>
        <w:t>服务方案</w:t>
      </w:r>
      <w:bookmarkEnd w:id="270"/>
    </w:p>
    <w:p>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color w:val="auto"/>
          <w:sz w:val="24"/>
          <w:szCs w:val="24"/>
          <w:highlight w:val="none"/>
        </w:rPr>
      </w:pPr>
    </w:p>
    <w:p>
      <w:pPr>
        <w:pStyle w:val="90"/>
        <w:numPr>
          <w:ilvl w:val="0"/>
          <w:numId w:val="0"/>
        </w:numPr>
        <w:autoSpaceDE w:val="0"/>
        <w:autoSpaceDN w:val="0"/>
        <w:adjustRightInd w:val="0"/>
        <w:spacing w:line="360" w:lineRule="auto"/>
        <w:ind w:firstLine="240" w:firstLineChars="1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1、依照磋商文件第四章综合评分明细表各条款的要求，结合项目采购内容及要求编制服务方案；</w:t>
      </w:r>
    </w:p>
    <w:p>
      <w:pPr>
        <w:pStyle w:val="90"/>
        <w:autoSpaceDE w:val="0"/>
        <w:autoSpaceDN w:val="0"/>
        <w:adjustRightInd w:val="0"/>
        <w:spacing w:line="360" w:lineRule="auto"/>
        <w:ind w:left="0" w:leftChars="0" w:firstLine="240" w:firstLineChars="1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2、服务商认为有利于本次磋商的其他情况说明。</w:t>
      </w:r>
    </w:p>
    <w:p>
      <w:pPr>
        <w:adjustRightInd w:val="0"/>
        <w:snapToGrid w:val="0"/>
        <w:spacing w:line="360" w:lineRule="auto"/>
        <w:ind w:firstLine="720" w:firstLineChars="300"/>
        <w:rPr>
          <w:rFonts w:hint="eastAsia" w:ascii="宋体" w:hAnsi="宋体" w:eastAsia="宋体" w:cs="宋体"/>
          <w:color w:val="000000"/>
          <w:sz w:val="24"/>
          <w:szCs w:val="24"/>
          <w:highlight w:val="none"/>
        </w:rPr>
      </w:pP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bookmarkEnd w:id="269"/>
    <w:p>
      <w:pPr>
        <w:pStyle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bookmarkEnd w:id="245"/>
    <w:bookmarkEnd w:id="246"/>
    <w:bookmarkEnd w:id="247"/>
    <w:bookmarkEnd w:id="248"/>
    <w:p>
      <w:pPr>
        <w:pStyle w:val="8"/>
        <w:spacing w:before="0" w:line="520" w:lineRule="exact"/>
        <w:ind w:firstLine="0" w:firstLineChars="0"/>
        <w:jc w:val="both"/>
        <w:outlineLvl w:val="0"/>
        <w:rPr>
          <w:rFonts w:hint="eastAsia" w:ascii="宋体" w:hAnsi="宋体" w:eastAsia="宋体" w:cs="宋体"/>
          <w:color w:val="auto"/>
          <w:sz w:val="24"/>
          <w:szCs w:val="24"/>
          <w:highlight w:val="none"/>
          <w:lang w:val="en-US" w:eastAsia="zh-CN"/>
        </w:rPr>
      </w:pPr>
      <w:bookmarkStart w:id="271" w:name="_Toc19833"/>
      <w:bookmarkStart w:id="272" w:name="_Toc31245"/>
      <w:bookmarkStart w:id="273" w:name="OLE_LINK16"/>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享受政府采购优惠政策的证明材料</w:t>
      </w:r>
      <w:bookmarkEnd w:id="271"/>
      <w:bookmarkEnd w:id="272"/>
    </w:p>
    <w:p>
      <w:pPr>
        <w:pStyle w:val="8"/>
        <w:spacing w:before="0" w:line="520" w:lineRule="exact"/>
        <w:ind w:firstLine="0" w:firstLineChars="0"/>
        <w:outlineLvl w:val="0"/>
        <w:rPr>
          <w:rFonts w:hint="eastAsia" w:ascii="宋体" w:hAnsi="宋体" w:eastAsia="宋体" w:cs="宋体"/>
          <w:color w:val="auto"/>
          <w:sz w:val="24"/>
          <w:szCs w:val="24"/>
          <w:highlight w:val="none"/>
          <w:lang w:val="en-US" w:eastAsia="zh-CN"/>
        </w:rPr>
      </w:pPr>
      <w:bookmarkStart w:id="274" w:name="_Toc3106"/>
      <w:bookmarkStart w:id="275" w:name="_Toc464"/>
      <w:r>
        <w:rPr>
          <w:rFonts w:hint="eastAsia" w:ascii="宋体" w:hAnsi="宋体" w:eastAsia="宋体" w:cs="宋体"/>
          <w:color w:val="auto"/>
          <w:sz w:val="24"/>
          <w:szCs w:val="24"/>
          <w:highlight w:val="none"/>
          <w:lang w:val="en-US" w:eastAsia="zh-CN"/>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bookmarkEnd w:id="274"/>
      <w:bookmarkEnd w:id="275"/>
    </w:p>
    <w:p>
      <w:pPr>
        <w:pStyle w:val="8"/>
        <w:spacing w:before="0" w:line="520" w:lineRule="exact"/>
        <w:ind w:firstLine="0" w:firstLineChars="0"/>
        <w:jc w:val="center"/>
        <w:outlineLvl w:val="0"/>
        <w:rPr>
          <w:rFonts w:hint="eastAsia" w:ascii="宋体" w:hAnsi="宋体" w:eastAsia="宋体" w:cs="宋体"/>
          <w:color w:val="auto"/>
          <w:sz w:val="24"/>
          <w:szCs w:val="24"/>
          <w:highlight w:val="none"/>
          <w:lang w:eastAsia="zh-CN"/>
        </w:rPr>
      </w:pPr>
      <w:bookmarkStart w:id="276" w:name="_Toc5084"/>
      <w:bookmarkStart w:id="277" w:name="_Toc11702"/>
      <w:r>
        <w:rPr>
          <w:rFonts w:hint="eastAsia" w:ascii="宋体" w:hAnsi="宋体" w:eastAsia="宋体" w:cs="宋体"/>
          <w:color w:val="auto"/>
          <w:sz w:val="24"/>
          <w:szCs w:val="24"/>
          <w:highlight w:val="none"/>
          <w:lang w:eastAsia="zh-CN"/>
        </w:rPr>
        <w:t>《小微企业声明函》（</w:t>
      </w:r>
      <w:r>
        <w:rPr>
          <w:rFonts w:hint="eastAsia" w:ascii="宋体" w:hAnsi="宋体" w:eastAsia="宋体" w:cs="宋体"/>
          <w:color w:val="auto"/>
          <w:sz w:val="24"/>
          <w:szCs w:val="24"/>
          <w:highlight w:val="none"/>
          <w:lang w:val="en-US" w:eastAsia="zh-CN"/>
        </w:rPr>
        <w:t>格式</w:t>
      </w:r>
      <w:r>
        <w:rPr>
          <w:rFonts w:hint="eastAsia" w:ascii="宋体" w:hAnsi="宋体" w:eastAsia="宋体" w:cs="宋体"/>
          <w:color w:val="auto"/>
          <w:sz w:val="24"/>
          <w:szCs w:val="24"/>
          <w:highlight w:val="none"/>
          <w:lang w:eastAsia="zh-CN"/>
        </w:rPr>
        <w:t>）</w:t>
      </w:r>
      <w:bookmarkEnd w:id="276"/>
      <w:bookmarkEnd w:id="277"/>
    </w:p>
    <w:p>
      <w:pPr>
        <w:pStyle w:val="17"/>
        <w:adjustRightInd w:val="0"/>
        <w:snapToGrid w:val="0"/>
        <w:spacing w:line="360" w:lineRule="auto"/>
        <w:ind w:firstLine="3735" w:firstLineChars="1550"/>
        <w:jc w:val="both"/>
        <w:rPr>
          <w:rFonts w:hint="eastAsia" w:ascii="宋体" w:hAnsi="宋体" w:eastAsia="宋体" w:cs="宋体"/>
          <w:b/>
          <w:bCs/>
          <w:color w:val="auto"/>
          <w:kern w:val="0"/>
          <w:sz w:val="24"/>
          <w:szCs w:val="24"/>
          <w:highlight w:val="none"/>
          <w:lang w:val="en-US" w:eastAsia="zh-CN" w:bidi="ar-SA"/>
        </w:rPr>
      </w:pPr>
      <w:bookmarkStart w:id="278" w:name="_Toc30563"/>
      <w:bookmarkStart w:id="279" w:name="_Toc19434"/>
      <w:r>
        <w:rPr>
          <w:rFonts w:hint="eastAsia" w:ascii="宋体" w:hAnsi="宋体" w:eastAsia="宋体" w:cs="宋体"/>
          <w:b/>
          <w:bCs/>
          <w:color w:val="auto"/>
          <w:kern w:val="0"/>
          <w:sz w:val="24"/>
          <w:szCs w:val="24"/>
          <w:highlight w:val="none"/>
          <w:lang w:val="en-US" w:eastAsia="zh-CN" w:bidi="ar-SA"/>
        </w:rPr>
        <w:t>中小企业声明函</w:t>
      </w:r>
    </w:p>
    <w:p>
      <w:pPr>
        <w:spacing w:line="360" w:lineRule="auto"/>
        <w:ind w:firstLine="756" w:firstLineChars="300"/>
        <w:rPr>
          <w:rFonts w:ascii="宋体" w:hAnsi="宋体"/>
          <w:spacing w:val="6"/>
          <w:sz w:val="24"/>
          <w:szCs w:val="24"/>
          <w:highlight w:val="none"/>
        </w:rPr>
      </w:pPr>
      <w:r>
        <w:rPr>
          <w:rFonts w:ascii="宋体" w:hAnsi="宋体"/>
          <w:spacing w:val="6"/>
          <w:sz w:val="24"/>
          <w:szCs w:val="24"/>
          <w:highlight w:val="none"/>
        </w:rPr>
        <w:t>本公司(联合体)郑重声明，根据《政府采购促进中小企业发展管理办法》(财库〔2020〕46 号)的规定，本公司(联合体)参加(</w:t>
      </w:r>
      <w:r>
        <w:rPr>
          <w:rFonts w:ascii="宋体" w:hAnsi="宋体"/>
          <w:spacing w:val="6"/>
          <w:sz w:val="24"/>
          <w:szCs w:val="24"/>
          <w:highlight w:val="none"/>
          <w:u w:val="single"/>
        </w:rPr>
        <w:t>采</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购</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人</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)的(</w:t>
      </w:r>
      <w:r>
        <w:rPr>
          <w:rFonts w:ascii="宋体" w:hAnsi="宋体"/>
          <w:spacing w:val="6"/>
          <w:sz w:val="24"/>
          <w:szCs w:val="24"/>
          <w:highlight w:val="none"/>
          <w:u w:val="single"/>
        </w:rPr>
        <w:t>项</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目</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)采购活动，服务全部由符合政策要求的中小企业承接。相关企业(含联合体中的中小企业)的具体情况如下:</w:t>
      </w:r>
    </w:p>
    <w:p>
      <w:pPr>
        <w:spacing w:line="360" w:lineRule="auto"/>
        <w:ind w:firstLine="504" w:firstLineChars="200"/>
        <w:rPr>
          <w:rFonts w:ascii="宋体" w:hAnsi="宋体"/>
          <w:spacing w:val="6"/>
          <w:sz w:val="24"/>
          <w:szCs w:val="24"/>
          <w:highlight w:val="none"/>
        </w:rPr>
      </w:pPr>
      <w:r>
        <w:rPr>
          <w:rFonts w:ascii="宋体" w:hAnsi="宋体"/>
          <w:spacing w:val="6"/>
          <w:sz w:val="24"/>
          <w:szCs w:val="24"/>
          <w:highlight w:val="none"/>
        </w:rPr>
        <w:t>1.(</w:t>
      </w:r>
      <w:r>
        <w:rPr>
          <w:rFonts w:ascii="宋体" w:hAnsi="宋体"/>
          <w:spacing w:val="6"/>
          <w:sz w:val="24"/>
          <w:szCs w:val="24"/>
          <w:highlight w:val="none"/>
          <w:u w:val="single"/>
        </w:rPr>
        <w:t>标</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的</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 ，属于(</w:t>
      </w:r>
      <w:r>
        <w:rPr>
          <w:rFonts w:ascii="宋体" w:hAnsi="宋体"/>
          <w:spacing w:val="6"/>
          <w:sz w:val="24"/>
          <w:szCs w:val="24"/>
          <w:highlight w:val="none"/>
          <w:u w:val="single"/>
        </w:rPr>
        <w:t>采购文件中明确的所属行业</w:t>
      </w:r>
      <w:r>
        <w:rPr>
          <w:rFonts w:ascii="宋体" w:hAnsi="宋体"/>
          <w:spacing w:val="6"/>
          <w:sz w:val="24"/>
          <w:szCs w:val="24"/>
          <w:highlight w:val="none"/>
        </w:rPr>
        <w:t>);承接企业为(</w:t>
      </w:r>
      <w:r>
        <w:rPr>
          <w:rFonts w:ascii="宋体" w:hAnsi="宋体"/>
          <w:spacing w:val="6"/>
          <w:sz w:val="24"/>
          <w:szCs w:val="24"/>
          <w:highlight w:val="none"/>
          <w:u w:val="single"/>
        </w:rPr>
        <w:t>企</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业</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)，从业人员</w:t>
      </w:r>
      <w:r>
        <w:rPr>
          <w:rFonts w:hint="eastAsia" w:ascii="宋体" w:hAnsi="宋体"/>
          <w:spacing w:val="6"/>
          <w:sz w:val="24"/>
          <w:szCs w:val="24"/>
          <w:highlight w:val="none"/>
          <w:u w:val="single"/>
        </w:rPr>
        <w:t xml:space="preserve">     </w:t>
      </w:r>
      <w:r>
        <w:rPr>
          <w:rFonts w:ascii="宋体" w:hAnsi="宋体"/>
          <w:spacing w:val="6"/>
          <w:sz w:val="24"/>
          <w:szCs w:val="24"/>
          <w:highlight w:val="none"/>
        </w:rPr>
        <w:t>人，营业收入为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万元，资产总额为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万元，属于(中型企业、小型企业、微型企业);</w:t>
      </w:r>
    </w:p>
    <w:p>
      <w:pPr>
        <w:spacing w:line="360" w:lineRule="auto"/>
        <w:ind w:firstLine="504" w:firstLineChars="200"/>
        <w:rPr>
          <w:rFonts w:ascii="宋体" w:hAnsi="宋体"/>
          <w:spacing w:val="6"/>
          <w:sz w:val="24"/>
          <w:szCs w:val="24"/>
          <w:highlight w:val="none"/>
        </w:rPr>
      </w:pPr>
      <w:r>
        <w:rPr>
          <w:rFonts w:hint="eastAsia" w:ascii="宋体" w:hAnsi="宋体"/>
          <w:spacing w:val="6"/>
          <w:sz w:val="24"/>
          <w:szCs w:val="24"/>
          <w:highlight w:val="none"/>
        </w:rPr>
        <w:t>2</w:t>
      </w:r>
      <w:r>
        <w:rPr>
          <w:rFonts w:ascii="宋体" w:hAnsi="宋体"/>
          <w:spacing w:val="6"/>
          <w:sz w:val="24"/>
          <w:szCs w:val="24"/>
          <w:highlight w:val="none"/>
        </w:rPr>
        <w:t>.(</w:t>
      </w:r>
      <w:r>
        <w:rPr>
          <w:rFonts w:ascii="宋体" w:hAnsi="宋体"/>
          <w:spacing w:val="6"/>
          <w:sz w:val="24"/>
          <w:szCs w:val="24"/>
          <w:highlight w:val="none"/>
          <w:u w:val="single"/>
        </w:rPr>
        <w:t>标</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的</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 ，属于(</w:t>
      </w:r>
      <w:r>
        <w:rPr>
          <w:rFonts w:ascii="宋体" w:hAnsi="宋体"/>
          <w:spacing w:val="6"/>
          <w:sz w:val="24"/>
          <w:szCs w:val="24"/>
          <w:highlight w:val="none"/>
          <w:u w:val="single"/>
        </w:rPr>
        <w:t>采购文件中明确的所属行业</w:t>
      </w:r>
      <w:r>
        <w:rPr>
          <w:rFonts w:ascii="宋体" w:hAnsi="宋体"/>
          <w:spacing w:val="6"/>
          <w:sz w:val="24"/>
          <w:szCs w:val="24"/>
          <w:highlight w:val="none"/>
        </w:rPr>
        <w:t>);承接企业为(</w:t>
      </w:r>
      <w:r>
        <w:rPr>
          <w:rFonts w:ascii="宋体" w:hAnsi="宋体"/>
          <w:spacing w:val="6"/>
          <w:sz w:val="24"/>
          <w:szCs w:val="24"/>
          <w:highlight w:val="none"/>
          <w:u w:val="single"/>
        </w:rPr>
        <w:t>企</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业</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)，从业人员</w:t>
      </w:r>
      <w:r>
        <w:rPr>
          <w:rFonts w:hint="eastAsia" w:ascii="宋体" w:hAnsi="宋体"/>
          <w:spacing w:val="6"/>
          <w:sz w:val="24"/>
          <w:szCs w:val="24"/>
          <w:highlight w:val="none"/>
          <w:u w:val="single"/>
        </w:rPr>
        <w:t xml:space="preserve">     </w:t>
      </w:r>
      <w:r>
        <w:rPr>
          <w:rFonts w:ascii="宋体" w:hAnsi="宋体"/>
          <w:spacing w:val="6"/>
          <w:sz w:val="24"/>
          <w:szCs w:val="24"/>
          <w:highlight w:val="none"/>
        </w:rPr>
        <w:t>人，营业收入为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万元，资产总额为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万元，属于(中型企业、小型企业、微型企业);</w:t>
      </w:r>
    </w:p>
    <w:p>
      <w:pPr>
        <w:spacing w:before="480" w:beforeLines="200"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以上企业，不属于大企业的分支机构，不存在控股股东为大企业的情形，也不存在与大企业的负责人为同一人的情形。</w:t>
      </w:r>
    </w:p>
    <w:p>
      <w:pPr>
        <w:spacing w:before="480" w:beforeLines="200"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pPr>
        <w:spacing w:line="480" w:lineRule="auto"/>
        <w:jc w:val="left"/>
        <w:outlineLvl w:val="9"/>
        <w:rPr>
          <w:rFonts w:hint="eastAsia" w:ascii="宋体" w:hAnsi="宋体" w:eastAsia="宋体" w:cs="宋体"/>
          <w:b w:val="0"/>
          <w:bCs w:val="0"/>
          <w:color w:val="auto"/>
          <w:sz w:val="24"/>
          <w:szCs w:val="24"/>
          <w:highlight w:val="none"/>
          <w:lang w:val="en-US" w:eastAsia="zh-CN"/>
        </w:rPr>
      </w:pPr>
    </w:p>
    <w:p>
      <w:pPr>
        <w:spacing w:line="480" w:lineRule="auto"/>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bookmarkEnd w:id="278"/>
    <w:bookmarkEnd w:id="279"/>
    <w:p>
      <w:pPr>
        <w:pStyle w:val="8"/>
        <w:spacing w:before="0" w:line="520" w:lineRule="exact"/>
        <w:ind w:firstLine="0" w:firstLineChars="0"/>
        <w:outlineLvl w:val="0"/>
        <w:rPr>
          <w:rFonts w:hint="eastAsia" w:ascii="宋体" w:hAnsi="宋体" w:eastAsia="宋体" w:cs="宋体"/>
          <w:color w:val="auto"/>
          <w:sz w:val="24"/>
          <w:szCs w:val="24"/>
          <w:highlight w:val="none"/>
          <w:lang w:val="en-US" w:eastAsia="zh-CN"/>
        </w:rPr>
      </w:pPr>
      <w:bookmarkStart w:id="280" w:name="_Toc11826"/>
      <w:bookmarkStart w:id="281" w:name="_Toc21592"/>
      <w:r>
        <w:rPr>
          <w:rFonts w:hint="eastAsia" w:ascii="宋体" w:hAnsi="宋体" w:eastAsia="宋体" w:cs="宋体"/>
          <w:color w:val="auto"/>
          <w:sz w:val="24"/>
          <w:szCs w:val="24"/>
          <w:highlight w:val="none"/>
          <w:lang w:val="en-US" w:eastAsia="zh-CN"/>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bookmarkEnd w:id="280"/>
      <w:bookmarkEnd w:id="281"/>
    </w:p>
    <w:p>
      <w:pPr>
        <w:pStyle w:val="8"/>
        <w:spacing w:before="0" w:line="520" w:lineRule="exact"/>
        <w:ind w:firstLine="0" w:firstLineChars="0"/>
        <w:jc w:val="center"/>
        <w:outlineLvl w:val="0"/>
        <w:rPr>
          <w:rFonts w:hint="eastAsia" w:ascii="宋体" w:hAnsi="宋体" w:eastAsia="宋体" w:cs="宋体"/>
          <w:color w:val="auto"/>
          <w:sz w:val="24"/>
          <w:szCs w:val="24"/>
          <w:highlight w:val="none"/>
          <w:lang w:eastAsia="zh-CN"/>
        </w:rPr>
      </w:pPr>
      <w:bookmarkStart w:id="282" w:name="_Toc94"/>
      <w:bookmarkStart w:id="283" w:name="_Toc17249"/>
      <w:r>
        <w:rPr>
          <w:rFonts w:hint="eastAsia" w:ascii="宋体" w:hAnsi="宋体" w:eastAsia="宋体" w:cs="宋体"/>
          <w:color w:val="auto"/>
          <w:sz w:val="24"/>
          <w:szCs w:val="24"/>
          <w:highlight w:val="none"/>
        </w:rPr>
        <w:t>《残疾人福利性单位声明函》</w:t>
      </w:r>
      <w:r>
        <w:rPr>
          <w:rFonts w:hint="eastAsia" w:ascii="宋体" w:hAnsi="宋体" w:eastAsia="宋体" w:cs="宋体"/>
          <w:color w:val="auto"/>
          <w:sz w:val="24"/>
          <w:szCs w:val="24"/>
          <w:highlight w:val="none"/>
          <w:lang w:eastAsia="zh-CN"/>
        </w:rPr>
        <w:t>（格式）</w:t>
      </w:r>
      <w:bookmarkEnd w:id="282"/>
      <w:bookmarkEnd w:id="283"/>
    </w:p>
    <w:p>
      <w:pPr>
        <w:spacing w:line="520" w:lineRule="exact"/>
        <w:ind w:firstLine="108" w:firstLineChars="45"/>
        <w:jc w:val="center"/>
        <w:outlineLvl w:val="0"/>
        <w:rPr>
          <w:rFonts w:hint="eastAsia" w:ascii="宋体" w:hAnsi="宋体" w:eastAsia="宋体" w:cs="宋体"/>
          <w:b/>
          <w:color w:val="auto"/>
          <w:sz w:val="24"/>
          <w:szCs w:val="24"/>
          <w:highlight w:val="none"/>
          <w:lang w:eastAsia="zh-CN"/>
        </w:rPr>
      </w:pPr>
      <w:bookmarkStart w:id="284" w:name="_Toc5725"/>
      <w:bookmarkStart w:id="285" w:name="_Toc26383"/>
      <w:bookmarkStart w:id="286" w:name="OLE_LINK14"/>
      <w:r>
        <w:rPr>
          <w:rFonts w:hint="eastAsia" w:ascii="宋体" w:hAnsi="宋体" w:eastAsia="宋体" w:cs="宋体"/>
          <w:b/>
          <w:color w:val="auto"/>
          <w:sz w:val="24"/>
          <w:szCs w:val="24"/>
          <w:highlight w:val="none"/>
        </w:rPr>
        <w:t>残疾人福利性单位声明函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非残疾人福利性单位不填</w:t>
      </w:r>
      <w:r>
        <w:rPr>
          <w:rFonts w:hint="eastAsia" w:ascii="宋体" w:hAnsi="宋体" w:eastAsia="宋体" w:cs="宋体"/>
          <w:b/>
          <w:color w:val="auto"/>
          <w:sz w:val="24"/>
          <w:szCs w:val="24"/>
          <w:highlight w:val="none"/>
          <w:lang w:eastAsia="zh-CN"/>
        </w:rPr>
        <w:t>）</w:t>
      </w:r>
      <w:bookmarkEnd w:id="284"/>
      <w:bookmarkEnd w:id="285"/>
    </w:p>
    <w:bookmarkEnd w:id="286"/>
    <w:p>
      <w:pPr>
        <w:spacing w:line="520" w:lineRule="exact"/>
        <w:ind w:firstLine="0" w:firstLineChars="0"/>
        <w:rPr>
          <w:rFonts w:hint="eastAsia" w:ascii="宋体" w:hAnsi="宋体" w:eastAsia="宋体" w:cs="宋体"/>
          <w:b/>
          <w:color w:val="auto"/>
          <w:sz w:val="24"/>
          <w:szCs w:val="24"/>
          <w:highlight w:val="none"/>
        </w:rPr>
      </w:pP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若内容属实，请附相关部门证明文件，加盖公章。</w:t>
      </w:r>
    </w:p>
    <w:p>
      <w:pPr>
        <w:spacing w:line="520" w:lineRule="exact"/>
        <w:ind w:firstLine="640"/>
        <w:jc w:val="center"/>
        <w:rPr>
          <w:rFonts w:hint="eastAsia" w:ascii="宋体" w:hAnsi="宋体" w:eastAsia="宋体" w:cs="宋体"/>
          <w:color w:val="auto"/>
          <w:sz w:val="24"/>
          <w:szCs w:val="24"/>
          <w:highlight w:val="none"/>
        </w:rPr>
      </w:pPr>
    </w:p>
    <w:p>
      <w:pPr>
        <w:spacing w:line="520" w:lineRule="exact"/>
        <w:ind w:firstLine="640"/>
        <w:jc w:val="center"/>
        <w:rPr>
          <w:rFonts w:hint="eastAsia" w:ascii="宋体" w:hAnsi="宋体" w:eastAsia="宋体" w:cs="宋体"/>
          <w:color w:val="auto"/>
          <w:sz w:val="24"/>
          <w:szCs w:val="24"/>
          <w:highlight w:val="none"/>
        </w:rPr>
      </w:pPr>
    </w:p>
    <w:p>
      <w:pPr>
        <w:spacing w:line="520" w:lineRule="exact"/>
        <w:ind w:firstLine="640"/>
        <w:jc w:val="center"/>
        <w:rPr>
          <w:rFonts w:hint="eastAsia" w:ascii="宋体" w:hAnsi="宋体" w:eastAsia="宋体" w:cs="宋体"/>
          <w:color w:val="auto"/>
          <w:sz w:val="24"/>
          <w:szCs w:val="24"/>
          <w:highlight w:val="none"/>
        </w:rPr>
      </w:pPr>
    </w:p>
    <w:p>
      <w:pPr>
        <w:spacing w:line="520" w:lineRule="exact"/>
        <w:ind w:firstLine="640"/>
        <w:jc w:val="cente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1260" w:leftChars="0"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ind w:left="126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spacing w:line="480" w:lineRule="auto"/>
        <w:ind w:left="0" w:leftChars="0" w:firstLine="0" w:firstLineChars="0"/>
        <w:rPr>
          <w:rFonts w:hint="eastAsia" w:ascii="宋体" w:hAnsi="宋体" w:eastAsia="宋体" w:cs="宋体"/>
          <w:color w:val="auto"/>
          <w:sz w:val="24"/>
          <w:szCs w:val="24"/>
          <w:highlight w:val="none"/>
          <w:lang w:val="en-US" w:eastAsia="zh-CN"/>
        </w:rPr>
        <w:sectPr>
          <w:footerReference r:id="rId14" w:type="first"/>
          <w:headerReference r:id="rId12" w:type="default"/>
          <w:footerReference r:id="rId13"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docGrid w:type="lines" w:linePitch="314" w:charSpace="0"/>
        </w:sectPr>
      </w:pPr>
    </w:p>
    <w:p>
      <w:pPr>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w:t>
      </w:r>
    </w:p>
    <w:p>
      <w:pPr>
        <w:ind w:left="0" w:leftChars="0" w:firstLine="0" w:firstLineChars="0"/>
        <w:jc w:val="center"/>
        <w:outlineLvl w:val="0"/>
        <w:rPr>
          <w:rFonts w:hint="eastAsia" w:ascii="宋体" w:hAnsi="宋体" w:eastAsia="宋体" w:cs="宋体"/>
          <w:b/>
          <w:bCs/>
          <w:color w:val="auto"/>
          <w:kern w:val="2"/>
          <w:sz w:val="24"/>
          <w:szCs w:val="24"/>
          <w:highlight w:val="none"/>
          <w:lang w:val="en-US" w:eastAsia="zh-CN" w:bidi="ar-SA"/>
        </w:rPr>
      </w:pPr>
      <w:bookmarkStart w:id="287" w:name="_Toc8833"/>
      <w:bookmarkStart w:id="288" w:name="_Toc6047"/>
      <w:r>
        <w:rPr>
          <w:rFonts w:hint="eastAsia" w:ascii="宋体" w:hAnsi="宋体" w:eastAsia="宋体" w:cs="宋体"/>
          <w:b/>
          <w:bCs/>
          <w:color w:val="auto"/>
          <w:kern w:val="2"/>
          <w:sz w:val="24"/>
          <w:szCs w:val="24"/>
          <w:highlight w:val="none"/>
          <w:lang w:val="en-US" w:eastAsia="zh-CN" w:bidi="ar-SA"/>
        </w:rPr>
        <w:t>《监狱企业证明文件》（格式）</w:t>
      </w:r>
      <w:bookmarkEnd w:id="287"/>
      <w:bookmarkEnd w:id="288"/>
    </w:p>
    <w:p>
      <w:pPr>
        <w:tabs>
          <w:tab w:val="left" w:pos="4860"/>
        </w:tabs>
        <w:spacing w:line="588" w:lineRule="exact"/>
        <w:ind w:right="156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pPr>
        <w:tabs>
          <w:tab w:val="left" w:pos="4860"/>
        </w:tabs>
        <w:spacing w:line="588" w:lineRule="exact"/>
        <w:ind w:right="1560"/>
        <w:jc w:val="center"/>
        <w:outlineLvl w:val="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bookmarkStart w:id="289" w:name="_Toc30904"/>
      <w:bookmarkStart w:id="290" w:name="_Toc10551"/>
      <w:r>
        <w:rPr>
          <w:rFonts w:hint="eastAsia" w:ascii="宋体" w:hAnsi="宋体" w:eastAsia="宋体" w:cs="宋体"/>
          <w:b/>
          <w:bCs/>
          <w:color w:val="auto"/>
          <w:sz w:val="24"/>
          <w:szCs w:val="24"/>
          <w:highlight w:val="none"/>
        </w:rPr>
        <w:t>监狱企业证明文件</w:t>
      </w:r>
      <w:r>
        <w:rPr>
          <w:rFonts w:hint="eastAsia" w:ascii="宋体" w:hAnsi="宋体" w:eastAsia="宋体" w:cs="宋体"/>
          <w:b/>
          <w:color w:val="auto"/>
          <w:sz w:val="24"/>
          <w:szCs w:val="24"/>
          <w:highlight w:val="none"/>
        </w:rPr>
        <w:t>（非监狱企业单位不填）</w:t>
      </w:r>
      <w:bookmarkEnd w:id="289"/>
      <w:bookmarkEnd w:id="290"/>
    </w:p>
    <w:p>
      <w:pPr>
        <w:spacing w:line="520" w:lineRule="exact"/>
        <w:ind w:firstLine="560"/>
        <w:rPr>
          <w:rFonts w:hint="eastAsia" w:ascii="宋体" w:hAnsi="宋体" w:eastAsia="宋体" w:cs="宋体"/>
          <w:color w:val="auto"/>
          <w:sz w:val="24"/>
          <w:szCs w:val="24"/>
          <w:highlight w:val="none"/>
        </w:rPr>
      </w:pP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说明：根据《关于政府采购支持监狱企业发展有关问题的通知》（财库〔2014〕68号）的规定，监狱企业参加政府采购活动时，应当提供由省级以上监狱管理局、戒毒管理局（含新疆生产建设兵团）出具的属于监狱企业的证明文件。</w:t>
      </w:r>
    </w:p>
    <w:p>
      <w:pPr>
        <w:spacing w:line="480" w:lineRule="auto"/>
        <w:ind w:firstLine="2160" w:firstLineChars="900"/>
        <w:jc w:val="left"/>
        <w:outlineLvl w:val="9"/>
        <w:rPr>
          <w:rFonts w:hint="eastAsia" w:ascii="宋体" w:hAnsi="宋体" w:eastAsia="宋体" w:cs="宋体"/>
          <w:b w:val="0"/>
          <w:bCs w:val="0"/>
          <w:color w:val="auto"/>
          <w:sz w:val="24"/>
          <w:szCs w:val="24"/>
          <w:highlight w:val="none"/>
          <w:lang w:val="en-US" w:eastAsia="zh-CN"/>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lang w:val="en-US" w:eastAsia="zh-CN"/>
        </w:rPr>
      </w:pPr>
    </w:p>
    <w:p>
      <w:pPr>
        <w:pStyle w:val="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2"/>
        <w:rPr>
          <w:rFonts w:hint="eastAsia" w:ascii="宋体" w:hAnsi="宋体" w:eastAsia="宋体" w:cs="宋体"/>
          <w:b w:val="0"/>
          <w:bCs w:val="0"/>
          <w:color w:val="auto"/>
          <w:sz w:val="24"/>
          <w:szCs w:val="24"/>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1260" w:leftChars="0"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ind w:left="1260" w:leftChars="0" w:firstLine="960" w:firstLineChars="4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u w:val="single"/>
          <w:lang w:val="zh-CN" w:eastAsia="zh-CN"/>
        </w:rPr>
        <w:br w:type="page"/>
      </w:r>
    </w:p>
    <w:bookmarkEnd w:id="273"/>
    <w:p>
      <w:pPr>
        <w:pStyle w:val="8"/>
        <w:spacing w:before="0" w:line="520" w:lineRule="exact"/>
        <w:ind w:firstLine="0" w:firstLineChars="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w:t>
      </w:r>
      <w:bookmarkStart w:id="291" w:name="OLE_LINK105"/>
      <w:r>
        <w:rPr>
          <w:rFonts w:hint="eastAsia" w:ascii="宋体" w:hAnsi="宋体" w:eastAsia="宋体" w:cs="宋体"/>
          <w:b/>
          <w:bCs/>
          <w:color w:val="auto"/>
          <w:kern w:val="2"/>
          <w:sz w:val="24"/>
          <w:szCs w:val="24"/>
          <w:highlight w:val="none"/>
          <w:lang w:val="en-US" w:eastAsia="zh-CN" w:bidi="ar-SA"/>
        </w:rPr>
        <w:t>供应商需要补充说明的事宜</w:t>
      </w:r>
      <w:bookmarkEnd w:id="291"/>
    </w:p>
    <w:p>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480" w:firstLineChars="200"/>
        <w:jc w:val="both"/>
        <w:textAlignment w:val="baseline"/>
        <w:rPr>
          <w:rFonts w:hint="default" w:ascii="宋体" w:hAnsi="宋体" w:eastAsia="宋体" w:cs="宋体"/>
          <w:b/>
          <w:bCs/>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业绩</w:t>
      </w:r>
    </w:p>
    <w:p>
      <w:pPr>
        <w:keepNext w:val="0"/>
        <w:keepLines w:val="0"/>
        <w:pageBreakBefore w:val="0"/>
        <w:wordWrap/>
        <w:overflowPunct/>
        <w:topLinePunct w:val="0"/>
        <w:bidi w:val="0"/>
        <w:ind w:left="0" w:leftChars="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供应商其它补充材料；</w:t>
      </w:r>
    </w:p>
    <w:p>
      <w:pPr>
        <w:ind w:left="0" w:leftChars="0" w:firstLine="0" w:firstLineChars="0"/>
        <w:rPr>
          <w:rFonts w:hint="eastAsia"/>
          <w:highlight w:val="none"/>
          <w:lang w:val="zh-CN" w:eastAsia="zh-CN"/>
        </w:rPr>
      </w:pPr>
    </w:p>
    <w:sectPr>
      <w:footerReference r:id="rId17" w:type="first"/>
      <w:headerReference r:id="rId15" w:type="default"/>
      <w:footerReference r:id="rId16"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rtlGutter w:val="0"/>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8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80</w:t>
                    </w:r>
                    <w:r>
                      <w:fldChar w:fldCharType="end"/>
                    </w:r>
                  </w:p>
                </w:txbxContent>
              </v:textbox>
            </v:shape>
          </w:pict>
        </mc:Fallback>
      </mc:AlternateContent>
    </w:r>
  </w:p>
  <w:p>
    <w:pPr>
      <w:pStyle w:val="19"/>
      <w:ind w:firstLine="0" w:firstLineChars="0"/>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
      </w:pBdr>
      <w:tabs>
        <w:tab w:val="clear" w:pos="4153"/>
      </w:tabs>
      <w:ind w:left="0" w:leftChars="0" w:firstLine="0" w:firstLineChars="0"/>
      <w:jc w:val="center"/>
      <w:rPr>
        <w:rFonts w:hint="default" w:eastAsia="宋体"/>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
      </w:pBdr>
      <w:tabs>
        <w:tab w:val="clear" w:pos="4153"/>
      </w:tabs>
      <w:ind w:left="0" w:leftChars="0" w:firstLine="0" w:firstLineChars="0"/>
      <w:jc w:val="center"/>
      <w:rPr>
        <w:rFonts w:hint="default" w:eastAsia="宋体"/>
        <w:sz w:val="18"/>
        <w:szCs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
      </w:pBdr>
      <w:tabs>
        <w:tab w:val="clear" w:pos="4153"/>
      </w:tabs>
      <w:ind w:left="0" w:leftChars="0" w:firstLine="0" w:firstLineChars="0"/>
      <w:jc w:val="center"/>
      <w:rPr>
        <w:rFonts w:hint="default" w:eastAsia="宋体"/>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41E4"/>
    <w:multiLevelType w:val="singleLevel"/>
    <w:tmpl w:val="AF4D41E4"/>
    <w:lvl w:ilvl="0" w:tentative="0">
      <w:start w:val="1"/>
      <w:numFmt w:val="chineseCounting"/>
      <w:suff w:val="nothing"/>
      <w:lvlText w:val="%1、"/>
      <w:lvlJc w:val="left"/>
      <w:rPr>
        <w:rFonts w:hint="eastAsia"/>
      </w:rPr>
    </w:lvl>
  </w:abstractNum>
  <w:abstractNum w:abstractNumId="1">
    <w:nsid w:val="E73E327E"/>
    <w:multiLevelType w:val="singleLevel"/>
    <w:tmpl w:val="E73E327E"/>
    <w:lvl w:ilvl="0" w:tentative="0">
      <w:start w:val="2"/>
      <w:numFmt w:val="chineseCounting"/>
      <w:suff w:val="nothing"/>
      <w:lvlText w:val="第%1部分、"/>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4593FBAD"/>
    <w:multiLevelType w:val="singleLevel"/>
    <w:tmpl w:val="4593FBAD"/>
    <w:lvl w:ilvl="0" w:tentative="0">
      <w:start w:val="5"/>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YjY3ZGEzODIzMWFmZjgwMjc1N2I0NWVhNjNlMDIifQ=="/>
    <w:docVar w:name="KSO_WPS_MARK_KEY" w:val="d9a151b2-dc9e-4079-9416-5e283ac8d33b"/>
  </w:docVars>
  <w:rsids>
    <w:rsidRoot w:val="00172A27"/>
    <w:rsid w:val="00000BDA"/>
    <w:rsid w:val="00002CD1"/>
    <w:rsid w:val="00005402"/>
    <w:rsid w:val="00005941"/>
    <w:rsid w:val="00041AD1"/>
    <w:rsid w:val="00050743"/>
    <w:rsid w:val="00060C6A"/>
    <w:rsid w:val="0007201D"/>
    <w:rsid w:val="00074FB2"/>
    <w:rsid w:val="000861CB"/>
    <w:rsid w:val="000A1970"/>
    <w:rsid w:val="000A7932"/>
    <w:rsid w:val="000A7D2E"/>
    <w:rsid w:val="000C03F2"/>
    <w:rsid w:val="000C6E28"/>
    <w:rsid w:val="000E7B1F"/>
    <w:rsid w:val="000F08FD"/>
    <w:rsid w:val="0010612A"/>
    <w:rsid w:val="00124BD9"/>
    <w:rsid w:val="00125131"/>
    <w:rsid w:val="00132B75"/>
    <w:rsid w:val="00134908"/>
    <w:rsid w:val="00160607"/>
    <w:rsid w:val="0018278B"/>
    <w:rsid w:val="0019212A"/>
    <w:rsid w:val="001A08C7"/>
    <w:rsid w:val="001A2911"/>
    <w:rsid w:val="001E6339"/>
    <w:rsid w:val="002001D9"/>
    <w:rsid w:val="002113E9"/>
    <w:rsid w:val="00230734"/>
    <w:rsid w:val="00246844"/>
    <w:rsid w:val="002601E6"/>
    <w:rsid w:val="0028098F"/>
    <w:rsid w:val="0028137B"/>
    <w:rsid w:val="00294527"/>
    <w:rsid w:val="002A20FC"/>
    <w:rsid w:val="002A246C"/>
    <w:rsid w:val="002A3F8D"/>
    <w:rsid w:val="002C1130"/>
    <w:rsid w:val="002D2BE7"/>
    <w:rsid w:val="002E3D95"/>
    <w:rsid w:val="002E433D"/>
    <w:rsid w:val="002E7E18"/>
    <w:rsid w:val="002F111D"/>
    <w:rsid w:val="00307653"/>
    <w:rsid w:val="00320926"/>
    <w:rsid w:val="00327E85"/>
    <w:rsid w:val="00331505"/>
    <w:rsid w:val="00331D34"/>
    <w:rsid w:val="00334112"/>
    <w:rsid w:val="0033589A"/>
    <w:rsid w:val="003423CC"/>
    <w:rsid w:val="00345B9C"/>
    <w:rsid w:val="0035116F"/>
    <w:rsid w:val="00361B45"/>
    <w:rsid w:val="00372347"/>
    <w:rsid w:val="0038723E"/>
    <w:rsid w:val="00387C8F"/>
    <w:rsid w:val="003A05F7"/>
    <w:rsid w:val="003A2314"/>
    <w:rsid w:val="003B2319"/>
    <w:rsid w:val="003D33A2"/>
    <w:rsid w:val="003F1738"/>
    <w:rsid w:val="0040047B"/>
    <w:rsid w:val="0043289F"/>
    <w:rsid w:val="004362EF"/>
    <w:rsid w:val="00451AE4"/>
    <w:rsid w:val="004544EC"/>
    <w:rsid w:val="00455D04"/>
    <w:rsid w:val="00466DC3"/>
    <w:rsid w:val="004860ED"/>
    <w:rsid w:val="004951F6"/>
    <w:rsid w:val="004A0673"/>
    <w:rsid w:val="004B4FCB"/>
    <w:rsid w:val="004F06D1"/>
    <w:rsid w:val="004F6FA9"/>
    <w:rsid w:val="00521053"/>
    <w:rsid w:val="00524B6E"/>
    <w:rsid w:val="00530FE9"/>
    <w:rsid w:val="00532C50"/>
    <w:rsid w:val="005577B6"/>
    <w:rsid w:val="00560718"/>
    <w:rsid w:val="005840EF"/>
    <w:rsid w:val="005A3C06"/>
    <w:rsid w:val="005A69AD"/>
    <w:rsid w:val="005B009E"/>
    <w:rsid w:val="005E456F"/>
    <w:rsid w:val="00602F3F"/>
    <w:rsid w:val="006061B9"/>
    <w:rsid w:val="00610AC5"/>
    <w:rsid w:val="006174F8"/>
    <w:rsid w:val="00627516"/>
    <w:rsid w:val="006617C5"/>
    <w:rsid w:val="00662F33"/>
    <w:rsid w:val="0067732F"/>
    <w:rsid w:val="006A06DE"/>
    <w:rsid w:val="006A1CB2"/>
    <w:rsid w:val="006C50AA"/>
    <w:rsid w:val="006C54AB"/>
    <w:rsid w:val="006E0A8C"/>
    <w:rsid w:val="006E2AED"/>
    <w:rsid w:val="006E4218"/>
    <w:rsid w:val="006E6865"/>
    <w:rsid w:val="00712198"/>
    <w:rsid w:val="00712B43"/>
    <w:rsid w:val="00717707"/>
    <w:rsid w:val="00720F21"/>
    <w:rsid w:val="007236A0"/>
    <w:rsid w:val="00724B84"/>
    <w:rsid w:val="00737E15"/>
    <w:rsid w:val="007401D7"/>
    <w:rsid w:val="00740D02"/>
    <w:rsid w:val="00740DCB"/>
    <w:rsid w:val="00757B3F"/>
    <w:rsid w:val="00785329"/>
    <w:rsid w:val="007A4E72"/>
    <w:rsid w:val="007B79E8"/>
    <w:rsid w:val="007D13A0"/>
    <w:rsid w:val="007E16D8"/>
    <w:rsid w:val="007E60B7"/>
    <w:rsid w:val="007F095D"/>
    <w:rsid w:val="00803ED0"/>
    <w:rsid w:val="0081040F"/>
    <w:rsid w:val="00820218"/>
    <w:rsid w:val="00830209"/>
    <w:rsid w:val="00841FF9"/>
    <w:rsid w:val="0085027D"/>
    <w:rsid w:val="008570B9"/>
    <w:rsid w:val="00884235"/>
    <w:rsid w:val="008876E9"/>
    <w:rsid w:val="00887BC2"/>
    <w:rsid w:val="008960F8"/>
    <w:rsid w:val="008967D6"/>
    <w:rsid w:val="008A0690"/>
    <w:rsid w:val="008A618E"/>
    <w:rsid w:val="008A65CB"/>
    <w:rsid w:val="008B3CAD"/>
    <w:rsid w:val="008C4F70"/>
    <w:rsid w:val="008D34F5"/>
    <w:rsid w:val="008D3BEE"/>
    <w:rsid w:val="008F5DB4"/>
    <w:rsid w:val="00901FC6"/>
    <w:rsid w:val="009117AB"/>
    <w:rsid w:val="00934DBB"/>
    <w:rsid w:val="00942892"/>
    <w:rsid w:val="0095226B"/>
    <w:rsid w:val="00955EB6"/>
    <w:rsid w:val="009579D5"/>
    <w:rsid w:val="00971089"/>
    <w:rsid w:val="009837BE"/>
    <w:rsid w:val="00990A3C"/>
    <w:rsid w:val="0099397D"/>
    <w:rsid w:val="00996E4B"/>
    <w:rsid w:val="009A0920"/>
    <w:rsid w:val="009A26E0"/>
    <w:rsid w:val="009B39C2"/>
    <w:rsid w:val="009B6A54"/>
    <w:rsid w:val="009E3B5D"/>
    <w:rsid w:val="009E4E26"/>
    <w:rsid w:val="009F7EC1"/>
    <w:rsid w:val="00A07571"/>
    <w:rsid w:val="00A10558"/>
    <w:rsid w:val="00A11A32"/>
    <w:rsid w:val="00A305F7"/>
    <w:rsid w:val="00A323B6"/>
    <w:rsid w:val="00A33C90"/>
    <w:rsid w:val="00A36836"/>
    <w:rsid w:val="00A42CB1"/>
    <w:rsid w:val="00A50A7C"/>
    <w:rsid w:val="00A51653"/>
    <w:rsid w:val="00AB7CB8"/>
    <w:rsid w:val="00AC0F23"/>
    <w:rsid w:val="00AC483C"/>
    <w:rsid w:val="00AD3BA4"/>
    <w:rsid w:val="00AE3A1C"/>
    <w:rsid w:val="00AF08C0"/>
    <w:rsid w:val="00AF1562"/>
    <w:rsid w:val="00AF72D5"/>
    <w:rsid w:val="00B174FD"/>
    <w:rsid w:val="00B54299"/>
    <w:rsid w:val="00B62E1E"/>
    <w:rsid w:val="00B63A3B"/>
    <w:rsid w:val="00B64495"/>
    <w:rsid w:val="00B6561D"/>
    <w:rsid w:val="00B71BDB"/>
    <w:rsid w:val="00B7651D"/>
    <w:rsid w:val="00BA1937"/>
    <w:rsid w:val="00BA74AA"/>
    <w:rsid w:val="00BA77C7"/>
    <w:rsid w:val="00C0350C"/>
    <w:rsid w:val="00C05FA6"/>
    <w:rsid w:val="00C07976"/>
    <w:rsid w:val="00C14AB4"/>
    <w:rsid w:val="00C369DD"/>
    <w:rsid w:val="00C85278"/>
    <w:rsid w:val="00C937B8"/>
    <w:rsid w:val="00CB2895"/>
    <w:rsid w:val="00CC7C85"/>
    <w:rsid w:val="00CD635D"/>
    <w:rsid w:val="00CE24C5"/>
    <w:rsid w:val="00CF2A8B"/>
    <w:rsid w:val="00CF7756"/>
    <w:rsid w:val="00D019D8"/>
    <w:rsid w:val="00D0574D"/>
    <w:rsid w:val="00D075E6"/>
    <w:rsid w:val="00D248AE"/>
    <w:rsid w:val="00D3073F"/>
    <w:rsid w:val="00D31784"/>
    <w:rsid w:val="00D32E59"/>
    <w:rsid w:val="00D451AA"/>
    <w:rsid w:val="00D57459"/>
    <w:rsid w:val="00D62DAF"/>
    <w:rsid w:val="00D7391C"/>
    <w:rsid w:val="00DA1429"/>
    <w:rsid w:val="00DB10A3"/>
    <w:rsid w:val="00DB2CB0"/>
    <w:rsid w:val="00DD0536"/>
    <w:rsid w:val="00DE67B1"/>
    <w:rsid w:val="00DF7EE4"/>
    <w:rsid w:val="00E01684"/>
    <w:rsid w:val="00E21993"/>
    <w:rsid w:val="00E26FF9"/>
    <w:rsid w:val="00E6284A"/>
    <w:rsid w:val="00E90D12"/>
    <w:rsid w:val="00EA0587"/>
    <w:rsid w:val="00EB09E8"/>
    <w:rsid w:val="00EB25F1"/>
    <w:rsid w:val="00EC1D26"/>
    <w:rsid w:val="00ED36CB"/>
    <w:rsid w:val="00EE410B"/>
    <w:rsid w:val="00EE56BE"/>
    <w:rsid w:val="00EF7650"/>
    <w:rsid w:val="00F00476"/>
    <w:rsid w:val="00F02276"/>
    <w:rsid w:val="00F11F53"/>
    <w:rsid w:val="00F12BCC"/>
    <w:rsid w:val="00F33728"/>
    <w:rsid w:val="00F466B1"/>
    <w:rsid w:val="00F52208"/>
    <w:rsid w:val="00F62B23"/>
    <w:rsid w:val="00F63043"/>
    <w:rsid w:val="00F63BC1"/>
    <w:rsid w:val="00F76FBC"/>
    <w:rsid w:val="00F86929"/>
    <w:rsid w:val="00F91871"/>
    <w:rsid w:val="00FA0450"/>
    <w:rsid w:val="00FA1D35"/>
    <w:rsid w:val="00FD3859"/>
    <w:rsid w:val="00FD7BC3"/>
    <w:rsid w:val="010C1511"/>
    <w:rsid w:val="01162B84"/>
    <w:rsid w:val="014619CB"/>
    <w:rsid w:val="014F57A9"/>
    <w:rsid w:val="01605517"/>
    <w:rsid w:val="01797F8F"/>
    <w:rsid w:val="017E0477"/>
    <w:rsid w:val="01814321"/>
    <w:rsid w:val="01BA6406"/>
    <w:rsid w:val="01CE7CDB"/>
    <w:rsid w:val="01D75FD3"/>
    <w:rsid w:val="0202001C"/>
    <w:rsid w:val="02251150"/>
    <w:rsid w:val="02260AA1"/>
    <w:rsid w:val="02301B99"/>
    <w:rsid w:val="02581525"/>
    <w:rsid w:val="0284375E"/>
    <w:rsid w:val="02A14633"/>
    <w:rsid w:val="02A97BE9"/>
    <w:rsid w:val="02CD5A6F"/>
    <w:rsid w:val="02CE3A19"/>
    <w:rsid w:val="02CF29B1"/>
    <w:rsid w:val="02F82AEF"/>
    <w:rsid w:val="032A6F1F"/>
    <w:rsid w:val="032C18EA"/>
    <w:rsid w:val="03462792"/>
    <w:rsid w:val="03490487"/>
    <w:rsid w:val="038A3960"/>
    <w:rsid w:val="038D0666"/>
    <w:rsid w:val="03BE04A3"/>
    <w:rsid w:val="03C86237"/>
    <w:rsid w:val="03CE6B59"/>
    <w:rsid w:val="03DA068D"/>
    <w:rsid w:val="03E53E41"/>
    <w:rsid w:val="040B069A"/>
    <w:rsid w:val="04121542"/>
    <w:rsid w:val="041C3EAA"/>
    <w:rsid w:val="0435689D"/>
    <w:rsid w:val="044F7FA7"/>
    <w:rsid w:val="046917C8"/>
    <w:rsid w:val="04A63D5B"/>
    <w:rsid w:val="04AA2EB9"/>
    <w:rsid w:val="04B76A0F"/>
    <w:rsid w:val="04CB54AC"/>
    <w:rsid w:val="04F82B4C"/>
    <w:rsid w:val="05012C80"/>
    <w:rsid w:val="05107B33"/>
    <w:rsid w:val="052714BD"/>
    <w:rsid w:val="057102F4"/>
    <w:rsid w:val="058401C5"/>
    <w:rsid w:val="05A94A52"/>
    <w:rsid w:val="05B747B5"/>
    <w:rsid w:val="05C05ECA"/>
    <w:rsid w:val="05C446C1"/>
    <w:rsid w:val="05C462DF"/>
    <w:rsid w:val="05CF1AFF"/>
    <w:rsid w:val="05D43F64"/>
    <w:rsid w:val="05DA5172"/>
    <w:rsid w:val="05DF2EB7"/>
    <w:rsid w:val="063F1D3B"/>
    <w:rsid w:val="06417385"/>
    <w:rsid w:val="065240A5"/>
    <w:rsid w:val="069F5975"/>
    <w:rsid w:val="06A27213"/>
    <w:rsid w:val="06AC5FC8"/>
    <w:rsid w:val="06E41113"/>
    <w:rsid w:val="06EC37ED"/>
    <w:rsid w:val="06F25426"/>
    <w:rsid w:val="070206B7"/>
    <w:rsid w:val="071579E5"/>
    <w:rsid w:val="07177C01"/>
    <w:rsid w:val="074A5052"/>
    <w:rsid w:val="075229E7"/>
    <w:rsid w:val="07545BA3"/>
    <w:rsid w:val="075514AC"/>
    <w:rsid w:val="07846E6E"/>
    <w:rsid w:val="07942A0A"/>
    <w:rsid w:val="079D2727"/>
    <w:rsid w:val="07B36BAA"/>
    <w:rsid w:val="07CE30A5"/>
    <w:rsid w:val="07E9569A"/>
    <w:rsid w:val="08181E19"/>
    <w:rsid w:val="08461A0E"/>
    <w:rsid w:val="08490528"/>
    <w:rsid w:val="086354E8"/>
    <w:rsid w:val="086F1377"/>
    <w:rsid w:val="08876261"/>
    <w:rsid w:val="088E69BA"/>
    <w:rsid w:val="08AD37BE"/>
    <w:rsid w:val="08B000F1"/>
    <w:rsid w:val="08C16076"/>
    <w:rsid w:val="08D13667"/>
    <w:rsid w:val="08E75CAB"/>
    <w:rsid w:val="08F301FA"/>
    <w:rsid w:val="091A6ECE"/>
    <w:rsid w:val="09241359"/>
    <w:rsid w:val="092A51B9"/>
    <w:rsid w:val="09546E5A"/>
    <w:rsid w:val="095B65B9"/>
    <w:rsid w:val="09644C54"/>
    <w:rsid w:val="09861926"/>
    <w:rsid w:val="099E6C43"/>
    <w:rsid w:val="09C621B3"/>
    <w:rsid w:val="09CF2487"/>
    <w:rsid w:val="0A256191"/>
    <w:rsid w:val="0A2E299B"/>
    <w:rsid w:val="0A410123"/>
    <w:rsid w:val="0A4F76B2"/>
    <w:rsid w:val="0A690BF1"/>
    <w:rsid w:val="0A7662D4"/>
    <w:rsid w:val="0A9F7A40"/>
    <w:rsid w:val="0AC21BFA"/>
    <w:rsid w:val="0ACB3760"/>
    <w:rsid w:val="0AF34B96"/>
    <w:rsid w:val="0AF64791"/>
    <w:rsid w:val="0AF72DEA"/>
    <w:rsid w:val="0AFF3DB4"/>
    <w:rsid w:val="0B1E56CA"/>
    <w:rsid w:val="0B37537A"/>
    <w:rsid w:val="0B750894"/>
    <w:rsid w:val="0BBE3729"/>
    <w:rsid w:val="0BDD3577"/>
    <w:rsid w:val="0BDF154A"/>
    <w:rsid w:val="0C1D04B6"/>
    <w:rsid w:val="0C344DB1"/>
    <w:rsid w:val="0C784998"/>
    <w:rsid w:val="0CC31FBD"/>
    <w:rsid w:val="0CC954FA"/>
    <w:rsid w:val="0D002EE5"/>
    <w:rsid w:val="0D080D35"/>
    <w:rsid w:val="0D2A397D"/>
    <w:rsid w:val="0D3635FF"/>
    <w:rsid w:val="0D3E52E2"/>
    <w:rsid w:val="0D5D10AC"/>
    <w:rsid w:val="0D7F02AE"/>
    <w:rsid w:val="0D834AA8"/>
    <w:rsid w:val="0D8976BC"/>
    <w:rsid w:val="0D916CB8"/>
    <w:rsid w:val="0DA51EB4"/>
    <w:rsid w:val="0DAF65AC"/>
    <w:rsid w:val="0DB7090B"/>
    <w:rsid w:val="0DCD26CE"/>
    <w:rsid w:val="0DCE1378"/>
    <w:rsid w:val="0DEF5EB5"/>
    <w:rsid w:val="0E06452B"/>
    <w:rsid w:val="0E231F18"/>
    <w:rsid w:val="0E3A3D63"/>
    <w:rsid w:val="0E524C63"/>
    <w:rsid w:val="0E526D1E"/>
    <w:rsid w:val="0E652AC5"/>
    <w:rsid w:val="0E82022A"/>
    <w:rsid w:val="0EB214D9"/>
    <w:rsid w:val="0ED30B62"/>
    <w:rsid w:val="0F136F00"/>
    <w:rsid w:val="0F22295F"/>
    <w:rsid w:val="0F3B4094"/>
    <w:rsid w:val="0F5948A1"/>
    <w:rsid w:val="0FED59A3"/>
    <w:rsid w:val="1008458B"/>
    <w:rsid w:val="10190546"/>
    <w:rsid w:val="101A606C"/>
    <w:rsid w:val="10283402"/>
    <w:rsid w:val="103958FB"/>
    <w:rsid w:val="104C7C15"/>
    <w:rsid w:val="10713773"/>
    <w:rsid w:val="10D33291"/>
    <w:rsid w:val="10E86C02"/>
    <w:rsid w:val="10EA4C46"/>
    <w:rsid w:val="10ED39E0"/>
    <w:rsid w:val="10F51815"/>
    <w:rsid w:val="11021A7C"/>
    <w:rsid w:val="110977C3"/>
    <w:rsid w:val="11116F88"/>
    <w:rsid w:val="1112327D"/>
    <w:rsid w:val="111B209C"/>
    <w:rsid w:val="114535BD"/>
    <w:rsid w:val="11641C95"/>
    <w:rsid w:val="118332D7"/>
    <w:rsid w:val="11AE18A1"/>
    <w:rsid w:val="11BD13A5"/>
    <w:rsid w:val="11E861A6"/>
    <w:rsid w:val="11F83520"/>
    <w:rsid w:val="121C60CC"/>
    <w:rsid w:val="122B712F"/>
    <w:rsid w:val="12302D61"/>
    <w:rsid w:val="12487C82"/>
    <w:rsid w:val="12684C01"/>
    <w:rsid w:val="126B224A"/>
    <w:rsid w:val="126F6B6A"/>
    <w:rsid w:val="12747FB2"/>
    <w:rsid w:val="127D0124"/>
    <w:rsid w:val="127E0B34"/>
    <w:rsid w:val="128D0276"/>
    <w:rsid w:val="12B04C8F"/>
    <w:rsid w:val="12B207DE"/>
    <w:rsid w:val="13103EF7"/>
    <w:rsid w:val="13171183"/>
    <w:rsid w:val="132C019B"/>
    <w:rsid w:val="137A0018"/>
    <w:rsid w:val="137D0DEC"/>
    <w:rsid w:val="13943FC4"/>
    <w:rsid w:val="13BB5261"/>
    <w:rsid w:val="13DA7FEC"/>
    <w:rsid w:val="13EA05A8"/>
    <w:rsid w:val="13F11BD6"/>
    <w:rsid w:val="14100460"/>
    <w:rsid w:val="143112D2"/>
    <w:rsid w:val="14326EE2"/>
    <w:rsid w:val="1448631D"/>
    <w:rsid w:val="145B4B9E"/>
    <w:rsid w:val="14633C50"/>
    <w:rsid w:val="14687BCE"/>
    <w:rsid w:val="14733D41"/>
    <w:rsid w:val="14AB7BDB"/>
    <w:rsid w:val="14AC1563"/>
    <w:rsid w:val="14B57FEC"/>
    <w:rsid w:val="14D20BD1"/>
    <w:rsid w:val="14FF4901"/>
    <w:rsid w:val="15125E28"/>
    <w:rsid w:val="154A40A8"/>
    <w:rsid w:val="155C4236"/>
    <w:rsid w:val="156B5551"/>
    <w:rsid w:val="157B135B"/>
    <w:rsid w:val="15F71B1B"/>
    <w:rsid w:val="15FA2BC8"/>
    <w:rsid w:val="1616238A"/>
    <w:rsid w:val="16166E00"/>
    <w:rsid w:val="1617643A"/>
    <w:rsid w:val="16435107"/>
    <w:rsid w:val="165C0F52"/>
    <w:rsid w:val="16650559"/>
    <w:rsid w:val="16B94831"/>
    <w:rsid w:val="16D42C63"/>
    <w:rsid w:val="16E61BB5"/>
    <w:rsid w:val="16EB2510"/>
    <w:rsid w:val="16EF5BB7"/>
    <w:rsid w:val="16F80247"/>
    <w:rsid w:val="170535D2"/>
    <w:rsid w:val="172579DE"/>
    <w:rsid w:val="172D39A9"/>
    <w:rsid w:val="17320D57"/>
    <w:rsid w:val="17341D79"/>
    <w:rsid w:val="173704A2"/>
    <w:rsid w:val="17586147"/>
    <w:rsid w:val="17901809"/>
    <w:rsid w:val="17966F17"/>
    <w:rsid w:val="17A032FB"/>
    <w:rsid w:val="17B62B1E"/>
    <w:rsid w:val="17C22223"/>
    <w:rsid w:val="180F3F2C"/>
    <w:rsid w:val="18142B44"/>
    <w:rsid w:val="18307632"/>
    <w:rsid w:val="1835402A"/>
    <w:rsid w:val="183838D1"/>
    <w:rsid w:val="184316F9"/>
    <w:rsid w:val="18470786"/>
    <w:rsid w:val="185A01E2"/>
    <w:rsid w:val="1877562E"/>
    <w:rsid w:val="18820C52"/>
    <w:rsid w:val="188C387F"/>
    <w:rsid w:val="18C80D5B"/>
    <w:rsid w:val="18C82A50"/>
    <w:rsid w:val="18F05177"/>
    <w:rsid w:val="1903789F"/>
    <w:rsid w:val="191E6BCD"/>
    <w:rsid w:val="193C094E"/>
    <w:rsid w:val="19591D0C"/>
    <w:rsid w:val="19803190"/>
    <w:rsid w:val="198F12B9"/>
    <w:rsid w:val="199045AE"/>
    <w:rsid w:val="19974381"/>
    <w:rsid w:val="19AD151C"/>
    <w:rsid w:val="19C403E2"/>
    <w:rsid w:val="19D345FA"/>
    <w:rsid w:val="19D55C86"/>
    <w:rsid w:val="19DE635C"/>
    <w:rsid w:val="1A081978"/>
    <w:rsid w:val="1A127D0D"/>
    <w:rsid w:val="1A291608"/>
    <w:rsid w:val="1A367F46"/>
    <w:rsid w:val="1A8213DE"/>
    <w:rsid w:val="1AA11B06"/>
    <w:rsid w:val="1AC53A17"/>
    <w:rsid w:val="1AC94716"/>
    <w:rsid w:val="1ACA0E1F"/>
    <w:rsid w:val="1B0F4269"/>
    <w:rsid w:val="1B373115"/>
    <w:rsid w:val="1B523329"/>
    <w:rsid w:val="1B701236"/>
    <w:rsid w:val="1B766FB8"/>
    <w:rsid w:val="1B7A2DDF"/>
    <w:rsid w:val="1B9428DD"/>
    <w:rsid w:val="1BB306CD"/>
    <w:rsid w:val="1BB40010"/>
    <w:rsid w:val="1BB5521A"/>
    <w:rsid w:val="1BE12A66"/>
    <w:rsid w:val="1BE65DEF"/>
    <w:rsid w:val="1C057BD0"/>
    <w:rsid w:val="1C09595D"/>
    <w:rsid w:val="1C1A24F6"/>
    <w:rsid w:val="1C310F17"/>
    <w:rsid w:val="1C41749B"/>
    <w:rsid w:val="1C4345D0"/>
    <w:rsid w:val="1C4F1DA3"/>
    <w:rsid w:val="1C62609F"/>
    <w:rsid w:val="1C7B4FB1"/>
    <w:rsid w:val="1CAF64B4"/>
    <w:rsid w:val="1CDB00AF"/>
    <w:rsid w:val="1CF856B4"/>
    <w:rsid w:val="1D0B27B6"/>
    <w:rsid w:val="1D127FAE"/>
    <w:rsid w:val="1D185C90"/>
    <w:rsid w:val="1D5E22DD"/>
    <w:rsid w:val="1D873E63"/>
    <w:rsid w:val="1DB2181A"/>
    <w:rsid w:val="1DBE10C0"/>
    <w:rsid w:val="1DC52889"/>
    <w:rsid w:val="1DD91315"/>
    <w:rsid w:val="1DE53CB5"/>
    <w:rsid w:val="1E211BF0"/>
    <w:rsid w:val="1E296894"/>
    <w:rsid w:val="1E4160E0"/>
    <w:rsid w:val="1E4946EC"/>
    <w:rsid w:val="1E8E1153"/>
    <w:rsid w:val="1E9113D7"/>
    <w:rsid w:val="1EA25BAA"/>
    <w:rsid w:val="1EAD3892"/>
    <w:rsid w:val="1EB15DEE"/>
    <w:rsid w:val="1EB44CC5"/>
    <w:rsid w:val="1EDA1FF3"/>
    <w:rsid w:val="1F0625BA"/>
    <w:rsid w:val="1F065D9E"/>
    <w:rsid w:val="1F2A318B"/>
    <w:rsid w:val="1F51312D"/>
    <w:rsid w:val="1F5570C1"/>
    <w:rsid w:val="1F7D2DEF"/>
    <w:rsid w:val="1F7F5557"/>
    <w:rsid w:val="1F86727A"/>
    <w:rsid w:val="1F8E612F"/>
    <w:rsid w:val="1F9A6E03"/>
    <w:rsid w:val="1FF329D5"/>
    <w:rsid w:val="1FF47729"/>
    <w:rsid w:val="1FFE4899"/>
    <w:rsid w:val="20372DA2"/>
    <w:rsid w:val="204B6E41"/>
    <w:rsid w:val="2075292D"/>
    <w:rsid w:val="207574C7"/>
    <w:rsid w:val="20AC50BE"/>
    <w:rsid w:val="20AF3447"/>
    <w:rsid w:val="20BB33A7"/>
    <w:rsid w:val="20F40E9A"/>
    <w:rsid w:val="21002854"/>
    <w:rsid w:val="210C161E"/>
    <w:rsid w:val="212C5BFF"/>
    <w:rsid w:val="21352002"/>
    <w:rsid w:val="213571AA"/>
    <w:rsid w:val="213A7EBB"/>
    <w:rsid w:val="21674E89"/>
    <w:rsid w:val="2169571E"/>
    <w:rsid w:val="216C4E21"/>
    <w:rsid w:val="218E547E"/>
    <w:rsid w:val="21A44904"/>
    <w:rsid w:val="21F91F85"/>
    <w:rsid w:val="22322BC7"/>
    <w:rsid w:val="223C00C4"/>
    <w:rsid w:val="2240464B"/>
    <w:rsid w:val="22894A8F"/>
    <w:rsid w:val="22B616AD"/>
    <w:rsid w:val="22B76F01"/>
    <w:rsid w:val="22B91715"/>
    <w:rsid w:val="22BC31BB"/>
    <w:rsid w:val="22DD3E77"/>
    <w:rsid w:val="22ED0BEB"/>
    <w:rsid w:val="235715D1"/>
    <w:rsid w:val="237F64BA"/>
    <w:rsid w:val="23A01028"/>
    <w:rsid w:val="23AF50A6"/>
    <w:rsid w:val="23C17137"/>
    <w:rsid w:val="24053ACF"/>
    <w:rsid w:val="24184152"/>
    <w:rsid w:val="24904464"/>
    <w:rsid w:val="249E6E14"/>
    <w:rsid w:val="24A83EAE"/>
    <w:rsid w:val="24AE0DC0"/>
    <w:rsid w:val="24B51EC7"/>
    <w:rsid w:val="24BB0485"/>
    <w:rsid w:val="24BE4D5C"/>
    <w:rsid w:val="24CF06C7"/>
    <w:rsid w:val="24F05AB0"/>
    <w:rsid w:val="25147436"/>
    <w:rsid w:val="25240784"/>
    <w:rsid w:val="253269B6"/>
    <w:rsid w:val="253D0C2E"/>
    <w:rsid w:val="254B2E8E"/>
    <w:rsid w:val="254C749A"/>
    <w:rsid w:val="2580476C"/>
    <w:rsid w:val="259124D5"/>
    <w:rsid w:val="25993EFA"/>
    <w:rsid w:val="259D531E"/>
    <w:rsid w:val="25B577CB"/>
    <w:rsid w:val="25C1713F"/>
    <w:rsid w:val="25D61D38"/>
    <w:rsid w:val="26085B5B"/>
    <w:rsid w:val="262D0A99"/>
    <w:rsid w:val="26453A33"/>
    <w:rsid w:val="26793695"/>
    <w:rsid w:val="267B0F30"/>
    <w:rsid w:val="26895FE2"/>
    <w:rsid w:val="26964247"/>
    <w:rsid w:val="26A70A5F"/>
    <w:rsid w:val="26BA7ACA"/>
    <w:rsid w:val="26BD004B"/>
    <w:rsid w:val="26DD1E76"/>
    <w:rsid w:val="26FB7898"/>
    <w:rsid w:val="27264AD6"/>
    <w:rsid w:val="273677D8"/>
    <w:rsid w:val="27421CD9"/>
    <w:rsid w:val="276119F8"/>
    <w:rsid w:val="276975B2"/>
    <w:rsid w:val="276D142B"/>
    <w:rsid w:val="276E04CD"/>
    <w:rsid w:val="27745528"/>
    <w:rsid w:val="27D24773"/>
    <w:rsid w:val="27E13DAB"/>
    <w:rsid w:val="283E0826"/>
    <w:rsid w:val="283F26BC"/>
    <w:rsid w:val="285F3130"/>
    <w:rsid w:val="287656A9"/>
    <w:rsid w:val="287D4009"/>
    <w:rsid w:val="28856DEA"/>
    <w:rsid w:val="28935C31"/>
    <w:rsid w:val="28AF1916"/>
    <w:rsid w:val="28C36276"/>
    <w:rsid w:val="28D32D10"/>
    <w:rsid w:val="28D77066"/>
    <w:rsid w:val="28DE3491"/>
    <w:rsid w:val="28FD5667"/>
    <w:rsid w:val="29065BB3"/>
    <w:rsid w:val="29520A3C"/>
    <w:rsid w:val="29581063"/>
    <w:rsid w:val="296A19BB"/>
    <w:rsid w:val="29AA122F"/>
    <w:rsid w:val="29BD5A15"/>
    <w:rsid w:val="29F26020"/>
    <w:rsid w:val="2A0C2A49"/>
    <w:rsid w:val="2A1A022B"/>
    <w:rsid w:val="2A5F0CB9"/>
    <w:rsid w:val="2A5F287C"/>
    <w:rsid w:val="2A685EFA"/>
    <w:rsid w:val="2A887CF2"/>
    <w:rsid w:val="2A895779"/>
    <w:rsid w:val="2A913313"/>
    <w:rsid w:val="2A954815"/>
    <w:rsid w:val="2ABE6DF4"/>
    <w:rsid w:val="2AFA66B8"/>
    <w:rsid w:val="2B1471CE"/>
    <w:rsid w:val="2B1933A5"/>
    <w:rsid w:val="2B4C0A3A"/>
    <w:rsid w:val="2B4D52AF"/>
    <w:rsid w:val="2B7D7783"/>
    <w:rsid w:val="2B7E6E47"/>
    <w:rsid w:val="2B8B4429"/>
    <w:rsid w:val="2BA67961"/>
    <w:rsid w:val="2BDF1DD6"/>
    <w:rsid w:val="2BE47802"/>
    <w:rsid w:val="2C2C1A2B"/>
    <w:rsid w:val="2C4C13AD"/>
    <w:rsid w:val="2C5C2C5E"/>
    <w:rsid w:val="2C6430C9"/>
    <w:rsid w:val="2C78744F"/>
    <w:rsid w:val="2C8D2CC3"/>
    <w:rsid w:val="2C9961AA"/>
    <w:rsid w:val="2CCB206F"/>
    <w:rsid w:val="2CD16A6A"/>
    <w:rsid w:val="2CD4025C"/>
    <w:rsid w:val="2CD45AC9"/>
    <w:rsid w:val="2CE33AFF"/>
    <w:rsid w:val="2CE64D88"/>
    <w:rsid w:val="2CFB5B08"/>
    <w:rsid w:val="2D376E83"/>
    <w:rsid w:val="2D52184C"/>
    <w:rsid w:val="2D880AB0"/>
    <w:rsid w:val="2DBB4D93"/>
    <w:rsid w:val="2DBD4E3A"/>
    <w:rsid w:val="2DC35F52"/>
    <w:rsid w:val="2DCB177F"/>
    <w:rsid w:val="2DCE060F"/>
    <w:rsid w:val="2DD2692A"/>
    <w:rsid w:val="2DE955A4"/>
    <w:rsid w:val="2DF6387A"/>
    <w:rsid w:val="2E0A65FD"/>
    <w:rsid w:val="2E3D144C"/>
    <w:rsid w:val="2E4855B4"/>
    <w:rsid w:val="2E552A66"/>
    <w:rsid w:val="2E5A1FFE"/>
    <w:rsid w:val="2E842D85"/>
    <w:rsid w:val="2EAC6B47"/>
    <w:rsid w:val="2EDE1785"/>
    <w:rsid w:val="2EE70873"/>
    <w:rsid w:val="2F092ADC"/>
    <w:rsid w:val="2F195277"/>
    <w:rsid w:val="2F1C3757"/>
    <w:rsid w:val="2F2410C6"/>
    <w:rsid w:val="2F302FA6"/>
    <w:rsid w:val="2F3258B6"/>
    <w:rsid w:val="2F4B7B98"/>
    <w:rsid w:val="2F590507"/>
    <w:rsid w:val="2F670849"/>
    <w:rsid w:val="2F6D332C"/>
    <w:rsid w:val="2FE41B89"/>
    <w:rsid w:val="2FF034A9"/>
    <w:rsid w:val="2FFE4C5E"/>
    <w:rsid w:val="30177BBE"/>
    <w:rsid w:val="3028087F"/>
    <w:rsid w:val="30495890"/>
    <w:rsid w:val="304D3ACD"/>
    <w:rsid w:val="305371F2"/>
    <w:rsid w:val="308B2FF5"/>
    <w:rsid w:val="30CB6AC3"/>
    <w:rsid w:val="30D76C74"/>
    <w:rsid w:val="30DF4A3C"/>
    <w:rsid w:val="30F960DF"/>
    <w:rsid w:val="31175F84"/>
    <w:rsid w:val="311A5C23"/>
    <w:rsid w:val="314E6F3A"/>
    <w:rsid w:val="31871181"/>
    <w:rsid w:val="31880508"/>
    <w:rsid w:val="318D5235"/>
    <w:rsid w:val="319D4C6E"/>
    <w:rsid w:val="31A15090"/>
    <w:rsid w:val="31AA329C"/>
    <w:rsid w:val="31B732C3"/>
    <w:rsid w:val="322E7A29"/>
    <w:rsid w:val="32A42095"/>
    <w:rsid w:val="32A7158A"/>
    <w:rsid w:val="32A9737D"/>
    <w:rsid w:val="32C9777E"/>
    <w:rsid w:val="32CF1EC0"/>
    <w:rsid w:val="32E11F1C"/>
    <w:rsid w:val="32E41FF1"/>
    <w:rsid w:val="32FF4F22"/>
    <w:rsid w:val="331A1B21"/>
    <w:rsid w:val="33251397"/>
    <w:rsid w:val="333C43BC"/>
    <w:rsid w:val="33412663"/>
    <w:rsid w:val="33705E1F"/>
    <w:rsid w:val="33931A2F"/>
    <w:rsid w:val="33A23C92"/>
    <w:rsid w:val="33AF0BEC"/>
    <w:rsid w:val="33C75C31"/>
    <w:rsid w:val="33F474BA"/>
    <w:rsid w:val="34504586"/>
    <w:rsid w:val="3461586D"/>
    <w:rsid w:val="348222AE"/>
    <w:rsid w:val="348D3030"/>
    <w:rsid w:val="34BB756E"/>
    <w:rsid w:val="34BC163A"/>
    <w:rsid w:val="34E3062E"/>
    <w:rsid w:val="34E44001"/>
    <w:rsid w:val="353667BB"/>
    <w:rsid w:val="353C420B"/>
    <w:rsid w:val="35493093"/>
    <w:rsid w:val="35690D78"/>
    <w:rsid w:val="358E0106"/>
    <w:rsid w:val="35CF46CC"/>
    <w:rsid w:val="35E1140C"/>
    <w:rsid w:val="35E816ED"/>
    <w:rsid w:val="35F72828"/>
    <w:rsid w:val="361013B4"/>
    <w:rsid w:val="363661D5"/>
    <w:rsid w:val="365E4655"/>
    <w:rsid w:val="36855E10"/>
    <w:rsid w:val="36987B67"/>
    <w:rsid w:val="36AD48B5"/>
    <w:rsid w:val="36B10C29"/>
    <w:rsid w:val="36B50719"/>
    <w:rsid w:val="36B92101"/>
    <w:rsid w:val="36C624AE"/>
    <w:rsid w:val="36FD0F01"/>
    <w:rsid w:val="36FD1924"/>
    <w:rsid w:val="36FF3742"/>
    <w:rsid w:val="3712124C"/>
    <w:rsid w:val="37312F46"/>
    <w:rsid w:val="373D1B65"/>
    <w:rsid w:val="37460D68"/>
    <w:rsid w:val="374E20B4"/>
    <w:rsid w:val="377B7D8F"/>
    <w:rsid w:val="378A79BC"/>
    <w:rsid w:val="37CD55EE"/>
    <w:rsid w:val="380F5C07"/>
    <w:rsid w:val="381D06EE"/>
    <w:rsid w:val="385505E5"/>
    <w:rsid w:val="38576B25"/>
    <w:rsid w:val="3865122D"/>
    <w:rsid w:val="38913B26"/>
    <w:rsid w:val="38947DA8"/>
    <w:rsid w:val="38A51606"/>
    <w:rsid w:val="38AC025A"/>
    <w:rsid w:val="38D96215"/>
    <w:rsid w:val="38DD5D05"/>
    <w:rsid w:val="38F13A6D"/>
    <w:rsid w:val="38F80D91"/>
    <w:rsid w:val="391A4397"/>
    <w:rsid w:val="3923323B"/>
    <w:rsid w:val="392A318C"/>
    <w:rsid w:val="39454843"/>
    <w:rsid w:val="39736669"/>
    <w:rsid w:val="39A8054D"/>
    <w:rsid w:val="39A95845"/>
    <w:rsid w:val="39BB5C70"/>
    <w:rsid w:val="39C26CA4"/>
    <w:rsid w:val="39C80763"/>
    <w:rsid w:val="39CA16D6"/>
    <w:rsid w:val="3A276927"/>
    <w:rsid w:val="3A296D28"/>
    <w:rsid w:val="3A341025"/>
    <w:rsid w:val="3A4C4AAD"/>
    <w:rsid w:val="3A4F49E1"/>
    <w:rsid w:val="3A4F67A6"/>
    <w:rsid w:val="3A6342D0"/>
    <w:rsid w:val="3A696247"/>
    <w:rsid w:val="3AA43A2C"/>
    <w:rsid w:val="3ABD64EA"/>
    <w:rsid w:val="3AC777D8"/>
    <w:rsid w:val="3AD23D56"/>
    <w:rsid w:val="3B0E6E8B"/>
    <w:rsid w:val="3B294D7C"/>
    <w:rsid w:val="3B2A0FAA"/>
    <w:rsid w:val="3B3E2069"/>
    <w:rsid w:val="3B4F7C09"/>
    <w:rsid w:val="3B51341F"/>
    <w:rsid w:val="3B5174DF"/>
    <w:rsid w:val="3B7979B8"/>
    <w:rsid w:val="3B920E0E"/>
    <w:rsid w:val="3BA5573D"/>
    <w:rsid w:val="3BA743A8"/>
    <w:rsid w:val="3BC92571"/>
    <w:rsid w:val="3BE450AA"/>
    <w:rsid w:val="3C080519"/>
    <w:rsid w:val="3C0B4937"/>
    <w:rsid w:val="3C2459F9"/>
    <w:rsid w:val="3C312660"/>
    <w:rsid w:val="3C4073E3"/>
    <w:rsid w:val="3C7249B6"/>
    <w:rsid w:val="3C73683F"/>
    <w:rsid w:val="3C747B02"/>
    <w:rsid w:val="3CAD45E4"/>
    <w:rsid w:val="3CD84C82"/>
    <w:rsid w:val="3CDB0BA8"/>
    <w:rsid w:val="3D1102E9"/>
    <w:rsid w:val="3D211A92"/>
    <w:rsid w:val="3D31661F"/>
    <w:rsid w:val="3D4102B6"/>
    <w:rsid w:val="3D4C5207"/>
    <w:rsid w:val="3D69400B"/>
    <w:rsid w:val="3D813C05"/>
    <w:rsid w:val="3D856813"/>
    <w:rsid w:val="3D874664"/>
    <w:rsid w:val="3D88190B"/>
    <w:rsid w:val="3D9045B5"/>
    <w:rsid w:val="3DB833E8"/>
    <w:rsid w:val="3DC1742A"/>
    <w:rsid w:val="3DC60709"/>
    <w:rsid w:val="3DF71593"/>
    <w:rsid w:val="3E1273D0"/>
    <w:rsid w:val="3E4B21C4"/>
    <w:rsid w:val="3E5801B1"/>
    <w:rsid w:val="3E650094"/>
    <w:rsid w:val="3E741759"/>
    <w:rsid w:val="3E784AEC"/>
    <w:rsid w:val="3E817133"/>
    <w:rsid w:val="3E8310FD"/>
    <w:rsid w:val="3EAF4DE8"/>
    <w:rsid w:val="3EEE6A52"/>
    <w:rsid w:val="3EF32D92"/>
    <w:rsid w:val="3F066A65"/>
    <w:rsid w:val="3F1A5D9D"/>
    <w:rsid w:val="3F32452F"/>
    <w:rsid w:val="3F394D68"/>
    <w:rsid w:val="3F485E99"/>
    <w:rsid w:val="3F4F4A7E"/>
    <w:rsid w:val="3F5369C5"/>
    <w:rsid w:val="3F6A5E19"/>
    <w:rsid w:val="3F6F1681"/>
    <w:rsid w:val="3F8E3C85"/>
    <w:rsid w:val="3F9335C1"/>
    <w:rsid w:val="3FB63EAA"/>
    <w:rsid w:val="3FC347BE"/>
    <w:rsid w:val="3FD4133A"/>
    <w:rsid w:val="3FD80FD4"/>
    <w:rsid w:val="3FF52DBA"/>
    <w:rsid w:val="3FFC2066"/>
    <w:rsid w:val="40140539"/>
    <w:rsid w:val="402A3E6D"/>
    <w:rsid w:val="404708C6"/>
    <w:rsid w:val="404A2CE8"/>
    <w:rsid w:val="40512269"/>
    <w:rsid w:val="40552625"/>
    <w:rsid w:val="40774C91"/>
    <w:rsid w:val="40792EDA"/>
    <w:rsid w:val="40A315E2"/>
    <w:rsid w:val="40B04005"/>
    <w:rsid w:val="4100471D"/>
    <w:rsid w:val="41015482"/>
    <w:rsid w:val="4105401E"/>
    <w:rsid w:val="413907D9"/>
    <w:rsid w:val="414A68F0"/>
    <w:rsid w:val="41632B09"/>
    <w:rsid w:val="419051D7"/>
    <w:rsid w:val="41B46F4C"/>
    <w:rsid w:val="41B6661A"/>
    <w:rsid w:val="41BC4F97"/>
    <w:rsid w:val="41E24282"/>
    <w:rsid w:val="41E76CD6"/>
    <w:rsid w:val="42014B04"/>
    <w:rsid w:val="42150760"/>
    <w:rsid w:val="42494D08"/>
    <w:rsid w:val="4256616B"/>
    <w:rsid w:val="425F59DD"/>
    <w:rsid w:val="427B49AA"/>
    <w:rsid w:val="42963344"/>
    <w:rsid w:val="42A258CA"/>
    <w:rsid w:val="42B0684E"/>
    <w:rsid w:val="42D87FBC"/>
    <w:rsid w:val="42DB3E9B"/>
    <w:rsid w:val="43045686"/>
    <w:rsid w:val="430E7CDA"/>
    <w:rsid w:val="431274CF"/>
    <w:rsid w:val="43184D30"/>
    <w:rsid w:val="43271E38"/>
    <w:rsid w:val="43351ADA"/>
    <w:rsid w:val="435D1AE3"/>
    <w:rsid w:val="43A930FF"/>
    <w:rsid w:val="43B15A82"/>
    <w:rsid w:val="43E77FD2"/>
    <w:rsid w:val="441F5C81"/>
    <w:rsid w:val="44221371"/>
    <w:rsid w:val="442411A9"/>
    <w:rsid w:val="4465706B"/>
    <w:rsid w:val="44A36A71"/>
    <w:rsid w:val="44BF7496"/>
    <w:rsid w:val="44C5660C"/>
    <w:rsid w:val="44CA3E60"/>
    <w:rsid w:val="44F67674"/>
    <w:rsid w:val="453F429A"/>
    <w:rsid w:val="45916A22"/>
    <w:rsid w:val="45A30251"/>
    <w:rsid w:val="45B62B7F"/>
    <w:rsid w:val="45F67075"/>
    <w:rsid w:val="45F9503F"/>
    <w:rsid w:val="4601631D"/>
    <w:rsid w:val="46156655"/>
    <w:rsid w:val="46410D35"/>
    <w:rsid w:val="46712183"/>
    <w:rsid w:val="46913477"/>
    <w:rsid w:val="469C1FB7"/>
    <w:rsid w:val="469F4F9C"/>
    <w:rsid w:val="46B37F45"/>
    <w:rsid w:val="46C7315E"/>
    <w:rsid w:val="46E717E5"/>
    <w:rsid w:val="46E841F3"/>
    <w:rsid w:val="46EA5E8D"/>
    <w:rsid w:val="46F5091B"/>
    <w:rsid w:val="46F7741A"/>
    <w:rsid w:val="46FA1DD1"/>
    <w:rsid w:val="47044E98"/>
    <w:rsid w:val="470A74D1"/>
    <w:rsid w:val="470E124A"/>
    <w:rsid w:val="47161AFE"/>
    <w:rsid w:val="4723712B"/>
    <w:rsid w:val="47452DBF"/>
    <w:rsid w:val="474867B9"/>
    <w:rsid w:val="47490A0A"/>
    <w:rsid w:val="47606B93"/>
    <w:rsid w:val="476561F7"/>
    <w:rsid w:val="47797C67"/>
    <w:rsid w:val="47C27897"/>
    <w:rsid w:val="483250E7"/>
    <w:rsid w:val="483321EC"/>
    <w:rsid w:val="483E2043"/>
    <w:rsid w:val="48531B40"/>
    <w:rsid w:val="48755A36"/>
    <w:rsid w:val="489108BA"/>
    <w:rsid w:val="48965917"/>
    <w:rsid w:val="48A565CB"/>
    <w:rsid w:val="48BD04F4"/>
    <w:rsid w:val="48C4268C"/>
    <w:rsid w:val="48F50E49"/>
    <w:rsid w:val="48FF3564"/>
    <w:rsid w:val="49180A1A"/>
    <w:rsid w:val="491D5D41"/>
    <w:rsid w:val="492B03C7"/>
    <w:rsid w:val="49470F79"/>
    <w:rsid w:val="494B74E7"/>
    <w:rsid w:val="49565A11"/>
    <w:rsid w:val="4966775F"/>
    <w:rsid w:val="49997A45"/>
    <w:rsid w:val="499F4DE4"/>
    <w:rsid w:val="49AC37B1"/>
    <w:rsid w:val="49CB7B10"/>
    <w:rsid w:val="49D22F38"/>
    <w:rsid w:val="4A235B57"/>
    <w:rsid w:val="4A443A4E"/>
    <w:rsid w:val="4A4977A0"/>
    <w:rsid w:val="4A54394D"/>
    <w:rsid w:val="4A851D59"/>
    <w:rsid w:val="4AAA61F4"/>
    <w:rsid w:val="4AB924A6"/>
    <w:rsid w:val="4ABD3CDB"/>
    <w:rsid w:val="4AC11B60"/>
    <w:rsid w:val="4AFC3A99"/>
    <w:rsid w:val="4B052E99"/>
    <w:rsid w:val="4B096283"/>
    <w:rsid w:val="4B13425A"/>
    <w:rsid w:val="4B305936"/>
    <w:rsid w:val="4B3B01F7"/>
    <w:rsid w:val="4B5A4F93"/>
    <w:rsid w:val="4B5E0F27"/>
    <w:rsid w:val="4B6D116B"/>
    <w:rsid w:val="4B7224AB"/>
    <w:rsid w:val="4B9B3BFA"/>
    <w:rsid w:val="4BB548C0"/>
    <w:rsid w:val="4BC01DCD"/>
    <w:rsid w:val="4BD42748"/>
    <w:rsid w:val="4BE566B2"/>
    <w:rsid w:val="4BE716CC"/>
    <w:rsid w:val="4BEF02BB"/>
    <w:rsid w:val="4C051897"/>
    <w:rsid w:val="4C0A0767"/>
    <w:rsid w:val="4C1C011A"/>
    <w:rsid w:val="4C8177CF"/>
    <w:rsid w:val="4CB01C13"/>
    <w:rsid w:val="4CBA4EBC"/>
    <w:rsid w:val="4CDE4F94"/>
    <w:rsid w:val="4CE23492"/>
    <w:rsid w:val="4CE92A73"/>
    <w:rsid w:val="4D255A89"/>
    <w:rsid w:val="4D607942"/>
    <w:rsid w:val="4D85232C"/>
    <w:rsid w:val="4DA44C16"/>
    <w:rsid w:val="4DAE165B"/>
    <w:rsid w:val="4DAE68CB"/>
    <w:rsid w:val="4DCF38C0"/>
    <w:rsid w:val="4DDA23BB"/>
    <w:rsid w:val="4DF004C4"/>
    <w:rsid w:val="4E1C4782"/>
    <w:rsid w:val="4E2D6CE2"/>
    <w:rsid w:val="4E41501E"/>
    <w:rsid w:val="4E5552C4"/>
    <w:rsid w:val="4E671319"/>
    <w:rsid w:val="4E9702AC"/>
    <w:rsid w:val="4EA11660"/>
    <w:rsid w:val="4EDE412D"/>
    <w:rsid w:val="4EE27864"/>
    <w:rsid w:val="4EE47719"/>
    <w:rsid w:val="4F0771E0"/>
    <w:rsid w:val="4F0F42E7"/>
    <w:rsid w:val="4F1B2C8C"/>
    <w:rsid w:val="4F1F27CB"/>
    <w:rsid w:val="4F29332A"/>
    <w:rsid w:val="4F834E0C"/>
    <w:rsid w:val="4F9842DC"/>
    <w:rsid w:val="4FA70208"/>
    <w:rsid w:val="4FAF1422"/>
    <w:rsid w:val="4FB33151"/>
    <w:rsid w:val="4FB520CE"/>
    <w:rsid w:val="4FB5667E"/>
    <w:rsid w:val="4FB6225D"/>
    <w:rsid w:val="4FB74E4D"/>
    <w:rsid w:val="4FBC446F"/>
    <w:rsid w:val="4FCE2A71"/>
    <w:rsid w:val="5015592D"/>
    <w:rsid w:val="50393E82"/>
    <w:rsid w:val="504D3319"/>
    <w:rsid w:val="50564E78"/>
    <w:rsid w:val="507B2CC5"/>
    <w:rsid w:val="508E0C32"/>
    <w:rsid w:val="50A36325"/>
    <w:rsid w:val="50B71F0B"/>
    <w:rsid w:val="50B94892"/>
    <w:rsid w:val="50C726C5"/>
    <w:rsid w:val="50E043C0"/>
    <w:rsid w:val="51053BF3"/>
    <w:rsid w:val="51062274"/>
    <w:rsid w:val="511D36C2"/>
    <w:rsid w:val="51357696"/>
    <w:rsid w:val="514559E4"/>
    <w:rsid w:val="516954EA"/>
    <w:rsid w:val="517C536C"/>
    <w:rsid w:val="518F4106"/>
    <w:rsid w:val="51A47B70"/>
    <w:rsid w:val="51C6305E"/>
    <w:rsid w:val="52214472"/>
    <w:rsid w:val="522D6F59"/>
    <w:rsid w:val="5235115E"/>
    <w:rsid w:val="5256438F"/>
    <w:rsid w:val="526D37FE"/>
    <w:rsid w:val="52833A3A"/>
    <w:rsid w:val="52837B73"/>
    <w:rsid w:val="529671F9"/>
    <w:rsid w:val="52B01B7D"/>
    <w:rsid w:val="52DA6152"/>
    <w:rsid w:val="53046FC0"/>
    <w:rsid w:val="53087A18"/>
    <w:rsid w:val="53220A8C"/>
    <w:rsid w:val="53267CAD"/>
    <w:rsid w:val="53313F04"/>
    <w:rsid w:val="5350158E"/>
    <w:rsid w:val="5360631A"/>
    <w:rsid w:val="536A09D1"/>
    <w:rsid w:val="5382777D"/>
    <w:rsid w:val="53844FCF"/>
    <w:rsid w:val="538C5511"/>
    <w:rsid w:val="53F21610"/>
    <w:rsid w:val="53F23969"/>
    <w:rsid w:val="53FE1E11"/>
    <w:rsid w:val="5406215C"/>
    <w:rsid w:val="542D21D9"/>
    <w:rsid w:val="542F4543"/>
    <w:rsid w:val="54497D93"/>
    <w:rsid w:val="547C04BF"/>
    <w:rsid w:val="547F7922"/>
    <w:rsid w:val="54813591"/>
    <w:rsid w:val="5483138F"/>
    <w:rsid w:val="54C3651B"/>
    <w:rsid w:val="54D8295A"/>
    <w:rsid w:val="54F067AF"/>
    <w:rsid w:val="551F233A"/>
    <w:rsid w:val="55335652"/>
    <w:rsid w:val="55697977"/>
    <w:rsid w:val="556C75FD"/>
    <w:rsid w:val="557C0063"/>
    <w:rsid w:val="55B65945"/>
    <w:rsid w:val="561B739D"/>
    <w:rsid w:val="566B44F9"/>
    <w:rsid w:val="569A2918"/>
    <w:rsid w:val="56E1798D"/>
    <w:rsid w:val="56E96D0D"/>
    <w:rsid w:val="572733C5"/>
    <w:rsid w:val="573C3DC9"/>
    <w:rsid w:val="57435475"/>
    <w:rsid w:val="575116E6"/>
    <w:rsid w:val="576E3ADD"/>
    <w:rsid w:val="578A4715"/>
    <w:rsid w:val="57AC1FB5"/>
    <w:rsid w:val="57AE6D93"/>
    <w:rsid w:val="57C65681"/>
    <w:rsid w:val="57E664A3"/>
    <w:rsid w:val="57EA3B43"/>
    <w:rsid w:val="58123872"/>
    <w:rsid w:val="582851E7"/>
    <w:rsid w:val="585369D4"/>
    <w:rsid w:val="58736E3D"/>
    <w:rsid w:val="587965EA"/>
    <w:rsid w:val="5886386C"/>
    <w:rsid w:val="589539B3"/>
    <w:rsid w:val="58994BE9"/>
    <w:rsid w:val="58B04A27"/>
    <w:rsid w:val="58C47EF0"/>
    <w:rsid w:val="58DD210E"/>
    <w:rsid w:val="591F5596"/>
    <w:rsid w:val="593B074D"/>
    <w:rsid w:val="595B41EB"/>
    <w:rsid w:val="595D3A01"/>
    <w:rsid w:val="59C014FD"/>
    <w:rsid w:val="59D02528"/>
    <w:rsid w:val="59D423B5"/>
    <w:rsid w:val="59E50152"/>
    <w:rsid w:val="59E96DB1"/>
    <w:rsid w:val="59F53829"/>
    <w:rsid w:val="5A2813B5"/>
    <w:rsid w:val="5A4A633C"/>
    <w:rsid w:val="5A5221E9"/>
    <w:rsid w:val="5A5277D0"/>
    <w:rsid w:val="5A5365AD"/>
    <w:rsid w:val="5A5C2E63"/>
    <w:rsid w:val="5A62692D"/>
    <w:rsid w:val="5A6C4824"/>
    <w:rsid w:val="5AA858A6"/>
    <w:rsid w:val="5AAB580B"/>
    <w:rsid w:val="5AAE0E58"/>
    <w:rsid w:val="5AB64E01"/>
    <w:rsid w:val="5AB7294A"/>
    <w:rsid w:val="5ABF1E48"/>
    <w:rsid w:val="5AF820D3"/>
    <w:rsid w:val="5B2443D6"/>
    <w:rsid w:val="5B2776DB"/>
    <w:rsid w:val="5B2F7DF4"/>
    <w:rsid w:val="5B465534"/>
    <w:rsid w:val="5B4C14A4"/>
    <w:rsid w:val="5B4D347F"/>
    <w:rsid w:val="5B4F3703"/>
    <w:rsid w:val="5B7237C3"/>
    <w:rsid w:val="5B8B5273"/>
    <w:rsid w:val="5B8D4150"/>
    <w:rsid w:val="5B952655"/>
    <w:rsid w:val="5BCB36A0"/>
    <w:rsid w:val="5BD46AE9"/>
    <w:rsid w:val="5BD9388B"/>
    <w:rsid w:val="5C1530C9"/>
    <w:rsid w:val="5C1E5D13"/>
    <w:rsid w:val="5C3F727D"/>
    <w:rsid w:val="5C4B6B03"/>
    <w:rsid w:val="5C74009B"/>
    <w:rsid w:val="5C78171D"/>
    <w:rsid w:val="5C844709"/>
    <w:rsid w:val="5C8F147F"/>
    <w:rsid w:val="5C9B0BD5"/>
    <w:rsid w:val="5C9C18B0"/>
    <w:rsid w:val="5CA249EC"/>
    <w:rsid w:val="5CAE15E3"/>
    <w:rsid w:val="5CBD7356"/>
    <w:rsid w:val="5CD41AAD"/>
    <w:rsid w:val="5CDE4C9C"/>
    <w:rsid w:val="5CEB13BF"/>
    <w:rsid w:val="5D094A6B"/>
    <w:rsid w:val="5D363F59"/>
    <w:rsid w:val="5D406DE2"/>
    <w:rsid w:val="5D794026"/>
    <w:rsid w:val="5D79574D"/>
    <w:rsid w:val="5D9407D9"/>
    <w:rsid w:val="5D9965F4"/>
    <w:rsid w:val="5DB708E0"/>
    <w:rsid w:val="5DBE5856"/>
    <w:rsid w:val="5DE36D9A"/>
    <w:rsid w:val="5DE54B90"/>
    <w:rsid w:val="5DE66AAE"/>
    <w:rsid w:val="5DE93185"/>
    <w:rsid w:val="5DEA03F9"/>
    <w:rsid w:val="5DED6487"/>
    <w:rsid w:val="5DFE3EA4"/>
    <w:rsid w:val="5DFE5341"/>
    <w:rsid w:val="5DFF280D"/>
    <w:rsid w:val="5E004D2C"/>
    <w:rsid w:val="5E092458"/>
    <w:rsid w:val="5E49515E"/>
    <w:rsid w:val="5E5E5AD6"/>
    <w:rsid w:val="5E611A65"/>
    <w:rsid w:val="5E9709D8"/>
    <w:rsid w:val="5EA013BE"/>
    <w:rsid w:val="5EBC5719"/>
    <w:rsid w:val="5EC055C6"/>
    <w:rsid w:val="5ED02A2C"/>
    <w:rsid w:val="5ED03A93"/>
    <w:rsid w:val="5EF44DF9"/>
    <w:rsid w:val="5EFA2EFC"/>
    <w:rsid w:val="5F1B37D5"/>
    <w:rsid w:val="5F2C785A"/>
    <w:rsid w:val="5F567A52"/>
    <w:rsid w:val="5F6C12F1"/>
    <w:rsid w:val="5F772D91"/>
    <w:rsid w:val="5F8E3724"/>
    <w:rsid w:val="5F993F77"/>
    <w:rsid w:val="5FBF5EDA"/>
    <w:rsid w:val="5FCD3683"/>
    <w:rsid w:val="5FD365E5"/>
    <w:rsid w:val="602E6D04"/>
    <w:rsid w:val="60326B7B"/>
    <w:rsid w:val="603D641C"/>
    <w:rsid w:val="605943B4"/>
    <w:rsid w:val="605B55DE"/>
    <w:rsid w:val="605D2EC0"/>
    <w:rsid w:val="609D5BF6"/>
    <w:rsid w:val="60BD1DF5"/>
    <w:rsid w:val="60D64C64"/>
    <w:rsid w:val="60DA0BF8"/>
    <w:rsid w:val="614378DA"/>
    <w:rsid w:val="61475B62"/>
    <w:rsid w:val="614B38A4"/>
    <w:rsid w:val="615F02B8"/>
    <w:rsid w:val="616710AC"/>
    <w:rsid w:val="617F4A66"/>
    <w:rsid w:val="61B50F59"/>
    <w:rsid w:val="61BF7588"/>
    <w:rsid w:val="61E27730"/>
    <w:rsid w:val="62294BE7"/>
    <w:rsid w:val="623C4F9B"/>
    <w:rsid w:val="623E047D"/>
    <w:rsid w:val="62456545"/>
    <w:rsid w:val="629A4EFB"/>
    <w:rsid w:val="62D41677"/>
    <w:rsid w:val="62E06520"/>
    <w:rsid w:val="63026DF8"/>
    <w:rsid w:val="63064468"/>
    <w:rsid w:val="630D5AEA"/>
    <w:rsid w:val="633A7AAD"/>
    <w:rsid w:val="635F3637"/>
    <w:rsid w:val="636D2535"/>
    <w:rsid w:val="6376620E"/>
    <w:rsid w:val="638C16E4"/>
    <w:rsid w:val="639130C5"/>
    <w:rsid w:val="63932BF6"/>
    <w:rsid w:val="639B133D"/>
    <w:rsid w:val="63A03DA6"/>
    <w:rsid w:val="63A47EED"/>
    <w:rsid w:val="63CE7C12"/>
    <w:rsid w:val="63EA7765"/>
    <w:rsid w:val="63F2405B"/>
    <w:rsid w:val="63F7561D"/>
    <w:rsid w:val="63FD6001"/>
    <w:rsid w:val="641702FF"/>
    <w:rsid w:val="641E02AD"/>
    <w:rsid w:val="644D678D"/>
    <w:rsid w:val="645E569D"/>
    <w:rsid w:val="646B3A43"/>
    <w:rsid w:val="647563B8"/>
    <w:rsid w:val="648F1CFA"/>
    <w:rsid w:val="64C46673"/>
    <w:rsid w:val="64D26CC1"/>
    <w:rsid w:val="64EF7066"/>
    <w:rsid w:val="650A168A"/>
    <w:rsid w:val="651A4ABD"/>
    <w:rsid w:val="65404DA2"/>
    <w:rsid w:val="654A470C"/>
    <w:rsid w:val="65543E02"/>
    <w:rsid w:val="6578309D"/>
    <w:rsid w:val="658D7658"/>
    <w:rsid w:val="65A35A33"/>
    <w:rsid w:val="65AC2438"/>
    <w:rsid w:val="65D11106"/>
    <w:rsid w:val="65F10A49"/>
    <w:rsid w:val="65FC7F22"/>
    <w:rsid w:val="66236C76"/>
    <w:rsid w:val="66252916"/>
    <w:rsid w:val="66321C5D"/>
    <w:rsid w:val="664E7D0E"/>
    <w:rsid w:val="6663343E"/>
    <w:rsid w:val="66694FCF"/>
    <w:rsid w:val="666A7424"/>
    <w:rsid w:val="667A4675"/>
    <w:rsid w:val="66890F14"/>
    <w:rsid w:val="66A852F5"/>
    <w:rsid w:val="66D103A8"/>
    <w:rsid w:val="66E60A07"/>
    <w:rsid w:val="66E64FEB"/>
    <w:rsid w:val="674633FE"/>
    <w:rsid w:val="67515045"/>
    <w:rsid w:val="675F0860"/>
    <w:rsid w:val="675F1E54"/>
    <w:rsid w:val="6775532B"/>
    <w:rsid w:val="67760F4F"/>
    <w:rsid w:val="677C449A"/>
    <w:rsid w:val="678135B8"/>
    <w:rsid w:val="67824A73"/>
    <w:rsid w:val="678F62EE"/>
    <w:rsid w:val="67D16185"/>
    <w:rsid w:val="67FA3DD0"/>
    <w:rsid w:val="682A2E8F"/>
    <w:rsid w:val="68445049"/>
    <w:rsid w:val="686D103D"/>
    <w:rsid w:val="68E649B6"/>
    <w:rsid w:val="68F74404"/>
    <w:rsid w:val="693F458D"/>
    <w:rsid w:val="69417EED"/>
    <w:rsid w:val="6945690F"/>
    <w:rsid w:val="694B48D3"/>
    <w:rsid w:val="69590003"/>
    <w:rsid w:val="69913E1E"/>
    <w:rsid w:val="699F4C46"/>
    <w:rsid w:val="69A46D16"/>
    <w:rsid w:val="69EA7883"/>
    <w:rsid w:val="69F0323B"/>
    <w:rsid w:val="6A0415FE"/>
    <w:rsid w:val="6A071A31"/>
    <w:rsid w:val="6A255CDC"/>
    <w:rsid w:val="6A2D100B"/>
    <w:rsid w:val="6A535ACC"/>
    <w:rsid w:val="6A6E0279"/>
    <w:rsid w:val="6A784EEB"/>
    <w:rsid w:val="6A830004"/>
    <w:rsid w:val="6A911F2B"/>
    <w:rsid w:val="6A9A5B6B"/>
    <w:rsid w:val="6AAB7162"/>
    <w:rsid w:val="6AB82292"/>
    <w:rsid w:val="6AC41DCA"/>
    <w:rsid w:val="6AEB6BF8"/>
    <w:rsid w:val="6AF35CF4"/>
    <w:rsid w:val="6AF37A21"/>
    <w:rsid w:val="6AFD3AEE"/>
    <w:rsid w:val="6B0B768B"/>
    <w:rsid w:val="6B340F05"/>
    <w:rsid w:val="6B363B99"/>
    <w:rsid w:val="6B421874"/>
    <w:rsid w:val="6B5D6BE3"/>
    <w:rsid w:val="6B877EFD"/>
    <w:rsid w:val="6BB46A94"/>
    <w:rsid w:val="6BB5049A"/>
    <w:rsid w:val="6BC54253"/>
    <w:rsid w:val="6BD558A4"/>
    <w:rsid w:val="6BE008DA"/>
    <w:rsid w:val="6BF6265F"/>
    <w:rsid w:val="6BF67767"/>
    <w:rsid w:val="6BF96149"/>
    <w:rsid w:val="6C125595"/>
    <w:rsid w:val="6C151B6B"/>
    <w:rsid w:val="6C292A34"/>
    <w:rsid w:val="6C385E0F"/>
    <w:rsid w:val="6C3A4C95"/>
    <w:rsid w:val="6C4076DB"/>
    <w:rsid w:val="6C417D7E"/>
    <w:rsid w:val="6C4663A0"/>
    <w:rsid w:val="6C6B4119"/>
    <w:rsid w:val="6C6E179B"/>
    <w:rsid w:val="6C7C7008"/>
    <w:rsid w:val="6C8643C6"/>
    <w:rsid w:val="6C9A25F9"/>
    <w:rsid w:val="6C9F7A56"/>
    <w:rsid w:val="6CA363A7"/>
    <w:rsid w:val="6CA53C7B"/>
    <w:rsid w:val="6CCF432B"/>
    <w:rsid w:val="6CD920E2"/>
    <w:rsid w:val="6D113D91"/>
    <w:rsid w:val="6D116B25"/>
    <w:rsid w:val="6D1E08A2"/>
    <w:rsid w:val="6D1E78C6"/>
    <w:rsid w:val="6D1F49BB"/>
    <w:rsid w:val="6D282CEC"/>
    <w:rsid w:val="6D3E161D"/>
    <w:rsid w:val="6D404CD5"/>
    <w:rsid w:val="6D6636EA"/>
    <w:rsid w:val="6D772F7F"/>
    <w:rsid w:val="6D986D98"/>
    <w:rsid w:val="6D9A281E"/>
    <w:rsid w:val="6DAD1663"/>
    <w:rsid w:val="6DDB64CE"/>
    <w:rsid w:val="6DF44AC8"/>
    <w:rsid w:val="6DFF3A4C"/>
    <w:rsid w:val="6E0B4179"/>
    <w:rsid w:val="6E162B44"/>
    <w:rsid w:val="6E20699B"/>
    <w:rsid w:val="6E3B1639"/>
    <w:rsid w:val="6E673F6F"/>
    <w:rsid w:val="6E7070FA"/>
    <w:rsid w:val="6E9452AC"/>
    <w:rsid w:val="6EA5707A"/>
    <w:rsid w:val="6ECA1E1E"/>
    <w:rsid w:val="6ED67DC4"/>
    <w:rsid w:val="6EED60D3"/>
    <w:rsid w:val="6EF020B7"/>
    <w:rsid w:val="6F1C062E"/>
    <w:rsid w:val="6F202742"/>
    <w:rsid w:val="6F504E19"/>
    <w:rsid w:val="6F5A6C77"/>
    <w:rsid w:val="6F793060"/>
    <w:rsid w:val="6F837FC0"/>
    <w:rsid w:val="6FC50886"/>
    <w:rsid w:val="6FE254BF"/>
    <w:rsid w:val="70032111"/>
    <w:rsid w:val="700958FF"/>
    <w:rsid w:val="70392CED"/>
    <w:rsid w:val="703E41A6"/>
    <w:rsid w:val="70436AA5"/>
    <w:rsid w:val="706408F5"/>
    <w:rsid w:val="707F0E75"/>
    <w:rsid w:val="708323E1"/>
    <w:rsid w:val="708451F5"/>
    <w:rsid w:val="70862B2B"/>
    <w:rsid w:val="708C6596"/>
    <w:rsid w:val="70927F1D"/>
    <w:rsid w:val="70EE58BC"/>
    <w:rsid w:val="70F82A47"/>
    <w:rsid w:val="71035517"/>
    <w:rsid w:val="711B4160"/>
    <w:rsid w:val="711E3FED"/>
    <w:rsid w:val="713028A8"/>
    <w:rsid w:val="71325EE7"/>
    <w:rsid w:val="713734FD"/>
    <w:rsid w:val="713F74C2"/>
    <w:rsid w:val="714F0CAE"/>
    <w:rsid w:val="717166C9"/>
    <w:rsid w:val="717414E2"/>
    <w:rsid w:val="719426FE"/>
    <w:rsid w:val="71AC73A6"/>
    <w:rsid w:val="71BC1401"/>
    <w:rsid w:val="71D3553B"/>
    <w:rsid w:val="71DE507E"/>
    <w:rsid w:val="720F4264"/>
    <w:rsid w:val="72121AFE"/>
    <w:rsid w:val="72136096"/>
    <w:rsid w:val="7224673B"/>
    <w:rsid w:val="72275320"/>
    <w:rsid w:val="72804CD0"/>
    <w:rsid w:val="72AA681E"/>
    <w:rsid w:val="72D65243"/>
    <w:rsid w:val="72D76DD9"/>
    <w:rsid w:val="730C06CE"/>
    <w:rsid w:val="730E64E0"/>
    <w:rsid w:val="731A5665"/>
    <w:rsid w:val="73330F42"/>
    <w:rsid w:val="735452E9"/>
    <w:rsid w:val="7358775B"/>
    <w:rsid w:val="739C6A45"/>
    <w:rsid w:val="73B02548"/>
    <w:rsid w:val="73DD6485"/>
    <w:rsid w:val="73EF6A1C"/>
    <w:rsid w:val="741C1999"/>
    <w:rsid w:val="741C22B6"/>
    <w:rsid w:val="74255FEB"/>
    <w:rsid w:val="742B12F3"/>
    <w:rsid w:val="742C285F"/>
    <w:rsid w:val="74575638"/>
    <w:rsid w:val="74662A75"/>
    <w:rsid w:val="747D5FA1"/>
    <w:rsid w:val="747E0200"/>
    <w:rsid w:val="749D71DB"/>
    <w:rsid w:val="74A57E4D"/>
    <w:rsid w:val="74EB0EBB"/>
    <w:rsid w:val="74F60441"/>
    <w:rsid w:val="75093403"/>
    <w:rsid w:val="75186775"/>
    <w:rsid w:val="751B3E16"/>
    <w:rsid w:val="75346B5B"/>
    <w:rsid w:val="753F0BD2"/>
    <w:rsid w:val="755220B9"/>
    <w:rsid w:val="755602FE"/>
    <w:rsid w:val="75605B4F"/>
    <w:rsid w:val="75704D2D"/>
    <w:rsid w:val="75993AFB"/>
    <w:rsid w:val="75BC31F4"/>
    <w:rsid w:val="75C31803"/>
    <w:rsid w:val="75E023B5"/>
    <w:rsid w:val="760C0D09"/>
    <w:rsid w:val="760F2FFC"/>
    <w:rsid w:val="767B6EBC"/>
    <w:rsid w:val="767B7569"/>
    <w:rsid w:val="7693433A"/>
    <w:rsid w:val="76C3221F"/>
    <w:rsid w:val="76C50835"/>
    <w:rsid w:val="770C491A"/>
    <w:rsid w:val="77195A27"/>
    <w:rsid w:val="771F06A7"/>
    <w:rsid w:val="772C0DD1"/>
    <w:rsid w:val="77381FCA"/>
    <w:rsid w:val="77564021"/>
    <w:rsid w:val="77831EC2"/>
    <w:rsid w:val="77892045"/>
    <w:rsid w:val="778925D9"/>
    <w:rsid w:val="77D85F42"/>
    <w:rsid w:val="77DB7262"/>
    <w:rsid w:val="77E5662D"/>
    <w:rsid w:val="77FB2566"/>
    <w:rsid w:val="78064210"/>
    <w:rsid w:val="782642CC"/>
    <w:rsid w:val="783E5C50"/>
    <w:rsid w:val="784E1A0A"/>
    <w:rsid w:val="78570929"/>
    <w:rsid w:val="789027B0"/>
    <w:rsid w:val="78A321D2"/>
    <w:rsid w:val="78AD6EA2"/>
    <w:rsid w:val="78B47F53"/>
    <w:rsid w:val="78C15749"/>
    <w:rsid w:val="78D23D3F"/>
    <w:rsid w:val="78D86D9C"/>
    <w:rsid w:val="791D718A"/>
    <w:rsid w:val="794B4E5D"/>
    <w:rsid w:val="79554E68"/>
    <w:rsid w:val="79584B14"/>
    <w:rsid w:val="795A6AB0"/>
    <w:rsid w:val="797A63B2"/>
    <w:rsid w:val="7986584C"/>
    <w:rsid w:val="79A22753"/>
    <w:rsid w:val="79B92B8C"/>
    <w:rsid w:val="79B96FA0"/>
    <w:rsid w:val="79E8203B"/>
    <w:rsid w:val="79F0693F"/>
    <w:rsid w:val="79F91C98"/>
    <w:rsid w:val="7A02256C"/>
    <w:rsid w:val="7A05524C"/>
    <w:rsid w:val="7A18601E"/>
    <w:rsid w:val="7A223A11"/>
    <w:rsid w:val="7A2F58C7"/>
    <w:rsid w:val="7A613399"/>
    <w:rsid w:val="7A7E313A"/>
    <w:rsid w:val="7A8C63BA"/>
    <w:rsid w:val="7AD26FEE"/>
    <w:rsid w:val="7ADD3307"/>
    <w:rsid w:val="7B032B29"/>
    <w:rsid w:val="7B036915"/>
    <w:rsid w:val="7B36328B"/>
    <w:rsid w:val="7B646B38"/>
    <w:rsid w:val="7B876987"/>
    <w:rsid w:val="7BAE5F0A"/>
    <w:rsid w:val="7BB1016A"/>
    <w:rsid w:val="7BB31275"/>
    <w:rsid w:val="7BB404C9"/>
    <w:rsid w:val="7BCE579E"/>
    <w:rsid w:val="7BD81177"/>
    <w:rsid w:val="7BED7BDD"/>
    <w:rsid w:val="7BF41FC0"/>
    <w:rsid w:val="7C177107"/>
    <w:rsid w:val="7C1B2AF6"/>
    <w:rsid w:val="7C1E1BC0"/>
    <w:rsid w:val="7C3E33B8"/>
    <w:rsid w:val="7C560DBE"/>
    <w:rsid w:val="7C580C52"/>
    <w:rsid w:val="7C6929D9"/>
    <w:rsid w:val="7C765EAD"/>
    <w:rsid w:val="7C922BDE"/>
    <w:rsid w:val="7CA16A54"/>
    <w:rsid w:val="7CB91BF8"/>
    <w:rsid w:val="7CCA45BF"/>
    <w:rsid w:val="7CE0171B"/>
    <w:rsid w:val="7CF5344E"/>
    <w:rsid w:val="7D272678"/>
    <w:rsid w:val="7D534E47"/>
    <w:rsid w:val="7D5F6D53"/>
    <w:rsid w:val="7D603DDC"/>
    <w:rsid w:val="7D856813"/>
    <w:rsid w:val="7DB27958"/>
    <w:rsid w:val="7DB5056D"/>
    <w:rsid w:val="7DB859C6"/>
    <w:rsid w:val="7DBA23A5"/>
    <w:rsid w:val="7DBB6C93"/>
    <w:rsid w:val="7DC00764"/>
    <w:rsid w:val="7DC46119"/>
    <w:rsid w:val="7DCC2319"/>
    <w:rsid w:val="7DDD367E"/>
    <w:rsid w:val="7E0D62E5"/>
    <w:rsid w:val="7E2766A8"/>
    <w:rsid w:val="7E492112"/>
    <w:rsid w:val="7E5E7184"/>
    <w:rsid w:val="7E68083E"/>
    <w:rsid w:val="7E6D5F5F"/>
    <w:rsid w:val="7E8D720B"/>
    <w:rsid w:val="7E8E0A07"/>
    <w:rsid w:val="7ED44A81"/>
    <w:rsid w:val="7ED64D7F"/>
    <w:rsid w:val="7EE72C33"/>
    <w:rsid w:val="7EEC6B92"/>
    <w:rsid w:val="7EF944E8"/>
    <w:rsid w:val="7F0A63E4"/>
    <w:rsid w:val="7F2E26D9"/>
    <w:rsid w:val="7F304D45"/>
    <w:rsid w:val="7F8C2C66"/>
    <w:rsid w:val="7FA35B88"/>
    <w:rsid w:val="7FC80734"/>
    <w:rsid w:val="7FDD1714"/>
    <w:rsid w:val="7FE45EE8"/>
    <w:rsid w:val="7FE70C9B"/>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bCs/>
      <w:kern w:val="44"/>
      <w:sz w:val="44"/>
      <w:szCs w:val="44"/>
    </w:rPr>
  </w:style>
  <w:style w:type="paragraph" w:styleId="4">
    <w:name w:val="heading 2"/>
    <w:basedOn w:val="1"/>
    <w:next w:val="5"/>
    <w:link w:val="83"/>
    <w:qFormat/>
    <w:uiPriority w:val="99"/>
    <w:pPr>
      <w:keepNext/>
      <w:keepLines/>
      <w:spacing w:line="413" w:lineRule="auto"/>
      <w:outlineLvl w:val="1"/>
    </w:pPr>
    <w:rPr>
      <w:rFonts w:ascii="Arial" w:hAnsi="Arial" w:eastAsia="黑体"/>
      <w:b/>
      <w:bCs/>
      <w:sz w:val="32"/>
      <w:szCs w:val="32"/>
    </w:rPr>
  </w:style>
  <w:style w:type="paragraph" w:styleId="6">
    <w:name w:val="heading 3"/>
    <w:basedOn w:val="1"/>
    <w:next w:val="5"/>
    <w:qFormat/>
    <w:uiPriority w:val="0"/>
    <w:pPr>
      <w:keepNext/>
      <w:keepLines/>
      <w:spacing w:before="260" w:after="260" w:line="412" w:lineRule="auto"/>
      <w:outlineLvl w:val="2"/>
    </w:pPr>
    <w:rPr>
      <w:b/>
      <w:sz w:val="32"/>
      <w:szCs w:val="20"/>
    </w:rPr>
  </w:style>
  <w:style w:type="paragraph" w:styleId="7">
    <w:name w:val="heading 4"/>
    <w:basedOn w:val="1"/>
    <w:next w:val="1"/>
    <w:qFormat/>
    <w:uiPriority w:val="0"/>
    <w:pPr>
      <w:keepNext/>
      <w:keepLines/>
      <w:tabs>
        <w:tab w:val="left" w:pos="864"/>
      </w:tabs>
      <w:spacing w:line="360" w:lineRule="auto"/>
      <w:ind w:left="864" w:hanging="864"/>
      <w:outlineLvl w:val="3"/>
    </w:pPr>
    <w:rPr>
      <w:rFonts w:ascii="Arial" w:hAnsi="Arial"/>
      <w:bCs/>
      <w:szCs w:val="28"/>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16" w:lineRule="auto"/>
      <w:outlineLvl w:val="6"/>
    </w:pPr>
    <w:rPr>
      <w:b/>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Times New Roman" w:cs="Times New Roman"/>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11">
    <w:name w:val="Document Map"/>
    <w:basedOn w:val="1"/>
    <w:link w:val="52"/>
    <w:qFormat/>
    <w:uiPriority w:val="0"/>
    <w:rPr>
      <w:rFonts w:ascii="宋体"/>
      <w:sz w:val="18"/>
      <w:szCs w:val="18"/>
    </w:r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annotation text"/>
    <w:basedOn w:val="1"/>
    <w:qFormat/>
    <w:uiPriority w:val="0"/>
    <w:pPr>
      <w:jc w:val="left"/>
    </w:pPr>
  </w:style>
  <w:style w:type="paragraph" w:styleId="14">
    <w:name w:val="Body Text Indent"/>
    <w:basedOn w:val="1"/>
    <w:next w:val="15"/>
    <w:qFormat/>
    <w:uiPriority w:val="0"/>
    <w:pPr>
      <w:ind w:firstLine="552"/>
    </w:pPr>
    <w:rPr>
      <w:rFonts w:ascii="宋体"/>
      <w:sz w:val="28"/>
    </w:rPr>
  </w:style>
  <w:style w:type="paragraph" w:styleId="15">
    <w:name w:val="annotation subject"/>
    <w:basedOn w:val="13"/>
    <w:next w:val="1"/>
    <w:qFormat/>
    <w:uiPriority w:val="0"/>
    <w:pPr>
      <w:adjustRightInd/>
      <w:spacing w:line="240" w:lineRule="auto"/>
      <w:textAlignment w:val="auto"/>
    </w:pPr>
    <w:rPr>
      <w:b/>
      <w:bCs/>
      <w:kern w:val="2"/>
      <w:sz w:val="21"/>
      <w:szCs w:val="24"/>
    </w:rPr>
  </w:style>
  <w:style w:type="paragraph" w:styleId="16">
    <w:name w:val="Block Text"/>
    <w:basedOn w:val="1"/>
    <w:next w:val="17"/>
    <w:qFormat/>
    <w:uiPriority w:val="99"/>
    <w:pPr>
      <w:adjustRightInd w:val="0"/>
      <w:ind w:left="420" w:right="33"/>
      <w:jc w:val="left"/>
      <w:textAlignment w:val="baseline"/>
    </w:pPr>
    <w:rPr>
      <w:rFonts w:ascii="Times New Roman" w:hAnsi="Times New Roman" w:cs="Times New Roman"/>
      <w:kern w:val="0"/>
      <w:sz w:val="24"/>
      <w:szCs w:val="24"/>
    </w:rPr>
  </w:style>
  <w:style w:type="paragraph" w:styleId="17">
    <w:name w:val="Plain Text"/>
    <w:basedOn w:val="1"/>
    <w:qFormat/>
    <w:uiPriority w:val="0"/>
    <w:rPr>
      <w:rFonts w:ascii="宋体" w:hAnsi="Courier New" w:cs="Courier New"/>
      <w:szCs w:val="21"/>
    </w:rPr>
  </w:style>
  <w:style w:type="paragraph" w:styleId="18">
    <w:name w:val="Body Text Indent 2"/>
    <w:basedOn w:val="1"/>
    <w:qFormat/>
    <w:uiPriority w:val="0"/>
    <w:pPr>
      <w:ind w:firstLine="630"/>
    </w:pPr>
    <w:rPr>
      <w:sz w:val="32"/>
      <w:szCs w:val="20"/>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Body Text 2"/>
    <w:basedOn w:val="1"/>
    <w:unhideWhenUsed/>
    <w:qFormat/>
    <w:uiPriority w:val="99"/>
    <w:rPr>
      <w:sz w:val="28"/>
    </w:rPr>
  </w:style>
  <w:style w:type="paragraph" w:styleId="24">
    <w:name w:val="Message Header"/>
    <w:basedOn w:val="1"/>
    <w:next w:val="1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1"/>
      <w:szCs w:val="22"/>
    </w:rPr>
  </w:style>
  <w:style w:type="paragraph" w:styleId="2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7">
    <w:name w:val="Title"/>
    <w:basedOn w:val="1"/>
    <w:next w:val="1"/>
    <w:qFormat/>
    <w:uiPriority w:val="0"/>
    <w:pPr>
      <w:spacing w:before="240" w:after="60"/>
      <w:jc w:val="center"/>
      <w:outlineLvl w:val="0"/>
    </w:pPr>
    <w:rPr>
      <w:rFonts w:ascii="Cambria" w:hAnsi="Cambria" w:cs="Times New Roman"/>
      <w:b/>
      <w:bCs/>
      <w:sz w:val="32"/>
      <w:szCs w:val="32"/>
    </w:rPr>
  </w:style>
  <w:style w:type="paragraph" w:styleId="28">
    <w:name w:val="Body Text First Indent"/>
    <w:basedOn w:val="2"/>
    <w:next w:val="29"/>
    <w:unhideWhenUsed/>
    <w:qFormat/>
    <w:uiPriority w:val="99"/>
    <w:pPr>
      <w:ind w:firstLine="420" w:firstLineChars="100"/>
    </w:pPr>
  </w:style>
  <w:style w:type="paragraph" w:styleId="29">
    <w:name w:val="Body Text First Indent 2"/>
    <w:basedOn w:val="14"/>
    <w:next w:val="28"/>
    <w:qFormat/>
    <w:uiPriority w:val="0"/>
    <w:pPr>
      <w:ind w:firstLine="420" w:firstLineChars="200"/>
    </w:pPr>
  </w:style>
  <w:style w:type="table" w:styleId="31">
    <w:name w:val="Table Grid"/>
    <w:basedOn w:val="3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basedOn w:val="32"/>
    <w:qFormat/>
    <w:uiPriority w:val="0"/>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0000FF"/>
      <w:u w:val="single"/>
    </w:rPr>
  </w:style>
  <w:style w:type="character" w:styleId="42">
    <w:name w:val="HTML Code"/>
    <w:basedOn w:val="32"/>
    <w:qFormat/>
    <w:uiPriority w:val="0"/>
    <w:rPr>
      <w:rFonts w:hint="default" w:ascii="monospace" w:hAnsi="monospace" w:eastAsia="monospace" w:cs="monospace"/>
      <w:sz w:val="20"/>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qFormat/>
    <w:uiPriority w:val="0"/>
    <w:rPr>
      <w:rFonts w:hint="default" w:ascii="monospace" w:hAnsi="monospace" w:eastAsia="monospace" w:cs="monospace"/>
    </w:rPr>
  </w:style>
  <w:style w:type="paragraph" w:customStyle="1" w:styleId="4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8">
    <w:name w:val="列出段落1"/>
    <w:basedOn w:val="1"/>
    <w:qFormat/>
    <w:uiPriority w:val="34"/>
    <w:pPr>
      <w:ind w:firstLine="420"/>
    </w:pPr>
    <w:rPr>
      <w:szCs w:val="20"/>
    </w:rPr>
  </w:style>
  <w:style w:type="paragraph" w:customStyle="1" w:styleId="49">
    <w:name w:val="p15"/>
    <w:basedOn w:val="1"/>
    <w:qFormat/>
    <w:uiPriority w:val="99"/>
    <w:pPr>
      <w:widowControl/>
    </w:pPr>
    <w:rPr>
      <w:kern w:val="0"/>
      <w:szCs w:val="21"/>
    </w:rPr>
  </w:style>
  <w:style w:type="paragraph" w:styleId="50">
    <w:name w:val="No Spacing"/>
    <w:qFormat/>
    <w:uiPriority w:val="0"/>
    <w:pPr>
      <w:widowControl w:val="0"/>
      <w:spacing w:line="5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character" w:customStyle="1" w:styleId="52">
    <w:name w:val="文档结构图 Char"/>
    <w:basedOn w:val="32"/>
    <w:link w:val="11"/>
    <w:qFormat/>
    <w:uiPriority w:val="0"/>
    <w:rPr>
      <w:rFonts w:ascii="宋体"/>
      <w:kern w:val="2"/>
      <w:sz w:val="18"/>
      <w:szCs w:val="18"/>
    </w:rPr>
  </w:style>
  <w:style w:type="paragraph" w:styleId="53">
    <w:name w:val="List Paragraph"/>
    <w:basedOn w:val="1"/>
    <w:qFormat/>
    <w:uiPriority w:val="34"/>
    <w:pPr>
      <w:ind w:firstLine="420"/>
    </w:pPr>
  </w:style>
  <w:style w:type="character" w:customStyle="1" w:styleId="54">
    <w:name w:val="font01"/>
    <w:basedOn w:val="32"/>
    <w:qFormat/>
    <w:uiPriority w:val="0"/>
    <w:rPr>
      <w:rFonts w:hint="eastAsia" w:ascii="宋体" w:hAnsi="宋体" w:eastAsia="宋体" w:cs="宋体"/>
      <w:color w:val="000000"/>
      <w:sz w:val="22"/>
      <w:szCs w:val="22"/>
      <w:u w:val="none"/>
    </w:rPr>
  </w:style>
  <w:style w:type="paragraph" w:customStyle="1" w:styleId="55">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6">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7">
    <w:name w:val="active6"/>
    <w:basedOn w:val="32"/>
    <w:qFormat/>
    <w:uiPriority w:val="0"/>
    <w:rPr>
      <w:color w:val="00FF00"/>
      <w:shd w:val="clear" w:fill="000000"/>
    </w:rPr>
  </w:style>
  <w:style w:type="character" w:customStyle="1" w:styleId="58">
    <w:name w:val="proollist"/>
    <w:basedOn w:val="32"/>
    <w:qFormat/>
    <w:uiPriority w:val="0"/>
  </w:style>
  <w:style w:type="character" w:customStyle="1" w:styleId="59">
    <w:name w:val="span-long"/>
    <w:basedOn w:val="32"/>
    <w:qFormat/>
    <w:uiPriority w:val="0"/>
  </w:style>
  <w:style w:type="character" w:customStyle="1" w:styleId="60">
    <w:name w:val="input-direction"/>
    <w:basedOn w:val="32"/>
    <w:qFormat/>
    <w:uiPriority w:val="0"/>
    <w:rPr>
      <w:color w:val="FF6600"/>
    </w:rPr>
  </w:style>
  <w:style w:type="character" w:customStyle="1" w:styleId="61">
    <w:name w:val="beforeinfotext"/>
    <w:basedOn w:val="32"/>
    <w:qFormat/>
    <w:uiPriority w:val="0"/>
    <w:rPr>
      <w:color w:val="666666"/>
    </w:rPr>
  </w:style>
  <w:style w:type="character" w:customStyle="1" w:styleId="62">
    <w:name w:val="hilite6"/>
    <w:basedOn w:val="32"/>
    <w:qFormat/>
    <w:uiPriority w:val="0"/>
    <w:rPr>
      <w:color w:val="FFFFFF"/>
      <w:shd w:val="clear" w:fill="666677"/>
    </w:rPr>
  </w:style>
  <w:style w:type="character" w:customStyle="1" w:styleId="63">
    <w:name w:val="stclosebtn"/>
    <w:basedOn w:val="32"/>
    <w:qFormat/>
    <w:uiPriority w:val="0"/>
  </w:style>
  <w:style w:type="character" w:customStyle="1" w:styleId="64">
    <w:name w:val="tmpztreemove_arrow"/>
    <w:basedOn w:val="32"/>
    <w:qFormat/>
    <w:uiPriority w:val="0"/>
  </w:style>
  <w:style w:type="character" w:customStyle="1" w:styleId="65">
    <w:name w:val="phone"/>
    <w:basedOn w:val="32"/>
    <w:qFormat/>
    <w:uiPriority w:val="0"/>
    <w:rPr>
      <w:color w:val="FF8833"/>
      <w:sz w:val="18"/>
      <w:szCs w:val="18"/>
    </w:rPr>
  </w:style>
  <w:style w:type="character" w:customStyle="1" w:styleId="66">
    <w:name w:val="number"/>
    <w:basedOn w:val="32"/>
    <w:qFormat/>
    <w:uiPriority w:val="0"/>
    <w:rPr>
      <w:color w:val="FF8833"/>
      <w:sz w:val="18"/>
      <w:szCs w:val="18"/>
    </w:rPr>
  </w:style>
  <w:style w:type="character" w:customStyle="1" w:styleId="67">
    <w:name w:val="button2"/>
    <w:basedOn w:val="32"/>
    <w:qFormat/>
    <w:uiPriority w:val="0"/>
  </w:style>
  <w:style w:type="paragraph" w:customStyle="1" w:styleId="68">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9">
    <w:name w:val="正文缩进2格"/>
    <w:basedOn w:val="1"/>
    <w:qFormat/>
    <w:uiPriority w:val="0"/>
    <w:pPr>
      <w:spacing w:line="600" w:lineRule="exact"/>
      <w:ind w:firstLine="639" w:firstLineChars="206"/>
    </w:pPr>
    <w:rPr>
      <w:rFonts w:ascii="仿宋_GB2312" w:hAnsi="宋体" w:eastAsia="仿宋_GB2312"/>
      <w:sz w:val="31"/>
    </w:rPr>
  </w:style>
  <w:style w:type="character" w:customStyle="1" w:styleId="70">
    <w:name w:val="button"/>
    <w:basedOn w:val="32"/>
    <w:qFormat/>
    <w:uiPriority w:val="0"/>
  </w:style>
  <w:style w:type="character" w:customStyle="1" w:styleId="71">
    <w:name w:val="hilite"/>
    <w:basedOn w:val="32"/>
    <w:qFormat/>
    <w:uiPriority w:val="0"/>
    <w:rPr>
      <w:color w:val="FFFFFF"/>
      <w:shd w:val="clear" w:fill="666677"/>
    </w:rPr>
  </w:style>
  <w:style w:type="character" w:customStyle="1" w:styleId="72">
    <w:name w:val="font151"/>
    <w:basedOn w:val="32"/>
    <w:qFormat/>
    <w:uiPriority w:val="0"/>
    <w:rPr>
      <w:rFonts w:ascii="宋体" w:hAnsi="宋体" w:eastAsia="宋体" w:cs="宋体"/>
      <w:color w:val="000000"/>
      <w:sz w:val="20"/>
      <w:szCs w:val="20"/>
      <w:u w:val="none"/>
    </w:rPr>
  </w:style>
  <w:style w:type="character" w:customStyle="1" w:styleId="73">
    <w:name w:val="font21"/>
    <w:basedOn w:val="32"/>
    <w:qFormat/>
    <w:uiPriority w:val="0"/>
    <w:rPr>
      <w:rFonts w:hint="eastAsia" w:ascii="宋体" w:hAnsi="宋体" w:eastAsia="宋体" w:cs="宋体"/>
      <w:color w:val="000000"/>
      <w:sz w:val="20"/>
      <w:szCs w:val="20"/>
      <w:u w:val="none"/>
    </w:rPr>
  </w:style>
  <w:style w:type="character" w:customStyle="1" w:styleId="74">
    <w:name w:val="font81"/>
    <w:basedOn w:val="32"/>
    <w:qFormat/>
    <w:uiPriority w:val="0"/>
    <w:rPr>
      <w:rFonts w:hint="eastAsia" w:ascii="宋体" w:hAnsi="宋体" w:eastAsia="宋体" w:cs="宋体"/>
      <w:color w:val="000000"/>
      <w:sz w:val="20"/>
      <w:szCs w:val="20"/>
      <w:u w:val="none"/>
    </w:rPr>
  </w:style>
  <w:style w:type="character" w:customStyle="1" w:styleId="75">
    <w:name w:val="font121"/>
    <w:basedOn w:val="32"/>
    <w:qFormat/>
    <w:uiPriority w:val="0"/>
    <w:rPr>
      <w:rFonts w:ascii="宋体" w:hAnsi="宋体" w:eastAsia="宋体" w:cs="宋体"/>
      <w:color w:val="000000"/>
      <w:sz w:val="20"/>
      <w:szCs w:val="20"/>
      <w:u w:val="none"/>
    </w:rPr>
  </w:style>
  <w:style w:type="character" w:customStyle="1" w:styleId="76">
    <w:name w:val="font41"/>
    <w:basedOn w:val="32"/>
    <w:qFormat/>
    <w:uiPriority w:val="0"/>
    <w:rPr>
      <w:rFonts w:hint="eastAsia" w:ascii="宋体" w:hAnsi="宋体" w:eastAsia="宋体" w:cs="宋体"/>
      <w:color w:val="000000"/>
      <w:sz w:val="20"/>
      <w:szCs w:val="20"/>
      <w:u w:val="none"/>
    </w:rPr>
  </w:style>
  <w:style w:type="character" w:customStyle="1" w:styleId="77">
    <w:name w:val="font141"/>
    <w:basedOn w:val="32"/>
    <w:qFormat/>
    <w:uiPriority w:val="0"/>
    <w:rPr>
      <w:rFonts w:ascii="宋体" w:hAnsi="宋体" w:eastAsia="宋体" w:cs="宋体"/>
      <w:color w:val="000000"/>
      <w:sz w:val="20"/>
      <w:szCs w:val="20"/>
      <w:u w:val="none"/>
    </w:rPr>
  </w:style>
  <w:style w:type="character" w:customStyle="1" w:styleId="78">
    <w:name w:val="font112"/>
    <w:basedOn w:val="32"/>
    <w:qFormat/>
    <w:uiPriority w:val="0"/>
    <w:rPr>
      <w:rFonts w:hint="eastAsia" w:ascii="宋体" w:hAnsi="宋体" w:eastAsia="宋体" w:cs="宋体"/>
      <w:color w:val="FF0000"/>
      <w:sz w:val="20"/>
      <w:szCs w:val="20"/>
      <w:u w:val="none"/>
    </w:rPr>
  </w:style>
  <w:style w:type="character" w:customStyle="1" w:styleId="79">
    <w:name w:val="font101"/>
    <w:basedOn w:val="32"/>
    <w:qFormat/>
    <w:uiPriority w:val="0"/>
    <w:rPr>
      <w:rFonts w:ascii="Arial" w:hAnsi="Arial" w:cs="Arial"/>
      <w:color w:val="000000"/>
      <w:sz w:val="20"/>
      <w:szCs w:val="20"/>
      <w:u w:val="none"/>
    </w:rPr>
  </w:style>
  <w:style w:type="character" w:customStyle="1" w:styleId="80">
    <w:name w:val="font11"/>
    <w:basedOn w:val="32"/>
    <w:qFormat/>
    <w:uiPriority w:val="0"/>
    <w:rPr>
      <w:rFonts w:hint="eastAsia" w:ascii="宋体" w:hAnsi="宋体" w:eastAsia="宋体" w:cs="宋体"/>
      <w:color w:val="000000"/>
      <w:sz w:val="22"/>
      <w:szCs w:val="22"/>
      <w:u w:val="none"/>
    </w:rPr>
  </w:style>
  <w:style w:type="paragraph" w:customStyle="1" w:styleId="81">
    <w:name w:val="样式 首行缩进:  2 字符"/>
    <w:basedOn w:val="1"/>
    <w:qFormat/>
    <w:uiPriority w:val="99"/>
    <w:pPr>
      <w:spacing w:line="400" w:lineRule="exact"/>
      <w:ind w:firstLine="200" w:firstLineChars="200"/>
    </w:pPr>
    <w:rPr>
      <w:rFonts w:cs="宋体"/>
      <w:szCs w:val="24"/>
    </w:rPr>
  </w:style>
  <w:style w:type="paragraph" w:customStyle="1" w:styleId="82">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83">
    <w:name w:val="标题 2 Char"/>
    <w:link w:val="4"/>
    <w:qFormat/>
    <w:uiPriority w:val="0"/>
    <w:rPr>
      <w:rFonts w:ascii="Arial" w:hAnsi="Arial" w:eastAsia="黑体"/>
      <w:b/>
      <w:bCs/>
      <w:sz w:val="32"/>
      <w:szCs w:val="32"/>
    </w:rPr>
  </w:style>
  <w:style w:type="paragraph" w:customStyle="1" w:styleId="8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p0"/>
    <w:basedOn w:val="1"/>
    <w:qFormat/>
    <w:uiPriority w:val="0"/>
    <w:pPr>
      <w:widowControl/>
    </w:pPr>
    <w:rPr>
      <w:kern w:val="0"/>
      <w:szCs w:val="21"/>
    </w:rPr>
  </w:style>
  <w:style w:type="paragraph" w:customStyle="1" w:styleId="87">
    <w:name w:val="Normal Indent1"/>
    <w:qFormat/>
    <w:uiPriority w:val="0"/>
    <w:pPr>
      <w:widowControl w:val="0"/>
      <w:spacing w:line="660" w:lineRule="exact"/>
      <w:ind w:firstLine="720" w:firstLineChars="200"/>
      <w:jc w:val="both"/>
    </w:pPr>
    <w:rPr>
      <w:rFonts w:ascii="Calibri" w:hAnsi="Calibri" w:eastAsia="楷体_GB2312" w:cs="Times New Roman"/>
      <w:kern w:val="2"/>
      <w:sz w:val="21"/>
      <w:szCs w:val="24"/>
      <w:lang w:val="en-US" w:eastAsia="zh-CN" w:bidi="ar-SA"/>
    </w:rPr>
  </w:style>
  <w:style w:type="paragraph" w:customStyle="1" w:styleId="88">
    <w:name w:val="WPSOffice手动目录 1"/>
    <w:qFormat/>
    <w:uiPriority w:val="0"/>
    <w:pPr>
      <w:ind w:leftChars="0"/>
    </w:pPr>
    <w:rPr>
      <w:rFonts w:ascii="Times New Roman" w:hAnsi="Times New Roman" w:eastAsia="宋体" w:cs="Times New Roman"/>
      <w:sz w:val="20"/>
      <w:szCs w:val="20"/>
    </w:rPr>
  </w:style>
  <w:style w:type="paragraph" w:customStyle="1" w:styleId="8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90">
    <w:name w:val="列出段落2"/>
    <w:basedOn w:val="1"/>
    <w:qFormat/>
    <w:uiPriority w:val="34"/>
    <w:pPr>
      <w:ind w:firstLine="420" w:firstLineChars="200"/>
    </w:pPr>
    <w:rPr>
      <w:sz w:val="24"/>
    </w:rPr>
  </w:style>
  <w:style w:type="paragraph" w:customStyle="1" w:styleId="9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C9C5C-8C55-4F11-A6E2-98E177649487}">
  <ds:schemaRefs/>
</ds:datastoreItem>
</file>

<file path=docProps/app.xml><?xml version="1.0" encoding="utf-8"?>
<Properties xmlns="http://schemas.openxmlformats.org/officeDocument/2006/extended-properties" xmlns:vt="http://schemas.openxmlformats.org/officeDocument/2006/docPropsVTypes">
  <Template>Normal</Template>
  <Pages>81</Pages>
  <Words>42592</Words>
  <Characters>45281</Characters>
  <Lines>205</Lines>
  <Paragraphs>57</Paragraphs>
  <TotalTime>40</TotalTime>
  <ScaleCrop>false</ScaleCrop>
  <LinksUpToDate>false</LinksUpToDate>
  <CharactersWithSpaces>48613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2019-06-27T08:32:00Z</dcterms:created>
  <dc:creator>Z.</dc:creator>
  <cp:lastModifiedBy>梦影</cp:lastModifiedBy>
  <cp:lastPrinted>2025-06-26T06:23:00Z</cp:lastPrinted>
  <dcterms:modified xsi:type="dcterms:W3CDTF">2025-06-26T07:08:09Z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AFD671A4EC594EF78822B14A0E4BE81F_13</vt:lpwstr>
  </property>
</Properties>
</file>