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武家庄镇武家庄村抗早应急水源工程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1EB8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HJLZB-2025-24</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1932800.00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1932800.00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1932800.00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5"/>
        <w:gridCol w:w="1495"/>
        <w:gridCol w:w="1875"/>
        <w:gridCol w:w="1005"/>
        <w:gridCol w:w="1456"/>
        <w:gridCol w:w="1515"/>
        <w:gridCol w:w="151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其他水利工程施工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武家庄镇武家庄村抗早应急水源工程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366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w:t>
            </w:r>
          </w:p>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1932800.00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1932800.00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45日历天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37EBD9DA">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本项目要求投标人需具备建设行政主管部门颁发的水利水电工程施工总承包三级及其以上资质的独立企业法人，并具备有效的安全生产许可证，并在人员、设备、资金等方面有相应的施工能力；</w:t>
      </w:r>
    </w:p>
    <w:p w14:paraId="6320DF5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3、拟派往本工程项目负责人需具备</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专业二级及以上注册建造师注册证书和有效的安全生产考核合格证书，且未担任其他在建工程项目的项目负责人、身份证复印件；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eastAsia="zh-CN"/>
        </w:rPr>
        <w:t>年</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lang w:eastAsia="zh-CN"/>
        </w:rPr>
        <w:t>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6、社会保障资金缴纳证明：提供2024年6月至投标截止时间已缴纳的至少一个月的社会保障资金缴存单据或社保机构开具的社会保险参保缴费情况证明。依法不需要缴纳社会保障资金的供应商应提供相关文件证明；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2025年07月08日至2025年07月14日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18</w:t>
      </w:r>
      <w:r>
        <w:rPr>
          <w:rFonts w:hint="eastAsia" w:ascii="宋体" w:hAnsi="宋体" w:eastAsia="宋体" w:cs="宋体"/>
          <w:i w:val="0"/>
          <w:iCs w:val="0"/>
          <w:caps w:val="0"/>
          <w:color w:val="auto"/>
          <w:spacing w:val="0"/>
          <w:sz w:val="24"/>
          <w:szCs w:val="24"/>
          <w:shd w:val="clear" w:fill="FFFFFF"/>
          <w:vertAlign w:val="baseline"/>
          <w:lang w:eastAsia="zh-CN"/>
        </w:rPr>
        <w:t>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2、线上报名与线下报名需同时进行，线上报名成功后请携带网上报名回执单、单位介绍信原件、经办人身份证原件、复印件及加盖公章到华建联（陕西）招标代理有限公司 (陕西省府谷县新区高家湾世纪花园三楼）进行线下报名，线上与线下报名信息须一致，否则视为报名无效。本工程所属行业为建筑业，报名时间：2025年07月08日至2025年07月14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名称：府谷县武家庄镇人民政府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地址：府谷县武家庄村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联系方式：18220621481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名称：华建联（陕西）招标代理有限公司 </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项目联系人：王工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 xml:space="preserve">华建联（陕西）招标代理有限公司 </w:t>
      </w:r>
    </w:p>
    <w:p w14:paraId="030D5153">
      <w:pPr>
        <w:keepNext w:val="0"/>
        <w:keepLines w:val="0"/>
        <w:pageBreakBefore w:val="0"/>
        <w:kinsoku/>
        <w:overflowPunct/>
        <w:topLinePunct w:val="0"/>
        <w:autoSpaceDE/>
        <w:autoSpaceDN/>
        <w:bidi w:val="0"/>
        <w:adjustRightInd/>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4EB0DA4">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F7E40"/>
    <w:rsid w:val="2E5F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2025-07-07T09:20:00Z</dcterms:created>
  <dc:creator>NIce-2-cu</dc:creator>
  <cp:lastModifiedBy>NIce-2-cu</cp:lastModifiedBy>
  <dcterms:modified xsi:type="dcterms:W3CDTF">2025-07-07T09:21:07Z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C7CDC1D266A849AA9EEDACD1312115BC_11</vt:lpwstr>
  </property>
  <property fmtid="{D5CDD505-2E9C-101B-9397-08002B2CF9AE}" pid="4" name="KSOTemplateDocerSaveRecord">
    <vt:lpwstr>eyJoZGlkIjoiMmFmNmQ1NGJhYmQ1MDNjYWI2MTM3ZGZmZTkzYThkNzciLCJ1c2VySWQiOiI4NTM0MDIyMTAifQ==</vt:lpwstr>
  </property>
</Properties>
</file>