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F5C1C">
      <w:pPr>
        <w:pStyle w:val="3"/>
        <w:spacing w:line="500" w:lineRule="exact"/>
        <w:ind w:firstLine="0" w:firstLineChars="0"/>
        <w:jc w:val="center"/>
        <w:outlineLvl w:val="1"/>
        <w:rPr>
          <w:rFonts w:hint="eastAsia" w:ascii="仿宋" w:hAnsi="仿宋" w:eastAsia="仿宋" w:cs="Times New Roman"/>
          <w:b/>
          <w:color w:val="000000"/>
          <w:sz w:val="32"/>
          <w:szCs w:val="32"/>
        </w:rPr>
      </w:pPr>
      <w:r>
        <w:rPr>
          <w:rFonts w:hint="eastAsia" w:ascii="仿宋" w:hAnsi="仿宋" w:eastAsia="仿宋" w:cs="Times New Roman"/>
          <w:b/>
          <w:color w:val="000000"/>
          <w:sz w:val="32"/>
          <w:szCs w:val="32"/>
        </w:rPr>
        <w:t xml:space="preserve">第四章  </w:t>
      </w:r>
      <w:bookmarkStart w:id="0" w:name="_Toc14082138"/>
      <w:bookmarkStart w:id="1" w:name="_Toc48834304"/>
      <w:bookmarkStart w:id="2" w:name="_Toc48834177"/>
      <w:bookmarkStart w:id="3" w:name="_Toc48834545"/>
      <w:bookmarkStart w:id="4" w:name="_Toc20365"/>
      <w:bookmarkStart w:id="5" w:name="_Toc48834107"/>
      <w:bookmarkStart w:id="6" w:name="_Toc48834466"/>
      <w:r>
        <w:rPr>
          <w:rFonts w:ascii="仿宋" w:hAnsi="仿宋" w:eastAsia="仿宋" w:cs="Times New Roman"/>
          <w:b/>
          <w:color w:val="000000"/>
          <w:sz w:val="32"/>
          <w:szCs w:val="32"/>
        </w:rPr>
        <w:t>磋商内容及采购</w:t>
      </w:r>
      <w:r>
        <w:rPr>
          <w:rFonts w:hint="eastAsia" w:ascii="仿宋" w:hAnsi="仿宋" w:eastAsia="仿宋" w:cs="Times New Roman"/>
          <w:b/>
          <w:color w:val="000000"/>
          <w:sz w:val="32"/>
          <w:szCs w:val="32"/>
        </w:rPr>
        <w:t>需</w:t>
      </w:r>
      <w:r>
        <w:rPr>
          <w:rFonts w:ascii="仿宋" w:hAnsi="仿宋" w:eastAsia="仿宋" w:cs="Times New Roman"/>
          <w:b/>
          <w:color w:val="000000"/>
          <w:sz w:val="32"/>
          <w:szCs w:val="32"/>
        </w:rPr>
        <w:t>求</w:t>
      </w:r>
    </w:p>
    <w:p w14:paraId="14E5BE51">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本次采购项目为</w:t>
      </w:r>
      <w:r>
        <w:rPr>
          <w:rFonts w:hint="eastAsia" w:ascii="仿宋" w:hAnsi="仿宋" w:eastAsia="仿宋" w:cs="Times New Roman"/>
          <w:color w:val="000000"/>
          <w:lang w:eastAsia="zh-CN"/>
        </w:rPr>
        <w:t>榆阳城区巡逻防控安保服务项目</w:t>
      </w:r>
      <w:r>
        <w:rPr>
          <w:rFonts w:hint="eastAsia" w:ascii="仿宋" w:hAnsi="仿宋" w:eastAsia="仿宋" w:cs="Times New Roman"/>
          <w:color w:val="000000"/>
        </w:rPr>
        <w:t>，供应商必须对本项目进行整体响应，只对其中一部分内容进行的响应都被视为无效响应。投标报价应遵守《中华人民共和国价格法》，供应商不得以低于成本的报价参与投标。</w:t>
      </w:r>
      <w:bookmarkEnd w:id="0"/>
      <w:bookmarkEnd w:id="1"/>
      <w:bookmarkEnd w:id="2"/>
      <w:bookmarkEnd w:id="3"/>
      <w:bookmarkEnd w:id="4"/>
      <w:bookmarkEnd w:id="5"/>
      <w:bookmarkEnd w:id="6"/>
    </w:p>
    <w:p w14:paraId="2ADD584E">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采购需求：</w:t>
      </w:r>
    </w:p>
    <w:p w14:paraId="1A79E92F">
      <w:pPr>
        <w:tabs>
          <w:tab w:val="left" w:pos="1575"/>
        </w:tabs>
        <w:snapToGrid w:val="0"/>
        <w:spacing w:line="300" w:lineRule="auto"/>
        <w:jc w:val="center"/>
        <w:rPr>
          <w:rFonts w:hint="eastAsia" w:ascii="仿宋" w:hAnsi="仿宋" w:eastAsia="仿宋" w:cs="仿宋"/>
          <w:b/>
          <w:bCs/>
          <w:sz w:val="28"/>
          <w:szCs w:val="28"/>
        </w:rPr>
      </w:pPr>
      <w:r>
        <w:rPr>
          <w:rFonts w:hint="eastAsia" w:ascii="仿宋" w:hAnsi="仿宋" w:eastAsia="仿宋" w:cs="仿宋"/>
          <w:b/>
          <w:bCs/>
          <w:sz w:val="28"/>
          <w:szCs w:val="28"/>
        </w:rPr>
        <w:t>榆林市公安局榆阳分局购买保安服务人员要求</w:t>
      </w:r>
    </w:p>
    <w:tbl>
      <w:tblPr>
        <w:tblStyle w:val="4"/>
        <w:tblW w:w="946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804"/>
        <w:gridCol w:w="4511"/>
        <w:gridCol w:w="2162"/>
      </w:tblGrid>
      <w:tr w14:paraId="28C74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85" w:type="dxa"/>
            <w:noWrap w:val="0"/>
            <w:vAlign w:val="center"/>
          </w:tcPr>
          <w:p w14:paraId="559763B2">
            <w:pPr>
              <w:spacing w:line="600" w:lineRule="exact"/>
              <w:rPr>
                <w:rFonts w:ascii="仿宋" w:hAnsi="仿宋" w:eastAsia="仿宋" w:cs="仿宋"/>
                <w:sz w:val="28"/>
                <w:szCs w:val="28"/>
              </w:rPr>
            </w:pPr>
            <w:r>
              <w:rPr>
                <w:rFonts w:hint="eastAsia" w:ascii="仿宋" w:hAnsi="仿宋" w:eastAsia="仿宋" w:cs="仿宋"/>
                <w:sz w:val="28"/>
                <w:szCs w:val="28"/>
              </w:rPr>
              <w:t>人员</w:t>
            </w:r>
          </w:p>
          <w:p w14:paraId="03304D0F">
            <w:pPr>
              <w:spacing w:line="600" w:lineRule="exact"/>
              <w:rPr>
                <w:rFonts w:ascii="仿宋" w:hAnsi="仿宋" w:eastAsia="仿宋" w:cs="仿宋"/>
                <w:sz w:val="28"/>
                <w:szCs w:val="28"/>
              </w:rPr>
            </w:pPr>
            <w:r>
              <w:rPr>
                <w:rFonts w:hint="eastAsia" w:ascii="仿宋" w:hAnsi="仿宋" w:eastAsia="仿宋" w:cs="仿宋"/>
                <w:sz w:val="28"/>
                <w:szCs w:val="28"/>
              </w:rPr>
              <w:t>类型</w:t>
            </w:r>
          </w:p>
        </w:tc>
        <w:tc>
          <w:tcPr>
            <w:tcW w:w="1804" w:type="dxa"/>
            <w:noWrap w:val="0"/>
            <w:vAlign w:val="center"/>
          </w:tcPr>
          <w:p w14:paraId="6B7ACEE6">
            <w:pPr>
              <w:spacing w:line="600" w:lineRule="exact"/>
              <w:ind w:firstLine="420" w:firstLineChars="150"/>
              <w:rPr>
                <w:rFonts w:ascii="仿宋" w:hAnsi="仿宋" w:eastAsia="仿宋" w:cs="仿宋"/>
                <w:sz w:val="28"/>
                <w:szCs w:val="28"/>
              </w:rPr>
            </w:pPr>
            <w:r>
              <w:rPr>
                <w:rFonts w:hint="eastAsia" w:ascii="仿宋" w:hAnsi="仿宋" w:eastAsia="仿宋" w:cs="仿宋"/>
                <w:sz w:val="28"/>
                <w:szCs w:val="28"/>
              </w:rPr>
              <w:t>人数</w:t>
            </w:r>
          </w:p>
        </w:tc>
        <w:tc>
          <w:tcPr>
            <w:tcW w:w="4511" w:type="dxa"/>
            <w:noWrap w:val="0"/>
            <w:vAlign w:val="center"/>
          </w:tcPr>
          <w:p w14:paraId="2AF9BEAC">
            <w:pPr>
              <w:spacing w:line="600" w:lineRule="exact"/>
              <w:ind w:firstLine="1680" w:firstLineChars="600"/>
              <w:rPr>
                <w:rFonts w:ascii="仿宋" w:hAnsi="仿宋" w:eastAsia="仿宋" w:cs="仿宋"/>
                <w:sz w:val="28"/>
                <w:szCs w:val="28"/>
              </w:rPr>
            </w:pPr>
            <w:r>
              <w:rPr>
                <w:rFonts w:hint="eastAsia" w:ascii="仿宋" w:hAnsi="仿宋" w:eastAsia="仿宋" w:cs="仿宋"/>
                <w:sz w:val="28"/>
                <w:szCs w:val="28"/>
              </w:rPr>
              <w:t>时段</w:t>
            </w:r>
          </w:p>
        </w:tc>
        <w:tc>
          <w:tcPr>
            <w:tcW w:w="2162" w:type="dxa"/>
            <w:noWrap w:val="0"/>
            <w:vAlign w:val="center"/>
          </w:tcPr>
          <w:p w14:paraId="3E29AEE5">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期限</w:t>
            </w:r>
          </w:p>
        </w:tc>
      </w:tr>
      <w:tr w14:paraId="47F45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985" w:type="dxa"/>
            <w:noWrap w:val="0"/>
            <w:vAlign w:val="center"/>
          </w:tcPr>
          <w:p w14:paraId="7F59BE33">
            <w:pPr>
              <w:spacing w:line="600" w:lineRule="exact"/>
              <w:rPr>
                <w:rFonts w:ascii="仿宋" w:hAnsi="仿宋" w:eastAsia="仿宋" w:cs="仿宋"/>
                <w:sz w:val="28"/>
                <w:szCs w:val="28"/>
              </w:rPr>
            </w:pPr>
            <w:r>
              <w:rPr>
                <w:rFonts w:hint="eastAsia" w:ascii="仿宋" w:hAnsi="仿宋" w:eastAsia="仿宋" w:cs="仿宋"/>
                <w:sz w:val="28"/>
                <w:szCs w:val="28"/>
              </w:rPr>
              <w:t>保安</w:t>
            </w:r>
          </w:p>
        </w:tc>
        <w:tc>
          <w:tcPr>
            <w:tcW w:w="1804" w:type="dxa"/>
            <w:noWrap w:val="0"/>
            <w:vAlign w:val="center"/>
          </w:tcPr>
          <w:p w14:paraId="64F19153">
            <w:pPr>
              <w:spacing w:line="600" w:lineRule="exact"/>
              <w:ind w:firstLine="420" w:firstLineChars="150"/>
              <w:rPr>
                <w:rFonts w:ascii="仿宋" w:hAnsi="仿宋" w:eastAsia="仿宋" w:cs="仿宋"/>
                <w:sz w:val="28"/>
                <w:szCs w:val="28"/>
              </w:rPr>
            </w:pPr>
            <w:r>
              <w:rPr>
                <w:rFonts w:hint="eastAsia" w:ascii="仿宋" w:hAnsi="仿宋" w:eastAsia="仿宋" w:cs="仿宋"/>
                <w:sz w:val="28"/>
                <w:szCs w:val="28"/>
              </w:rPr>
              <w:t>42人</w:t>
            </w:r>
          </w:p>
        </w:tc>
        <w:tc>
          <w:tcPr>
            <w:tcW w:w="4511" w:type="dxa"/>
            <w:noWrap w:val="0"/>
            <w:vAlign w:val="center"/>
          </w:tcPr>
          <w:p w14:paraId="7055B133">
            <w:pPr>
              <w:spacing w:line="600" w:lineRule="exact"/>
              <w:jc w:val="center"/>
              <w:rPr>
                <w:rFonts w:ascii="仿宋" w:hAnsi="仿宋" w:eastAsia="仿宋" w:cs="仿宋"/>
                <w:sz w:val="28"/>
                <w:szCs w:val="28"/>
              </w:rPr>
            </w:pPr>
            <w:r>
              <w:rPr>
                <w:rFonts w:hint="eastAsia" w:ascii="仿宋" w:hAnsi="仿宋" w:eastAsia="仿宋" w:cs="仿宋"/>
                <w:sz w:val="28"/>
                <w:szCs w:val="28"/>
              </w:rPr>
              <w:t>夜巡连续4小时(随季节统一调整），白天累计2小时（根据辖区派出所的工作实际需求调整，重点是上、下班</w:t>
            </w:r>
            <w:r>
              <w:rPr>
                <w:rFonts w:hint="eastAsia" w:ascii="仿宋" w:hAnsi="仿宋" w:eastAsia="仿宋" w:cs="仿宋"/>
                <w:b/>
                <w:bCs/>
                <w:sz w:val="28"/>
                <w:szCs w:val="28"/>
              </w:rPr>
              <w:t>/</w:t>
            </w:r>
            <w:r>
              <w:rPr>
                <w:rFonts w:hint="eastAsia" w:ascii="仿宋" w:hAnsi="仿宋" w:eastAsia="仿宋" w:cs="仿宋"/>
                <w:sz w:val="28"/>
                <w:szCs w:val="28"/>
              </w:rPr>
              <w:t>学高峰），</w:t>
            </w:r>
          </w:p>
          <w:p w14:paraId="79634D30">
            <w:pPr>
              <w:spacing w:line="600" w:lineRule="exact"/>
              <w:rPr>
                <w:rFonts w:ascii="仿宋" w:hAnsi="仿宋" w:eastAsia="仿宋" w:cs="仿宋"/>
                <w:sz w:val="28"/>
                <w:szCs w:val="28"/>
              </w:rPr>
            </w:pPr>
            <w:r>
              <w:rPr>
                <w:rFonts w:hint="eastAsia" w:ascii="仿宋" w:hAnsi="仿宋" w:eastAsia="仿宋" w:cs="仿宋"/>
                <w:sz w:val="28"/>
                <w:szCs w:val="28"/>
              </w:rPr>
              <w:t>每日共6小时</w:t>
            </w:r>
          </w:p>
        </w:tc>
        <w:tc>
          <w:tcPr>
            <w:tcW w:w="2162" w:type="dxa"/>
            <w:noWrap w:val="0"/>
            <w:vAlign w:val="center"/>
          </w:tcPr>
          <w:p w14:paraId="28F787B5">
            <w:pPr>
              <w:spacing w:line="600" w:lineRule="exact"/>
              <w:jc w:val="center"/>
              <w:rPr>
                <w:rFonts w:ascii="仿宋" w:hAnsi="仿宋" w:eastAsia="仿宋" w:cs="仿宋"/>
                <w:sz w:val="28"/>
                <w:szCs w:val="28"/>
              </w:rPr>
            </w:pPr>
            <w:r>
              <w:rPr>
                <w:rFonts w:hint="eastAsia" w:ascii="仿宋" w:hAnsi="仿宋" w:eastAsia="仿宋" w:cs="仿宋"/>
                <w:sz w:val="28"/>
                <w:szCs w:val="28"/>
              </w:rPr>
              <w:t>12个月</w:t>
            </w:r>
          </w:p>
        </w:tc>
      </w:tr>
      <w:tr w14:paraId="1684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985" w:type="dxa"/>
            <w:noWrap w:val="0"/>
            <w:vAlign w:val="center"/>
          </w:tcPr>
          <w:p w14:paraId="17CC6CEE">
            <w:pPr>
              <w:spacing w:line="600" w:lineRule="exact"/>
              <w:rPr>
                <w:rFonts w:ascii="仿宋" w:hAnsi="仿宋" w:eastAsia="仿宋" w:cs="仿宋"/>
                <w:sz w:val="28"/>
                <w:szCs w:val="28"/>
              </w:rPr>
            </w:pPr>
            <w:r>
              <w:rPr>
                <w:rFonts w:hint="eastAsia" w:ascii="仿宋" w:hAnsi="仿宋" w:eastAsia="仿宋" w:cs="仿宋"/>
                <w:sz w:val="28"/>
                <w:szCs w:val="28"/>
              </w:rPr>
              <w:t>人员</w:t>
            </w:r>
          </w:p>
          <w:p w14:paraId="6415BD90">
            <w:pPr>
              <w:spacing w:line="600" w:lineRule="exact"/>
              <w:rPr>
                <w:rFonts w:ascii="仿宋" w:hAnsi="仿宋" w:eastAsia="仿宋" w:cs="仿宋"/>
                <w:sz w:val="28"/>
                <w:szCs w:val="28"/>
              </w:rPr>
            </w:pPr>
            <w:r>
              <w:rPr>
                <w:rFonts w:hint="eastAsia" w:ascii="仿宋" w:hAnsi="仿宋" w:eastAsia="仿宋" w:cs="仿宋"/>
                <w:sz w:val="28"/>
                <w:szCs w:val="28"/>
              </w:rPr>
              <w:t>要求</w:t>
            </w:r>
          </w:p>
        </w:tc>
        <w:tc>
          <w:tcPr>
            <w:tcW w:w="8477" w:type="dxa"/>
            <w:gridSpan w:val="3"/>
            <w:noWrap w:val="0"/>
            <w:vAlign w:val="top"/>
          </w:tcPr>
          <w:p w14:paraId="412225A2">
            <w:pPr>
              <w:spacing w:line="600" w:lineRule="exact"/>
              <w:rPr>
                <w:rFonts w:ascii="仿宋" w:hAnsi="仿宋" w:eastAsia="仿宋" w:cs="仿宋"/>
                <w:sz w:val="28"/>
                <w:szCs w:val="28"/>
              </w:rPr>
            </w:pPr>
            <w:r>
              <w:rPr>
                <w:rFonts w:ascii="仿宋" w:hAnsi="仿宋" w:eastAsia="仿宋" w:cs="仿宋"/>
                <w:sz w:val="28"/>
                <w:szCs w:val="28"/>
              </w:rPr>
              <w:t>1、具有中华人民共和国国籍</w:t>
            </w:r>
            <w:r>
              <w:rPr>
                <w:rFonts w:hint="eastAsia" w:ascii="仿宋" w:hAnsi="仿宋" w:eastAsia="仿宋" w:cs="仿宋"/>
                <w:sz w:val="28"/>
                <w:szCs w:val="28"/>
              </w:rPr>
              <w:t>；</w:t>
            </w:r>
          </w:p>
          <w:p w14:paraId="304C8D68">
            <w:pPr>
              <w:spacing w:line="600" w:lineRule="exact"/>
              <w:rPr>
                <w:rFonts w:ascii="仿宋" w:hAnsi="仿宋" w:eastAsia="仿宋" w:cs="仿宋"/>
                <w:sz w:val="28"/>
                <w:szCs w:val="28"/>
              </w:rPr>
            </w:pPr>
            <w:r>
              <w:rPr>
                <w:rFonts w:hint="eastAsia" w:ascii="仿宋" w:hAnsi="仿宋" w:eastAsia="仿宋" w:cs="仿宋"/>
                <w:sz w:val="28"/>
                <w:szCs w:val="28"/>
              </w:rPr>
              <w:t>2、符合《保安服务管理条例》中对保安员的各项要求。</w:t>
            </w:r>
          </w:p>
          <w:p w14:paraId="68E5BFF7">
            <w:pPr>
              <w:spacing w:line="600" w:lineRule="exact"/>
              <w:rPr>
                <w:rFonts w:hint="eastAsia" w:ascii="仿宋" w:hAnsi="仿宋" w:eastAsia="仿宋" w:cs="仿宋"/>
                <w:sz w:val="28"/>
                <w:szCs w:val="28"/>
                <w:lang w:eastAsia="zh-CN"/>
              </w:rPr>
            </w:pPr>
            <w:r>
              <w:rPr>
                <w:rFonts w:hint="eastAsia" w:ascii="仿宋" w:hAnsi="仿宋" w:eastAsia="仿宋" w:cs="仿宋"/>
                <w:sz w:val="28"/>
                <w:szCs w:val="28"/>
              </w:rPr>
              <w:t>3、保安人员，男性，身高1.70米以上，年龄20周岁以上、35周岁以下，身体健康</w:t>
            </w:r>
            <w:r>
              <w:rPr>
                <w:rFonts w:hint="eastAsia" w:ascii="仿宋" w:hAnsi="仿宋" w:eastAsia="仿宋" w:cs="仿宋"/>
                <w:sz w:val="28"/>
                <w:szCs w:val="28"/>
                <w:lang w:eastAsia="zh-CN"/>
              </w:rPr>
              <w:t>。（需提供相关证明）</w:t>
            </w:r>
          </w:p>
          <w:p w14:paraId="7A6576E9">
            <w:pPr>
              <w:spacing w:line="600" w:lineRule="exact"/>
              <w:rPr>
                <w:rFonts w:ascii="仿宋" w:hAnsi="仿宋" w:eastAsia="仿宋" w:cs="仿宋"/>
                <w:sz w:val="28"/>
                <w:szCs w:val="28"/>
              </w:rPr>
            </w:pPr>
            <w:r>
              <w:rPr>
                <w:rFonts w:hint="eastAsia" w:ascii="仿宋" w:hAnsi="仿宋" w:eastAsia="仿宋" w:cs="仿宋"/>
                <w:sz w:val="28"/>
                <w:szCs w:val="28"/>
              </w:rPr>
              <w:t>4、保安人员持有公安机关核发的保安员证。</w:t>
            </w:r>
          </w:p>
          <w:p w14:paraId="6A8C8699">
            <w:pPr>
              <w:spacing w:line="600" w:lineRule="exact"/>
              <w:rPr>
                <w:rFonts w:ascii="仿宋" w:hAnsi="仿宋" w:eastAsia="仿宋" w:cs="仿宋"/>
                <w:sz w:val="28"/>
                <w:szCs w:val="28"/>
              </w:rPr>
            </w:pPr>
            <w:r>
              <w:rPr>
                <w:rFonts w:hint="eastAsia" w:ascii="仿宋" w:hAnsi="仿宋" w:eastAsia="仿宋" w:cs="仿宋"/>
                <w:sz w:val="28"/>
                <w:szCs w:val="28"/>
              </w:rPr>
              <w:t>5、供应商应派驻1名项目负责人，必须在本公司养老以及医疗保险缴够12个月以上。</w:t>
            </w:r>
          </w:p>
          <w:p w14:paraId="72028C40">
            <w:pPr>
              <w:spacing w:line="600" w:lineRule="exact"/>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具有国家教育行政主管部门认可的高中以上学历,退役军人不做学历要求</w:t>
            </w:r>
            <w:r>
              <w:rPr>
                <w:rFonts w:hint="eastAsia" w:ascii="仿宋" w:hAnsi="仿宋" w:eastAsia="仿宋" w:cs="仿宋"/>
                <w:sz w:val="28"/>
                <w:szCs w:val="28"/>
              </w:rPr>
              <w:t>；</w:t>
            </w:r>
            <w:r>
              <w:rPr>
                <w:rFonts w:ascii="仿宋" w:hAnsi="仿宋" w:eastAsia="仿宋" w:cs="仿宋"/>
                <w:sz w:val="28"/>
                <w:szCs w:val="28"/>
              </w:rPr>
              <w:t xml:space="preserve"> </w:t>
            </w:r>
          </w:p>
          <w:p w14:paraId="0409CA65">
            <w:pPr>
              <w:spacing w:line="600" w:lineRule="exact"/>
              <w:rPr>
                <w:rFonts w:ascii="仿宋" w:hAnsi="仿宋" w:eastAsia="仿宋" w:cs="仿宋"/>
                <w:sz w:val="28"/>
                <w:szCs w:val="28"/>
              </w:rPr>
            </w:pPr>
            <w:r>
              <w:rPr>
                <w:rFonts w:hint="eastAsia" w:ascii="仿宋" w:hAnsi="仿宋" w:eastAsia="仿宋" w:cs="仿宋"/>
                <w:sz w:val="28"/>
                <w:szCs w:val="28"/>
              </w:rPr>
              <w:t>7、采购人有权提出更换不符合使用要求或违反采购人工作制度、损害采购人利益的保安人员。采购人提出更换要求并与中标供应商协商，协商完成后中标供应商应在 1 个工作日内予以更换。</w:t>
            </w:r>
          </w:p>
          <w:p w14:paraId="55AB5287">
            <w:pPr>
              <w:spacing w:line="600" w:lineRule="exact"/>
              <w:rPr>
                <w:rFonts w:ascii="仿宋" w:hAnsi="仿宋" w:eastAsia="仿宋" w:cs="仿宋"/>
                <w:sz w:val="28"/>
                <w:szCs w:val="28"/>
              </w:rPr>
            </w:pPr>
            <w:r>
              <w:rPr>
                <w:rFonts w:hint="eastAsia" w:ascii="仿宋" w:hAnsi="仿宋" w:eastAsia="仿宋" w:cs="仿宋"/>
                <w:sz w:val="28"/>
                <w:szCs w:val="28"/>
              </w:rPr>
              <w:t>8、供应商就本项目所派驻的全部保安人员必须专职服务本项目，服务期间保安人员必须固定。在不违反《劳动法》相关规定及采购人要求的前提下， 供应商可适当进行人员调配。</w:t>
            </w:r>
          </w:p>
          <w:p w14:paraId="52DFB8F0">
            <w:pPr>
              <w:spacing w:line="600" w:lineRule="exact"/>
              <w:rPr>
                <w:rFonts w:ascii="仿宋" w:hAnsi="仿宋" w:eastAsia="仿宋" w:cs="仿宋"/>
                <w:sz w:val="28"/>
                <w:szCs w:val="28"/>
              </w:rPr>
            </w:pPr>
            <w:r>
              <w:rPr>
                <w:rFonts w:hint="eastAsia" w:ascii="仿宋" w:hAnsi="仿宋" w:eastAsia="仿宋" w:cs="仿宋"/>
                <w:sz w:val="28"/>
                <w:szCs w:val="28"/>
              </w:rPr>
              <w:t>9、供应商应为保安员按要求配备统一的保安标识、标志和装备。</w:t>
            </w:r>
          </w:p>
          <w:p w14:paraId="098C1B1B">
            <w:pPr>
              <w:spacing w:line="600" w:lineRule="exact"/>
              <w:rPr>
                <w:rFonts w:ascii="仿宋" w:hAnsi="仿宋" w:eastAsia="仿宋" w:cs="仿宋"/>
                <w:sz w:val="28"/>
                <w:szCs w:val="28"/>
              </w:rPr>
            </w:pPr>
            <w:r>
              <w:rPr>
                <w:rFonts w:hint="eastAsia" w:ascii="仿宋" w:hAnsi="仿宋" w:eastAsia="仿宋" w:cs="仿宋"/>
                <w:sz w:val="28"/>
                <w:szCs w:val="28"/>
              </w:rPr>
              <w:t>10、供应商应对保安人员进行法律法规、保安专业知识和技能培训。</w:t>
            </w:r>
          </w:p>
          <w:p w14:paraId="6DA6C6DB">
            <w:pPr>
              <w:spacing w:line="600" w:lineRule="exact"/>
              <w:rPr>
                <w:rFonts w:ascii="仿宋" w:hAnsi="仿宋" w:eastAsia="仿宋" w:cs="仿宋"/>
                <w:sz w:val="28"/>
                <w:szCs w:val="28"/>
              </w:rPr>
            </w:pPr>
            <w:r>
              <w:rPr>
                <w:rFonts w:hint="eastAsia" w:ascii="仿宋" w:hAnsi="仿宋" w:eastAsia="仿宋" w:cs="仿宋"/>
                <w:sz w:val="28"/>
                <w:szCs w:val="28"/>
              </w:rPr>
              <w:t>11</w:t>
            </w:r>
            <w:r>
              <w:rPr>
                <w:rFonts w:ascii="仿宋" w:hAnsi="仿宋" w:eastAsia="仿宋" w:cs="仿宋"/>
                <w:sz w:val="28"/>
                <w:szCs w:val="28"/>
              </w:rPr>
              <w:t>、遵守宪法和法律,政治坚定、品行端正</w:t>
            </w:r>
            <w:r>
              <w:rPr>
                <w:rFonts w:hint="eastAsia" w:ascii="仿宋" w:hAnsi="仿宋" w:eastAsia="仿宋" w:cs="仿宋"/>
                <w:sz w:val="28"/>
                <w:szCs w:val="28"/>
              </w:rPr>
              <w:t>；</w:t>
            </w:r>
          </w:p>
          <w:p w14:paraId="12CCF133">
            <w:pPr>
              <w:spacing w:line="600" w:lineRule="exact"/>
              <w:rPr>
                <w:rFonts w:ascii="仿宋" w:hAnsi="仿宋" w:eastAsia="仿宋" w:cs="仿宋"/>
                <w:sz w:val="28"/>
                <w:szCs w:val="28"/>
              </w:rPr>
            </w:pPr>
            <w:r>
              <w:rPr>
                <w:rFonts w:hint="eastAsia" w:ascii="仿宋" w:hAnsi="仿宋" w:eastAsia="仿宋" w:cs="仿宋"/>
                <w:sz w:val="28"/>
                <w:szCs w:val="28"/>
              </w:rPr>
              <w:t>12</w:t>
            </w:r>
            <w:r>
              <w:rPr>
                <w:rFonts w:ascii="仿宋" w:hAnsi="仿宋" w:eastAsia="仿宋" w:cs="仿宋"/>
                <w:sz w:val="28"/>
                <w:szCs w:val="28"/>
              </w:rPr>
              <w:t>、</w:t>
            </w:r>
            <w:r>
              <w:rPr>
                <w:rFonts w:hint="eastAsia" w:ascii="仿宋" w:hAnsi="仿宋" w:eastAsia="仿宋" w:cs="仿宋"/>
                <w:sz w:val="28"/>
                <w:szCs w:val="28"/>
              </w:rPr>
              <w:t>保安人员必须遵守采购人的各项工作制度。</w:t>
            </w:r>
          </w:p>
        </w:tc>
      </w:tr>
      <w:tr w14:paraId="36F17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985" w:type="dxa"/>
            <w:noWrap w:val="0"/>
            <w:vAlign w:val="center"/>
          </w:tcPr>
          <w:p w14:paraId="0B4C00D3">
            <w:pPr>
              <w:spacing w:line="600" w:lineRule="exact"/>
              <w:rPr>
                <w:rFonts w:ascii="仿宋" w:hAnsi="仿宋" w:eastAsia="仿宋" w:cs="仿宋"/>
                <w:sz w:val="28"/>
                <w:szCs w:val="28"/>
              </w:rPr>
            </w:pPr>
            <w:r>
              <w:rPr>
                <w:rFonts w:hint="eastAsia" w:ascii="仿宋" w:hAnsi="仿宋" w:eastAsia="仿宋" w:cs="仿宋"/>
                <w:sz w:val="28"/>
                <w:szCs w:val="28"/>
              </w:rPr>
              <w:t>工作</w:t>
            </w:r>
          </w:p>
          <w:p w14:paraId="2F5423FD">
            <w:pPr>
              <w:spacing w:line="600" w:lineRule="exact"/>
              <w:rPr>
                <w:rFonts w:ascii="仿宋" w:hAnsi="仿宋" w:eastAsia="仿宋" w:cs="仿宋"/>
                <w:sz w:val="28"/>
                <w:szCs w:val="28"/>
              </w:rPr>
            </w:pPr>
            <w:r>
              <w:rPr>
                <w:rFonts w:hint="eastAsia" w:ascii="仿宋" w:hAnsi="仿宋" w:eastAsia="仿宋" w:cs="仿宋"/>
                <w:sz w:val="28"/>
                <w:szCs w:val="28"/>
              </w:rPr>
              <w:t>要求</w:t>
            </w:r>
          </w:p>
        </w:tc>
        <w:tc>
          <w:tcPr>
            <w:tcW w:w="8477" w:type="dxa"/>
            <w:gridSpan w:val="3"/>
            <w:noWrap w:val="0"/>
            <w:vAlign w:val="top"/>
          </w:tcPr>
          <w:p w14:paraId="23C7F76C">
            <w:pPr>
              <w:spacing w:line="600" w:lineRule="exact"/>
              <w:rPr>
                <w:rFonts w:ascii="仿宋" w:hAnsi="仿宋" w:eastAsia="仿宋" w:cs="仿宋"/>
                <w:sz w:val="28"/>
                <w:szCs w:val="28"/>
              </w:rPr>
            </w:pPr>
            <w:r>
              <w:rPr>
                <w:rFonts w:ascii="仿宋" w:hAnsi="仿宋" w:eastAsia="仿宋" w:cs="仿宋"/>
                <w:sz w:val="28"/>
                <w:szCs w:val="28"/>
              </w:rPr>
              <w:t>按照</w:t>
            </w:r>
            <w:r>
              <w:rPr>
                <w:rFonts w:hint="eastAsia" w:ascii="仿宋" w:hAnsi="仿宋" w:eastAsia="仿宋" w:cs="仿宋"/>
                <w:sz w:val="28"/>
                <w:szCs w:val="28"/>
              </w:rPr>
              <w:t>榆林市公安局榆阳分局</w:t>
            </w:r>
            <w:r>
              <w:rPr>
                <w:rFonts w:ascii="仿宋" w:hAnsi="仿宋" w:eastAsia="仿宋" w:cs="仿宋"/>
                <w:sz w:val="28"/>
                <w:szCs w:val="28"/>
              </w:rPr>
              <w:t>的安排部署,协助做好</w:t>
            </w:r>
            <w:r>
              <w:rPr>
                <w:rFonts w:hint="eastAsia" w:ascii="仿宋" w:hAnsi="仿宋" w:eastAsia="仿宋" w:cs="仿宋"/>
                <w:sz w:val="28"/>
                <w:szCs w:val="28"/>
              </w:rPr>
              <w:t>治安巡逻防控</w:t>
            </w:r>
            <w:r>
              <w:rPr>
                <w:rFonts w:ascii="仿宋" w:hAnsi="仿宋" w:eastAsia="仿宋" w:cs="仿宋"/>
                <w:sz w:val="28"/>
                <w:szCs w:val="28"/>
              </w:rPr>
              <w:t>工作</w:t>
            </w:r>
            <w:r>
              <w:rPr>
                <w:rFonts w:hint="eastAsia" w:ascii="仿宋" w:hAnsi="仿宋" w:eastAsia="仿宋" w:cs="仿宋"/>
                <w:sz w:val="28"/>
                <w:szCs w:val="28"/>
              </w:rPr>
              <w:t>。</w:t>
            </w:r>
          </w:p>
        </w:tc>
      </w:tr>
      <w:tr w14:paraId="0D2AA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9462" w:type="dxa"/>
            <w:gridSpan w:val="4"/>
            <w:noWrap w:val="0"/>
            <w:vAlign w:val="center"/>
          </w:tcPr>
          <w:p w14:paraId="554DAE13">
            <w:pPr>
              <w:spacing w:line="600" w:lineRule="exact"/>
              <w:rPr>
                <w:rFonts w:ascii="仿宋" w:hAnsi="仿宋" w:eastAsia="仿宋" w:cs="仿宋"/>
                <w:sz w:val="28"/>
                <w:szCs w:val="28"/>
              </w:rPr>
            </w:pPr>
            <w:r>
              <w:rPr>
                <w:rFonts w:hint="eastAsia" w:ascii="仿宋" w:hAnsi="仿宋" w:eastAsia="仿宋" w:cs="仿宋"/>
                <w:sz w:val="28"/>
                <w:szCs w:val="28"/>
              </w:rPr>
              <w:t>备注:</w:t>
            </w:r>
            <w:r>
              <w:rPr>
                <w:rFonts w:ascii="仿宋" w:hAnsi="仿宋" w:eastAsia="仿宋" w:cs="仿宋"/>
                <w:sz w:val="28"/>
                <w:szCs w:val="28"/>
              </w:rPr>
              <w:t>保安员</w:t>
            </w:r>
            <w:r>
              <w:rPr>
                <w:rFonts w:hint="eastAsia" w:ascii="仿宋" w:hAnsi="仿宋" w:eastAsia="仿宋" w:cs="仿宋"/>
                <w:sz w:val="28"/>
                <w:szCs w:val="28"/>
              </w:rPr>
              <w:t>所有</w:t>
            </w:r>
            <w:r>
              <w:rPr>
                <w:rFonts w:ascii="仿宋" w:hAnsi="仿宋" w:eastAsia="仿宋" w:cs="仿宋"/>
                <w:sz w:val="28"/>
                <w:szCs w:val="28"/>
              </w:rPr>
              <w:t>费用全部由保安公司负担,与</w:t>
            </w:r>
            <w:r>
              <w:rPr>
                <w:rFonts w:hint="eastAsia" w:ascii="仿宋" w:hAnsi="仿宋" w:eastAsia="仿宋" w:cs="仿宋"/>
                <w:sz w:val="28"/>
                <w:szCs w:val="28"/>
              </w:rPr>
              <w:t>榆林市公安局榆阳分局</w:t>
            </w:r>
            <w:r>
              <w:rPr>
                <w:rFonts w:ascii="仿宋" w:hAnsi="仿宋" w:eastAsia="仿宋" w:cs="仿宋"/>
                <w:sz w:val="28"/>
                <w:szCs w:val="28"/>
              </w:rPr>
              <w:t>无关。</w:t>
            </w:r>
          </w:p>
        </w:tc>
      </w:tr>
    </w:tbl>
    <w:p w14:paraId="42682CC9">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（一）总体要求</w:t>
      </w:r>
    </w:p>
    <w:p w14:paraId="79704FB0">
      <w:pPr>
        <w:pStyle w:val="3"/>
        <w:spacing w:line="500" w:lineRule="exact"/>
        <w:ind w:firstLine="560" w:firstLineChars="200"/>
        <w:jc w:val="left"/>
        <w:outlineLvl w:val="1"/>
        <w:rPr>
          <w:rFonts w:hint="eastAsia" w:ascii="仿宋" w:hAnsi="仿宋" w:eastAsia="仿宋" w:cs="Times New Roman"/>
          <w:color w:val="000000"/>
          <w:sz w:val="28"/>
          <w:szCs w:val="28"/>
        </w:rPr>
      </w:pPr>
      <w:bookmarkStart w:id="7" w:name="1、工作机制"/>
      <w:bookmarkEnd w:id="7"/>
      <w:bookmarkStart w:id="8" w:name="2、工作任务"/>
      <w:bookmarkEnd w:id="8"/>
      <w:bookmarkStart w:id="9" w:name="_Toc16394"/>
      <w:bookmarkStart w:id="10" w:name="_Toc26529"/>
      <w:bookmarkStart w:id="11" w:name="_Toc4719"/>
      <w:r>
        <w:rPr>
          <w:rFonts w:hint="eastAsia" w:ascii="仿宋" w:hAnsi="仿宋" w:eastAsia="仿宋" w:cs="Times New Roman"/>
          <w:color w:val="000000"/>
          <w:sz w:val="28"/>
          <w:szCs w:val="28"/>
        </w:rPr>
        <w:t>1、供应商应针对本项目建立服务方案以及组织架构、人员录用等内容的规章制度，在实施前向采购人报告。采购人有权审核及提出修改意见。</w:t>
      </w:r>
    </w:p>
    <w:p w14:paraId="52DC15D6">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2、供应商应指派专职人员进行工作接洽和日常工作管理，并派人员对派出保安人员进行经常性的检查督促。</w:t>
      </w:r>
    </w:p>
    <w:p w14:paraId="5201E560">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3、在不违反《劳动法》相关规定和服务合同的前提下，采购人可根据工作实际对服务内容进行增减和细化。</w:t>
      </w:r>
    </w:p>
    <w:p w14:paraId="4A29BB27">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4、采购人与派驻保安人员不发生任何劳动和雇佣关系，派驻保安人员由中标供应商自行管理。保安人员在工作期间发生的与工作无关及工作期间之外发生的一切行为均由供应商承担，采购人不承担任何责任。</w:t>
      </w:r>
    </w:p>
    <w:p w14:paraId="247FA359">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5、供应商应与保安人员签订符合规定的用工合同，并严格按照国家及省市的相关劳动法规和保险条例，为保安人员提供完善的劳动权益保障。</w:t>
      </w:r>
    </w:p>
    <w:p w14:paraId="470AFFA2">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6、根据工作需要，采购人对供应商派出的保安人员有直接指挥权。</w:t>
      </w:r>
    </w:p>
    <w:p w14:paraId="47EB166E">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7、供应商不得将项目分包或非法转包给任何单位和个人，否则采购人</w:t>
      </w:r>
      <w:bookmarkStart w:id="12" w:name="（二）人员要求"/>
      <w:bookmarkEnd w:id="12"/>
      <w:r>
        <w:rPr>
          <w:rFonts w:hint="eastAsia" w:ascii="仿宋" w:hAnsi="仿宋" w:eastAsia="仿宋" w:cs="Times New Roman"/>
          <w:color w:val="000000"/>
          <w:sz w:val="28"/>
          <w:szCs w:val="28"/>
        </w:rPr>
        <w:t>有权立即终止合同，相应损失和责任由中标供应商承担。</w:t>
      </w:r>
    </w:p>
    <w:p w14:paraId="641ACF19">
      <w:pPr>
        <w:pStyle w:val="3"/>
        <w:spacing w:line="500" w:lineRule="exact"/>
        <w:ind w:firstLine="560" w:firstLineChars="200"/>
        <w:jc w:val="left"/>
        <w:outlineLvl w:val="1"/>
        <w:rPr>
          <w:rFonts w:hint="eastAsia" w:ascii="仿宋" w:hAnsi="仿宋" w:eastAsia="仿宋" w:cs="Times New Roman"/>
          <w:color w:val="000000"/>
          <w:sz w:val="28"/>
          <w:szCs w:val="28"/>
        </w:rPr>
      </w:pPr>
    </w:p>
    <w:p w14:paraId="3B8CAA20">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（二）服务内容</w:t>
      </w:r>
      <w:bookmarkEnd w:id="9"/>
      <w:bookmarkEnd w:id="10"/>
      <w:bookmarkEnd w:id="11"/>
    </w:p>
    <w:p w14:paraId="491CFC08">
      <w:pPr>
        <w:pStyle w:val="3"/>
        <w:spacing w:line="500" w:lineRule="exact"/>
        <w:ind w:firstLine="560" w:firstLineChars="200"/>
        <w:jc w:val="left"/>
        <w:outlineLvl w:val="1"/>
        <w:rPr>
          <w:rFonts w:hint="eastAsia" w:ascii="仿宋" w:hAnsi="仿宋" w:eastAsia="仿宋" w:cs="Times New Roman"/>
          <w:color w:val="000000"/>
          <w:sz w:val="28"/>
          <w:szCs w:val="28"/>
        </w:rPr>
      </w:pPr>
      <w:bookmarkStart w:id="13" w:name="_Toc12622"/>
      <w:bookmarkStart w:id="14" w:name="_Toc11757"/>
      <w:bookmarkStart w:id="15" w:name="_Toc21345"/>
      <w:r>
        <w:rPr>
          <w:rFonts w:hint="eastAsia" w:ascii="仿宋" w:hAnsi="仿宋" w:eastAsia="仿宋" w:cs="Times New Roman"/>
          <w:color w:val="000000"/>
          <w:sz w:val="28"/>
          <w:szCs w:val="28"/>
        </w:rPr>
        <w:t>1、保安人员在派出所民辅警的统一带领下，在指定的巡控辖区夜市摊点、街面巷道、居民区，上、下班/学高峰等重点部位路段、治安复杂区域、防范薄弱地段、高发、易发案事件区域开展区域性治安防控徒步巡逻任务；</w:t>
      </w:r>
    </w:p>
    <w:p w14:paraId="2E83AAEB">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2、非紧急情况，民辅警不得带领保安人员进入各类行业场所（包括酒店、饭店、网吧、宾馆、KTV、酒吧等）检查，决不能引发涉警舆情。保安人员严守工作保密纪律，严禁泄露任何警务信息；</w:t>
      </w:r>
    </w:p>
    <w:p w14:paraId="5CF929B6">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3、执行警务联动任务，接受派出所民辅警指挥，完成先期现场处置工作；</w:t>
      </w:r>
    </w:p>
    <w:p w14:paraId="186C1771">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4、协助配合制止寻衅滋事、打架斗殴、侮辱妇女等违法犯罪行为；</w:t>
      </w:r>
    </w:p>
    <w:p w14:paraId="00A778D1">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5、巡查巡控辖区安全防范情况，提示巡区内有关单位、居民消除各类安全漏洞和隐患。</w:t>
      </w:r>
    </w:p>
    <w:p w14:paraId="61A160BE">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（三）岗位职责</w:t>
      </w:r>
      <w:bookmarkEnd w:id="13"/>
      <w:bookmarkEnd w:id="14"/>
      <w:bookmarkEnd w:id="15"/>
    </w:p>
    <w:p w14:paraId="09F3450F">
      <w:pPr>
        <w:pStyle w:val="3"/>
        <w:spacing w:line="500" w:lineRule="exact"/>
        <w:ind w:firstLine="560" w:firstLineChars="200"/>
        <w:jc w:val="left"/>
        <w:outlineLvl w:val="1"/>
        <w:rPr>
          <w:rFonts w:hint="eastAsia" w:ascii="仿宋" w:hAnsi="仿宋" w:eastAsia="仿宋" w:cs="Times New Roman"/>
          <w:color w:val="000000"/>
          <w:sz w:val="28"/>
          <w:szCs w:val="28"/>
        </w:rPr>
      </w:pPr>
      <w:bookmarkStart w:id="16" w:name="_Toc30576"/>
      <w:bookmarkStart w:id="17" w:name="_Toc9750"/>
      <w:bookmarkStart w:id="18" w:name="_Toc14589"/>
      <w:r>
        <w:rPr>
          <w:rFonts w:hint="eastAsia" w:ascii="仿宋" w:hAnsi="仿宋" w:eastAsia="仿宋" w:cs="Times New Roman"/>
          <w:color w:val="000000"/>
          <w:sz w:val="28"/>
          <w:szCs w:val="28"/>
        </w:rPr>
        <w:t>保安从业者需要具备良好的身体素质，具有较强的服从意识和服务意识。其工作内容包括：</w:t>
      </w:r>
    </w:p>
    <w:p w14:paraId="0DF73010">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1、配合协助巡逻警区治安管理，维护街面治安秩序、交通秩序和公共安全；</w:t>
      </w:r>
    </w:p>
    <w:p w14:paraId="428ED46D">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2、配合协助预防、制止违反治安管理的行为；</w:t>
      </w:r>
    </w:p>
    <w:p w14:paraId="7154724D">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3、配合预防和制止犯罪行为，协助刑侦部门保护现场，及时抓获犯罪嫌疑人；</w:t>
      </w:r>
    </w:p>
    <w:p w14:paraId="6CDAF958">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4、密切掌握社会动态，及时向带队民辅警请示、报告；</w:t>
      </w:r>
    </w:p>
    <w:p w14:paraId="27D5A2EE">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5、配合协助派出所先期处置突发性治安事件，警戒现场，疏导群众，维护秩序；紧急情况下,协助民辅警驾驶机动车辆。</w:t>
      </w:r>
    </w:p>
    <w:p w14:paraId="3983D55B">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6、配合协助处置灾害事故，维护秩序，抢救人员和财物；</w:t>
      </w:r>
    </w:p>
    <w:p w14:paraId="4005BC5C">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7、配合协助制止、调解在公共场所发生的可能或正在转化为治安案件的民间纠纷；</w:t>
      </w:r>
    </w:p>
    <w:p w14:paraId="01BFBB50">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8、配合协助制止和协助有关部门处理精神病人、醉酒人的肇事行为；</w:t>
      </w:r>
    </w:p>
    <w:p w14:paraId="21DE3C2B">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9、配合参与救助受伤、患病、遇险等处于无援状态的人，帮助遇到困难的残疾人、老人、妇女和儿童；</w:t>
      </w:r>
    </w:p>
    <w:p w14:paraId="241F76B5">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10、配合协助受理拾遗物品，设法送还失主或交给本执勤单位，设法查找归还；</w:t>
      </w:r>
    </w:p>
    <w:p w14:paraId="040D9604">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11、配合协助巡查警区安全防范情况，提示沿街的有关单位、居民消除隐患，督促整改；</w:t>
      </w:r>
    </w:p>
    <w:p w14:paraId="71F5AEB6">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12、协助派出所民辅警开展反电诈、消防、禁毒、校园安全等宣传教育活动；</w:t>
      </w:r>
    </w:p>
    <w:p w14:paraId="0AF0520F">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13、配合协助派出所执行国家法律、法规和公安内部规定的由巡逻民警执行的其他任务。</w:t>
      </w:r>
    </w:p>
    <w:p w14:paraId="56F79DDC">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（四）保安员纪律要求</w:t>
      </w:r>
      <w:bookmarkEnd w:id="16"/>
      <w:bookmarkEnd w:id="17"/>
      <w:bookmarkEnd w:id="18"/>
    </w:p>
    <w:p w14:paraId="3E3CBEAE">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1、拥护中华人民共和国宪法，遵守国家法律法规；</w:t>
      </w:r>
    </w:p>
    <w:p w14:paraId="4C1F8726">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2、自愿从事保安工作，政治思想可靠、具有忠诚、奉献、吃苦耐劳的精神，服从组织分配；</w:t>
      </w:r>
    </w:p>
    <w:p w14:paraId="713AE29E">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 xml:space="preserve"> 3、具有良好的道德情操和心里素质，纪律观念强，保守工作秘密；</w:t>
      </w:r>
    </w:p>
    <w:p w14:paraId="4719850B">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 xml:space="preserve"> 4、头脑灵活，反应迅速，具备较强的沟通交流和群众工作能力；</w:t>
      </w:r>
    </w:p>
    <w:p w14:paraId="3A9F2EAB">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 xml:space="preserve"> 5、具备正常履行职责的身体条件并通过招聘体检；</w:t>
      </w:r>
    </w:p>
    <w:p w14:paraId="09DFE7AF">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 xml:space="preserve"> 6、本人没有违法犯罪记录或被开除公职的记录。</w:t>
      </w:r>
    </w:p>
    <w:p w14:paraId="7A685F54">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 xml:space="preserve"> 7、体表无纹身和明显疤痕，能够适应集中食宿和半军事化管理；</w:t>
      </w:r>
    </w:p>
    <w:p w14:paraId="72091F47">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 xml:space="preserve"> 8、能够使用电脑等日常办公设备。</w:t>
      </w:r>
    </w:p>
    <w:p w14:paraId="38D4E387">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（五）、其他：</w:t>
      </w:r>
    </w:p>
    <w:p w14:paraId="0656672B">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本项目服务费采用包干制，服务费包含以下各项费用：</w:t>
      </w:r>
    </w:p>
    <w:p w14:paraId="43DD622D">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1、人员成本：包括人员工资和补贴（食宿、交通补贴费及加班费用等）；所有保安人员人身意外伤害保险;保安员病重或因公致病、伤、残、死亡时的全部处置费用。</w:t>
      </w:r>
    </w:p>
    <w:p w14:paraId="0F83B24B">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2、按照采购单位要求提供物资：包括保安设施、设备、装备购买或租赁；人员统一服装和标志、标识；人员体检、福利。</w:t>
      </w:r>
    </w:p>
    <w:p w14:paraId="2DC52076">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3、管理费用、办公费用、法定税费、合法利润等。</w:t>
      </w:r>
    </w:p>
    <w:p w14:paraId="19342C3C">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4、其他一切供应商认为服务期内可能发生的费用。</w:t>
      </w:r>
    </w:p>
    <w:p w14:paraId="51E39228">
      <w:pPr>
        <w:pStyle w:val="3"/>
        <w:spacing w:line="500" w:lineRule="exact"/>
        <w:ind w:firstLine="560" w:firstLineChars="200"/>
        <w:jc w:val="left"/>
        <w:outlineLvl w:val="1"/>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5、中标供应商需在中标后提供所有服务人员无违法犯罪证明，政审、体检合格证明，并为所有保安人员购买人身意外伤害保险。</w:t>
      </w:r>
    </w:p>
    <w:p w14:paraId="778214F5">
      <w:pPr>
        <w:pStyle w:val="3"/>
        <w:spacing w:line="500" w:lineRule="exact"/>
        <w:ind w:firstLine="560" w:firstLineChars="200"/>
        <w:jc w:val="left"/>
        <w:outlineLvl w:val="1"/>
        <w:rPr>
          <w:rFonts w:hint="eastAsia" w:ascii="仿宋" w:hAnsi="仿宋" w:eastAsia="仿宋" w:cs="Times New Roman"/>
          <w:color w:val="000000"/>
          <w:sz w:val="28"/>
          <w:szCs w:val="28"/>
        </w:rPr>
      </w:pPr>
    </w:p>
    <w:p w14:paraId="0CEA7CC5">
      <w:pPr>
        <w:pStyle w:val="3"/>
        <w:spacing w:line="500" w:lineRule="exact"/>
        <w:ind w:firstLine="560" w:firstLineChars="200"/>
        <w:jc w:val="left"/>
        <w:outlineLvl w:val="1"/>
        <w:rPr>
          <w:rFonts w:hint="eastAsia" w:ascii="仿宋" w:hAnsi="仿宋" w:eastAsia="仿宋" w:cs="Times New Roman"/>
          <w:color w:val="000000"/>
          <w:sz w:val="28"/>
          <w:szCs w:val="28"/>
        </w:rPr>
      </w:pPr>
    </w:p>
    <w:p w14:paraId="462BF50E">
      <w:pPr>
        <w:pStyle w:val="3"/>
        <w:spacing w:line="500" w:lineRule="exact"/>
        <w:ind w:firstLine="560" w:firstLineChars="200"/>
        <w:jc w:val="left"/>
        <w:outlineLvl w:val="1"/>
        <w:rPr>
          <w:rFonts w:hint="eastAsia" w:ascii="仿宋" w:hAnsi="仿宋" w:eastAsia="仿宋" w:cs="Times New Roman"/>
          <w:color w:val="000000"/>
          <w:sz w:val="28"/>
          <w:szCs w:val="28"/>
        </w:rPr>
      </w:pPr>
    </w:p>
    <w:p w14:paraId="6B88016B">
      <w:pPr>
        <w:pStyle w:val="3"/>
        <w:spacing w:line="500" w:lineRule="exact"/>
        <w:ind w:firstLine="560" w:firstLineChars="200"/>
        <w:jc w:val="left"/>
        <w:outlineLvl w:val="1"/>
        <w:rPr>
          <w:rFonts w:hint="eastAsia" w:ascii="仿宋" w:hAnsi="仿宋" w:eastAsia="仿宋" w:cs="Times New Roman"/>
          <w:color w:val="000000"/>
          <w:sz w:val="28"/>
          <w:szCs w:val="28"/>
        </w:rPr>
      </w:pPr>
    </w:p>
    <w:p w14:paraId="1442E515">
      <w:pPr>
        <w:pStyle w:val="3"/>
        <w:spacing w:line="500" w:lineRule="exact"/>
        <w:ind w:firstLine="560" w:firstLineChars="200"/>
        <w:jc w:val="left"/>
        <w:outlineLvl w:val="1"/>
        <w:rPr>
          <w:rFonts w:hint="eastAsia" w:ascii="仿宋" w:hAnsi="仿宋" w:eastAsia="仿宋" w:cs="Times New Roman"/>
          <w:color w:val="000000"/>
          <w:sz w:val="28"/>
          <w:szCs w:val="28"/>
        </w:rPr>
      </w:pPr>
    </w:p>
    <w:p w14:paraId="06522371">
      <w:pPr>
        <w:pStyle w:val="3"/>
        <w:spacing w:line="500" w:lineRule="exact"/>
        <w:ind w:firstLine="560" w:firstLineChars="200"/>
        <w:jc w:val="left"/>
        <w:outlineLvl w:val="1"/>
        <w:rPr>
          <w:rFonts w:hint="eastAsia" w:ascii="仿宋" w:hAnsi="仿宋" w:eastAsia="仿宋" w:cs="Times New Roman"/>
          <w:color w:val="000000"/>
          <w:sz w:val="28"/>
          <w:szCs w:val="28"/>
        </w:rPr>
      </w:pPr>
    </w:p>
    <w:p w14:paraId="777CFB31">
      <w:pPr>
        <w:pStyle w:val="3"/>
        <w:spacing w:line="500" w:lineRule="exact"/>
        <w:ind w:firstLine="560" w:firstLineChars="200"/>
        <w:jc w:val="left"/>
        <w:outlineLvl w:val="1"/>
        <w:rPr>
          <w:rFonts w:hint="eastAsia" w:ascii="仿宋" w:hAnsi="仿宋" w:eastAsia="仿宋" w:cs="Times New Roman"/>
          <w:color w:val="000000"/>
          <w:sz w:val="28"/>
          <w:szCs w:val="28"/>
        </w:rPr>
      </w:pPr>
    </w:p>
    <w:p w14:paraId="056A4D50">
      <w:pPr>
        <w:pStyle w:val="3"/>
        <w:spacing w:line="500" w:lineRule="exact"/>
        <w:ind w:firstLine="560" w:firstLineChars="200"/>
        <w:jc w:val="left"/>
        <w:outlineLvl w:val="1"/>
        <w:rPr>
          <w:rFonts w:hint="eastAsia" w:ascii="仿宋" w:hAnsi="仿宋" w:eastAsia="仿宋" w:cs="Times New Roman"/>
          <w:color w:val="000000"/>
          <w:sz w:val="28"/>
          <w:szCs w:val="28"/>
        </w:rPr>
      </w:pPr>
    </w:p>
    <w:p w14:paraId="2863D453">
      <w:pPr>
        <w:pStyle w:val="3"/>
        <w:spacing w:line="500" w:lineRule="exact"/>
        <w:ind w:firstLine="560" w:firstLineChars="200"/>
        <w:jc w:val="left"/>
        <w:outlineLvl w:val="1"/>
        <w:rPr>
          <w:rFonts w:hint="eastAsia" w:ascii="仿宋" w:hAnsi="仿宋" w:eastAsia="仿宋" w:cs="Times New Roman"/>
          <w:color w:val="000000"/>
          <w:sz w:val="28"/>
          <w:szCs w:val="28"/>
        </w:rPr>
      </w:pPr>
    </w:p>
    <w:p w14:paraId="7307FF56">
      <w:bookmarkStart w:id="19" w:name="_GoBack"/>
      <w:bookmarkEnd w:id="19"/>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0B73F4"/>
    <w:rsid w:val="260B7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Lines="50" w:line="360" w:lineRule="auto"/>
    </w:pPr>
    <w:rPr>
      <w:rFonts w:ascii="宋体" w:hAnsi="宋体"/>
      <w:color w:val="000000"/>
      <w:sz w:val="24"/>
    </w:rPr>
  </w:style>
  <w:style w:type="paragraph" w:styleId="3">
    <w:name w:val="Body Text First Indent"/>
    <w:basedOn w:val="2"/>
    <w:unhideWhenUsed/>
    <w:qFormat/>
    <w:uiPriority w:val="0"/>
    <w:pPr>
      <w:spacing w:afterLines="0" w:line="240" w:lineRule="auto"/>
      <w:ind w:firstLine="420" w:firstLineChars="100"/>
    </w:pPr>
    <w:rPr>
      <w:rFonts w:ascii="Times New Roman" w:hAnsi="Times New Roman"/>
      <w:color w:val="auto"/>
      <w:sz w:val="18"/>
      <w:szCs w:val="18"/>
    </w:rPr>
  </w:style>
  <w:style w:type="paragraph" w:customStyle="1" w:styleId="6">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2025-07-08T08:22:00Z</dcterms:created>
  <dc:creator>apple</dc:creator>
  <cp:lastModifiedBy>apple</cp:lastModifiedBy>
  <dcterms:modified xsi:type="dcterms:W3CDTF">2025-07-08T08:23:05Z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3FF1F009C40D4E1B8C3BC17108B7EBD3_11</vt:lpwstr>
  </property>
  <property fmtid="{D5CDD505-2E9C-101B-9397-08002B2CF9AE}" pid="4" name="KSOTemplateDocerSaveRecord">
    <vt:lpwstr>eyJoZGlkIjoiYTAxNzc3M2ZmOWExNzgyNzA1YmE1MWE5YTgyZDNjYTUiLCJ1c2VySWQiOiI3NDIyNDgzNjMifQ==</vt:lpwstr>
  </property>
</Properties>
</file>