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A2127">
      <w:pPr>
        <w:pStyle w:val="6"/>
        <w:keepNext w:val="0"/>
        <w:keepLines w:val="0"/>
        <w:pageBreakBefore w:val="0"/>
        <w:widowControl/>
        <w:kinsoku/>
        <w:wordWrap/>
        <w:overflowPunct/>
        <w:topLinePunct w:val="0"/>
        <w:autoSpaceDE/>
        <w:autoSpaceDN/>
        <w:bidi w:val="0"/>
        <w:adjustRightInd/>
        <w:snapToGrid/>
        <w:ind w:firstLine="400" w:firstLineChars="200"/>
        <w:textAlignment w:val="auto"/>
        <w:rPr>
          <w:rFonts w:hint="eastAsia" w:ascii="宋体" w:hAnsi="宋体" w:eastAsia="宋体" w:cs="宋体"/>
          <w:lang w:eastAsia="zh-CN"/>
        </w:rPr>
      </w:pPr>
      <w:r>
        <w:rPr>
          <w:rFonts w:hint="eastAsia" w:ascii="宋体" w:hAnsi="宋体" w:eastAsia="宋体" w:cs="宋体"/>
        </w:rPr>
        <w:t>标的名称：</w:t>
      </w:r>
      <w:r>
        <w:rPr>
          <w:rFonts w:hint="eastAsia" w:ascii="宋体" w:hAnsi="宋体" w:eastAsia="宋体" w:cs="宋体"/>
          <w:lang w:eastAsia="zh-CN"/>
        </w:rPr>
        <w:t>运动场地维修改造工程</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66"/>
        <w:gridCol w:w="792"/>
        <w:gridCol w:w="8941"/>
      </w:tblGrid>
      <w:tr w14:paraId="57D631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1" w:hRule="atLeast"/>
        </w:trPr>
        <w:tc>
          <w:tcPr>
            <w:tcW w:w="766" w:type="dxa"/>
            <w:vAlign w:val="center"/>
          </w:tcPr>
          <w:p w14:paraId="3401CCE1">
            <w:pPr>
              <w:pStyle w:val="6"/>
              <w:jc w:val="center"/>
              <w:rPr>
                <w:rFonts w:hint="eastAsia" w:ascii="宋体" w:hAnsi="宋体" w:eastAsia="宋体" w:cs="宋体"/>
                <w:color w:val="auto"/>
                <w:sz w:val="20"/>
                <w:szCs w:val="20"/>
              </w:rPr>
            </w:pPr>
            <w:r>
              <w:rPr>
                <w:rFonts w:hint="eastAsia" w:ascii="宋体" w:hAnsi="宋体" w:eastAsia="宋体" w:cs="宋体"/>
                <w:color w:val="auto"/>
                <w:sz w:val="20"/>
                <w:szCs w:val="20"/>
              </w:rPr>
              <w:t>序号</w:t>
            </w:r>
          </w:p>
        </w:tc>
        <w:tc>
          <w:tcPr>
            <w:tcW w:w="792" w:type="dxa"/>
            <w:vAlign w:val="center"/>
          </w:tcPr>
          <w:p w14:paraId="679D3F1E">
            <w:pPr>
              <w:pStyle w:val="6"/>
              <w:jc w:val="center"/>
              <w:rPr>
                <w:rFonts w:hint="eastAsia" w:ascii="宋体" w:hAnsi="宋体" w:eastAsia="宋体" w:cs="宋体"/>
                <w:color w:val="auto"/>
                <w:sz w:val="20"/>
                <w:szCs w:val="20"/>
              </w:rPr>
            </w:pPr>
            <w:r>
              <w:rPr>
                <w:rFonts w:hint="eastAsia" w:ascii="宋体" w:hAnsi="宋体" w:eastAsia="宋体" w:cs="宋体"/>
                <w:color w:val="auto"/>
                <w:sz w:val="20"/>
                <w:szCs w:val="20"/>
              </w:rPr>
              <w:t>参数性质</w:t>
            </w:r>
          </w:p>
        </w:tc>
        <w:tc>
          <w:tcPr>
            <w:tcW w:w="8941" w:type="dxa"/>
            <w:vAlign w:val="center"/>
          </w:tcPr>
          <w:p w14:paraId="37A32ECB">
            <w:pPr>
              <w:pStyle w:val="6"/>
              <w:jc w:val="center"/>
              <w:rPr>
                <w:rFonts w:hint="eastAsia" w:ascii="宋体" w:hAnsi="宋体" w:eastAsia="宋体" w:cs="宋体"/>
                <w:color w:val="auto"/>
                <w:sz w:val="20"/>
                <w:szCs w:val="20"/>
              </w:rPr>
            </w:pPr>
            <w:r>
              <w:rPr>
                <w:rFonts w:hint="eastAsia" w:ascii="宋体" w:hAnsi="宋体" w:eastAsia="宋体" w:cs="宋体"/>
                <w:color w:val="auto"/>
                <w:sz w:val="20"/>
                <w:szCs w:val="20"/>
              </w:rPr>
              <w:t>技术参数与性能指标</w:t>
            </w:r>
          </w:p>
        </w:tc>
      </w:tr>
      <w:tr w14:paraId="386434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47" w:hRule="atLeast"/>
        </w:trPr>
        <w:tc>
          <w:tcPr>
            <w:tcW w:w="766" w:type="dxa"/>
            <w:vAlign w:val="center"/>
          </w:tcPr>
          <w:p w14:paraId="0E0C8F6A">
            <w:pPr>
              <w:pStyle w:val="6"/>
              <w:jc w:val="center"/>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792" w:type="dxa"/>
            <w:vAlign w:val="center"/>
          </w:tcPr>
          <w:p w14:paraId="6E470974">
            <w:pPr>
              <w:jc w:val="center"/>
              <w:rPr>
                <w:rFonts w:hint="eastAsia" w:ascii="宋体" w:hAnsi="宋体" w:eastAsia="宋体" w:cs="宋体"/>
                <w:color w:val="auto"/>
                <w:sz w:val="20"/>
                <w:szCs w:val="20"/>
              </w:rPr>
            </w:pPr>
          </w:p>
        </w:tc>
        <w:tc>
          <w:tcPr>
            <w:tcW w:w="8941" w:type="dxa"/>
            <w:vAlign w:val="center"/>
          </w:tcPr>
          <w:p w14:paraId="56C8EAE6">
            <w:pPr>
              <w:pStyle w:val="6"/>
              <w:jc w:val="left"/>
              <w:rPr>
                <w:rFonts w:hint="eastAsia" w:ascii="宋体" w:hAnsi="宋体" w:eastAsia="宋体" w:cs="宋体"/>
                <w:b/>
                <w:bCs/>
                <w:color w:val="auto"/>
                <w:sz w:val="20"/>
                <w:szCs w:val="20"/>
                <w:lang w:val="en-US" w:eastAsia="zh-CN"/>
              </w:rPr>
            </w:pPr>
            <w:r>
              <w:rPr>
                <w:rFonts w:hint="eastAsia" w:ascii="宋体" w:hAnsi="宋体" w:eastAsia="宋体" w:cs="宋体"/>
                <w:b/>
                <w:bCs/>
                <w:color w:val="auto"/>
                <w:sz w:val="20"/>
                <w:szCs w:val="20"/>
                <w:lang w:val="en-US" w:eastAsia="zh-CN"/>
              </w:rPr>
              <w:t>一、项目概况：</w:t>
            </w:r>
          </w:p>
          <w:p w14:paraId="7F16811C">
            <w:pPr>
              <w:pStyle w:val="6"/>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本项目为西安理工大学运动场地维修改造项目。西安理工大学曲江校区（一期）羽毛球场、乒乓球场、排球场（整体一片），为水泥石子场地，地面较硬且特别光滑，不符合体育教学训练和运动锻炼要求。金花校区篮球场已使用多年，较为陈旧，且已多处破损，不仅影响体育课教学及师生锻炼活动体验，同样也存在运动风险与安全隐患。现对曲江校区（一期）羽毛球场、乒乓球场、排球场以及金花校区篮球场进行改造。</w:t>
            </w:r>
          </w:p>
        </w:tc>
      </w:tr>
      <w:tr w14:paraId="14F0CD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519" w:hRule="atLeast"/>
        </w:trPr>
        <w:tc>
          <w:tcPr>
            <w:tcW w:w="766" w:type="dxa"/>
            <w:vAlign w:val="center"/>
          </w:tcPr>
          <w:p w14:paraId="08AF8599">
            <w:pPr>
              <w:pStyle w:val="6"/>
              <w:jc w:val="center"/>
              <w:rPr>
                <w:rFonts w:hint="eastAsia" w:ascii="宋体" w:hAnsi="宋体" w:eastAsia="宋体" w:cs="宋体"/>
                <w:color w:val="auto"/>
                <w:sz w:val="20"/>
                <w:szCs w:val="20"/>
              </w:rPr>
            </w:pPr>
          </w:p>
        </w:tc>
        <w:tc>
          <w:tcPr>
            <w:tcW w:w="792" w:type="dxa"/>
            <w:vAlign w:val="center"/>
          </w:tcPr>
          <w:p w14:paraId="1DD91F50">
            <w:pPr>
              <w:jc w:val="center"/>
              <w:rPr>
                <w:rFonts w:hint="eastAsia" w:ascii="宋体" w:hAnsi="宋体" w:eastAsia="宋体" w:cs="宋体"/>
                <w:color w:val="auto"/>
                <w:sz w:val="20"/>
                <w:szCs w:val="20"/>
              </w:rPr>
            </w:pPr>
          </w:p>
        </w:tc>
        <w:tc>
          <w:tcPr>
            <w:tcW w:w="8941" w:type="dxa"/>
            <w:vAlign w:val="center"/>
          </w:tcPr>
          <w:p w14:paraId="03B87E13">
            <w:pPr>
              <w:pStyle w:val="6"/>
              <w:jc w:val="left"/>
              <w:rPr>
                <w:rFonts w:hint="eastAsia" w:ascii="宋体" w:hAnsi="宋体" w:eastAsia="宋体" w:cs="宋体"/>
                <w:b/>
                <w:bCs/>
                <w:color w:val="auto"/>
                <w:sz w:val="20"/>
                <w:szCs w:val="20"/>
                <w:lang w:val="en-US" w:eastAsia="zh-CN"/>
              </w:rPr>
            </w:pPr>
            <w:r>
              <w:rPr>
                <w:rFonts w:hint="eastAsia" w:ascii="宋体" w:hAnsi="宋体" w:eastAsia="宋体" w:cs="宋体"/>
                <w:b/>
                <w:bCs/>
                <w:color w:val="auto"/>
                <w:sz w:val="20"/>
                <w:szCs w:val="20"/>
                <w:lang w:val="en-US" w:eastAsia="zh-CN"/>
              </w:rPr>
              <w:t>二、工程内容：</w:t>
            </w:r>
          </w:p>
          <w:p w14:paraId="266A1058">
            <w:pPr>
              <w:pStyle w:val="6"/>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曲江校区（一期）羽毛球场、乒乓球场、排球场总面积约4455㎡，球场改造工程包含基础处理和面层铺设、排水沟清理及修复、东南角沉降地面场地处理、整体新做8㎜的硅PU球场面层，并施划标识标线等；金花校区篮球场总面积约6438㎡，改造工程包括拆除老化的旧复合型塑胶、排水沟清理及修复、对基础进行打磨修复、重新铺装专用硅PU塑胶。</w:t>
            </w:r>
          </w:p>
          <w:p w14:paraId="3B1CB9E3">
            <w:pPr>
              <w:pStyle w:val="6"/>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2.维修改造场地内的设施拆除、搬运及恢复等。</w:t>
            </w:r>
          </w:p>
          <w:p w14:paraId="7C15AB02">
            <w:pPr>
              <w:pStyle w:val="6"/>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3.场地改造产生的建筑垃圾清运等。</w:t>
            </w:r>
          </w:p>
          <w:p w14:paraId="3D689964">
            <w:pPr>
              <w:pStyle w:val="6"/>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具体详见本采购文件、工程量清单、图纸等文件。</w:t>
            </w:r>
          </w:p>
        </w:tc>
      </w:tr>
      <w:tr w14:paraId="0C2CA2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1" w:hRule="atLeast"/>
        </w:trPr>
        <w:tc>
          <w:tcPr>
            <w:tcW w:w="766" w:type="dxa"/>
            <w:vAlign w:val="center"/>
          </w:tcPr>
          <w:p w14:paraId="59018A14">
            <w:pPr>
              <w:pStyle w:val="6"/>
              <w:jc w:val="center"/>
              <w:rPr>
                <w:rFonts w:hint="eastAsia" w:ascii="宋体" w:hAnsi="宋体" w:eastAsia="宋体" w:cs="宋体"/>
                <w:color w:val="auto"/>
                <w:sz w:val="20"/>
                <w:szCs w:val="20"/>
              </w:rPr>
            </w:pPr>
          </w:p>
        </w:tc>
        <w:tc>
          <w:tcPr>
            <w:tcW w:w="792" w:type="dxa"/>
            <w:vAlign w:val="center"/>
          </w:tcPr>
          <w:p w14:paraId="411C1D8F">
            <w:pPr>
              <w:jc w:val="center"/>
              <w:rPr>
                <w:rFonts w:hint="eastAsia" w:ascii="宋体" w:hAnsi="宋体" w:eastAsia="宋体" w:cs="宋体"/>
                <w:color w:val="auto"/>
                <w:sz w:val="20"/>
                <w:szCs w:val="20"/>
              </w:rPr>
            </w:pPr>
          </w:p>
        </w:tc>
        <w:tc>
          <w:tcPr>
            <w:tcW w:w="8941" w:type="dxa"/>
            <w:vAlign w:val="center"/>
          </w:tcPr>
          <w:p w14:paraId="0B4F9D69">
            <w:pPr>
              <w:pStyle w:val="6"/>
              <w:jc w:val="left"/>
              <w:rPr>
                <w:rFonts w:hint="default" w:ascii="宋体" w:hAnsi="宋体" w:eastAsia="宋体" w:cs="宋体"/>
                <w:color w:val="auto"/>
                <w:sz w:val="20"/>
                <w:szCs w:val="20"/>
                <w:lang w:val="en-US" w:eastAsia="zh-CN"/>
              </w:rPr>
            </w:pPr>
            <w:r>
              <w:rPr>
                <w:rFonts w:hint="eastAsia" w:ascii="宋体" w:hAnsi="宋体" w:eastAsia="宋体" w:cs="宋体"/>
                <w:b/>
                <w:bCs/>
                <w:color w:val="auto"/>
                <w:sz w:val="20"/>
                <w:szCs w:val="20"/>
                <w:lang w:val="en-US" w:eastAsia="zh-CN"/>
              </w:rPr>
              <w:t>三、工期：</w:t>
            </w:r>
            <w:r>
              <w:rPr>
                <w:rFonts w:hint="eastAsia"/>
                <w:color w:val="auto"/>
                <w:sz w:val="20"/>
                <w:szCs w:val="20"/>
                <w:lang w:val="en-US" w:eastAsia="zh-CN"/>
              </w:rPr>
              <w:t>合同签订后</w:t>
            </w:r>
            <w:r>
              <w:rPr>
                <w:rFonts w:hint="default" w:ascii="宋体" w:hAnsi="宋体" w:eastAsia="宋体" w:cs="宋体"/>
                <w:color w:val="auto"/>
                <w:sz w:val="20"/>
                <w:szCs w:val="20"/>
                <w:lang w:val="en-US" w:eastAsia="zh-CN"/>
              </w:rPr>
              <w:t>60日历天</w:t>
            </w:r>
          </w:p>
        </w:tc>
      </w:tr>
      <w:tr w14:paraId="3C9B99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trPr>
        <w:tc>
          <w:tcPr>
            <w:tcW w:w="766" w:type="dxa"/>
            <w:vAlign w:val="center"/>
          </w:tcPr>
          <w:p w14:paraId="54CE5871">
            <w:pPr>
              <w:pStyle w:val="6"/>
              <w:jc w:val="center"/>
              <w:rPr>
                <w:rFonts w:hint="eastAsia" w:ascii="宋体" w:hAnsi="宋体" w:eastAsia="宋体" w:cs="宋体"/>
                <w:color w:val="auto"/>
                <w:sz w:val="20"/>
                <w:szCs w:val="20"/>
              </w:rPr>
            </w:pPr>
          </w:p>
        </w:tc>
        <w:tc>
          <w:tcPr>
            <w:tcW w:w="792" w:type="dxa"/>
            <w:vAlign w:val="center"/>
          </w:tcPr>
          <w:p w14:paraId="7938E45B">
            <w:pPr>
              <w:jc w:val="center"/>
              <w:rPr>
                <w:rFonts w:hint="eastAsia" w:ascii="宋体" w:hAnsi="宋体" w:eastAsia="宋体" w:cs="宋体"/>
                <w:color w:val="auto"/>
                <w:sz w:val="20"/>
                <w:szCs w:val="20"/>
              </w:rPr>
            </w:pPr>
          </w:p>
        </w:tc>
        <w:tc>
          <w:tcPr>
            <w:tcW w:w="8941" w:type="dxa"/>
            <w:vAlign w:val="center"/>
          </w:tcPr>
          <w:p w14:paraId="5029F9F7">
            <w:pPr>
              <w:pStyle w:val="6"/>
              <w:jc w:val="left"/>
              <w:rPr>
                <w:rFonts w:hint="eastAsia" w:ascii="宋体" w:hAnsi="宋体" w:eastAsia="宋体" w:cs="宋体"/>
                <w:color w:val="auto"/>
                <w:sz w:val="20"/>
                <w:szCs w:val="20"/>
                <w:lang w:val="en-US" w:eastAsia="zh-CN"/>
              </w:rPr>
            </w:pPr>
            <w:r>
              <w:rPr>
                <w:rFonts w:hint="eastAsia" w:ascii="宋体" w:hAnsi="宋体" w:eastAsia="宋体" w:cs="宋体"/>
                <w:b/>
                <w:bCs/>
                <w:color w:val="auto"/>
                <w:sz w:val="20"/>
                <w:szCs w:val="20"/>
                <w:lang w:val="en-US" w:eastAsia="zh-CN"/>
              </w:rPr>
              <w:t>四、项目地点：</w:t>
            </w:r>
            <w:r>
              <w:rPr>
                <w:rFonts w:hint="default" w:ascii="宋体" w:hAnsi="宋体" w:eastAsia="宋体" w:cs="宋体"/>
                <w:color w:val="auto"/>
                <w:sz w:val="20"/>
                <w:szCs w:val="20"/>
                <w:lang w:val="en-US" w:eastAsia="zh-CN"/>
              </w:rPr>
              <w:t>西安理工大学金花校区、曲江校区（一期）</w:t>
            </w:r>
          </w:p>
        </w:tc>
      </w:tr>
      <w:tr w14:paraId="3287A6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39" w:hRule="atLeast"/>
        </w:trPr>
        <w:tc>
          <w:tcPr>
            <w:tcW w:w="766" w:type="dxa"/>
            <w:vAlign w:val="center"/>
          </w:tcPr>
          <w:p w14:paraId="514E1568">
            <w:pPr>
              <w:pStyle w:val="6"/>
              <w:jc w:val="center"/>
              <w:rPr>
                <w:rFonts w:hint="eastAsia" w:ascii="宋体" w:hAnsi="宋体" w:eastAsia="宋体" w:cs="宋体"/>
                <w:color w:val="auto"/>
                <w:sz w:val="20"/>
                <w:szCs w:val="20"/>
              </w:rPr>
            </w:pPr>
          </w:p>
        </w:tc>
        <w:tc>
          <w:tcPr>
            <w:tcW w:w="792" w:type="dxa"/>
            <w:vAlign w:val="center"/>
          </w:tcPr>
          <w:p w14:paraId="659121F1">
            <w:pPr>
              <w:jc w:val="center"/>
              <w:rPr>
                <w:rFonts w:hint="eastAsia" w:ascii="宋体" w:hAnsi="宋体" w:eastAsia="宋体" w:cs="宋体"/>
                <w:color w:val="auto"/>
                <w:sz w:val="20"/>
                <w:szCs w:val="20"/>
              </w:rPr>
            </w:pPr>
          </w:p>
        </w:tc>
        <w:tc>
          <w:tcPr>
            <w:tcW w:w="8941" w:type="dxa"/>
            <w:vAlign w:val="center"/>
          </w:tcPr>
          <w:p w14:paraId="3E2430C7">
            <w:pPr>
              <w:pStyle w:val="6"/>
              <w:jc w:val="left"/>
              <w:rPr>
                <w:rFonts w:hint="default" w:ascii="宋体" w:hAnsi="宋体" w:eastAsia="宋体" w:cs="宋体"/>
                <w:b/>
                <w:bCs/>
                <w:color w:val="auto"/>
                <w:sz w:val="20"/>
                <w:szCs w:val="20"/>
                <w:lang w:val="en-US" w:eastAsia="zh-CN"/>
              </w:rPr>
            </w:pPr>
            <w:r>
              <w:rPr>
                <w:rFonts w:hint="eastAsia" w:ascii="宋体" w:hAnsi="宋体" w:eastAsia="宋体" w:cs="宋体"/>
                <w:b/>
                <w:bCs/>
                <w:color w:val="auto"/>
                <w:sz w:val="20"/>
                <w:szCs w:val="20"/>
                <w:lang w:val="en-US" w:eastAsia="zh-CN"/>
              </w:rPr>
              <w:t>五、</w:t>
            </w:r>
            <w:r>
              <w:rPr>
                <w:rFonts w:hint="default" w:ascii="宋体" w:hAnsi="宋体" w:eastAsia="宋体" w:cs="宋体"/>
                <w:b/>
                <w:bCs/>
                <w:color w:val="auto"/>
                <w:sz w:val="20"/>
                <w:szCs w:val="20"/>
                <w:lang w:val="en-US" w:eastAsia="zh-CN"/>
              </w:rPr>
              <w:t>质保期限：</w:t>
            </w:r>
          </w:p>
          <w:p w14:paraId="47DF9CE6">
            <w:pPr>
              <w:pStyle w:val="6"/>
              <w:jc w:val="left"/>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自验收合格之日起，材料及施工质量免费质保期不低于2年</w:t>
            </w:r>
          </w:p>
        </w:tc>
      </w:tr>
      <w:tr w14:paraId="343E09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61" w:hRule="atLeast"/>
        </w:trPr>
        <w:tc>
          <w:tcPr>
            <w:tcW w:w="766" w:type="dxa"/>
            <w:vAlign w:val="center"/>
          </w:tcPr>
          <w:p w14:paraId="2CEF8D4E">
            <w:pPr>
              <w:pStyle w:val="6"/>
              <w:jc w:val="center"/>
              <w:rPr>
                <w:rFonts w:hint="eastAsia" w:ascii="宋体" w:hAnsi="宋体" w:eastAsia="宋体" w:cs="宋体"/>
                <w:color w:val="auto"/>
                <w:sz w:val="20"/>
                <w:szCs w:val="20"/>
              </w:rPr>
            </w:pPr>
          </w:p>
        </w:tc>
        <w:tc>
          <w:tcPr>
            <w:tcW w:w="792" w:type="dxa"/>
            <w:vAlign w:val="center"/>
          </w:tcPr>
          <w:p w14:paraId="7D871FE3">
            <w:pPr>
              <w:jc w:val="center"/>
              <w:rPr>
                <w:rFonts w:hint="eastAsia" w:ascii="宋体" w:hAnsi="宋体" w:eastAsia="宋体" w:cs="宋体"/>
                <w:color w:val="auto"/>
                <w:sz w:val="20"/>
                <w:szCs w:val="20"/>
              </w:rPr>
            </w:pPr>
          </w:p>
        </w:tc>
        <w:tc>
          <w:tcPr>
            <w:tcW w:w="8941" w:type="dxa"/>
            <w:vAlign w:val="center"/>
          </w:tcPr>
          <w:p w14:paraId="0C65B5AF">
            <w:pPr>
              <w:pStyle w:val="6"/>
              <w:jc w:val="left"/>
              <w:rPr>
                <w:rFonts w:hint="eastAsia" w:ascii="宋体" w:hAnsi="宋体" w:eastAsia="宋体" w:cs="宋体"/>
                <w:b/>
                <w:bCs/>
                <w:color w:val="auto"/>
                <w:sz w:val="20"/>
                <w:szCs w:val="20"/>
                <w:lang w:val="en-US" w:eastAsia="zh-CN"/>
              </w:rPr>
            </w:pPr>
            <w:r>
              <w:rPr>
                <w:rFonts w:hint="eastAsia" w:ascii="宋体" w:hAnsi="宋体" w:eastAsia="宋体" w:cs="宋体"/>
                <w:b/>
                <w:bCs/>
                <w:color w:val="auto"/>
                <w:sz w:val="20"/>
                <w:szCs w:val="20"/>
                <w:lang w:val="en-US" w:eastAsia="zh-CN"/>
              </w:rPr>
              <w:t>六、技术要求：</w:t>
            </w:r>
          </w:p>
          <w:p w14:paraId="128275E0">
            <w:pPr>
              <w:pStyle w:val="6"/>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供应商应在已标价工程量清单及响应文件中注明主要材料选用品牌、规格型号等，要求所有建筑材料采用环保型材料，阻燃、无毒、无害、无放射性。供应商需提供主要施工材料来源渠道合法的证明文件(包括但不限于销售协议、代理协议、原厂授权等)。</w:t>
            </w:r>
          </w:p>
          <w:p w14:paraId="70BC820A">
            <w:pPr>
              <w:pStyle w:val="6"/>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所有建筑材料采用环保型，主要材料进场时（</w:t>
            </w:r>
            <w:r>
              <w:rPr>
                <w:rFonts w:hint="eastAsia"/>
                <w:color w:val="auto"/>
                <w:lang w:val="en-US" w:eastAsia="zh-CN"/>
              </w:rPr>
              <w:t>进场时检测材料</w:t>
            </w:r>
            <w:r>
              <w:rPr>
                <w:rFonts w:hint="eastAsia" w:ascii="宋体" w:hAnsi="宋体" w:eastAsia="宋体" w:cs="宋体"/>
                <w:color w:val="auto"/>
                <w:sz w:val="20"/>
                <w:szCs w:val="20"/>
                <w:lang w:val="en-US" w:eastAsia="zh-CN"/>
              </w:rPr>
              <w:t>）和完工后</w:t>
            </w:r>
            <w:r>
              <w:rPr>
                <w:rFonts w:hint="eastAsia"/>
                <w:color w:val="auto"/>
                <w:lang w:eastAsia="zh-CN"/>
              </w:rPr>
              <w:t>（</w:t>
            </w:r>
            <w:r>
              <w:rPr>
                <w:rFonts w:hint="eastAsia"/>
                <w:color w:val="auto"/>
                <w:lang w:val="en-US" w:eastAsia="zh-CN"/>
              </w:rPr>
              <w:t>完工后整体检测</w:t>
            </w:r>
            <w:r>
              <w:rPr>
                <w:rFonts w:hint="eastAsia"/>
                <w:color w:val="auto"/>
                <w:lang w:eastAsia="zh-CN"/>
              </w:rPr>
              <w:t>）</w:t>
            </w:r>
            <w:r>
              <w:rPr>
                <w:rFonts w:hint="eastAsia" w:ascii="宋体" w:hAnsi="宋体" w:eastAsia="宋体" w:cs="宋体"/>
                <w:color w:val="auto"/>
                <w:sz w:val="20"/>
                <w:szCs w:val="20"/>
                <w:lang w:val="en-US" w:eastAsia="zh-CN"/>
              </w:rPr>
              <w:t>由体育教学部、后勤处、实验室管理处共同</w:t>
            </w:r>
            <w:r>
              <w:rPr>
                <w:rFonts w:hint="eastAsia" w:ascii="宋体" w:hAnsi="宋体" w:eastAsia="宋体" w:cs="宋体"/>
                <w:b/>
                <w:bCs/>
                <w:color w:val="auto"/>
                <w:sz w:val="20"/>
                <w:szCs w:val="20"/>
                <w:lang w:val="en-US" w:eastAsia="zh-CN"/>
              </w:rPr>
              <w:t>委托专业检测机构进行环保检测(费用由乙方承担，包含在工程费中)</w:t>
            </w:r>
            <w:r>
              <w:rPr>
                <w:rFonts w:hint="eastAsia" w:ascii="宋体" w:hAnsi="宋体" w:eastAsia="宋体" w:cs="宋体"/>
                <w:color w:val="auto"/>
                <w:sz w:val="20"/>
                <w:szCs w:val="20"/>
                <w:lang w:val="en-US" w:eastAsia="zh-CN"/>
              </w:rPr>
              <w:t>，因乙方施工不善或材料使用不当发生工程事故及人员伤害的，责任和由此而发生的各种费用由乙方全部承担。具体要求如下：</w:t>
            </w:r>
          </w:p>
          <w:p w14:paraId="5EBC443D">
            <w:pPr>
              <w:numPr>
                <w:ilvl w:val="0"/>
                <w:numId w:val="0"/>
              </w:numPr>
              <w:spacing w:line="480" w:lineRule="auto"/>
              <w:ind w:leftChars="0"/>
              <w:jc w:val="both"/>
              <w:rPr>
                <w:rFonts w:hint="eastAsia"/>
                <w:b/>
                <w:bCs/>
                <w:color w:val="auto"/>
                <w:sz w:val="20"/>
                <w:szCs w:val="20"/>
                <w:lang w:val="en-US" w:eastAsia="zh-CN"/>
              </w:rPr>
            </w:pPr>
            <w:r>
              <w:rPr>
                <w:rFonts w:hint="eastAsia"/>
                <w:b/>
                <w:bCs/>
                <w:color w:val="auto"/>
                <w:sz w:val="20"/>
                <w:szCs w:val="20"/>
                <w:lang w:val="en-US" w:eastAsia="zh-CN"/>
              </w:rPr>
              <w:t>（一）主材规格标准与参数要求</w:t>
            </w:r>
          </w:p>
          <w:p w14:paraId="3C5F0639">
            <w:pPr>
              <w:numPr>
                <w:ilvl w:val="0"/>
                <w:numId w:val="0"/>
              </w:numPr>
              <w:spacing w:line="360" w:lineRule="auto"/>
              <w:jc w:val="left"/>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1.</w:t>
            </w:r>
            <w:r>
              <w:rPr>
                <w:rFonts w:hint="eastAsia" w:ascii="宋体" w:hAnsi="宋体" w:eastAsia="宋体" w:cs="宋体"/>
                <w:color w:val="auto"/>
                <w:sz w:val="20"/>
                <w:szCs w:val="20"/>
                <w:highlight w:val="none"/>
                <w:lang w:val="en-US" w:eastAsia="zh-CN"/>
              </w:rPr>
              <w:t>物理机械性能标准：</w:t>
            </w:r>
          </w:p>
          <w:tbl>
            <w:tblPr>
              <w:tblStyle w:val="4"/>
              <w:tblW w:w="7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2234"/>
              <w:gridCol w:w="3444"/>
            </w:tblGrid>
            <w:tr w14:paraId="153E2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3895" w:type="dxa"/>
                  <w:gridSpan w:val="2"/>
                  <w:noWrap w:val="0"/>
                  <w:vAlign w:val="center"/>
                </w:tcPr>
                <w:p w14:paraId="6114A82D">
                  <w:pPr>
                    <w:bidi w:val="0"/>
                    <w:jc w:val="center"/>
                    <w:rPr>
                      <w:rFonts w:hint="eastAsia"/>
                      <w:b/>
                      <w:bCs/>
                      <w:color w:val="auto"/>
                      <w:sz w:val="20"/>
                      <w:szCs w:val="20"/>
                      <w:lang w:val="en-US" w:eastAsia="zh-CN"/>
                    </w:rPr>
                  </w:pPr>
                  <w:r>
                    <w:rPr>
                      <w:rFonts w:hint="eastAsia"/>
                      <w:b/>
                      <w:bCs/>
                      <w:color w:val="auto"/>
                      <w:sz w:val="20"/>
                      <w:szCs w:val="20"/>
                      <w:lang w:val="en-US" w:eastAsia="zh-CN"/>
                    </w:rPr>
                    <w:t>项目</w:t>
                  </w:r>
                </w:p>
              </w:tc>
              <w:tc>
                <w:tcPr>
                  <w:tcW w:w="3444" w:type="dxa"/>
                  <w:noWrap w:val="0"/>
                  <w:vAlign w:val="center"/>
                </w:tcPr>
                <w:p w14:paraId="27A69373">
                  <w:pPr>
                    <w:bidi w:val="0"/>
                    <w:jc w:val="center"/>
                    <w:rPr>
                      <w:rFonts w:hint="eastAsia"/>
                      <w:b/>
                      <w:bCs/>
                      <w:color w:val="auto"/>
                      <w:sz w:val="20"/>
                      <w:szCs w:val="20"/>
                      <w:lang w:val="en-US" w:eastAsia="zh-CN"/>
                    </w:rPr>
                  </w:pPr>
                  <w:r>
                    <w:rPr>
                      <w:rFonts w:hint="eastAsia"/>
                      <w:b/>
                      <w:bCs/>
                      <w:color w:val="auto"/>
                      <w:sz w:val="20"/>
                      <w:szCs w:val="20"/>
                      <w:lang w:val="en-US" w:eastAsia="zh-CN"/>
                    </w:rPr>
                    <w:t>指标要求</w:t>
                  </w:r>
                </w:p>
              </w:tc>
            </w:tr>
            <w:tr w14:paraId="4B134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3895" w:type="dxa"/>
                  <w:gridSpan w:val="2"/>
                  <w:noWrap w:val="0"/>
                  <w:vAlign w:val="center"/>
                </w:tcPr>
                <w:p w14:paraId="33CC4654">
                  <w:pPr>
                    <w:bidi w:val="0"/>
                    <w:jc w:val="center"/>
                    <w:rPr>
                      <w:rFonts w:hint="eastAsia"/>
                      <w:color w:val="auto"/>
                      <w:sz w:val="20"/>
                      <w:szCs w:val="20"/>
                      <w:lang w:val="en-US" w:eastAsia="zh-CN"/>
                    </w:rPr>
                  </w:pPr>
                  <w:r>
                    <w:rPr>
                      <w:rFonts w:hint="eastAsia"/>
                      <w:color w:val="auto"/>
                      <w:sz w:val="20"/>
                      <w:szCs w:val="20"/>
                      <w:lang w:val="en-US" w:eastAsia="zh-CN"/>
                    </w:rPr>
                    <w:t>厚度/mm</w:t>
                  </w:r>
                </w:p>
              </w:tc>
              <w:tc>
                <w:tcPr>
                  <w:tcW w:w="3444" w:type="dxa"/>
                  <w:noWrap w:val="0"/>
                  <w:vAlign w:val="center"/>
                </w:tcPr>
                <w:p w14:paraId="0AE96F18">
                  <w:pPr>
                    <w:bidi w:val="0"/>
                    <w:jc w:val="center"/>
                    <w:rPr>
                      <w:rFonts w:hint="default"/>
                      <w:color w:val="auto"/>
                      <w:sz w:val="20"/>
                      <w:szCs w:val="20"/>
                      <w:lang w:val="en-US" w:eastAsia="zh-CN"/>
                    </w:rPr>
                  </w:pPr>
                  <w:r>
                    <w:rPr>
                      <w:rFonts w:hint="eastAsia"/>
                      <w:color w:val="auto"/>
                      <w:sz w:val="20"/>
                      <w:szCs w:val="20"/>
                      <w:lang w:val="en-US" w:eastAsia="zh-CN"/>
                    </w:rPr>
                    <w:t>8mm</w:t>
                  </w:r>
                </w:p>
              </w:tc>
            </w:tr>
            <w:tr w14:paraId="4A2A9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3895" w:type="dxa"/>
                  <w:gridSpan w:val="2"/>
                  <w:noWrap w:val="0"/>
                  <w:vAlign w:val="center"/>
                </w:tcPr>
                <w:p w14:paraId="2E990253">
                  <w:pPr>
                    <w:bidi w:val="0"/>
                    <w:jc w:val="center"/>
                    <w:rPr>
                      <w:rFonts w:hint="eastAsia"/>
                      <w:color w:val="auto"/>
                      <w:sz w:val="20"/>
                      <w:szCs w:val="20"/>
                      <w:lang w:val="en-US" w:eastAsia="zh-CN"/>
                    </w:rPr>
                  </w:pPr>
                  <w:r>
                    <w:rPr>
                      <w:rFonts w:hint="eastAsia"/>
                      <w:color w:val="auto"/>
                      <w:sz w:val="20"/>
                      <w:szCs w:val="20"/>
                      <w:lang w:val="en-US" w:eastAsia="zh-CN"/>
                    </w:rPr>
                    <w:t>冲击吸收/%</w:t>
                  </w:r>
                </w:p>
              </w:tc>
              <w:tc>
                <w:tcPr>
                  <w:tcW w:w="3444" w:type="dxa"/>
                  <w:noWrap w:val="0"/>
                  <w:vAlign w:val="center"/>
                </w:tcPr>
                <w:p w14:paraId="4096328D">
                  <w:pPr>
                    <w:bidi w:val="0"/>
                    <w:jc w:val="center"/>
                    <w:rPr>
                      <w:rFonts w:hint="eastAsia"/>
                      <w:color w:val="auto"/>
                      <w:sz w:val="20"/>
                      <w:szCs w:val="20"/>
                      <w:lang w:val="en-US" w:eastAsia="zh-CN"/>
                    </w:rPr>
                  </w:pPr>
                  <w:r>
                    <w:rPr>
                      <w:rFonts w:hint="eastAsia"/>
                      <w:color w:val="auto"/>
                      <w:sz w:val="20"/>
                      <w:szCs w:val="20"/>
                      <w:lang w:val="en-US" w:eastAsia="zh-CN"/>
                    </w:rPr>
                    <w:t>20～50</w:t>
                  </w:r>
                </w:p>
              </w:tc>
            </w:tr>
            <w:tr w14:paraId="2D624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3895" w:type="dxa"/>
                  <w:gridSpan w:val="2"/>
                  <w:noWrap w:val="0"/>
                  <w:vAlign w:val="center"/>
                </w:tcPr>
                <w:p w14:paraId="259691F0">
                  <w:pPr>
                    <w:bidi w:val="0"/>
                    <w:jc w:val="center"/>
                    <w:rPr>
                      <w:rFonts w:hint="eastAsia"/>
                      <w:color w:val="auto"/>
                      <w:sz w:val="20"/>
                      <w:szCs w:val="20"/>
                      <w:lang w:val="en-US"/>
                    </w:rPr>
                  </w:pPr>
                  <w:r>
                    <w:rPr>
                      <w:rFonts w:hint="eastAsia"/>
                      <w:color w:val="auto"/>
                      <w:sz w:val="20"/>
                      <w:szCs w:val="20"/>
                      <w:lang w:val="en-US" w:eastAsia="zh-CN"/>
                    </w:rPr>
                    <w:t>垂直变形/mm</w:t>
                  </w:r>
                </w:p>
              </w:tc>
              <w:tc>
                <w:tcPr>
                  <w:tcW w:w="3444" w:type="dxa"/>
                  <w:noWrap w:val="0"/>
                  <w:vAlign w:val="center"/>
                </w:tcPr>
                <w:p w14:paraId="684D316A">
                  <w:pPr>
                    <w:bidi w:val="0"/>
                    <w:jc w:val="center"/>
                    <w:rPr>
                      <w:rFonts w:hint="eastAsia"/>
                      <w:color w:val="auto"/>
                      <w:sz w:val="20"/>
                      <w:szCs w:val="20"/>
                      <w:lang w:val="en-US"/>
                    </w:rPr>
                  </w:pPr>
                  <w:r>
                    <w:rPr>
                      <w:rFonts w:hint="eastAsia"/>
                      <w:color w:val="auto"/>
                      <w:sz w:val="20"/>
                      <w:szCs w:val="20"/>
                      <w:lang w:val="en-US" w:eastAsia="zh-CN"/>
                    </w:rPr>
                    <w:t>0.6～3.0</w:t>
                  </w:r>
                </w:p>
              </w:tc>
            </w:tr>
            <w:tr w14:paraId="5F870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3895" w:type="dxa"/>
                  <w:gridSpan w:val="2"/>
                  <w:noWrap w:val="0"/>
                  <w:vAlign w:val="center"/>
                </w:tcPr>
                <w:p w14:paraId="1E9CE632">
                  <w:pPr>
                    <w:bidi w:val="0"/>
                    <w:jc w:val="center"/>
                    <w:rPr>
                      <w:rFonts w:hint="eastAsia"/>
                      <w:color w:val="auto"/>
                      <w:sz w:val="20"/>
                      <w:szCs w:val="20"/>
                      <w:lang w:val="en-US"/>
                    </w:rPr>
                  </w:pPr>
                  <w:r>
                    <w:rPr>
                      <w:rFonts w:hint="eastAsia"/>
                      <w:color w:val="auto"/>
                      <w:sz w:val="20"/>
                      <w:szCs w:val="20"/>
                      <w:lang w:val="en-US" w:eastAsia="zh-CN"/>
                    </w:rPr>
                    <w:t>抗滑值（20℃）/BPN</w:t>
                  </w:r>
                </w:p>
              </w:tc>
              <w:tc>
                <w:tcPr>
                  <w:tcW w:w="3444" w:type="dxa"/>
                  <w:noWrap w:val="0"/>
                  <w:vAlign w:val="center"/>
                </w:tcPr>
                <w:p w14:paraId="06ABBF38">
                  <w:pPr>
                    <w:bidi w:val="0"/>
                    <w:jc w:val="center"/>
                    <w:rPr>
                      <w:rFonts w:hint="eastAsia"/>
                      <w:color w:val="auto"/>
                      <w:sz w:val="20"/>
                      <w:szCs w:val="20"/>
                      <w:lang w:val="en-US"/>
                    </w:rPr>
                  </w:pPr>
                  <w:r>
                    <w:rPr>
                      <w:rFonts w:hint="eastAsia"/>
                      <w:color w:val="auto"/>
                      <w:sz w:val="20"/>
                      <w:szCs w:val="20"/>
                      <w:lang w:val="en-US" w:eastAsia="zh-CN"/>
                    </w:rPr>
                    <w:t>80～110（干测）</w:t>
                  </w:r>
                </w:p>
              </w:tc>
            </w:tr>
            <w:tr w14:paraId="3B09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661" w:type="dxa"/>
                  <w:vMerge w:val="restart"/>
                  <w:noWrap w:val="0"/>
                  <w:vAlign w:val="center"/>
                </w:tcPr>
                <w:p w14:paraId="5E9A3F22">
                  <w:pPr>
                    <w:bidi w:val="0"/>
                    <w:jc w:val="center"/>
                    <w:rPr>
                      <w:rFonts w:hint="eastAsia"/>
                      <w:color w:val="auto"/>
                      <w:sz w:val="20"/>
                      <w:szCs w:val="20"/>
                      <w:lang w:val="en-US" w:eastAsia="zh-CN"/>
                    </w:rPr>
                  </w:pPr>
                  <w:r>
                    <w:rPr>
                      <w:rFonts w:hint="eastAsia"/>
                      <w:color w:val="auto"/>
                      <w:sz w:val="20"/>
                      <w:szCs w:val="20"/>
                      <w:lang w:val="en-US" w:eastAsia="zh-CN"/>
                    </w:rPr>
                    <w:t>拉伸强度/MPa</w:t>
                  </w:r>
                </w:p>
              </w:tc>
              <w:tc>
                <w:tcPr>
                  <w:tcW w:w="2234" w:type="dxa"/>
                  <w:noWrap w:val="0"/>
                  <w:vAlign w:val="center"/>
                </w:tcPr>
                <w:p w14:paraId="1B071894">
                  <w:pPr>
                    <w:bidi w:val="0"/>
                    <w:jc w:val="center"/>
                    <w:rPr>
                      <w:rFonts w:hint="eastAsia"/>
                      <w:color w:val="auto"/>
                      <w:sz w:val="20"/>
                      <w:szCs w:val="20"/>
                      <w:lang w:val="en-US"/>
                    </w:rPr>
                  </w:pPr>
                  <w:r>
                    <w:rPr>
                      <w:rFonts w:hint="eastAsia"/>
                      <w:color w:val="auto"/>
                      <w:sz w:val="20"/>
                      <w:szCs w:val="20"/>
                      <w:lang w:val="en-US" w:eastAsia="zh-CN"/>
                    </w:rPr>
                    <w:t>渗水型面层</w:t>
                  </w:r>
                </w:p>
              </w:tc>
              <w:tc>
                <w:tcPr>
                  <w:tcW w:w="3444" w:type="dxa"/>
                  <w:noWrap w:val="0"/>
                  <w:vAlign w:val="center"/>
                </w:tcPr>
                <w:p w14:paraId="2964AA6D">
                  <w:pPr>
                    <w:bidi w:val="0"/>
                    <w:jc w:val="center"/>
                    <w:rPr>
                      <w:rFonts w:hint="eastAsia"/>
                      <w:color w:val="auto"/>
                      <w:sz w:val="20"/>
                      <w:szCs w:val="20"/>
                      <w:lang w:val="en-US" w:eastAsia="zh-CN"/>
                    </w:rPr>
                  </w:pPr>
                  <w:r>
                    <w:rPr>
                      <w:rFonts w:hint="eastAsia"/>
                      <w:color w:val="auto"/>
                      <w:sz w:val="20"/>
                      <w:szCs w:val="20"/>
                      <w:lang w:val="en-US" w:eastAsia="zh-CN"/>
                    </w:rPr>
                    <w:t>≥0.4</w:t>
                  </w:r>
                </w:p>
              </w:tc>
            </w:tr>
            <w:tr w14:paraId="22001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661" w:type="dxa"/>
                  <w:vMerge w:val="continue"/>
                  <w:noWrap w:val="0"/>
                  <w:vAlign w:val="center"/>
                </w:tcPr>
                <w:p w14:paraId="11A2E8C7">
                  <w:pPr>
                    <w:bidi w:val="0"/>
                    <w:jc w:val="center"/>
                    <w:rPr>
                      <w:rFonts w:hint="eastAsia"/>
                      <w:color w:val="auto"/>
                      <w:sz w:val="20"/>
                      <w:szCs w:val="20"/>
                      <w:lang w:val="en-US"/>
                    </w:rPr>
                  </w:pPr>
                </w:p>
              </w:tc>
              <w:tc>
                <w:tcPr>
                  <w:tcW w:w="2234" w:type="dxa"/>
                  <w:noWrap w:val="0"/>
                  <w:vAlign w:val="center"/>
                </w:tcPr>
                <w:p w14:paraId="73BDC4E4">
                  <w:pPr>
                    <w:bidi w:val="0"/>
                    <w:jc w:val="center"/>
                    <w:rPr>
                      <w:rFonts w:hint="eastAsia"/>
                      <w:color w:val="auto"/>
                      <w:sz w:val="20"/>
                      <w:szCs w:val="20"/>
                      <w:lang w:val="en-US" w:eastAsia="zh-CN"/>
                    </w:rPr>
                  </w:pPr>
                  <w:r>
                    <w:rPr>
                      <w:rFonts w:hint="eastAsia"/>
                      <w:color w:val="auto"/>
                      <w:sz w:val="20"/>
                      <w:szCs w:val="20"/>
                      <w:lang w:val="en-US" w:eastAsia="zh-CN"/>
                    </w:rPr>
                    <w:t>非渗水型面层</w:t>
                  </w:r>
                </w:p>
              </w:tc>
              <w:tc>
                <w:tcPr>
                  <w:tcW w:w="3444" w:type="dxa"/>
                  <w:noWrap w:val="0"/>
                  <w:vAlign w:val="center"/>
                </w:tcPr>
                <w:p w14:paraId="29D93048">
                  <w:pPr>
                    <w:bidi w:val="0"/>
                    <w:jc w:val="center"/>
                    <w:rPr>
                      <w:rFonts w:hint="eastAsia"/>
                      <w:color w:val="auto"/>
                      <w:sz w:val="20"/>
                      <w:szCs w:val="20"/>
                      <w:lang w:val="en-US"/>
                    </w:rPr>
                  </w:pPr>
                  <w:r>
                    <w:rPr>
                      <w:rFonts w:hint="eastAsia"/>
                      <w:color w:val="auto"/>
                      <w:sz w:val="20"/>
                      <w:szCs w:val="20"/>
                      <w:lang w:val="en-US" w:eastAsia="zh-CN"/>
                    </w:rPr>
                    <w:t>≥0.5</w:t>
                  </w:r>
                </w:p>
              </w:tc>
            </w:tr>
            <w:tr w14:paraId="7D34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3895" w:type="dxa"/>
                  <w:gridSpan w:val="2"/>
                  <w:noWrap w:val="0"/>
                  <w:vAlign w:val="center"/>
                </w:tcPr>
                <w:p w14:paraId="153D1758">
                  <w:pPr>
                    <w:bidi w:val="0"/>
                    <w:jc w:val="center"/>
                    <w:rPr>
                      <w:rFonts w:hint="eastAsia"/>
                      <w:color w:val="auto"/>
                      <w:sz w:val="20"/>
                      <w:szCs w:val="20"/>
                      <w:lang w:val="en-US"/>
                    </w:rPr>
                  </w:pPr>
                  <w:r>
                    <w:rPr>
                      <w:rFonts w:hint="eastAsia"/>
                      <w:color w:val="auto"/>
                      <w:sz w:val="20"/>
                      <w:szCs w:val="20"/>
                      <w:lang w:val="en-US" w:eastAsia="zh-CN"/>
                    </w:rPr>
                    <w:t>拉断伸长率/%</w:t>
                  </w:r>
                </w:p>
              </w:tc>
              <w:tc>
                <w:tcPr>
                  <w:tcW w:w="3444" w:type="dxa"/>
                  <w:noWrap w:val="0"/>
                  <w:vAlign w:val="center"/>
                </w:tcPr>
                <w:p w14:paraId="7362E558">
                  <w:pPr>
                    <w:bidi w:val="0"/>
                    <w:jc w:val="center"/>
                    <w:rPr>
                      <w:rFonts w:hint="eastAsia"/>
                      <w:color w:val="auto"/>
                      <w:sz w:val="20"/>
                      <w:szCs w:val="20"/>
                      <w:lang w:val="en-US"/>
                    </w:rPr>
                  </w:pPr>
                  <w:r>
                    <w:rPr>
                      <w:rFonts w:hint="eastAsia"/>
                      <w:color w:val="auto"/>
                      <w:sz w:val="20"/>
                      <w:szCs w:val="20"/>
                      <w:lang w:val="en-US" w:eastAsia="zh-CN"/>
                    </w:rPr>
                    <w:t>≥40</w:t>
                  </w:r>
                </w:p>
              </w:tc>
            </w:tr>
            <w:tr w14:paraId="1D8A6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95" w:type="dxa"/>
                  <w:gridSpan w:val="2"/>
                  <w:noWrap w:val="0"/>
                  <w:vAlign w:val="center"/>
                </w:tcPr>
                <w:p w14:paraId="5008FA56">
                  <w:pPr>
                    <w:bidi w:val="0"/>
                    <w:jc w:val="center"/>
                    <w:rPr>
                      <w:rFonts w:hint="eastAsia"/>
                      <w:color w:val="auto"/>
                      <w:sz w:val="20"/>
                      <w:szCs w:val="20"/>
                      <w:lang w:val="en-US" w:eastAsia="zh-CN"/>
                    </w:rPr>
                  </w:pPr>
                  <w:r>
                    <w:rPr>
                      <w:rFonts w:hint="eastAsia"/>
                      <w:color w:val="auto"/>
                      <w:sz w:val="20"/>
                      <w:szCs w:val="20"/>
                      <w:lang w:val="en-US" w:eastAsia="zh-CN"/>
                    </w:rPr>
                    <w:t>阻燃性能/级</w:t>
                  </w:r>
                </w:p>
              </w:tc>
              <w:tc>
                <w:tcPr>
                  <w:tcW w:w="3444" w:type="dxa"/>
                  <w:noWrap w:val="0"/>
                  <w:vAlign w:val="center"/>
                </w:tcPr>
                <w:p w14:paraId="5F8471D2">
                  <w:pPr>
                    <w:bidi w:val="0"/>
                    <w:jc w:val="center"/>
                    <w:rPr>
                      <w:rFonts w:hint="eastAsia"/>
                      <w:color w:val="auto"/>
                      <w:sz w:val="20"/>
                      <w:szCs w:val="20"/>
                      <w:lang w:val="en-US"/>
                    </w:rPr>
                  </w:pPr>
                  <w:r>
                    <w:rPr>
                      <w:rFonts w:hint="eastAsia"/>
                      <w:color w:val="auto"/>
                      <w:sz w:val="20"/>
                      <w:szCs w:val="20"/>
                      <w:lang w:val="en-US" w:eastAsia="zh-CN"/>
                    </w:rPr>
                    <w:t>I级</w:t>
                  </w:r>
                </w:p>
              </w:tc>
            </w:tr>
          </w:tbl>
          <w:p w14:paraId="1909B487">
            <w:pPr>
              <w:numPr>
                <w:ilvl w:val="0"/>
                <w:numId w:val="0"/>
              </w:numPr>
              <w:spacing w:line="360" w:lineRule="auto"/>
              <w:rPr>
                <w:rFonts w:hint="eastAsia"/>
                <w:color w:val="auto"/>
                <w:sz w:val="20"/>
                <w:szCs w:val="20"/>
              </w:rPr>
            </w:pPr>
            <w:r>
              <w:rPr>
                <w:rFonts w:hint="eastAsia" w:cs="Times New Roman"/>
                <w:color w:val="auto"/>
                <w:kern w:val="2"/>
                <w:sz w:val="20"/>
                <w:szCs w:val="20"/>
                <w:lang w:val="en-US" w:eastAsia="zh-CN" w:bidi="ar-SA"/>
              </w:rPr>
              <w:t>2.</w:t>
            </w:r>
            <w:r>
              <w:rPr>
                <w:rFonts w:hint="eastAsia"/>
                <w:color w:val="auto"/>
                <w:sz w:val="20"/>
                <w:szCs w:val="20"/>
              </w:rPr>
              <w:t>规格</w:t>
            </w:r>
            <w:r>
              <w:rPr>
                <w:rFonts w:hint="eastAsia"/>
                <w:color w:val="auto"/>
                <w:sz w:val="20"/>
                <w:szCs w:val="20"/>
                <w:lang w:val="en-US" w:eastAsia="zh-CN"/>
              </w:rPr>
              <w:t>要求：</w:t>
            </w:r>
          </w:p>
          <w:p w14:paraId="0E9C5243">
            <w:pPr>
              <w:pStyle w:val="6"/>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①</w:t>
            </w:r>
            <w:r>
              <w:rPr>
                <w:rFonts w:hint="eastAsia" w:ascii="宋体" w:hAnsi="宋体" w:eastAsia="宋体" w:cs="宋体"/>
                <w:color w:val="auto"/>
                <w:sz w:val="20"/>
                <w:szCs w:val="20"/>
                <w:lang w:val="en-US" w:eastAsia="zh-CN"/>
              </w:rPr>
              <w:t>球场面层材料：硅PU球场面层，厚度8mm。</w:t>
            </w:r>
          </w:p>
          <w:p w14:paraId="2D1427B3">
            <w:pPr>
              <w:pStyle w:val="6"/>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②</w:t>
            </w:r>
            <w:r>
              <w:rPr>
                <w:rFonts w:hint="eastAsia" w:ascii="宋体" w:hAnsi="宋体" w:eastAsia="宋体" w:cs="宋体"/>
                <w:color w:val="auto"/>
                <w:sz w:val="20"/>
                <w:szCs w:val="20"/>
                <w:lang w:val="en-US" w:eastAsia="zh-CN"/>
              </w:rPr>
              <w:t>工艺：底涂层、弹性层、加强层、面漆。</w:t>
            </w:r>
          </w:p>
          <w:p w14:paraId="4FD9A50B">
            <w:pPr>
              <w:pStyle w:val="6"/>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③</w:t>
            </w:r>
            <w:r>
              <w:rPr>
                <w:rFonts w:hint="eastAsia" w:ascii="宋体" w:hAnsi="宋体" w:eastAsia="宋体" w:cs="宋体"/>
                <w:color w:val="auto"/>
                <w:sz w:val="20"/>
                <w:szCs w:val="20"/>
                <w:lang w:val="en-US" w:eastAsia="zh-CN"/>
              </w:rPr>
              <w:t>特性：原材料为桶装液态浆料，弹性层为有机硅改性聚氨酯结构，加强层为纯聚氨酯高强度结构，面漆层为双组份反应型丙烯酸类聚氨酯耐磨面层材质。</w:t>
            </w:r>
          </w:p>
          <w:p w14:paraId="2FFFE8DE">
            <w:pPr>
              <w:pStyle w:val="6"/>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④</w:t>
            </w:r>
            <w:r>
              <w:rPr>
                <w:rFonts w:hint="eastAsia" w:ascii="宋体" w:hAnsi="宋体" w:eastAsia="宋体" w:cs="宋体"/>
                <w:color w:val="auto"/>
                <w:sz w:val="20"/>
                <w:szCs w:val="20"/>
                <w:lang w:val="en-US" w:eastAsia="zh-CN"/>
              </w:rPr>
              <w:t>颜色：按照供应商提供的色卡选择，常用为天蓝色、红色、绿、灰等，色牢度符合相关标准。</w:t>
            </w:r>
          </w:p>
          <w:p w14:paraId="2EE339E2">
            <w:pPr>
              <w:pStyle w:val="6"/>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3.环保要求：符合新国标GB 36246-2018检测标准。</w:t>
            </w:r>
          </w:p>
          <w:p w14:paraId="0EC2293C">
            <w:pPr>
              <w:pStyle w:val="2"/>
              <w:spacing w:line="240" w:lineRule="auto"/>
              <w:rPr>
                <w:rFonts w:hint="eastAsia" w:ascii="宋体" w:hAnsi="宋体" w:eastAsia="宋体" w:cs="宋体"/>
                <w:color w:val="auto"/>
                <w:sz w:val="20"/>
                <w:szCs w:val="20"/>
                <w:u w:val="none"/>
                <w:lang w:val="en-US"/>
              </w:rPr>
            </w:pPr>
            <w:r>
              <w:rPr>
                <w:rFonts w:hint="eastAsia" w:ascii="宋体" w:hAnsi="宋体" w:eastAsia="宋体" w:cs="宋体"/>
                <w:color w:val="auto"/>
                <w:sz w:val="20"/>
                <w:szCs w:val="20"/>
                <w:u w:val="none"/>
                <w:lang w:val="en-US"/>
              </w:rPr>
              <w:t>合成材料面层成品中有害物质限量及气味</w:t>
            </w:r>
          </w:p>
          <w:tbl>
            <w:tblPr>
              <w:tblStyle w:val="3"/>
              <w:tblW w:w="7375" w:type="dxa"/>
              <w:tblInd w:w="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1"/>
              <w:gridCol w:w="2626"/>
              <w:gridCol w:w="2902"/>
              <w:gridCol w:w="1116"/>
            </w:tblGrid>
            <w:tr w14:paraId="6CF75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6259" w:type="dxa"/>
                  <w:gridSpan w:val="3"/>
                  <w:tcBorders>
                    <w:top w:val="single" w:color="000000" w:sz="4" w:space="0"/>
                    <w:left w:val="single" w:color="000000" w:sz="4" w:space="0"/>
                    <w:bottom w:val="single" w:color="000000" w:sz="4" w:space="0"/>
                    <w:right w:val="single" w:color="000000" w:sz="4" w:space="0"/>
                  </w:tcBorders>
                  <w:noWrap w:val="0"/>
                  <w:vAlign w:val="center"/>
                </w:tcPr>
                <w:p w14:paraId="049262E7">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项目</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5CC31F44">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要求</w:t>
                  </w:r>
                </w:p>
              </w:tc>
            </w:tr>
            <w:tr w14:paraId="1BD9C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731" w:type="dxa"/>
                  <w:vMerge w:val="restart"/>
                  <w:tcBorders>
                    <w:top w:val="single" w:color="000000" w:sz="4" w:space="0"/>
                    <w:left w:val="single" w:color="000000" w:sz="4" w:space="0"/>
                    <w:bottom w:val="single" w:color="000000" w:sz="4" w:space="0"/>
                    <w:right w:val="single" w:color="000000" w:sz="4" w:space="0"/>
                  </w:tcBorders>
                  <w:noWrap w:val="0"/>
                  <w:vAlign w:val="center"/>
                </w:tcPr>
                <w:p w14:paraId="2C2FE2E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rPr>
                  </w:pPr>
                </w:p>
                <w:p w14:paraId="4B255DD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有</w:t>
                  </w:r>
                </w:p>
                <w:p w14:paraId="4C1E598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害</w:t>
                  </w:r>
                </w:p>
                <w:p w14:paraId="7B49538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物</w:t>
                  </w:r>
                </w:p>
                <w:p w14:paraId="7B72ED0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质</w:t>
                  </w:r>
                </w:p>
                <w:p w14:paraId="433A54E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含</w:t>
                  </w:r>
                </w:p>
                <w:p w14:paraId="6767B8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量</w:t>
                  </w:r>
                </w:p>
              </w:tc>
              <w:tc>
                <w:tcPr>
                  <w:tcW w:w="5528" w:type="dxa"/>
                  <w:gridSpan w:val="2"/>
                  <w:tcBorders>
                    <w:top w:val="single" w:color="000000" w:sz="4" w:space="0"/>
                    <w:left w:val="single" w:color="000000" w:sz="4" w:space="0"/>
                    <w:bottom w:val="single" w:color="000000" w:sz="4" w:space="0"/>
                    <w:right w:val="single" w:color="000000" w:sz="4" w:space="0"/>
                  </w:tcBorders>
                  <w:noWrap w:val="0"/>
                  <w:vAlign w:val="center"/>
                </w:tcPr>
                <w:p w14:paraId="2E7CEC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3种邻苯二甲酸酯类（DBP、BBP、DEHP）总和</w:t>
                  </w:r>
                  <w:r>
                    <w:rPr>
                      <w:rStyle w:val="7"/>
                      <w:rFonts w:hint="eastAsia" w:ascii="宋体" w:hAnsi="宋体" w:eastAsia="宋体" w:cs="宋体"/>
                      <w:color w:val="auto"/>
                      <w:sz w:val="20"/>
                      <w:szCs w:val="20"/>
                      <w:highlight w:val="none"/>
                      <w:lang w:val="en-US" w:eastAsia="zh-CN"/>
                    </w:rPr>
                    <w:t>b</w:t>
                  </w:r>
                  <w:r>
                    <w:rPr>
                      <w:rFonts w:hint="eastAsia" w:ascii="宋体" w:hAnsi="宋体" w:eastAsia="宋体" w:cs="宋体"/>
                      <w:i w:val="0"/>
                      <w:iCs w:val="0"/>
                      <w:color w:val="auto"/>
                      <w:kern w:val="0"/>
                      <w:sz w:val="20"/>
                      <w:szCs w:val="20"/>
                      <w:highlight w:val="none"/>
                      <w:u w:val="none"/>
                      <w:lang w:val="en-US" w:eastAsia="zh-CN"/>
                    </w:rPr>
                    <w:t>/（g/kg）</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62D754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≤1.0</w:t>
                  </w:r>
                </w:p>
              </w:tc>
            </w:tr>
            <w:tr w14:paraId="42038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0E7AE8">
                  <w:pPr>
                    <w:jc w:val="center"/>
                    <w:rPr>
                      <w:rFonts w:hint="eastAsia" w:ascii="宋体" w:hAnsi="宋体" w:eastAsia="宋体" w:cs="宋体"/>
                      <w:i w:val="0"/>
                      <w:iCs w:val="0"/>
                      <w:color w:val="auto"/>
                      <w:sz w:val="20"/>
                      <w:szCs w:val="20"/>
                      <w:highlight w:val="none"/>
                      <w:u w:val="none"/>
                    </w:rPr>
                  </w:pPr>
                </w:p>
              </w:tc>
              <w:tc>
                <w:tcPr>
                  <w:tcW w:w="5528" w:type="dxa"/>
                  <w:gridSpan w:val="2"/>
                  <w:tcBorders>
                    <w:top w:val="single" w:color="000000" w:sz="4" w:space="0"/>
                    <w:left w:val="single" w:color="000000" w:sz="4" w:space="0"/>
                    <w:bottom w:val="single" w:color="000000" w:sz="4" w:space="0"/>
                    <w:right w:val="single" w:color="000000" w:sz="4" w:space="0"/>
                  </w:tcBorders>
                  <w:noWrap w:val="0"/>
                  <w:vAlign w:val="center"/>
                </w:tcPr>
                <w:p w14:paraId="69CD08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3种邻苯二甲酸酯类（DNOP、DINP、DIDP）总和</w:t>
                  </w:r>
                  <w:r>
                    <w:rPr>
                      <w:rStyle w:val="8"/>
                      <w:rFonts w:hint="eastAsia" w:ascii="宋体" w:hAnsi="宋体" w:eastAsia="宋体" w:cs="宋体"/>
                      <w:color w:val="auto"/>
                      <w:sz w:val="20"/>
                      <w:szCs w:val="20"/>
                      <w:highlight w:val="none"/>
                      <w:lang w:val="en-US" w:eastAsia="zh-CN"/>
                    </w:rPr>
                    <w:t>b</w:t>
                  </w:r>
                  <w:r>
                    <w:rPr>
                      <w:rFonts w:hint="eastAsia" w:ascii="宋体" w:hAnsi="宋体" w:eastAsia="宋体" w:cs="宋体"/>
                      <w:i w:val="0"/>
                      <w:iCs w:val="0"/>
                      <w:color w:val="auto"/>
                      <w:kern w:val="0"/>
                      <w:sz w:val="20"/>
                      <w:szCs w:val="20"/>
                      <w:highlight w:val="none"/>
                      <w:u w:val="none"/>
                      <w:lang w:val="en-US" w:eastAsia="zh-CN"/>
                    </w:rPr>
                    <w:t>/（g/kg）</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6BCE2E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≤1.0</w:t>
                  </w:r>
                </w:p>
              </w:tc>
            </w:tr>
            <w:tr w14:paraId="57FB4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B11481">
                  <w:pPr>
                    <w:jc w:val="center"/>
                    <w:rPr>
                      <w:rFonts w:hint="eastAsia" w:ascii="宋体" w:hAnsi="宋体" w:eastAsia="宋体" w:cs="宋体"/>
                      <w:i w:val="0"/>
                      <w:iCs w:val="0"/>
                      <w:color w:val="auto"/>
                      <w:sz w:val="20"/>
                      <w:szCs w:val="20"/>
                      <w:highlight w:val="none"/>
                      <w:u w:val="none"/>
                    </w:rPr>
                  </w:pPr>
                </w:p>
              </w:tc>
              <w:tc>
                <w:tcPr>
                  <w:tcW w:w="2626" w:type="dxa"/>
                  <w:vMerge w:val="restart"/>
                  <w:tcBorders>
                    <w:top w:val="single" w:color="000000" w:sz="4" w:space="0"/>
                    <w:left w:val="single" w:color="000000" w:sz="4" w:space="0"/>
                    <w:right w:val="single" w:color="000000" w:sz="4" w:space="0"/>
                  </w:tcBorders>
                  <w:noWrap w:val="0"/>
                  <w:vAlign w:val="center"/>
                </w:tcPr>
                <w:p w14:paraId="7249C6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18种多环芳烃总和/ (mg/kg)</w:t>
                  </w:r>
                </w:p>
              </w:tc>
              <w:tc>
                <w:tcPr>
                  <w:tcW w:w="2902" w:type="dxa"/>
                  <w:tcBorders>
                    <w:top w:val="single" w:color="000000" w:sz="4" w:space="0"/>
                    <w:left w:val="single" w:color="000000" w:sz="4" w:space="0"/>
                    <w:bottom w:val="single" w:color="000000" w:sz="4" w:space="0"/>
                    <w:right w:val="single" w:color="000000" w:sz="4" w:space="0"/>
                  </w:tcBorders>
                  <w:noWrap w:val="0"/>
                  <w:vAlign w:val="center"/>
                </w:tcPr>
                <w:p w14:paraId="740F103F">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整体</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43BC3C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≤50</w:t>
                  </w:r>
                </w:p>
              </w:tc>
            </w:tr>
            <w:tr w14:paraId="45032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5A5285">
                  <w:pPr>
                    <w:jc w:val="center"/>
                    <w:rPr>
                      <w:rFonts w:hint="eastAsia" w:ascii="宋体" w:hAnsi="宋体" w:eastAsia="宋体" w:cs="宋体"/>
                      <w:i w:val="0"/>
                      <w:iCs w:val="0"/>
                      <w:color w:val="auto"/>
                      <w:sz w:val="20"/>
                      <w:szCs w:val="20"/>
                      <w:highlight w:val="none"/>
                      <w:u w:val="none"/>
                    </w:rPr>
                  </w:pPr>
                </w:p>
              </w:tc>
              <w:tc>
                <w:tcPr>
                  <w:tcW w:w="2626" w:type="dxa"/>
                  <w:vMerge w:val="continue"/>
                  <w:tcBorders>
                    <w:left w:val="single" w:color="000000" w:sz="4" w:space="0"/>
                    <w:bottom w:val="single" w:color="000000" w:sz="4" w:space="0"/>
                    <w:right w:val="single" w:color="000000" w:sz="4" w:space="0"/>
                  </w:tcBorders>
                  <w:noWrap w:val="0"/>
                  <w:vAlign w:val="center"/>
                </w:tcPr>
                <w:p w14:paraId="344C11F6">
                  <w:pPr>
                    <w:jc w:val="center"/>
                    <w:rPr>
                      <w:rFonts w:hint="eastAsia" w:ascii="宋体" w:hAnsi="宋体" w:eastAsia="宋体" w:cs="宋体"/>
                      <w:i w:val="0"/>
                      <w:iCs w:val="0"/>
                      <w:color w:val="auto"/>
                      <w:sz w:val="20"/>
                      <w:szCs w:val="20"/>
                      <w:highlight w:val="none"/>
                      <w:u w:val="none"/>
                    </w:rPr>
                  </w:pPr>
                </w:p>
              </w:tc>
              <w:tc>
                <w:tcPr>
                  <w:tcW w:w="2902" w:type="dxa"/>
                  <w:tcBorders>
                    <w:top w:val="single" w:color="000000" w:sz="4" w:space="0"/>
                    <w:left w:val="single" w:color="000000" w:sz="4" w:space="0"/>
                    <w:bottom w:val="single" w:color="000000" w:sz="4" w:space="0"/>
                    <w:right w:val="single" w:color="000000" w:sz="4" w:space="0"/>
                  </w:tcBorders>
                  <w:noWrap w:val="0"/>
                  <w:vAlign w:val="center"/>
                </w:tcPr>
                <w:p w14:paraId="54348F6E">
                  <w:pPr>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rPr>
                    <w:t>距上表面 5mm 以内</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6463C5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≤20</w:t>
                  </w:r>
                </w:p>
              </w:tc>
            </w:tr>
            <w:tr w14:paraId="4FC89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AA0EAB">
                  <w:pPr>
                    <w:jc w:val="center"/>
                    <w:rPr>
                      <w:rFonts w:hint="eastAsia" w:ascii="宋体" w:hAnsi="宋体" w:eastAsia="宋体" w:cs="宋体"/>
                      <w:i w:val="0"/>
                      <w:iCs w:val="0"/>
                      <w:color w:val="auto"/>
                      <w:sz w:val="20"/>
                      <w:szCs w:val="20"/>
                      <w:highlight w:val="none"/>
                      <w:u w:val="none"/>
                    </w:rPr>
                  </w:pPr>
                </w:p>
              </w:tc>
              <w:tc>
                <w:tcPr>
                  <w:tcW w:w="5528" w:type="dxa"/>
                  <w:gridSpan w:val="2"/>
                  <w:tcBorders>
                    <w:top w:val="single" w:color="000000" w:sz="4" w:space="0"/>
                    <w:left w:val="single" w:color="000000" w:sz="4" w:space="0"/>
                    <w:bottom w:val="single" w:color="000000" w:sz="4" w:space="0"/>
                    <w:right w:val="single" w:color="000000" w:sz="4" w:space="0"/>
                  </w:tcBorders>
                  <w:noWrap w:val="0"/>
                  <w:vAlign w:val="center"/>
                </w:tcPr>
                <w:p w14:paraId="013376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苯并[a]芘(mg/kg)</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5C631D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≤1.0</w:t>
                  </w:r>
                </w:p>
              </w:tc>
            </w:tr>
            <w:tr w14:paraId="3CF65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CA0C91">
                  <w:pPr>
                    <w:jc w:val="center"/>
                    <w:rPr>
                      <w:rFonts w:hint="eastAsia" w:ascii="宋体" w:hAnsi="宋体" w:eastAsia="宋体" w:cs="宋体"/>
                      <w:i w:val="0"/>
                      <w:iCs w:val="0"/>
                      <w:color w:val="auto"/>
                      <w:sz w:val="20"/>
                      <w:szCs w:val="20"/>
                      <w:highlight w:val="none"/>
                      <w:u w:val="none"/>
                    </w:rPr>
                  </w:pPr>
                </w:p>
              </w:tc>
              <w:tc>
                <w:tcPr>
                  <w:tcW w:w="5528" w:type="dxa"/>
                  <w:gridSpan w:val="2"/>
                  <w:tcBorders>
                    <w:top w:val="single" w:color="000000" w:sz="4" w:space="0"/>
                    <w:left w:val="single" w:color="000000" w:sz="4" w:space="0"/>
                    <w:bottom w:val="single" w:color="000000" w:sz="4" w:space="0"/>
                    <w:right w:val="single" w:color="000000" w:sz="4" w:space="0"/>
                  </w:tcBorders>
                  <w:noWrap w:val="0"/>
                  <w:vAlign w:val="center"/>
                </w:tcPr>
                <w:p w14:paraId="20AEE0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短链氯化石蜡（C</w:t>
                  </w:r>
                  <w:r>
                    <w:rPr>
                      <w:rStyle w:val="9"/>
                      <w:rFonts w:hint="eastAsia" w:ascii="宋体" w:hAnsi="宋体" w:eastAsia="宋体" w:cs="宋体"/>
                      <w:color w:val="auto"/>
                      <w:sz w:val="20"/>
                      <w:szCs w:val="20"/>
                      <w:highlight w:val="none"/>
                      <w:lang w:val="en-US" w:eastAsia="zh-CN"/>
                    </w:rPr>
                    <w:t>10</w:t>
                  </w:r>
                  <w:r>
                    <w:rPr>
                      <w:rFonts w:hint="eastAsia" w:ascii="宋体" w:hAnsi="宋体" w:eastAsia="宋体" w:cs="宋体"/>
                      <w:i w:val="0"/>
                      <w:iCs w:val="0"/>
                      <w:color w:val="auto"/>
                      <w:kern w:val="0"/>
                      <w:sz w:val="20"/>
                      <w:szCs w:val="20"/>
                      <w:highlight w:val="none"/>
                      <w:u w:val="none"/>
                      <w:lang w:val="en-US" w:eastAsia="zh-CN"/>
                    </w:rPr>
                    <w:t>-C</w:t>
                  </w:r>
                  <w:r>
                    <w:rPr>
                      <w:rStyle w:val="9"/>
                      <w:rFonts w:hint="eastAsia" w:ascii="宋体" w:hAnsi="宋体" w:eastAsia="宋体" w:cs="宋体"/>
                      <w:color w:val="auto"/>
                      <w:sz w:val="20"/>
                      <w:szCs w:val="20"/>
                      <w:highlight w:val="none"/>
                      <w:lang w:val="en-US" w:eastAsia="zh-CN"/>
                    </w:rPr>
                    <w:t>13</w:t>
                  </w:r>
                  <w:r>
                    <w:rPr>
                      <w:rFonts w:hint="eastAsia" w:ascii="宋体" w:hAnsi="宋体" w:eastAsia="宋体" w:cs="宋体"/>
                      <w:i w:val="0"/>
                      <w:iCs w:val="0"/>
                      <w:color w:val="auto"/>
                      <w:kern w:val="0"/>
                      <w:sz w:val="20"/>
                      <w:szCs w:val="20"/>
                      <w:highlight w:val="none"/>
                      <w:u w:val="none"/>
                      <w:lang w:val="en-US" w:eastAsia="zh-CN"/>
                    </w:rPr>
                    <w:t>）/（g/kg）</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1B74B8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≤0.1</w:t>
                  </w:r>
                </w:p>
              </w:tc>
            </w:tr>
            <w:tr w14:paraId="7C38C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C33F84">
                  <w:pPr>
                    <w:jc w:val="center"/>
                    <w:rPr>
                      <w:rFonts w:hint="eastAsia" w:ascii="宋体" w:hAnsi="宋体" w:eastAsia="宋体" w:cs="宋体"/>
                      <w:i w:val="0"/>
                      <w:iCs w:val="0"/>
                      <w:color w:val="auto"/>
                      <w:sz w:val="20"/>
                      <w:szCs w:val="20"/>
                      <w:highlight w:val="none"/>
                      <w:u w:val="none"/>
                    </w:rPr>
                  </w:pPr>
                </w:p>
              </w:tc>
              <w:tc>
                <w:tcPr>
                  <w:tcW w:w="5528" w:type="dxa"/>
                  <w:gridSpan w:val="2"/>
                  <w:tcBorders>
                    <w:top w:val="single" w:color="000000" w:sz="4" w:space="0"/>
                    <w:left w:val="single" w:color="000000" w:sz="4" w:space="0"/>
                    <w:bottom w:val="single" w:color="000000" w:sz="4" w:space="0"/>
                    <w:right w:val="single" w:color="000000" w:sz="4" w:space="0"/>
                  </w:tcBorders>
                  <w:noWrap w:val="0"/>
                  <w:vAlign w:val="center"/>
                </w:tcPr>
                <w:p w14:paraId="61FBFE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4,4'-二氨基-3，3'-二氯二苯甲烷（MOCA）/（g/kg）</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17E394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≤0.5</w:t>
                  </w:r>
                </w:p>
              </w:tc>
            </w:tr>
            <w:tr w14:paraId="327FC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579572">
                  <w:pPr>
                    <w:jc w:val="center"/>
                    <w:rPr>
                      <w:rFonts w:hint="eastAsia" w:ascii="宋体" w:hAnsi="宋体" w:eastAsia="宋体" w:cs="宋体"/>
                      <w:i w:val="0"/>
                      <w:iCs w:val="0"/>
                      <w:color w:val="auto"/>
                      <w:sz w:val="20"/>
                      <w:szCs w:val="20"/>
                      <w:highlight w:val="none"/>
                      <w:u w:val="none"/>
                    </w:rPr>
                  </w:pPr>
                </w:p>
              </w:tc>
              <w:tc>
                <w:tcPr>
                  <w:tcW w:w="5528" w:type="dxa"/>
                  <w:gridSpan w:val="2"/>
                  <w:tcBorders>
                    <w:top w:val="single" w:color="000000" w:sz="4" w:space="0"/>
                    <w:left w:val="single" w:color="000000" w:sz="4" w:space="0"/>
                    <w:bottom w:val="single" w:color="000000" w:sz="4" w:space="0"/>
                    <w:right w:val="single" w:color="000000" w:sz="4" w:space="0"/>
                  </w:tcBorders>
                  <w:noWrap w:val="0"/>
                  <w:vAlign w:val="center"/>
                </w:tcPr>
                <w:p w14:paraId="44ED377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游离甲苯二异氰酸酯（TDI）和游离六亚甲基二异氰酸酯（HDI）总和/（g/kg）</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43CF09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≤0.2</w:t>
                  </w:r>
                </w:p>
              </w:tc>
            </w:tr>
            <w:tr w14:paraId="68424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F4F46C">
                  <w:pPr>
                    <w:jc w:val="center"/>
                    <w:rPr>
                      <w:rFonts w:hint="eastAsia" w:ascii="宋体" w:hAnsi="宋体" w:eastAsia="宋体" w:cs="宋体"/>
                      <w:i w:val="0"/>
                      <w:iCs w:val="0"/>
                      <w:color w:val="auto"/>
                      <w:sz w:val="20"/>
                      <w:szCs w:val="20"/>
                      <w:highlight w:val="none"/>
                      <w:u w:val="none"/>
                    </w:rPr>
                  </w:pPr>
                </w:p>
              </w:tc>
              <w:tc>
                <w:tcPr>
                  <w:tcW w:w="5528" w:type="dxa"/>
                  <w:gridSpan w:val="2"/>
                  <w:tcBorders>
                    <w:top w:val="single" w:color="000000" w:sz="4" w:space="0"/>
                    <w:left w:val="single" w:color="000000" w:sz="4" w:space="0"/>
                    <w:bottom w:val="single" w:color="000000" w:sz="4" w:space="0"/>
                    <w:right w:val="single" w:color="000000" w:sz="4" w:space="0"/>
                  </w:tcBorders>
                  <w:noWrap w:val="0"/>
                  <w:vAlign w:val="center"/>
                </w:tcPr>
                <w:p w14:paraId="4BDBD2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游离二苯基甲烷二异氰酸酯（MDI）/（g/kg）</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6DD620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≤1.0</w:t>
                  </w:r>
                </w:p>
              </w:tc>
            </w:tr>
            <w:tr w14:paraId="6D261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302329">
                  <w:pPr>
                    <w:jc w:val="center"/>
                    <w:rPr>
                      <w:rFonts w:hint="eastAsia" w:ascii="宋体" w:hAnsi="宋体" w:eastAsia="宋体" w:cs="宋体"/>
                      <w:i w:val="0"/>
                      <w:iCs w:val="0"/>
                      <w:color w:val="auto"/>
                      <w:sz w:val="20"/>
                      <w:szCs w:val="20"/>
                      <w:highlight w:val="none"/>
                      <w:u w:val="none"/>
                    </w:rPr>
                  </w:pPr>
                </w:p>
              </w:tc>
              <w:tc>
                <w:tcPr>
                  <w:tcW w:w="5528" w:type="dxa"/>
                  <w:gridSpan w:val="2"/>
                  <w:tcBorders>
                    <w:top w:val="single" w:color="000000" w:sz="4" w:space="0"/>
                    <w:left w:val="single" w:color="000000" w:sz="4" w:space="0"/>
                    <w:bottom w:val="single" w:color="000000" w:sz="4" w:space="0"/>
                    <w:right w:val="single" w:color="000000" w:sz="4" w:space="0"/>
                  </w:tcBorders>
                  <w:noWrap w:val="0"/>
                  <w:vAlign w:val="center"/>
                </w:tcPr>
                <w:p w14:paraId="46D2FA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可溶性铅 /(mg/kg)</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2F256E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≤50</w:t>
                  </w:r>
                </w:p>
              </w:tc>
            </w:tr>
            <w:tr w14:paraId="3A556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DE9C49">
                  <w:pPr>
                    <w:jc w:val="center"/>
                    <w:rPr>
                      <w:rFonts w:hint="eastAsia" w:ascii="宋体" w:hAnsi="宋体" w:eastAsia="宋体" w:cs="宋体"/>
                      <w:i w:val="0"/>
                      <w:iCs w:val="0"/>
                      <w:color w:val="auto"/>
                      <w:sz w:val="20"/>
                      <w:szCs w:val="20"/>
                      <w:highlight w:val="none"/>
                      <w:u w:val="none"/>
                    </w:rPr>
                  </w:pPr>
                </w:p>
              </w:tc>
              <w:tc>
                <w:tcPr>
                  <w:tcW w:w="5528" w:type="dxa"/>
                  <w:gridSpan w:val="2"/>
                  <w:tcBorders>
                    <w:top w:val="single" w:color="000000" w:sz="4" w:space="0"/>
                    <w:left w:val="single" w:color="000000" w:sz="4" w:space="0"/>
                    <w:bottom w:val="single" w:color="000000" w:sz="4" w:space="0"/>
                    <w:right w:val="single" w:color="000000" w:sz="4" w:space="0"/>
                  </w:tcBorders>
                  <w:noWrap w:val="0"/>
                  <w:vAlign w:val="center"/>
                </w:tcPr>
                <w:p w14:paraId="175FA5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可溶性镉 /(mg/kg)</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75F2AC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≤10</w:t>
                  </w:r>
                </w:p>
              </w:tc>
            </w:tr>
            <w:tr w14:paraId="54E4A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958E17">
                  <w:pPr>
                    <w:jc w:val="center"/>
                    <w:rPr>
                      <w:rFonts w:hint="eastAsia" w:ascii="宋体" w:hAnsi="宋体" w:eastAsia="宋体" w:cs="宋体"/>
                      <w:i w:val="0"/>
                      <w:iCs w:val="0"/>
                      <w:color w:val="auto"/>
                      <w:sz w:val="20"/>
                      <w:szCs w:val="20"/>
                      <w:highlight w:val="none"/>
                      <w:u w:val="none"/>
                    </w:rPr>
                  </w:pPr>
                </w:p>
              </w:tc>
              <w:tc>
                <w:tcPr>
                  <w:tcW w:w="5528" w:type="dxa"/>
                  <w:gridSpan w:val="2"/>
                  <w:tcBorders>
                    <w:top w:val="single" w:color="000000" w:sz="4" w:space="0"/>
                    <w:left w:val="single" w:color="000000" w:sz="4" w:space="0"/>
                    <w:bottom w:val="single" w:color="000000" w:sz="4" w:space="0"/>
                    <w:right w:val="single" w:color="000000" w:sz="4" w:space="0"/>
                  </w:tcBorders>
                  <w:noWrap w:val="0"/>
                  <w:vAlign w:val="center"/>
                </w:tcPr>
                <w:p w14:paraId="2BBFD5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可溶性铬 /(mg/kg)</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79BFE3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≤10</w:t>
                  </w:r>
                </w:p>
              </w:tc>
            </w:tr>
            <w:tr w14:paraId="15963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63002E">
                  <w:pPr>
                    <w:jc w:val="center"/>
                    <w:rPr>
                      <w:rFonts w:hint="eastAsia" w:ascii="宋体" w:hAnsi="宋体" w:eastAsia="宋体" w:cs="宋体"/>
                      <w:i w:val="0"/>
                      <w:iCs w:val="0"/>
                      <w:color w:val="auto"/>
                      <w:sz w:val="20"/>
                      <w:szCs w:val="20"/>
                      <w:highlight w:val="none"/>
                      <w:u w:val="none"/>
                    </w:rPr>
                  </w:pPr>
                </w:p>
              </w:tc>
              <w:tc>
                <w:tcPr>
                  <w:tcW w:w="5528" w:type="dxa"/>
                  <w:gridSpan w:val="2"/>
                  <w:tcBorders>
                    <w:top w:val="single" w:color="000000" w:sz="4" w:space="0"/>
                    <w:left w:val="single" w:color="000000" w:sz="4" w:space="0"/>
                    <w:bottom w:val="single" w:color="000000" w:sz="4" w:space="0"/>
                    <w:right w:val="single" w:color="000000" w:sz="4" w:space="0"/>
                  </w:tcBorders>
                  <w:noWrap w:val="0"/>
                  <w:vAlign w:val="center"/>
                </w:tcPr>
                <w:p w14:paraId="07A477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可溶性汞 /(mg/kg)</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0333C5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≤2</w:t>
                  </w:r>
                </w:p>
              </w:tc>
            </w:tr>
            <w:tr w14:paraId="7C215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731" w:type="dxa"/>
                  <w:vMerge w:val="restart"/>
                  <w:tcBorders>
                    <w:top w:val="single" w:color="000000" w:sz="4" w:space="0"/>
                    <w:left w:val="single" w:color="000000" w:sz="4" w:space="0"/>
                    <w:bottom w:val="single" w:color="000000" w:sz="4" w:space="0"/>
                    <w:right w:val="single" w:color="000000" w:sz="4" w:space="0"/>
                  </w:tcBorders>
                  <w:noWrap w:val="0"/>
                  <w:vAlign w:val="center"/>
                </w:tcPr>
                <w:p w14:paraId="51F3B85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有</w:t>
                  </w:r>
                </w:p>
                <w:p w14:paraId="6E2F97C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害</w:t>
                  </w:r>
                </w:p>
                <w:p w14:paraId="1AF1A55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物</w:t>
                  </w:r>
                </w:p>
                <w:p w14:paraId="175E0F2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质</w:t>
                  </w:r>
                </w:p>
                <w:p w14:paraId="47EF781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释</w:t>
                  </w:r>
                </w:p>
                <w:p w14:paraId="107FF34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放</w:t>
                  </w:r>
                </w:p>
                <w:p w14:paraId="7F6858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量</w:t>
                  </w:r>
                </w:p>
              </w:tc>
              <w:tc>
                <w:tcPr>
                  <w:tcW w:w="5528" w:type="dxa"/>
                  <w:gridSpan w:val="2"/>
                  <w:tcBorders>
                    <w:top w:val="single" w:color="000000" w:sz="4" w:space="0"/>
                    <w:left w:val="single" w:color="000000" w:sz="4" w:space="0"/>
                    <w:bottom w:val="single" w:color="000000" w:sz="4" w:space="0"/>
                    <w:right w:val="single" w:color="000000" w:sz="4" w:space="0"/>
                  </w:tcBorders>
                  <w:noWrap w:val="0"/>
                  <w:vAlign w:val="center"/>
                </w:tcPr>
                <w:p w14:paraId="349CF9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总挥发性有机化合物（TVOC）/[mg/（㎡.h）]</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553945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≤5.0</w:t>
                  </w:r>
                </w:p>
              </w:tc>
            </w:tr>
            <w:tr w14:paraId="362A1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BE3D51">
                  <w:pPr>
                    <w:jc w:val="center"/>
                    <w:rPr>
                      <w:rFonts w:hint="eastAsia" w:ascii="宋体" w:hAnsi="宋体" w:eastAsia="宋体" w:cs="宋体"/>
                      <w:i w:val="0"/>
                      <w:iCs w:val="0"/>
                      <w:color w:val="auto"/>
                      <w:sz w:val="20"/>
                      <w:szCs w:val="20"/>
                      <w:highlight w:val="none"/>
                      <w:u w:val="none"/>
                    </w:rPr>
                  </w:pPr>
                </w:p>
              </w:tc>
              <w:tc>
                <w:tcPr>
                  <w:tcW w:w="5528" w:type="dxa"/>
                  <w:gridSpan w:val="2"/>
                  <w:tcBorders>
                    <w:top w:val="single" w:color="000000" w:sz="4" w:space="0"/>
                    <w:left w:val="single" w:color="000000" w:sz="4" w:space="0"/>
                    <w:bottom w:val="single" w:color="000000" w:sz="4" w:space="0"/>
                    <w:right w:val="single" w:color="000000" w:sz="4" w:space="0"/>
                  </w:tcBorders>
                  <w:noWrap w:val="0"/>
                  <w:vAlign w:val="center"/>
                </w:tcPr>
                <w:p w14:paraId="798004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甲醛/[mg/（㎡.h）]</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07DF93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≤0.4</w:t>
                  </w:r>
                </w:p>
              </w:tc>
            </w:tr>
            <w:tr w14:paraId="25A6D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8AA4AD">
                  <w:pPr>
                    <w:jc w:val="center"/>
                    <w:rPr>
                      <w:rFonts w:hint="eastAsia" w:ascii="宋体" w:hAnsi="宋体" w:eastAsia="宋体" w:cs="宋体"/>
                      <w:i w:val="0"/>
                      <w:iCs w:val="0"/>
                      <w:color w:val="auto"/>
                      <w:sz w:val="20"/>
                      <w:szCs w:val="20"/>
                      <w:highlight w:val="none"/>
                      <w:u w:val="none"/>
                    </w:rPr>
                  </w:pPr>
                </w:p>
              </w:tc>
              <w:tc>
                <w:tcPr>
                  <w:tcW w:w="5528" w:type="dxa"/>
                  <w:gridSpan w:val="2"/>
                  <w:tcBorders>
                    <w:top w:val="single" w:color="000000" w:sz="4" w:space="0"/>
                    <w:left w:val="single" w:color="000000" w:sz="4" w:space="0"/>
                    <w:bottom w:val="single" w:color="000000" w:sz="4" w:space="0"/>
                    <w:right w:val="single" w:color="000000" w:sz="4" w:space="0"/>
                  </w:tcBorders>
                  <w:noWrap w:val="0"/>
                  <w:vAlign w:val="center"/>
                </w:tcPr>
                <w:p w14:paraId="5434C8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苯/[mg/（㎡.h）]</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4F63CE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≤0.1</w:t>
                  </w:r>
                </w:p>
              </w:tc>
            </w:tr>
            <w:tr w14:paraId="681E5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BCBE9F">
                  <w:pPr>
                    <w:jc w:val="center"/>
                    <w:rPr>
                      <w:rFonts w:hint="eastAsia" w:ascii="宋体" w:hAnsi="宋体" w:eastAsia="宋体" w:cs="宋体"/>
                      <w:i w:val="0"/>
                      <w:iCs w:val="0"/>
                      <w:color w:val="auto"/>
                      <w:sz w:val="20"/>
                      <w:szCs w:val="20"/>
                      <w:highlight w:val="none"/>
                      <w:u w:val="none"/>
                    </w:rPr>
                  </w:pPr>
                </w:p>
              </w:tc>
              <w:tc>
                <w:tcPr>
                  <w:tcW w:w="5528" w:type="dxa"/>
                  <w:gridSpan w:val="2"/>
                  <w:tcBorders>
                    <w:top w:val="single" w:color="000000" w:sz="4" w:space="0"/>
                    <w:left w:val="single" w:color="000000" w:sz="4" w:space="0"/>
                    <w:bottom w:val="single" w:color="000000" w:sz="4" w:space="0"/>
                    <w:right w:val="single" w:color="000000" w:sz="4" w:space="0"/>
                  </w:tcBorders>
                  <w:noWrap w:val="0"/>
                  <w:vAlign w:val="center"/>
                </w:tcPr>
                <w:p w14:paraId="5BB09D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甲苯、二甲苯和乙苯总和/[mg/（㎡.h）]</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11B362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≤1.0</w:t>
                  </w:r>
                </w:p>
              </w:tc>
            </w:tr>
            <w:tr w14:paraId="3B8EC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BDFBC0">
                  <w:pPr>
                    <w:jc w:val="center"/>
                    <w:rPr>
                      <w:rFonts w:hint="eastAsia" w:ascii="宋体" w:hAnsi="宋体" w:eastAsia="宋体" w:cs="宋体"/>
                      <w:i w:val="0"/>
                      <w:iCs w:val="0"/>
                      <w:color w:val="auto"/>
                      <w:sz w:val="20"/>
                      <w:szCs w:val="20"/>
                      <w:highlight w:val="none"/>
                      <w:u w:val="none"/>
                    </w:rPr>
                  </w:pPr>
                </w:p>
              </w:tc>
              <w:tc>
                <w:tcPr>
                  <w:tcW w:w="5528" w:type="dxa"/>
                  <w:gridSpan w:val="2"/>
                  <w:tcBorders>
                    <w:top w:val="single" w:color="000000" w:sz="4" w:space="0"/>
                    <w:left w:val="single" w:color="000000" w:sz="4" w:space="0"/>
                    <w:bottom w:val="single" w:color="000000" w:sz="4" w:space="0"/>
                    <w:right w:val="single" w:color="000000" w:sz="4" w:space="0"/>
                  </w:tcBorders>
                  <w:noWrap w:val="0"/>
                  <w:vAlign w:val="center"/>
                </w:tcPr>
                <w:p w14:paraId="29D5CB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二硫化碳/[mg/（㎡.h）]</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46D451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≤7.0</w:t>
                  </w:r>
                </w:p>
              </w:tc>
            </w:tr>
            <w:tr w14:paraId="0D5C5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5024AA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气味</w:t>
                  </w:r>
                </w:p>
              </w:tc>
              <w:tc>
                <w:tcPr>
                  <w:tcW w:w="5528" w:type="dxa"/>
                  <w:gridSpan w:val="2"/>
                  <w:tcBorders>
                    <w:top w:val="single" w:color="000000" w:sz="4" w:space="0"/>
                    <w:left w:val="single" w:color="000000" w:sz="4" w:space="0"/>
                    <w:bottom w:val="single" w:color="000000" w:sz="4" w:space="0"/>
                    <w:right w:val="single" w:color="000000" w:sz="4" w:space="0"/>
                  </w:tcBorders>
                  <w:noWrap/>
                  <w:vAlign w:val="center"/>
                </w:tcPr>
                <w:p w14:paraId="592042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气味强度/级</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68E1E7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≤3</w:t>
                  </w:r>
                </w:p>
              </w:tc>
            </w:tr>
          </w:tbl>
          <w:p w14:paraId="55BD4814">
            <w:pPr>
              <w:pStyle w:val="2"/>
              <w:spacing w:line="240" w:lineRule="auto"/>
              <w:rPr>
                <w:rFonts w:hint="default" w:ascii="宋体" w:hAnsi="宋体" w:eastAsia="宋体" w:cs="宋体"/>
                <w:color w:val="auto"/>
                <w:sz w:val="20"/>
                <w:szCs w:val="20"/>
                <w:u w:val="none"/>
                <w:lang w:val="en-US"/>
              </w:rPr>
            </w:pPr>
            <w:r>
              <w:rPr>
                <w:rFonts w:hint="default" w:ascii="宋体" w:hAnsi="宋体" w:eastAsia="宋体" w:cs="宋体"/>
                <w:color w:val="auto"/>
                <w:sz w:val="20"/>
                <w:szCs w:val="20"/>
                <w:u w:val="none"/>
                <w:lang w:val="en-US"/>
              </w:rPr>
              <w:t>合成材料面层</w:t>
            </w:r>
            <w:r>
              <w:rPr>
                <w:rFonts w:hint="eastAsia" w:ascii="宋体" w:hAnsi="宋体" w:eastAsia="宋体" w:cs="宋体"/>
                <w:color w:val="auto"/>
                <w:sz w:val="20"/>
                <w:szCs w:val="20"/>
                <w:u w:val="none"/>
                <w:lang w:val="en-US" w:eastAsia="zh-CN"/>
              </w:rPr>
              <w:t>固体原料中</w:t>
            </w:r>
            <w:r>
              <w:rPr>
                <w:rFonts w:hint="default" w:ascii="宋体" w:hAnsi="宋体" w:eastAsia="宋体" w:cs="宋体"/>
                <w:color w:val="auto"/>
                <w:sz w:val="20"/>
                <w:szCs w:val="20"/>
                <w:u w:val="none"/>
                <w:lang w:val="en-US"/>
              </w:rPr>
              <w:t>有害物质限量及气味</w:t>
            </w:r>
          </w:p>
          <w:tbl>
            <w:tblPr>
              <w:tblStyle w:val="3"/>
              <w:tblW w:w="7379" w:type="dxa"/>
              <w:tblInd w:w="48" w:type="dxa"/>
              <w:tblLayout w:type="fixed"/>
              <w:tblCellMar>
                <w:top w:w="0" w:type="dxa"/>
                <w:left w:w="108" w:type="dxa"/>
                <w:bottom w:w="0" w:type="dxa"/>
                <w:right w:w="108" w:type="dxa"/>
              </w:tblCellMar>
            </w:tblPr>
            <w:tblGrid>
              <w:gridCol w:w="676"/>
              <w:gridCol w:w="5357"/>
              <w:gridCol w:w="1346"/>
            </w:tblGrid>
            <w:tr w14:paraId="2C1977F4">
              <w:tblPrEx>
                <w:tblCellMar>
                  <w:top w:w="0" w:type="dxa"/>
                  <w:left w:w="108" w:type="dxa"/>
                  <w:bottom w:w="0" w:type="dxa"/>
                  <w:right w:w="108" w:type="dxa"/>
                </w:tblCellMar>
              </w:tblPrEx>
              <w:trPr>
                <w:trHeight w:val="468" w:hRule="atLeast"/>
              </w:trPr>
              <w:tc>
                <w:tcPr>
                  <w:tcW w:w="6033" w:type="dxa"/>
                  <w:gridSpan w:val="2"/>
                  <w:tcBorders>
                    <w:top w:val="single" w:color="000000" w:sz="4" w:space="0"/>
                    <w:left w:val="single" w:color="000000" w:sz="4" w:space="0"/>
                    <w:bottom w:val="single" w:color="000000" w:sz="4" w:space="0"/>
                    <w:right w:val="single" w:color="000000" w:sz="4" w:space="0"/>
                  </w:tcBorders>
                  <w:noWrap w:val="0"/>
                  <w:vAlign w:val="center"/>
                </w:tcPr>
                <w:p w14:paraId="30F498E1">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检测项目</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14:paraId="2062D5F8">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限量值要求</w:t>
                  </w:r>
                </w:p>
              </w:tc>
            </w:tr>
            <w:tr w14:paraId="19B53737">
              <w:tblPrEx>
                <w:tblCellMar>
                  <w:top w:w="0" w:type="dxa"/>
                  <w:left w:w="108" w:type="dxa"/>
                  <w:bottom w:w="0" w:type="dxa"/>
                  <w:right w:w="108" w:type="dxa"/>
                </w:tblCellMar>
              </w:tblPrEx>
              <w:trPr>
                <w:trHeight w:val="380" w:hRule="atLeast"/>
              </w:trPr>
              <w:tc>
                <w:tcPr>
                  <w:tcW w:w="676" w:type="dxa"/>
                  <w:vMerge w:val="restart"/>
                  <w:tcBorders>
                    <w:top w:val="single" w:color="000000" w:sz="4" w:space="0"/>
                    <w:left w:val="single" w:color="000000" w:sz="4" w:space="0"/>
                    <w:right w:val="single" w:color="000000" w:sz="4" w:space="0"/>
                  </w:tcBorders>
                  <w:noWrap w:val="0"/>
                  <w:vAlign w:val="center"/>
                </w:tcPr>
                <w:p w14:paraId="4EB63ADF">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有</w:t>
                  </w:r>
                </w:p>
                <w:p w14:paraId="0E99513E">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害</w:t>
                  </w:r>
                </w:p>
                <w:p w14:paraId="4BBA6168">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物</w:t>
                  </w:r>
                </w:p>
                <w:p w14:paraId="08C4747B">
                  <w:pPr>
                    <w:jc w:val="center"/>
                    <w:rPr>
                      <w:rFonts w:hint="eastAsia"/>
                      <w:color w:val="auto"/>
                      <w:sz w:val="20"/>
                      <w:szCs w:val="20"/>
                      <w:lang w:val="en-US" w:eastAsia="zh-CN"/>
                    </w:rPr>
                  </w:pPr>
                  <w:r>
                    <w:rPr>
                      <w:rFonts w:hint="eastAsia" w:ascii="宋体" w:hAnsi="宋体" w:eastAsia="宋体" w:cs="宋体"/>
                      <w:color w:val="auto"/>
                      <w:sz w:val="20"/>
                      <w:szCs w:val="20"/>
                      <w:highlight w:val="none"/>
                      <w:lang w:val="en-US" w:eastAsia="zh-CN"/>
                    </w:rPr>
                    <w:t>质</w:t>
                  </w:r>
                </w:p>
                <w:p w14:paraId="0E2BA6B9">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含</w:t>
                  </w:r>
                </w:p>
                <w:p w14:paraId="71607985">
                  <w:pPr>
                    <w:jc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量</w:t>
                  </w:r>
                </w:p>
              </w:tc>
              <w:tc>
                <w:tcPr>
                  <w:tcW w:w="5357" w:type="dxa"/>
                  <w:tcBorders>
                    <w:top w:val="single" w:color="000000" w:sz="4" w:space="0"/>
                    <w:left w:val="single" w:color="000000" w:sz="4" w:space="0"/>
                    <w:bottom w:val="single" w:color="000000" w:sz="4" w:space="0"/>
                    <w:right w:val="single" w:color="000000" w:sz="4" w:space="0"/>
                  </w:tcBorders>
                  <w:noWrap w:val="0"/>
                  <w:vAlign w:val="center"/>
                </w:tcPr>
                <w:p w14:paraId="6A07528D">
                  <w:pP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18种多环芳烃总和</w:t>
                  </w:r>
                  <w:r>
                    <w:rPr>
                      <w:rFonts w:hint="eastAsia" w:ascii="宋体" w:hAnsi="宋体" w:eastAsia="宋体" w:cs="宋体"/>
                      <w:color w:val="auto"/>
                      <w:sz w:val="20"/>
                      <w:szCs w:val="20"/>
                      <w:highlight w:val="none"/>
                      <w:vertAlign w:val="superscript"/>
                      <w:lang w:val="en-US" w:eastAsia="zh-CN"/>
                    </w:rPr>
                    <w:t>a/</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m</w:t>
                  </w:r>
                  <w:r>
                    <w:rPr>
                      <w:rFonts w:hint="eastAsia" w:ascii="宋体" w:hAnsi="宋体" w:eastAsia="宋体" w:cs="宋体"/>
                      <w:color w:val="auto"/>
                      <w:sz w:val="20"/>
                      <w:szCs w:val="20"/>
                      <w:highlight w:val="none"/>
                    </w:rPr>
                    <w:t>g/kg）</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14:paraId="12962B73">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≤50</w:t>
                  </w:r>
                </w:p>
              </w:tc>
            </w:tr>
            <w:tr w14:paraId="7F13A636">
              <w:tblPrEx>
                <w:tblCellMar>
                  <w:top w:w="0" w:type="dxa"/>
                  <w:left w:w="108" w:type="dxa"/>
                  <w:bottom w:w="0" w:type="dxa"/>
                  <w:right w:w="108" w:type="dxa"/>
                </w:tblCellMar>
              </w:tblPrEx>
              <w:trPr>
                <w:trHeight w:val="443" w:hRule="atLeast"/>
              </w:trPr>
              <w:tc>
                <w:tcPr>
                  <w:tcW w:w="676" w:type="dxa"/>
                  <w:vMerge w:val="continue"/>
                  <w:tcBorders>
                    <w:left w:val="single" w:color="000000" w:sz="4" w:space="0"/>
                    <w:right w:val="single" w:color="000000" w:sz="4" w:space="0"/>
                  </w:tcBorders>
                  <w:noWrap w:val="0"/>
                  <w:vAlign w:val="center"/>
                </w:tcPr>
                <w:p w14:paraId="070CDED5">
                  <w:pPr>
                    <w:jc w:val="center"/>
                    <w:rPr>
                      <w:rFonts w:hint="default" w:ascii="宋体" w:hAnsi="宋体" w:eastAsia="宋体" w:cs="宋体"/>
                      <w:color w:val="auto"/>
                      <w:sz w:val="20"/>
                      <w:szCs w:val="20"/>
                      <w:highlight w:val="none"/>
                      <w:lang w:val="en-US" w:eastAsia="zh-CN"/>
                    </w:rPr>
                  </w:pPr>
                </w:p>
              </w:tc>
              <w:tc>
                <w:tcPr>
                  <w:tcW w:w="5357" w:type="dxa"/>
                  <w:tcBorders>
                    <w:top w:val="single" w:color="000000" w:sz="4" w:space="0"/>
                    <w:left w:val="single" w:color="000000" w:sz="4" w:space="0"/>
                    <w:bottom w:val="single" w:color="000000" w:sz="4" w:space="0"/>
                    <w:right w:val="single" w:color="000000" w:sz="4" w:space="0"/>
                  </w:tcBorders>
                  <w:noWrap w:val="0"/>
                  <w:vAlign w:val="center"/>
                </w:tcPr>
                <w:p w14:paraId="74C29237">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苯并[a]芘/(mg/kg)</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14:paraId="797F1FA6">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w:t>
                  </w:r>
                </w:p>
              </w:tc>
            </w:tr>
            <w:tr w14:paraId="6D3865FA">
              <w:tblPrEx>
                <w:tblCellMar>
                  <w:top w:w="0" w:type="dxa"/>
                  <w:left w:w="108" w:type="dxa"/>
                  <w:bottom w:w="0" w:type="dxa"/>
                  <w:right w:w="108" w:type="dxa"/>
                </w:tblCellMar>
              </w:tblPrEx>
              <w:trPr>
                <w:trHeight w:val="443" w:hRule="atLeast"/>
              </w:trPr>
              <w:tc>
                <w:tcPr>
                  <w:tcW w:w="676" w:type="dxa"/>
                  <w:vMerge w:val="continue"/>
                  <w:tcBorders>
                    <w:left w:val="single" w:color="000000" w:sz="4" w:space="0"/>
                    <w:right w:val="single" w:color="000000" w:sz="4" w:space="0"/>
                  </w:tcBorders>
                  <w:noWrap w:val="0"/>
                  <w:vAlign w:val="center"/>
                </w:tcPr>
                <w:p w14:paraId="5D0C59FB">
                  <w:pPr>
                    <w:jc w:val="center"/>
                    <w:rPr>
                      <w:rFonts w:hint="eastAsia" w:ascii="宋体" w:hAnsi="宋体" w:eastAsia="宋体" w:cs="宋体"/>
                      <w:color w:val="auto"/>
                      <w:sz w:val="20"/>
                      <w:szCs w:val="20"/>
                      <w:highlight w:val="none"/>
                    </w:rPr>
                  </w:pPr>
                </w:p>
              </w:tc>
              <w:tc>
                <w:tcPr>
                  <w:tcW w:w="5357" w:type="dxa"/>
                  <w:tcBorders>
                    <w:top w:val="single" w:color="000000" w:sz="4" w:space="0"/>
                    <w:left w:val="single" w:color="000000" w:sz="4" w:space="0"/>
                    <w:bottom w:val="single" w:color="000000" w:sz="4" w:space="0"/>
                    <w:right w:val="single" w:color="000000" w:sz="4" w:space="0"/>
                  </w:tcBorders>
                  <w:noWrap w:val="0"/>
                  <w:vAlign w:val="center"/>
                </w:tcPr>
                <w:p w14:paraId="725E60BC">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可溶性铅 /(mg/kg)</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14:paraId="53534EFB">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≤50</w:t>
                  </w:r>
                </w:p>
              </w:tc>
            </w:tr>
            <w:tr w14:paraId="06EFDE7B">
              <w:tblPrEx>
                <w:tblCellMar>
                  <w:top w:w="0" w:type="dxa"/>
                  <w:left w:w="108" w:type="dxa"/>
                  <w:bottom w:w="0" w:type="dxa"/>
                  <w:right w:w="108" w:type="dxa"/>
                </w:tblCellMar>
              </w:tblPrEx>
              <w:trPr>
                <w:trHeight w:val="403" w:hRule="atLeast"/>
              </w:trPr>
              <w:tc>
                <w:tcPr>
                  <w:tcW w:w="676" w:type="dxa"/>
                  <w:vMerge w:val="continue"/>
                  <w:tcBorders>
                    <w:left w:val="single" w:color="000000" w:sz="4" w:space="0"/>
                    <w:right w:val="single" w:color="000000" w:sz="4" w:space="0"/>
                  </w:tcBorders>
                  <w:noWrap w:val="0"/>
                  <w:vAlign w:val="center"/>
                </w:tcPr>
                <w:p w14:paraId="19F18602">
                  <w:pPr>
                    <w:jc w:val="center"/>
                    <w:rPr>
                      <w:rFonts w:hint="eastAsia" w:ascii="宋体" w:hAnsi="宋体" w:eastAsia="宋体" w:cs="宋体"/>
                      <w:color w:val="auto"/>
                      <w:sz w:val="20"/>
                      <w:szCs w:val="20"/>
                      <w:highlight w:val="none"/>
                    </w:rPr>
                  </w:pPr>
                </w:p>
              </w:tc>
              <w:tc>
                <w:tcPr>
                  <w:tcW w:w="5357" w:type="dxa"/>
                  <w:tcBorders>
                    <w:top w:val="single" w:color="000000" w:sz="4" w:space="0"/>
                    <w:left w:val="single" w:color="000000" w:sz="4" w:space="0"/>
                    <w:bottom w:val="single" w:color="000000" w:sz="4" w:space="0"/>
                    <w:right w:val="single" w:color="000000" w:sz="4" w:space="0"/>
                  </w:tcBorders>
                  <w:noWrap w:val="0"/>
                  <w:vAlign w:val="center"/>
                </w:tcPr>
                <w:p w14:paraId="0F9FCD34">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可溶性镉 /(mg/kg)</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14:paraId="5EDE2F6D">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w:t>
                  </w:r>
                </w:p>
              </w:tc>
            </w:tr>
            <w:tr w14:paraId="5B0AD19D">
              <w:tblPrEx>
                <w:tblCellMar>
                  <w:top w:w="0" w:type="dxa"/>
                  <w:left w:w="108" w:type="dxa"/>
                  <w:bottom w:w="0" w:type="dxa"/>
                  <w:right w:w="108" w:type="dxa"/>
                </w:tblCellMar>
              </w:tblPrEx>
              <w:trPr>
                <w:trHeight w:val="415" w:hRule="atLeast"/>
              </w:trPr>
              <w:tc>
                <w:tcPr>
                  <w:tcW w:w="676" w:type="dxa"/>
                  <w:vMerge w:val="continue"/>
                  <w:tcBorders>
                    <w:left w:val="single" w:color="000000" w:sz="4" w:space="0"/>
                    <w:right w:val="single" w:color="000000" w:sz="4" w:space="0"/>
                  </w:tcBorders>
                  <w:noWrap w:val="0"/>
                  <w:vAlign w:val="center"/>
                </w:tcPr>
                <w:p w14:paraId="119387F9">
                  <w:pPr>
                    <w:jc w:val="center"/>
                    <w:rPr>
                      <w:rFonts w:hint="eastAsia" w:ascii="宋体" w:hAnsi="宋体" w:eastAsia="宋体" w:cs="宋体"/>
                      <w:color w:val="auto"/>
                      <w:sz w:val="20"/>
                      <w:szCs w:val="20"/>
                      <w:highlight w:val="none"/>
                    </w:rPr>
                  </w:pPr>
                </w:p>
              </w:tc>
              <w:tc>
                <w:tcPr>
                  <w:tcW w:w="5357" w:type="dxa"/>
                  <w:tcBorders>
                    <w:top w:val="single" w:color="000000" w:sz="4" w:space="0"/>
                    <w:left w:val="single" w:color="000000" w:sz="4" w:space="0"/>
                    <w:bottom w:val="single" w:color="000000" w:sz="4" w:space="0"/>
                    <w:right w:val="single" w:color="000000" w:sz="4" w:space="0"/>
                  </w:tcBorders>
                  <w:noWrap w:val="0"/>
                  <w:vAlign w:val="center"/>
                </w:tcPr>
                <w:p w14:paraId="562B8F76">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可溶性铬 /(mg/kg)</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14:paraId="721A160C">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w:t>
                  </w:r>
                </w:p>
              </w:tc>
            </w:tr>
            <w:tr w14:paraId="4D7D0F91">
              <w:tblPrEx>
                <w:tblCellMar>
                  <w:top w:w="0" w:type="dxa"/>
                  <w:left w:w="108" w:type="dxa"/>
                  <w:bottom w:w="0" w:type="dxa"/>
                  <w:right w:w="108" w:type="dxa"/>
                </w:tblCellMar>
              </w:tblPrEx>
              <w:trPr>
                <w:trHeight w:val="439" w:hRule="atLeast"/>
              </w:trPr>
              <w:tc>
                <w:tcPr>
                  <w:tcW w:w="676" w:type="dxa"/>
                  <w:vMerge w:val="continue"/>
                  <w:tcBorders>
                    <w:left w:val="single" w:color="000000" w:sz="4" w:space="0"/>
                    <w:bottom w:val="single" w:color="000000" w:sz="4" w:space="0"/>
                    <w:right w:val="single" w:color="000000" w:sz="4" w:space="0"/>
                  </w:tcBorders>
                  <w:noWrap w:val="0"/>
                  <w:vAlign w:val="center"/>
                </w:tcPr>
                <w:p w14:paraId="2D3CBFF2">
                  <w:pPr>
                    <w:jc w:val="center"/>
                    <w:rPr>
                      <w:rFonts w:hint="eastAsia" w:ascii="宋体" w:hAnsi="宋体" w:eastAsia="宋体" w:cs="宋体"/>
                      <w:color w:val="auto"/>
                      <w:sz w:val="20"/>
                      <w:szCs w:val="20"/>
                      <w:highlight w:val="none"/>
                    </w:rPr>
                  </w:pPr>
                </w:p>
              </w:tc>
              <w:tc>
                <w:tcPr>
                  <w:tcW w:w="5357" w:type="dxa"/>
                  <w:tcBorders>
                    <w:top w:val="single" w:color="000000" w:sz="4" w:space="0"/>
                    <w:left w:val="single" w:color="000000" w:sz="4" w:space="0"/>
                    <w:bottom w:val="single" w:color="000000" w:sz="4" w:space="0"/>
                    <w:right w:val="single" w:color="000000" w:sz="4" w:space="0"/>
                  </w:tcBorders>
                  <w:noWrap w:val="0"/>
                  <w:vAlign w:val="center"/>
                </w:tcPr>
                <w:p w14:paraId="03F2E716">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可溶性汞 /(mg/kg)</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14:paraId="1035BC2D">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r>
            <w:tr w14:paraId="6F92ABF4">
              <w:tblPrEx>
                <w:tblCellMar>
                  <w:top w:w="0" w:type="dxa"/>
                  <w:left w:w="108" w:type="dxa"/>
                  <w:bottom w:w="0" w:type="dxa"/>
                  <w:right w:w="108" w:type="dxa"/>
                </w:tblCellMar>
              </w:tblPrEx>
              <w:trPr>
                <w:trHeight w:val="441" w:hRule="atLeast"/>
              </w:trPr>
              <w:tc>
                <w:tcPr>
                  <w:tcW w:w="676" w:type="dxa"/>
                  <w:tcBorders>
                    <w:top w:val="single" w:color="000000" w:sz="4" w:space="0"/>
                    <w:left w:val="single" w:color="000000" w:sz="4" w:space="0"/>
                    <w:bottom w:val="single" w:color="000000" w:sz="4" w:space="0"/>
                    <w:right w:val="single" w:color="000000" w:sz="4" w:space="0"/>
                  </w:tcBorders>
                  <w:noWrap w:val="0"/>
                  <w:vAlign w:val="center"/>
                </w:tcPr>
                <w:p w14:paraId="1BB8FEEC">
                  <w:pPr>
                    <w:bidi w:val="0"/>
                    <w:rPr>
                      <w:rFonts w:hint="eastAsia"/>
                      <w:color w:val="auto"/>
                      <w:sz w:val="20"/>
                      <w:szCs w:val="20"/>
                    </w:rPr>
                  </w:pPr>
                  <w:r>
                    <w:rPr>
                      <w:rFonts w:hint="eastAsia"/>
                      <w:color w:val="auto"/>
                      <w:sz w:val="20"/>
                      <w:szCs w:val="20"/>
                      <w:lang w:val="en-US" w:eastAsia="zh-CN"/>
                    </w:rPr>
                    <w:t>气味</w:t>
                  </w:r>
                </w:p>
              </w:tc>
              <w:tc>
                <w:tcPr>
                  <w:tcW w:w="5357" w:type="dxa"/>
                  <w:tcBorders>
                    <w:top w:val="single" w:color="000000" w:sz="4" w:space="0"/>
                    <w:left w:val="single" w:color="000000" w:sz="4" w:space="0"/>
                    <w:bottom w:val="single" w:color="000000" w:sz="4" w:space="0"/>
                    <w:right w:val="single" w:color="000000" w:sz="4" w:space="0"/>
                  </w:tcBorders>
                  <w:noWrap w:val="0"/>
                  <w:vAlign w:val="center"/>
                </w:tcPr>
                <w:p w14:paraId="5B310083">
                  <w:pPr>
                    <w:keepNext w:val="0"/>
                    <w:keepLines w:val="0"/>
                    <w:widowControl/>
                    <w:suppressLineNumbers w:val="0"/>
                    <w:ind w:left="-420" w:leftChars="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rPr>
                    <w:t>气味强度/级</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14:paraId="163B5B6C">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rPr>
                    <w:t>≤3</w:t>
                  </w:r>
                </w:p>
              </w:tc>
            </w:tr>
          </w:tbl>
          <w:p w14:paraId="6E62A1BD">
            <w:pPr>
              <w:pStyle w:val="2"/>
              <w:spacing w:line="240" w:lineRule="auto"/>
              <w:rPr>
                <w:rFonts w:hint="eastAsia" w:ascii="宋体" w:hAnsi="宋体" w:eastAsia="宋体" w:cs="宋体"/>
                <w:color w:val="auto"/>
                <w:sz w:val="20"/>
                <w:szCs w:val="20"/>
                <w:lang w:val="en-US"/>
              </w:rPr>
            </w:pPr>
            <w:r>
              <w:rPr>
                <w:rFonts w:hint="eastAsia" w:ascii="宋体" w:hAnsi="宋体" w:eastAsia="宋体" w:cs="宋体"/>
                <w:color w:val="auto"/>
                <w:sz w:val="20"/>
                <w:szCs w:val="20"/>
                <w:lang w:val="en-US"/>
              </w:rPr>
              <w:t>非固体原料中有害物质限量要求</w:t>
            </w:r>
          </w:p>
          <w:tbl>
            <w:tblPr>
              <w:tblStyle w:val="3"/>
              <w:tblW w:w="7459" w:type="dxa"/>
              <w:tblInd w:w="0" w:type="dxa"/>
              <w:tblLayout w:type="fixed"/>
              <w:tblCellMar>
                <w:top w:w="0" w:type="dxa"/>
                <w:left w:w="108" w:type="dxa"/>
                <w:bottom w:w="0" w:type="dxa"/>
                <w:right w:w="108" w:type="dxa"/>
              </w:tblCellMar>
            </w:tblPr>
            <w:tblGrid>
              <w:gridCol w:w="758"/>
              <w:gridCol w:w="5436"/>
              <w:gridCol w:w="1265"/>
            </w:tblGrid>
            <w:tr w14:paraId="62089C9D">
              <w:tblPrEx>
                <w:tblCellMar>
                  <w:top w:w="0" w:type="dxa"/>
                  <w:left w:w="108" w:type="dxa"/>
                  <w:bottom w:w="0" w:type="dxa"/>
                  <w:right w:w="108" w:type="dxa"/>
                </w:tblCellMar>
              </w:tblPrEx>
              <w:trPr>
                <w:trHeight w:val="600" w:hRule="atLeast"/>
              </w:trPr>
              <w:tc>
                <w:tcPr>
                  <w:tcW w:w="6194" w:type="dxa"/>
                  <w:gridSpan w:val="2"/>
                  <w:tcBorders>
                    <w:top w:val="single" w:color="000000" w:sz="4" w:space="0"/>
                    <w:left w:val="single" w:color="000000" w:sz="4" w:space="0"/>
                    <w:bottom w:val="single" w:color="000000" w:sz="4" w:space="0"/>
                    <w:right w:val="single" w:color="000000" w:sz="4" w:space="0"/>
                  </w:tcBorders>
                  <w:noWrap w:val="0"/>
                  <w:vAlign w:val="center"/>
                </w:tcPr>
                <w:p w14:paraId="32674E9E">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检测项目</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162F9024">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限量值要求</w:t>
                  </w:r>
                </w:p>
              </w:tc>
            </w:tr>
            <w:tr w14:paraId="144CB18F">
              <w:tblPrEx>
                <w:tblCellMar>
                  <w:top w:w="0" w:type="dxa"/>
                  <w:left w:w="108" w:type="dxa"/>
                  <w:bottom w:w="0" w:type="dxa"/>
                  <w:right w:w="108" w:type="dxa"/>
                </w:tblCellMar>
              </w:tblPrEx>
              <w:trPr>
                <w:trHeight w:val="377" w:hRule="atLeast"/>
              </w:trPr>
              <w:tc>
                <w:tcPr>
                  <w:tcW w:w="758" w:type="dxa"/>
                  <w:vMerge w:val="restart"/>
                  <w:tcBorders>
                    <w:top w:val="single" w:color="000000" w:sz="4" w:space="0"/>
                    <w:left w:val="single" w:color="000000" w:sz="4" w:space="0"/>
                    <w:bottom w:val="single" w:color="000000" w:sz="4" w:space="0"/>
                    <w:right w:val="single" w:color="000000" w:sz="4" w:space="0"/>
                  </w:tcBorders>
                  <w:noWrap w:val="0"/>
                  <w:vAlign w:val="center"/>
                </w:tcPr>
                <w:p w14:paraId="3AF7B6D3">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有</w:t>
                  </w:r>
                </w:p>
                <w:p w14:paraId="560B5395">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害</w:t>
                  </w:r>
                </w:p>
                <w:p w14:paraId="1FC97C74">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物</w:t>
                  </w:r>
                </w:p>
                <w:p w14:paraId="5CA1DDA5">
                  <w:pPr>
                    <w:jc w:val="center"/>
                    <w:rPr>
                      <w:rFonts w:hint="eastAsia"/>
                      <w:color w:val="auto"/>
                      <w:sz w:val="20"/>
                      <w:szCs w:val="20"/>
                      <w:lang w:val="en-US" w:eastAsia="zh-CN"/>
                    </w:rPr>
                  </w:pPr>
                  <w:r>
                    <w:rPr>
                      <w:rFonts w:hint="eastAsia" w:ascii="宋体" w:hAnsi="宋体" w:eastAsia="宋体" w:cs="宋体"/>
                      <w:color w:val="auto"/>
                      <w:sz w:val="20"/>
                      <w:szCs w:val="20"/>
                      <w:highlight w:val="none"/>
                      <w:lang w:val="en-US" w:eastAsia="zh-CN"/>
                    </w:rPr>
                    <w:t>质</w:t>
                  </w:r>
                </w:p>
                <w:p w14:paraId="13748321">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含</w:t>
                  </w:r>
                </w:p>
                <w:p w14:paraId="791ACA06">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量</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0AAC5DD4">
                  <w:pPr>
                    <w:bidi w:val="0"/>
                    <w:jc w:val="center"/>
                    <w:rPr>
                      <w:rFonts w:hint="eastAsia"/>
                      <w:color w:val="auto"/>
                      <w:sz w:val="20"/>
                      <w:szCs w:val="20"/>
                    </w:rPr>
                  </w:pPr>
                  <w:r>
                    <w:rPr>
                      <w:rFonts w:hint="eastAsia"/>
                      <w:color w:val="auto"/>
                      <w:sz w:val="20"/>
                      <w:szCs w:val="20"/>
                    </w:rPr>
                    <w:t>3种邻苯二甲酸酯类（DBP、BBP、DEHP）总和b/（g/kg）</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37D83427">
                  <w:pPr>
                    <w:bidi w:val="0"/>
                    <w:jc w:val="center"/>
                    <w:rPr>
                      <w:rFonts w:hint="eastAsia"/>
                      <w:color w:val="auto"/>
                      <w:sz w:val="20"/>
                      <w:szCs w:val="20"/>
                    </w:rPr>
                  </w:pPr>
                  <w:r>
                    <w:rPr>
                      <w:rFonts w:hint="eastAsia"/>
                      <w:color w:val="auto"/>
                      <w:sz w:val="20"/>
                      <w:szCs w:val="20"/>
                    </w:rPr>
                    <w:t>≤1.0</w:t>
                  </w:r>
                </w:p>
              </w:tc>
            </w:tr>
            <w:tr w14:paraId="0506E051">
              <w:tblPrEx>
                <w:tblCellMar>
                  <w:top w:w="0" w:type="dxa"/>
                  <w:left w:w="108" w:type="dxa"/>
                  <w:bottom w:w="0" w:type="dxa"/>
                  <w:right w:w="108" w:type="dxa"/>
                </w:tblCellMar>
              </w:tblPrEx>
              <w:trPr>
                <w:trHeight w:val="396" w:hRule="atLeast"/>
              </w:trPr>
              <w:tc>
                <w:tcPr>
                  <w:tcW w:w="758" w:type="dxa"/>
                  <w:vMerge w:val="continue"/>
                  <w:tcBorders>
                    <w:left w:val="single" w:color="000000" w:sz="4" w:space="0"/>
                    <w:right w:val="single" w:color="000000" w:sz="4" w:space="0"/>
                  </w:tcBorders>
                  <w:noWrap w:val="0"/>
                  <w:vAlign w:val="center"/>
                </w:tcPr>
                <w:p w14:paraId="05C6DAF0">
                  <w:pPr>
                    <w:rPr>
                      <w:rFonts w:hint="eastAsia" w:ascii="宋体" w:hAnsi="宋体" w:eastAsia="宋体" w:cs="宋体"/>
                      <w:color w:val="auto"/>
                      <w:sz w:val="20"/>
                      <w:szCs w:val="20"/>
                      <w:highlight w:val="none"/>
                    </w:rPr>
                  </w:pP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3AADC5DD">
                  <w:pPr>
                    <w:bidi w:val="0"/>
                    <w:jc w:val="center"/>
                    <w:rPr>
                      <w:rFonts w:hint="eastAsia"/>
                      <w:color w:val="auto"/>
                      <w:sz w:val="20"/>
                      <w:szCs w:val="20"/>
                    </w:rPr>
                  </w:pPr>
                  <w:r>
                    <w:rPr>
                      <w:rFonts w:hint="eastAsia"/>
                      <w:color w:val="auto"/>
                      <w:sz w:val="20"/>
                      <w:szCs w:val="20"/>
                    </w:rPr>
                    <w:t>3种邻苯二甲酸酯类（DNOP、DINP、DIDP）总和b/g/kg）</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0264B0C8">
                  <w:pPr>
                    <w:bidi w:val="0"/>
                    <w:jc w:val="center"/>
                    <w:rPr>
                      <w:rFonts w:hint="eastAsia"/>
                      <w:color w:val="auto"/>
                      <w:sz w:val="20"/>
                      <w:szCs w:val="20"/>
                    </w:rPr>
                  </w:pPr>
                  <w:r>
                    <w:rPr>
                      <w:rFonts w:hint="eastAsia"/>
                      <w:color w:val="auto"/>
                      <w:sz w:val="20"/>
                      <w:szCs w:val="20"/>
                    </w:rPr>
                    <w:t>≤1.0</w:t>
                  </w:r>
                </w:p>
              </w:tc>
            </w:tr>
            <w:tr w14:paraId="4456F3AE">
              <w:tblPrEx>
                <w:tblCellMar>
                  <w:top w:w="0" w:type="dxa"/>
                  <w:left w:w="108" w:type="dxa"/>
                  <w:bottom w:w="0" w:type="dxa"/>
                  <w:right w:w="108" w:type="dxa"/>
                </w:tblCellMar>
              </w:tblPrEx>
              <w:trPr>
                <w:trHeight w:val="413" w:hRule="atLeast"/>
              </w:trPr>
              <w:tc>
                <w:tcPr>
                  <w:tcW w:w="758" w:type="dxa"/>
                  <w:vMerge w:val="continue"/>
                  <w:tcBorders>
                    <w:left w:val="single" w:color="000000" w:sz="4" w:space="0"/>
                    <w:right w:val="single" w:color="000000" w:sz="4" w:space="0"/>
                  </w:tcBorders>
                  <w:noWrap w:val="0"/>
                  <w:vAlign w:val="center"/>
                </w:tcPr>
                <w:p w14:paraId="387736A9">
                  <w:pPr>
                    <w:rPr>
                      <w:rFonts w:hint="eastAsia" w:ascii="宋体" w:hAnsi="宋体" w:eastAsia="宋体" w:cs="宋体"/>
                      <w:color w:val="auto"/>
                      <w:sz w:val="20"/>
                      <w:szCs w:val="20"/>
                      <w:highlight w:val="none"/>
                    </w:rPr>
                  </w:pP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6416E3AF">
                  <w:pPr>
                    <w:bidi w:val="0"/>
                    <w:jc w:val="center"/>
                    <w:rPr>
                      <w:rFonts w:hint="eastAsia"/>
                      <w:color w:val="auto"/>
                      <w:sz w:val="20"/>
                      <w:szCs w:val="20"/>
                    </w:rPr>
                  </w:pPr>
                  <w:r>
                    <w:rPr>
                      <w:rFonts w:hint="eastAsia"/>
                      <w:color w:val="auto"/>
                      <w:sz w:val="20"/>
                      <w:szCs w:val="20"/>
                    </w:rPr>
                    <w:t>短链氯化石蜡（C10-C13）/（g/kg）</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4147E882">
                  <w:pPr>
                    <w:bidi w:val="0"/>
                    <w:jc w:val="center"/>
                    <w:rPr>
                      <w:rFonts w:hint="eastAsia"/>
                      <w:color w:val="auto"/>
                      <w:sz w:val="20"/>
                      <w:szCs w:val="20"/>
                    </w:rPr>
                  </w:pPr>
                  <w:r>
                    <w:rPr>
                      <w:rFonts w:hint="eastAsia"/>
                      <w:color w:val="auto"/>
                      <w:sz w:val="20"/>
                      <w:szCs w:val="20"/>
                    </w:rPr>
                    <w:t>≤1.5</w:t>
                  </w:r>
                </w:p>
              </w:tc>
            </w:tr>
            <w:tr w14:paraId="56E5C05C">
              <w:tblPrEx>
                <w:tblCellMar>
                  <w:top w:w="0" w:type="dxa"/>
                  <w:left w:w="108" w:type="dxa"/>
                  <w:bottom w:w="0" w:type="dxa"/>
                  <w:right w:w="108" w:type="dxa"/>
                </w:tblCellMar>
              </w:tblPrEx>
              <w:trPr>
                <w:trHeight w:val="647"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7CF0FF">
                  <w:pPr>
                    <w:rPr>
                      <w:rFonts w:hint="eastAsia" w:ascii="宋体" w:hAnsi="宋体" w:eastAsia="宋体" w:cs="宋体"/>
                      <w:color w:val="auto"/>
                      <w:sz w:val="20"/>
                      <w:szCs w:val="20"/>
                      <w:highlight w:val="none"/>
                    </w:rPr>
                  </w:pP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58E89D12">
                  <w:pPr>
                    <w:bidi w:val="0"/>
                    <w:jc w:val="center"/>
                    <w:rPr>
                      <w:rFonts w:hint="eastAsia"/>
                      <w:color w:val="auto"/>
                      <w:sz w:val="20"/>
                      <w:szCs w:val="20"/>
                    </w:rPr>
                  </w:pPr>
                  <w:r>
                    <w:rPr>
                      <w:rFonts w:hint="eastAsia"/>
                      <w:color w:val="auto"/>
                      <w:sz w:val="20"/>
                      <w:szCs w:val="20"/>
                    </w:rPr>
                    <w:t>游离甲苯二异氰酸酯（TDI）和游离六亚甲基二异氰酸酯（HDI）</w:t>
                  </w:r>
                </w:p>
                <w:p w14:paraId="4AEF9F87">
                  <w:pPr>
                    <w:bidi w:val="0"/>
                    <w:jc w:val="center"/>
                    <w:rPr>
                      <w:rFonts w:hint="eastAsia" w:ascii="宋体" w:hAnsi="宋体" w:eastAsia="宋体" w:cs="宋体"/>
                      <w:color w:val="auto"/>
                      <w:sz w:val="20"/>
                      <w:szCs w:val="20"/>
                      <w:highlight w:val="none"/>
                    </w:rPr>
                  </w:pPr>
                  <w:r>
                    <w:rPr>
                      <w:rFonts w:hint="eastAsia"/>
                      <w:color w:val="auto"/>
                      <w:sz w:val="20"/>
                      <w:szCs w:val="20"/>
                    </w:rPr>
                    <w:t>总和/（g/kg）</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36DBFCD8">
                  <w:pPr>
                    <w:bidi w:val="0"/>
                    <w:jc w:val="center"/>
                    <w:rPr>
                      <w:rFonts w:hint="eastAsia"/>
                      <w:color w:val="auto"/>
                      <w:sz w:val="20"/>
                      <w:szCs w:val="20"/>
                    </w:rPr>
                  </w:pPr>
                  <w:r>
                    <w:rPr>
                      <w:rFonts w:hint="eastAsia"/>
                      <w:color w:val="auto"/>
                      <w:sz w:val="20"/>
                      <w:szCs w:val="20"/>
                    </w:rPr>
                    <w:t>≤10</w:t>
                  </w:r>
                </w:p>
              </w:tc>
            </w:tr>
            <w:tr w14:paraId="000E4874">
              <w:tblPrEx>
                <w:tblCellMar>
                  <w:top w:w="0" w:type="dxa"/>
                  <w:left w:w="108" w:type="dxa"/>
                  <w:bottom w:w="0" w:type="dxa"/>
                  <w:right w:w="108" w:type="dxa"/>
                </w:tblCellMar>
              </w:tblPrEx>
              <w:trPr>
                <w:trHeight w:val="464"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1ACEA5">
                  <w:pPr>
                    <w:rPr>
                      <w:rFonts w:hint="eastAsia" w:ascii="宋体" w:hAnsi="宋体" w:eastAsia="宋体" w:cs="宋体"/>
                      <w:color w:val="auto"/>
                      <w:sz w:val="20"/>
                      <w:szCs w:val="20"/>
                      <w:highlight w:val="none"/>
                    </w:rPr>
                  </w:pP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6B9C02E5">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挥发性有机化合物/（g/L）</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073E7E9D">
                  <w:pPr>
                    <w:bidi w:val="0"/>
                    <w:jc w:val="center"/>
                    <w:rPr>
                      <w:rFonts w:hint="eastAsia"/>
                      <w:color w:val="auto"/>
                      <w:sz w:val="20"/>
                      <w:szCs w:val="20"/>
                    </w:rPr>
                  </w:pPr>
                  <w:r>
                    <w:rPr>
                      <w:rFonts w:hint="eastAsia"/>
                      <w:color w:val="auto"/>
                      <w:sz w:val="20"/>
                      <w:szCs w:val="20"/>
                    </w:rPr>
                    <w:t>≤50</w:t>
                  </w:r>
                </w:p>
              </w:tc>
            </w:tr>
            <w:tr w14:paraId="667F9485">
              <w:tblPrEx>
                <w:tblCellMar>
                  <w:top w:w="0" w:type="dxa"/>
                  <w:left w:w="108" w:type="dxa"/>
                  <w:bottom w:w="0" w:type="dxa"/>
                  <w:right w:w="108" w:type="dxa"/>
                </w:tblCellMar>
              </w:tblPrEx>
              <w:trPr>
                <w:trHeight w:val="478"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388FB1">
                  <w:pPr>
                    <w:rPr>
                      <w:rFonts w:hint="eastAsia" w:ascii="宋体" w:hAnsi="宋体" w:eastAsia="宋体" w:cs="宋体"/>
                      <w:color w:val="auto"/>
                      <w:sz w:val="20"/>
                      <w:szCs w:val="20"/>
                      <w:highlight w:val="none"/>
                    </w:rPr>
                  </w:pP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6284B661">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游离甲醛/（g/kg）</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3202413C">
                  <w:pPr>
                    <w:bidi w:val="0"/>
                    <w:jc w:val="center"/>
                    <w:rPr>
                      <w:rFonts w:hint="eastAsia"/>
                      <w:color w:val="auto"/>
                      <w:sz w:val="20"/>
                      <w:szCs w:val="20"/>
                    </w:rPr>
                  </w:pPr>
                  <w:r>
                    <w:rPr>
                      <w:rFonts w:hint="eastAsia"/>
                      <w:color w:val="auto"/>
                      <w:sz w:val="20"/>
                      <w:szCs w:val="20"/>
                    </w:rPr>
                    <w:t>≤0.50</w:t>
                  </w:r>
                </w:p>
              </w:tc>
            </w:tr>
            <w:tr w14:paraId="75918D90">
              <w:tblPrEx>
                <w:tblCellMar>
                  <w:top w:w="0" w:type="dxa"/>
                  <w:left w:w="108" w:type="dxa"/>
                  <w:bottom w:w="0" w:type="dxa"/>
                  <w:right w:w="108" w:type="dxa"/>
                </w:tblCellMar>
              </w:tblPrEx>
              <w:trPr>
                <w:trHeight w:val="478"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3CF2A0">
                  <w:pPr>
                    <w:rPr>
                      <w:rFonts w:hint="eastAsia" w:ascii="宋体" w:hAnsi="宋体" w:eastAsia="宋体" w:cs="宋体"/>
                      <w:color w:val="auto"/>
                      <w:sz w:val="20"/>
                      <w:szCs w:val="20"/>
                      <w:highlight w:val="none"/>
                    </w:rPr>
                  </w:pP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56AE50C3">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苯/（g/kg）</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1ED2B295">
                  <w:pPr>
                    <w:bidi w:val="0"/>
                    <w:jc w:val="center"/>
                    <w:rPr>
                      <w:rFonts w:hint="eastAsia"/>
                      <w:color w:val="auto"/>
                      <w:sz w:val="20"/>
                      <w:szCs w:val="20"/>
                    </w:rPr>
                  </w:pPr>
                  <w:r>
                    <w:rPr>
                      <w:rFonts w:hint="eastAsia"/>
                      <w:color w:val="auto"/>
                      <w:sz w:val="20"/>
                      <w:szCs w:val="20"/>
                    </w:rPr>
                    <w:t>≤0.05</w:t>
                  </w:r>
                </w:p>
              </w:tc>
            </w:tr>
            <w:tr w14:paraId="194F30FB">
              <w:tblPrEx>
                <w:tblCellMar>
                  <w:top w:w="0" w:type="dxa"/>
                  <w:left w:w="108" w:type="dxa"/>
                  <w:bottom w:w="0" w:type="dxa"/>
                  <w:right w:w="108" w:type="dxa"/>
                </w:tblCellMar>
              </w:tblPrEx>
              <w:trPr>
                <w:trHeight w:val="478"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0B7E95">
                  <w:pPr>
                    <w:rPr>
                      <w:rFonts w:hint="eastAsia" w:ascii="宋体" w:hAnsi="宋体" w:eastAsia="宋体" w:cs="宋体"/>
                      <w:color w:val="auto"/>
                      <w:sz w:val="20"/>
                      <w:szCs w:val="20"/>
                      <w:highlight w:val="none"/>
                    </w:rPr>
                  </w:pP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3BD6134F">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甲苯、二甲苯和乙苯总和/（g/kg）</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0ADF37F0">
                  <w:pPr>
                    <w:bidi w:val="0"/>
                    <w:jc w:val="center"/>
                    <w:rPr>
                      <w:rFonts w:hint="eastAsia"/>
                      <w:color w:val="auto"/>
                      <w:sz w:val="20"/>
                      <w:szCs w:val="20"/>
                    </w:rPr>
                  </w:pPr>
                  <w:r>
                    <w:rPr>
                      <w:rFonts w:hint="eastAsia"/>
                      <w:color w:val="auto"/>
                      <w:sz w:val="20"/>
                      <w:szCs w:val="20"/>
                    </w:rPr>
                    <w:t>≤1.0</w:t>
                  </w:r>
                </w:p>
              </w:tc>
            </w:tr>
            <w:tr w14:paraId="52A8673D">
              <w:tblPrEx>
                <w:tblCellMar>
                  <w:top w:w="0" w:type="dxa"/>
                  <w:left w:w="108" w:type="dxa"/>
                  <w:bottom w:w="0" w:type="dxa"/>
                  <w:right w:w="108" w:type="dxa"/>
                </w:tblCellMar>
              </w:tblPrEx>
              <w:trPr>
                <w:trHeight w:val="478"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D11D06">
                  <w:pPr>
                    <w:rPr>
                      <w:rFonts w:hint="eastAsia" w:ascii="宋体" w:hAnsi="宋体" w:eastAsia="宋体" w:cs="宋体"/>
                      <w:color w:val="auto"/>
                      <w:sz w:val="20"/>
                      <w:szCs w:val="20"/>
                      <w:highlight w:val="none"/>
                    </w:rPr>
                  </w:pP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6F0C8766">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可溶性铅 /(mg/kg)</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0E1B3EA6">
                  <w:pPr>
                    <w:bidi w:val="0"/>
                    <w:jc w:val="center"/>
                    <w:rPr>
                      <w:rFonts w:hint="eastAsia"/>
                      <w:color w:val="auto"/>
                      <w:sz w:val="20"/>
                      <w:szCs w:val="20"/>
                    </w:rPr>
                  </w:pPr>
                  <w:r>
                    <w:rPr>
                      <w:rFonts w:hint="eastAsia"/>
                      <w:color w:val="auto"/>
                      <w:sz w:val="20"/>
                      <w:szCs w:val="20"/>
                    </w:rPr>
                    <w:t>≤50</w:t>
                  </w:r>
                </w:p>
              </w:tc>
            </w:tr>
            <w:tr w14:paraId="7FAE6F55">
              <w:tblPrEx>
                <w:tblCellMar>
                  <w:top w:w="0" w:type="dxa"/>
                  <w:left w:w="108" w:type="dxa"/>
                  <w:bottom w:w="0" w:type="dxa"/>
                  <w:right w:w="108" w:type="dxa"/>
                </w:tblCellMar>
              </w:tblPrEx>
              <w:trPr>
                <w:trHeight w:val="478"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2767B6">
                  <w:pPr>
                    <w:rPr>
                      <w:rFonts w:hint="eastAsia" w:ascii="宋体" w:hAnsi="宋体" w:eastAsia="宋体" w:cs="宋体"/>
                      <w:color w:val="auto"/>
                      <w:sz w:val="20"/>
                      <w:szCs w:val="20"/>
                      <w:highlight w:val="none"/>
                    </w:rPr>
                  </w:pP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1F1C986A">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可溶性镉 /(mg/kg)</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422B30F0">
                  <w:pPr>
                    <w:bidi w:val="0"/>
                    <w:jc w:val="center"/>
                    <w:rPr>
                      <w:rFonts w:hint="eastAsia"/>
                      <w:color w:val="auto"/>
                      <w:sz w:val="20"/>
                      <w:szCs w:val="20"/>
                    </w:rPr>
                  </w:pPr>
                  <w:r>
                    <w:rPr>
                      <w:rFonts w:hint="eastAsia"/>
                      <w:color w:val="auto"/>
                      <w:sz w:val="20"/>
                      <w:szCs w:val="20"/>
                    </w:rPr>
                    <w:t>≤10</w:t>
                  </w:r>
                </w:p>
              </w:tc>
            </w:tr>
            <w:tr w14:paraId="00B0B1D4">
              <w:tblPrEx>
                <w:tblCellMar>
                  <w:top w:w="0" w:type="dxa"/>
                  <w:left w:w="108" w:type="dxa"/>
                  <w:bottom w:w="0" w:type="dxa"/>
                  <w:right w:w="108" w:type="dxa"/>
                </w:tblCellMar>
              </w:tblPrEx>
              <w:trPr>
                <w:trHeight w:val="478"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27F435">
                  <w:pPr>
                    <w:rPr>
                      <w:rFonts w:hint="eastAsia" w:ascii="宋体" w:hAnsi="宋体" w:eastAsia="宋体" w:cs="宋体"/>
                      <w:color w:val="auto"/>
                      <w:sz w:val="20"/>
                      <w:szCs w:val="20"/>
                      <w:highlight w:val="none"/>
                    </w:rPr>
                  </w:pP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6896D9D3">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可溶性铬 /(mg/kg)</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6B803F56">
                  <w:pPr>
                    <w:bidi w:val="0"/>
                    <w:jc w:val="center"/>
                    <w:rPr>
                      <w:rFonts w:hint="eastAsia"/>
                      <w:color w:val="auto"/>
                      <w:sz w:val="20"/>
                      <w:szCs w:val="20"/>
                    </w:rPr>
                  </w:pPr>
                  <w:r>
                    <w:rPr>
                      <w:rFonts w:hint="eastAsia"/>
                      <w:color w:val="auto"/>
                      <w:sz w:val="20"/>
                      <w:szCs w:val="20"/>
                    </w:rPr>
                    <w:t>≤10</w:t>
                  </w:r>
                </w:p>
              </w:tc>
            </w:tr>
            <w:tr w14:paraId="0EFE6E85">
              <w:tblPrEx>
                <w:tblCellMar>
                  <w:top w:w="0" w:type="dxa"/>
                  <w:left w:w="108" w:type="dxa"/>
                  <w:bottom w:w="0" w:type="dxa"/>
                  <w:right w:w="108" w:type="dxa"/>
                </w:tblCellMar>
              </w:tblPrEx>
              <w:trPr>
                <w:trHeight w:val="524"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696016">
                  <w:pPr>
                    <w:rPr>
                      <w:rFonts w:hint="eastAsia" w:ascii="宋体" w:hAnsi="宋体" w:eastAsia="宋体" w:cs="宋体"/>
                      <w:color w:val="auto"/>
                      <w:sz w:val="20"/>
                      <w:szCs w:val="20"/>
                      <w:highlight w:val="none"/>
                    </w:rPr>
                  </w:pP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618F47E4">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可溶性汞 /(mg/kg)</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15D96F86">
                  <w:pPr>
                    <w:bidi w:val="0"/>
                    <w:jc w:val="center"/>
                    <w:rPr>
                      <w:rFonts w:hint="eastAsia"/>
                      <w:color w:val="auto"/>
                      <w:sz w:val="20"/>
                      <w:szCs w:val="20"/>
                    </w:rPr>
                  </w:pPr>
                  <w:r>
                    <w:rPr>
                      <w:rFonts w:hint="eastAsia"/>
                      <w:color w:val="auto"/>
                      <w:sz w:val="20"/>
                      <w:szCs w:val="20"/>
                    </w:rPr>
                    <w:t>≤2</w:t>
                  </w:r>
                </w:p>
              </w:tc>
            </w:tr>
          </w:tbl>
          <w:p w14:paraId="04B26E5E">
            <w:pPr>
              <w:pStyle w:val="6"/>
              <w:keepNext w:val="0"/>
              <w:keepLines w:val="0"/>
              <w:pageBreakBefore w:val="0"/>
              <w:widowControl/>
              <w:kinsoku/>
              <w:wordWrap/>
              <w:overflowPunct/>
              <w:topLinePunct w:val="0"/>
              <w:autoSpaceDE/>
              <w:autoSpaceDN/>
              <w:bidi w:val="0"/>
              <w:adjustRightInd/>
              <w:snapToGrid/>
              <w:ind w:firstLine="402" w:firstLineChars="200"/>
              <w:jc w:val="left"/>
              <w:textAlignment w:val="auto"/>
              <w:rPr>
                <w:rFonts w:hint="eastAsia" w:ascii="宋体" w:hAnsi="宋体" w:eastAsia="宋体" w:cs="宋体"/>
                <w:b/>
                <w:bCs/>
                <w:color w:val="auto"/>
                <w:sz w:val="20"/>
                <w:szCs w:val="20"/>
                <w:lang w:val="en-US" w:eastAsia="zh-CN"/>
              </w:rPr>
            </w:pPr>
            <w:r>
              <w:rPr>
                <w:rFonts w:hint="eastAsia" w:ascii="宋体" w:hAnsi="宋体" w:eastAsia="宋体" w:cs="宋体"/>
                <w:b/>
                <w:bCs/>
                <w:color w:val="auto"/>
                <w:sz w:val="20"/>
                <w:szCs w:val="20"/>
                <w:lang w:val="en-US" w:eastAsia="zh-CN"/>
              </w:rPr>
              <w:t>4.材料专业运动性能要求</w:t>
            </w:r>
          </w:p>
          <w:p w14:paraId="2868A57C">
            <w:pPr>
              <w:pStyle w:val="6"/>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（1）球场面层具有多功能运动性能，冲击吸收、垂直变形、抗滑值（干测、湿测）、拉伸强度、拉断伸长率、耐磨性、阻燃性能符合GB/T14833-2020多功能运动场地面层性能要求。</w:t>
            </w:r>
          </w:p>
          <w:p w14:paraId="56900B9C">
            <w:pPr>
              <w:pStyle w:val="6"/>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（2）球场面层经60℃热空气老化800h后，冲击吸收、垂直变形、拉伸强度、拉断伸长率符合GB/T22517.4-2017、GB/T14833-2020、GB36246-2018标准检测。</w:t>
            </w:r>
          </w:p>
          <w:p w14:paraId="657FB266">
            <w:pPr>
              <w:pStyle w:val="6"/>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（3）球场面层符合GB 36246-2018标准不低于168h的皂水、霜冻和干热持续老化后，拉伸强度＞1MPa，拉断伸长率＞100%，球反弹率＞90%，撕裂强度＞7kN/m，尺寸稳定性＜1%，色牢度＞3级检测。</w:t>
            </w:r>
          </w:p>
          <w:p w14:paraId="5EDB4300">
            <w:pPr>
              <w:pStyle w:val="6"/>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（4）球场面漆材料依据GB/T 39294-2020、GB/T 22374-2018标准得耐紫外线老化黄变性能，老化≥2500h后，外观不起泡、不剥落、无裂纹、无粉化现象，耐黄变性能＜2级检测。</w:t>
            </w:r>
          </w:p>
          <w:p w14:paraId="4D622FB7">
            <w:pPr>
              <w:pStyle w:val="6"/>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（5）球场面层符合GB36246-2018标准在经过500h湿热和336h热水老化后，冲击吸收、垂直变形、抗滑值、拉伸强度、拉断伸长率、阻燃性，并且色牢度不低于3级，面层不起泡、不开裂等无外观缺陷现象检测。</w:t>
            </w:r>
          </w:p>
          <w:p w14:paraId="60BDEC45">
            <w:pPr>
              <w:numPr>
                <w:ilvl w:val="0"/>
                <w:numId w:val="0"/>
              </w:numPr>
              <w:spacing w:line="480" w:lineRule="auto"/>
              <w:ind w:left="0" w:leftChars="0"/>
              <w:jc w:val="both"/>
              <w:rPr>
                <w:rFonts w:hint="eastAsia"/>
                <w:b/>
                <w:bCs/>
                <w:color w:val="auto"/>
                <w:lang w:eastAsia="zh-CN"/>
              </w:rPr>
            </w:pPr>
            <w:r>
              <w:rPr>
                <w:rFonts w:hint="eastAsia" w:ascii="Calibri" w:hAnsi="Calibri" w:eastAsia="宋体" w:cs="Times New Roman"/>
                <w:b/>
                <w:bCs/>
                <w:color w:val="auto"/>
                <w:kern w:val="2"/>
                <w:sz w:val="21"/>
                <w:szCs w:val="24"/>
                <w:lang w:val="en-US" w:eastAsia="zh-CN" w:bidi="ar-SA"/>
              </w:rPr>
              <w:t>（二）</w:t>
            </w:r>
            <w:r>
              <w:rPr>
                <w:rFonts w:hint="eastAsia"/>
                <w:b/>
                <w:bCs/>
                <w:color w:val="auto"/>
                <w:sz w:val="20"/>
                <w:szCs w:val="20"/>
              </w:rPr>
              <w:t>主材品牌推荐</w:t>
            </w:r>
          </w:p>
          <w:p w14:paraId="00E780BC">
            <w:pPr>
              <w:numPr>
                <w:ilvl w:val="0"/>
                <w:numId w:val="0"/>
              </w:numPr>
              <w:spacing w:line="480" w:lineRule="auto"/>
              <w:ind w:left="0" w:leftChars="0" w:firstLine="200" w:firstLineChars="100"/>
              <w:jc w:val="both"/>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长河CHANGHE、柏胜(BSMC)、同欣、东海或同档次</w:t>
            </w:r>
          </w:p>
          <w:p w14:paraId="46E6ADB7">
            <w:pPr>
              <w:numPr>
                <w:ilvl w:val="0"/>
                <w:numId w:val="0"/>
              </w:numPr>
              <w:spacing w:line="360" w:lineRule="auto"/>
              <w:ind w:leftChars="0"/>
              <w:jc w:val="both"/>
              <w:rPr>
                <w:rFonts w:hint="default"/>
                <w:b/>
                <w:bCs/>
                <w:color w:val="auto"/>
                <w:sz w:val="20"/>
                <w:szCs w:val="20"/>
                <w:lang w:val="en-US" w:eastAsia="zh-CN"/>
              </w:rPr>
            </w:pPr>
            <w:r>
              <w:rPr>
                <w:rFonts w:hint="eastAsia"/>
                <w:b/>
                <w:bCs/>
                <w:color w:val="auto"/>
                <w:sz w:val="20"/>
                <w:szCs w:val="20"/>
                <w:lang w:val="en-US" w:eastAsia="zh-CN"/>
              </w:rPr>
              <w:t>（三）产品来源与质量保证要求</w:t>
            </w:r>
          </w:p>
          <w:p w14:paraId="0D07B8DF">
            <w:pPr>
              <w:pStyle w:val="10"/>
              <w:numPr>
                <w:ilvl w:val="0"/>
                <w:numId w:val="0"/>
              </w:numPr>
              <w:spacing w:line="240" w:lineRule="auto"/>
              <w:ind w:leftChars="0" w:firstLine="402" w:firstLineChars="200"/>
              <w:rPr>
                <w:rFonts w:hint="eastAsia" w:ascii="宋体" w:hAnsi="宋体" w:eastAsia="宋体" w:cs="宋体"/>
                <w:color w:val="auto"/>
                <w:sz w:val="20"/>
                <w:szCs w:val="20"/>
              </w:rPr>
            </w:pPr>
            <w:r>
              <w:rPr>
                <w:rFonts w:hint="eastAsia" w:ascii="宋体" w:hAnsi="宋体" w:eastAsia="宋体" w:cs="宋体"/>
                <w:b/>
                <w:bCs/>
                <w:color w:val="auto"/>
                <w:sz w:val="20"/>
                <w:szCs w:val="20"/>
                <w:lang w:val="en-US" w:eastAsia="zh-CN"/>
              </w:rPr>
              <w:t>1.</w:t>
            </w:r>
            <w:r>
              <w:rPr>
                <w:rFonts w:hint="eastAsia" w:ascii="宋体" w:hAnsi="宋体" w:eastAsia="宋体" w:cs="宋体"/>
                <w:b/>
                <w:bCs/>
                <w:color w:val="auto"/>
                <w:sz w:val="20"/>
                <w:szCs w:val="20"/>
              </w:rPr>
              <w:t>产品来源</w:t>
            </w:r>
          </w:p>
          <w:p w14:paraId="772C019C">
            <w:pPr>
              <w:pStyle w:val="6"/>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供应商提供主要施工材料来源渠道合法的证明文件(包括但不限于销售协议、代理协议、原厂授权等)。</w:t>
            </w:r>
          </w:p>
          <w:p w14:paraId="2BF00D71">
            <w:pPr>
              <w:pStyle w:val="10"/>
              <w:numPr>
                <w:ilvl w:val="0"/>
                <w:numId w:val="0"/>
              </w:numPr>
              <w:spacing w:line="240" w:lineRule="auto"/>
              <w:ind w:leftChars="0" w:firstLine="402" w:firstLineChars="200"/>
              <w:rPr>
                <w:rFonts w:hint="eastAsia" w:ascii="宋体" w:hAnsi="宋体" w:eastAsia="宋体" w:cs="宋体"/>
                <w:b/>
                <w:bCs/>
                <w:color w:val="auto"/>
                <w:sz w:val="20"/>
                <w:szCs w:val="20"/>
                <w:lang w:eastAsia="zh-CN"/>
              </w:rPr>
            </w:pPr>
            <w:r>
              <w:rPr>
                <w:rFonts w:hint="eastAsia" w:ascii="宋体" w:hAnsi="宋体" w:eastAsia="宋体" w:cs="宋体"/>
                <w:b/>
                <w:bCs/>
                <w:color w:val="auto"/>
                <w:sz w:val="20"/>
                <w:szCs w:val="20"/>
                <w:lang w:val="en-US" w:eastAsia="zh-CN"/>
              </w:rPr>
              <w:t>2.</w:t>
            </w:r>
            <w:r>
              <w:rPr>
                <w:rFonts w:hint="eastAsia" w:ascii="宋体" w:hAnsi="宋体" w:eastAsia="宋体" w:cs="宋体"/>
                <w:b/>
                <w:bCs/>
                <w:color w:val="auto"/>
                <w:sz w:val="20"/>
                <w:szCs w:val="20"/>
                <w:lang w:eastAsia="zh-CN"/>
              </w:rPr>
              <w:t>质量保证措施</w:t>
            </w:r>
          </w:p>
          <w:p w14:paraId="7E58EA49">
            <w:pPr>
              <w:pStyle w:val="6"/>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①</w:t>
            </w:r>
            <w:r>
              <w:rPr>
                <w:rFonts w:hint="eastAsia" w:ascii="宋体" w:hAnsi="宋体" w:eastAsia="宋体" w:cs="宋体"/>
                <w:color w:val="auto"/>
                <w:sz w:val="20"/>
                <w:szCs w:val="20"/>
                <w:lang w:val="en-US" w:eastAsia="zh-CN"/>
              </w:rPr>
              <w:t>出厂检测：每批次提供原厂质量检测报告及合格证。</w:t>
            </w:r>
          </w:p>
          <w:p w14:paraId="7B6BC33F">
            <w:pPr>
              <w:pStyle w:val="6"/>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②</w:t>
            </w:r>
            <w:r>
              <w:rPr>
                <w:rFonts w:hint="eastAsia" w:ascii="宋体" w:hAnsi="宋体" w:eastAsia="宋体" w:cs="宋体"/>
                <w:color w:val="auto"/>
                <w:sz w:val="20"/>
                <w:szCs w:val="20"/>
                <w:lang w:val="en-US" w:eastAsia="zh-CN"/>
              </w:rPr>
              <w:t>质量承诺：提供5年以上质量承诺，终身维护服务。</w:t>
            </w:r>
          </w:p>
          <w:p w14:paraId="12E5AA4F">
            <w:pPr>
              <w:pStyle w:val="6"/>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③可追溯性</w:t>
            </w:r>
            <w:r>
              <w:rPr>
                <w:rFonts w:hint="eastAsia" w:ascii="宋体" w:hAnsi="宋体" w:eastAsia="宋体" w:cs="宋体"/>
                <w:color w:val="auto"/>
                <w:sz w:val="20"/>
                <w:szCs w:val="20"/>
                <w:lang w:val="en-US" w:eastAsia="zh-CN"/>
              </w:rPr>
              <w:t>：</w:t>
            </w:r>
            <w:r>
              <w:rPr>
                <w:rFonts w:hint="default" w:ascii="宋体" w:hAnsi="宋体" w:eastAsia="宋体" w:cs="宋体"/>
                <w:color w:val="auto"/>
                <w:sz w:val="20"/>
                <w:szCs w:val="20"/>
                <w:lang w:val="en-US" w:eastAsia="zh-CN"/>
              </w:rPr>
              <w:t>材料包装需标注合格证、生产批次、生产日期及生产厂家信息。</w:t>
            </w:r>
          </w:p>
          <w:p w14:paraId="48D34389">
            <w:pPr>
              <w:numPr>
                <w:ilvl w:val="0"/>
                <w:numId w:val="0"/>
              </w:numPr>
              <w:spacing w:line="360" w:lineRule="auto"/>
              <w:ind w:leftChars="0"/>
              <w:jc w:val="both"/>
              <w:rPr>
                <w:rFonts w:hint="eastAsia"/>
                <w:b/>
                <w:bCs/>
                <w:color w:val="auto"/>
                <w:sz w:val="20"/>
                <w:szCs w:val="20"/>
                <w:lang w:val="en-US" w:eastAsia="zh-CN"/>
              </w:rPr>
            </w:pPr>
            <w:r>
              <w:rPr>
                <w:rFonts w:hint="eastAsia"/>
                <w:b/>
                <w:bCs/>
                <w:color w:val="auto"/>
                <w:sz w:val="20"/>
                <w:szCs w:val="20"/>
                <w:lang w:val="en-US" w:eastAsia="zh-CN"/>
              </w:rPr>
              <w:t>（四）主材进场检测与施工验收要求</w:t>
            </w:r>
          </w:p>
          <w:p w14:paraId="2E38A508">
            <w:pPr>
              <w:pStyle w:val="10"/>
              <w:numPr>
                <w:ilvl w:val="0"/>
                <w:numId w:val="0"/>
              </w:numPr>
              <w:spacing w:line="240" w:lineRule="auto"/>
              <w:ind w:leftChars="0" w:firstLine="402" w:firstLineChars="200"/>
              <w:rPr>
                <w:rFonts w:hint="eastAsia" w:ascii="宋体" w:hAnsi="宋体" w:eastAsia="宋体" w:cs="宋体"/>
                <w:b/>
                <w:bCs/>
                <w:color w:val="auto"/>
                <w:sz w:val="20"/>
                <w:szCs w:val="20"/>
                <w:lang w:eastAsia="zh-CN"/>
              </w:rPr>
            </w:pPr>
            <w:r>
              <w:rPr>
                <w:rFonts w:hint="eastAsia" w:ascii="宋体" w:hAnsi="宋体" w:eastAsia="宋体" w:cs="宋体"/>
                <w:b/>
                <w:bCs/>
                <w:color w:val="auto"/>
                <w:sz w:val="20"/>
                <w:szCs w:val="20"/>
                <w:lang w:val="en-US" w:eastAsia="zh-CN"/>
              </w:rPr>
              <w:t>1.</w:t>
            </w:r>
            <w:r>
              <w:rPr>
                <w:rFonts w:hint="eastAsia" w:ascii="宋体" w:hAnsi="宋体" w:eastAsia="宋体" w:cs="宋体"/>
                <w:b/>
                <w:bCs/>
                <w:color w:val="auto"/>
                <w:sz w:val="20"/>
                <w:szCs w:val="20"/>
                <w:lang w:eastAsia="zh-CN"/>
              </w:rPr>
              <w:t>进场检测</w:t>
            </w:r>
          </w:p>
          <w:p w14:paraId="39AC737A">
            <w:pPr>
              <w:pStyle w:val="6"/>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①</w:t>
            </w:r>
            <w:r>
              <w:rPr>
                <w:rFonts w:hint="eastAsia" w:ascii="宋体" w:hAnsi="宋体" w:eastAsia="宋体" w:cs="宋体"/>
                <w:color w:val="auto"/>
                <w:sz w:val="20"/>
                <w:szCs w:val="20"/>
                <w:lang w:val="en-US" w:eastAsia="zh-CN"/>
              </w:rPr>
              <w:t>文件核验：检查产品合格证、环保认证、材料检测报告。</w:t>
            </w:r>
          </w:p>
          <w:p w14:paraId="01464291">
            <w:pPr>
              <w:pStyle w:val="6"/>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②</w:t>
            </w:r>
            <w:r>
              <w:rPr>
                <w:rFonts w:hint="eastAsia" w:ascii="宋体" w:hAnsi="宋体" w:eastAsia="宋体" w:cs="宋体"/>
                <w:color w:val="auto"/>
                <w:sz w:val="20"/>
                <w:szCs w:val="20"/>
                <w:lang w:val="en-US" w:eastAsia="zh-CN"/>
              </w:rPr>
              <w:t>物理检测：随机抽取3组样品，委托第三方检测机构复检关键指标。</w:t>
            </w:r>
          </w:p>
          <w:p w14:paraId="1DCA6DFC">
            <w:pPr>
              <w:pStyle w:val="6"/>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③</w:t>
            </w:r>
            <w:r>
              <w:rPr>
                <w:rFonts w:hint="eastAsia" w:ascii="宋体" w:hAnsi="宋体" w:eastAsia="宋体" w:cs="宋体"/>
                <w:color w:val="auto"/>
                <w:sz w:val="20"/>
                <w:szCs w:val="20"/>
                <w:lang w:val="en-US" w:eastAsia="zh-CN"/>
              </w:rPr>
              <w:t>外观检查：观察材料有无结块、分层、变色等异常现象。</w:t>
            </w:r>
          </w:p>
          <w:p w14:paraId="3D79BD13">
            <w:pPr>
              <w:pStyle w:val="6"/>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④</w:t>
            </w:r>
            <w:r>
              <w:rPr>
                <w:rFonts w:hint="eastAsia" w:ascii="宋体" w:hAnsi="宋体" w:eastAsia="宋体" w:cs="宋体"/>
                <w:color w:val="auto"/>
                <w:sz w:val="20"/>
                <w:szCs w:val="20"/>
                <w:lang w:val="en-US" w:eastAsia="zh-CN"/>
              </w:rPr>
              <w:t>质量承诺：提供5年以上质量承诺，终身维护服务。</w:t>
            </w:r>
          </w:p>
          <w:p w14:paraId="42C6D820">
            <w:pPr>
              <w:pStyle w:val="6"/>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⑤</w:t>
            </w:r>
            <w:r>
              <w:rPr>
                <w:rFonts w:hint="eastAsia" w:ascii="宋体" w:hAnsi="宋体" w:eastAsia="宋体" w:cs="宋体"/>
                <w:color w:val="auto"/>
                <w:sz w:val="20"/>
                <w:szCs w:val="20"/>
                <w:lang w:val="en-US" w:eastAsia="zh-CN"/>
              </w:rPr>
              <w:t>可追溯性：材料包装需标注合格证、生产批次、生产日期及生产厂家信息。</w:t>
            </w:r>
          </w:p>
          <w:p w14:paraId="233EC23F">
            <w:pPr>
              <w:pStyle w:val="10"/>
              <w:numPr>
                <w:ilvl w:val="0"/>
                <w:numId w:val="0"/>
              </w:numPr>
              <w:spacing w:line="240" w:lineRule="auto"/>
              <w:ind w:leftChars="0" w:firstLine="402" w:firstLineChars="200"/>
              <w:rPr>
                <w:rFonts w:hint="eastAsia" w:ascii="宋体" w:hAnsi="宋体" w:eastAsia="宋体" w:cs="宋体"/>
                <w:b/>
                <w:bCs/>
                <w:color w:val="auto"/>
                <w:sz w:val="20"/>
                <w:szCs w:val="20"/>
                <w:lang w:eastAsia="zh-CN"/>
              </w:rPr>
            </w:pPr>
            <w:r>
              <w:rPr>
                <w:rFonts w:hint="eastAsia" w:ascii="宋体" w:hAnsi="宋体" w:eastAsia="宋体" w:cs="宋体"/>
                <w:b/>
                <w:bCs/>
                <w:color w:val="auto"/>
                <w:sz w:val="20"/>
                <w:szCs w:val="20"/>
                <w:lang w:val="en-US" w:eastAsia="zh-CN"/>
              </w:rPr>
              <w:t>2.</w:t>
            </w:r>
            <w:r>
              <w:rPr>
                <w:rFonts w:hint="eastAsia" w:ascii="宋体" w:hAnsi="宋体" w:eastAsia="宋体" w:cs="宋体"/>
                <w:b/>
                <w:bCs/>
                <w:color w:val="auto"/>
                <w:sz w:val="20"/>
                <w:szCs w:val="20"/>
                <w:lang w:eastAsia="zh-CN"/>
              </w:rPr>
              <w:t>施工过程管控</w:t>
            </w:r>
          </w:p>
          <w:p w14:paraId="66E861AF">
            <w:pPr>
              <w:pStyle w:val="6"/>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①</w:t>
            </w:r>
            <w:r>
              <w:rPr>
                <w:rFonts w:hint="eastAsia" w:ascii="宋体" w:hAnsi="宋体" w:eastAsia="宋体" w:cs="宋体"/>
                <w:color w:val="auto"/>
                <w:sz w:val="20"/>
                <w:szCs w:val="20"/>
                <w:lang w:val="en-US" w:eastAsia="zh-CN"/>
              </w:rPr>
              <w:t>基层验收：基础密实度≥95%，平整度误差≤3mm/3m。</w:t>
            </w:r>
          </w:p>
          <w:p w14:paraId="5CE22C42">
            <w:pPr>
              <w:pStyle w:val="6"/>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②</w:t>
            </w:r>
            <w:r>
              <w:rPr>
                <w:rFonts w:hint="eastAsia" w:ascii="宋体" w:hAnsi="宋体" w:eastAsia="宋体" w:cs="宋体"/>
                <w:color w:val="auto"/>
                <w:sz w:val="20"/>
                <w:szCs w:val="20"/>
                <w:lang w:val="en-US" w:eastAsia="zh-CN"/>
              </w:rPr>
              <w:t>工艺标准</w:t>
            </w:r>
          </w:p>
          <w:p w14:paraId="38E4DC87">
            <w:pPr>
              <w:pStyle w:val="6"/>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底漆层：高强度乳液自流平封底，确保完全封闭沥青基层。</w:t>
            </w:r>
          </w:p>
          <w:p w14:paraId="33AD83F3">
            <w:pPr>
              <w:pStyle w:val="6"/>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弹性层：分次刮涂，总厚度≥6mm</w:t>
            </w:r>
          </w:p>
          <w:p w14:paraId="3991357F">
            <w:pPr>
              <w:pStyle w:val="6"/>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加强层：分次刮涂高强度耐磨层，总厚度≥2mm</w:t>
            </w:r>
          </w:p>
          <w:p w14:paraId="34294132">
            <w:pPr>
              <w:pStyle w:val="6"/>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面层：喷涂或滚涂两遍防滑耐磨面漆。</w:t>
            </w:r>
          </w:p>
          <w:p w14:paraId="5C362BFA">
            <w:pPr>
              <w:pStyle w:val="6"/>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③</w:t>
            </w:r>
            <w:r>
              <w:rPr>
                <w:rFonts w:hint="eastAsia" w:ascii="宋体" w:hAnsi="宋体" w:eastAsia="宋体" w:cs="宋体"/>
                <w:color w:val="auto"/>
                <w:sz w:val="20"/>
                <w:szCs w:val="20"/>
                <w:lang w:val="en-US" w:eastAsia="zh-CN"/>
              </w:rPr>
              <w:t>环境要求：施工温度5-35℃，湿度＜85%，雨天禁止施工。</w:t>
            </w:r>
          </w:p>
          <w:p w14:paraId="2AB235B7">
            <w:pPr>
              <w:pStyle w:val="10"/>
              <w:numPr>
                <w:ilvl w:val="0"/>
                <w:numId w:val="0"/>
              </w:numPr>
              <w:spacing w:line="240" w:lineRule="auto"/>
              <w:ind w:leftChars="0" w:firstLine="402" w:firstLineChars="200"/>
              <w:rPr>
                <w:rFonts w:hint="eastAsia" w:ascii="宋体" w:hAnsi="宋体" w:eastAsia="宋体" w:cs="宋体"/>
                <w:b/>
                <w:bCs/>
                <w:color w:val="auto"/>
                <w:sz w:val="20"/>
                <w:szCs w:val="20"/>
                <w:lang w:eastAsia="zh-CN"/>
              </w:rPr>
            </w:pPr>
            <w:r>
              <w:rPr>
                <w:rFonts w:hint="eastAsia" w:ascii="宋体" w:hAnsi="宋体" w:eastAsia="宋体" w:cs="宋体"/>
                <w:b/>
                <w:bCs/>
                <w:color w:val="auto"/>
                <w:sz w:val="20"/>
                <w:szCs w:val="20"/>
                <w:lang w:val="en-US" w:eastAsia="zh-CN"/>
              </w:rPr>
              <w:t>3.</w:t>
            </w:r>
            <w:r>
              <w:rPr>
                <w:rFonts w:hint="eastAsia" w:ascii="宋体" w:hAnsi="宋体" w:eastAsia="宋体" w:cs="宋体"/>
                <w:b/>
                <w:bCs/>
                <w:color w:val="auto"/>
                <w:sz w:val="20"/>
                <w:szCs w:val="20"/>
                <w:lang w:eastAsia="zh-CN"/>
              </w:rPr>
              <w:t>竣工验收</w:t>
            </w:r>
          </w:p>
          <w:p w14:paraId="6E6EE73B">
            <w:pPr>
              <w:pStyle w:val="6"/>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①</w:t>
            </w:r>
            <w:r>
              <w:rPr>
                <w:rFonts w:hint="eastAsia" w:ascii="宋体" w:hAnsi="宋体" w:eastAsia="宋体" w:cs="宋体"/>
                <w:color w:val="auto"/>
                <w:sz w:val="20"/>
                <w:szCs w:val="20"/>
                <w:lang w:val="en-US" w:eastAsia="zh-CN"/>
              </w:rPr>
              <w:t>检测项目：厚度测量（8±0.5mm）、平整度、抗滑值、拉伸强度、环保指标。</w:t>
            </w:r>
          </w:p>
          <w:p w14:paraId="4F6129DE">
            <w:pPr>
              <w:pStyle w:val="6"/>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②</w:t>
            </w:r>
            <w:r>
              <w:rPr>
                <w:rFonts w:hint="eastAsia" w:ascii="宋体" w:hAnsi="宋体" w:eastAsia="宋体" w:cs="宋体"/>
                <w:color w:val="auto"/>
                <w:sz w:val="20"/>
                <w:szCs w:val="20"/>
                <w:lang w:val="en-US" w:eastAsia="zh-CN"/>
              </w:rPr>
              <w:t>验收文件：施工记录、材料检测报告、第三方检测机构出具的验收合格证明。</w:t>
            </w:r>
          </w:p>
          <w:p w14:paraId="05014BC5">
            <w:pPr>
              <w:pStyle w:val="6"/>
              <w:keepNext w:val="0"/>
              <w:keepLines w:val="0"/>
              <w:pageBreakBefore w:val="0"/>
              <w:widowControl/>
              <w:kinsoku/>
              <w:wordWrap/>
              <w:overflowPunct/>
              <w:topLinePunct w:val="0"/>
              <w:autoSpaceDE/>
              <w:autoSpaceDN/>
              <w:bidi w:val="0"/>
              <w:adjustRightInd/>
              <w:snapToGrid/>
              <w:ind w:firstLine="402" w:firstLineChars="200"/>
              <w:jc w:val="left"/>
              <w:textAlignment w:val="auto"/>
              <w:rPr>
                <w:rFonts w:hint="eastAsia" w:ascii="宋体" w:hAnsi="宋体" w:eastAsia="宋体" w:cs="宋体"/>
                <w:color w:val="auto"/>
                <w:sz w:val="20"/>
                <w:szCs w:val="20"/>
                <w:lang w:val="en-US" w:eastAsia="zh-CN"/>
              </w:rPr>
            </w:pPr>
            <w:r>
              <w:rPr>
                <w:rFonts w:hint="eastAsia" w:ascii="宋体" w:hAnsi="宋体" w:eastAsia="宋体" w:cs="宋体"/>
                <w:b/>
                <w:bCs/>
                <w:color w:val="auto"/>
                <w:sz w:val="20"/>
                <w:szCs w:val="20"/>
                <w:lang w:val="en-US" w:eastAsia="zh-CN"/>
              </w:rPr>
              <w:t>（五）</w:t>
            </w:r>
            <w:r>
              <w:rPr>
                <w:rFonts w:hint="eastAsia" w:ascii="宋体" w:hAnsi="宋体" w:eastAsia="宋体" w:cs="宋体"/>
                <w:color w:val="auto"/>
                <w:sz w:val="20"/>
                <w:szCs w:val="20"/>
                <w:lang w:val="en-US" w:eastAsia="zh-CN"/>
              </w:rPr>
              <w:t>工程施工应按国家现行标准和相应的行业技术规范执行，这些标准和技术规范应为合同签订日为止最新公布发行的标准和技术规范，包括但不限于国标GB36246-2018《中小学合成材料面层运动场地》、GB/T14833-2020《合成材料运动场地面层》。工程质量须符合国家施工验收规范要求，达到合格标准。</w:t>
            </w:r>
          </w:p>
          <w:p w14:paraId="5B7E5FCE">
            <w:pPr>
              <w:pStyle w:val="6"/>
              <w:keepNext w:val="0"/>
              <w:keepLines w:val="0"/>
              <w:pageBreakBefore w:val="0"/>
              <w:widowControl/>
              <w:kinsoku/>
              <w:wordWrap/>
              <w:overflowPunct/>
              <w:topLinePunct w:val="0"/>
              <w:autoSpaceDE/>
              <w:autoSpaceDN/>
              <w:bidi w:val="0"/>
              <w:adjustRightInd/>
              <w:snapToGrid/>
              <w:ind w:firstLine="402" w:firstLineChars="200"/>
              <w:jc w:val="left"/>
              <w:textAlignment w:val="auto"/>
              <w:rPr>
                <w:rFonts w:hint="default" w:ascii="宋体" w:hAnsi="宋体" w:eastAsia="宋体" w:cs="宋体"/>
                <w:color w:val="auto"/>
                <w:sz w:val="20"/>
                <w:szCs w:val="20"/>
                <w:lang w:val="en-US" w:eastAsia="zh-CN"/>
              </w:rPr>
            </w:pPr>
            <w:r>
              <w:rPr>
                <w:rFonts w:hint="eastAsia" w:ascii="宋体" w:hAnsi="宋体" w:eastAsia="宋体" w:cs="宋体"/>
                <w:b/>
                <w:bCs/>
                <w:color w:val="auto"/>
                <w:sz w:val="20"/>
                <w:szCs w:val="20"/>
                <w:lang w:val="en-US" w:eastAsia="zh-CN"/>
              </w:rPr>
              <w:t>（六）</w:t>
            </w:r>
            <w:r>
              <w:rPr>
                <w:rFonts w:hint="eastAsia" w:ascii="宋体" w:hAnsi="宋体" w:eastAsia="宋体" w:cs="宋体"/>
                <w:color w:val="auto"/>
                <w:sz w:val="20"/>
                <w:szCs w:val="20"/>
                <w:lang w:val="en-US" w:eastAsia="zh-CN"/>
              </w:rPr>
              <w:t>施工中，对不拆除的设施需进行有效保护，部分设施拆除、待恢复的按保护性拆除，其保护及恢复等相关费用计入施工工程。如因措施不到位，或保护不到位，造成的损失及恢复费用由施工单位承担。</w:t>
            </w:r>
          </w:p>
        </w:tc>
      </w:tr>
      <w:tr w14:paraId="1B1989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01" w:hRule="atLeast"/>
        </w:trPr>
        <w:tc>
          <w:tcPr>
            <w:tcW w:w="766" w:type="dxa"/>
            <w:vAlign w:val="center"/>
          </w:tcPr>
          <w:p w14:paraId="75439446">
            <w:pPr>
              <w:pStyle w:val="6"/>
              <w:jc w:val="center"/>
              <w:rPr>
                <w:rFonts w:hint="eastAsia" w:ascii="宋体" w:hAnsi="宋体" w:eastAsia="宋体" w:cs="宋体"/>
                <w:color w:val="auto"/>
                <w:sz w:val="20"/>
                <w:szCs w:val="20"/>
              </w:rPr>
            </w:pPr>
          </w:p>
        </w:tc>
        <w:tc>
          <w:tcPr>
            <w:tcW w:w="792" w:type="dxa"/>
            <w:vAlign w:val="center"/>
          </w:tcPr>
          <w:p w14:paraId="5B9C0A33">
            <w:pPr>
              <w:jc w:val="center"/>
              <w:rPr>
                <w:rFonts w:hint="eastAsia" w:ascii="宋体" w:hAnsi="宋体" w:eastAsia="宋体" w:cs="宋体"/>
                <w:color w:val="auto"/>
                <w:sz w:val="20"/>
                <w:szCs w:val="20"/>
              </w:rPr>
            </w:pPr>
          </w:p>
        </w:tc>
        <w:tc>
          <w:tcPr>
            <w:tcW w:w="8941" w:type="dxa"/>
            <w:vAlign w:val="center"/>
          </w:tcPr>
          <w:p w14:paraId="68971B43">
            <w:pPr>
              <w:pStyle w:val="6"/>
              <w:jc w:val="left"/>
              <w:rPr>
                <w:rFonts w:hint="default" w:ascii="宋体" w:hAnsi="宋体" w:eastAsia="宋体" w:cs="宋体"/>
                <w:b/>
                <w:bCs/>
                <w:color w:val="auto"/>
                <w:sz w:val="20"/>
                <w:szCs w:val="20"/>
                <w:lang w:val="en-US" w:eastAsia="zh-CN"/>
              </w:rPr>
            </w:pPr>
            <w:r>
              <w:rPr>
                <w:rFonts w:hint="eastAsia" w:ascii="宋体" w:hAnsi="宋体" w:eastAsia="宋体" w:cs="宋体"/>
                <w:b/>
                <w:bCs/>
                <w:color w:val="auto"/>
                <w:sz w:val="20"/>
                <w:szCs w:val="20"/>
                <w:lang w:val="en-US" w:eastAsia="zh-CN"/>
              </w:rPr>
              <w:t>七、</w:t>
            </w:r>
            <w:r>
              <w:rPr>
                <w:rFonts w:hint="default" w:ascii="宋体" w:hAnsi="宋体" w:eastAsia="宋体" w:cs="宋体"/>
                <w:b/>
                <w:bCs/>
                <w:color w:val="auto"/>
                <w:sz w:val="20"/>
                <w:szCs w:val="20"/>
                <w:lang w:val="en-US" w:eastAsia="zh-CN"/>
              </w:rPr>
              <w:t>付款方式：</w:t>
            </w:r>
          </w:p>
          <w:p w14:paraId="44A07142">
            <w:pPr>
              <w:pStyle w:val="6"/>
              <w:jc w:val="left"/>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合同签订、</w:t>
            </w:r>
            <w:r>
              <w:rPr>
                <w:rFonts w:hint="eastAsia" w:ascii="宋体" w:hAnsi="宋体" w:eastAsia="宋体" w:cs="宋体"/>
                <w:color w:val="auto"/>
                <w:sz w:val="20"/>
                <w:szCs w:val="20"/>
                <w:lang w:val="en-US" w:eastAsia="zh-CN"/>
              </w:rPr>
              <w:t>供应商</w:t>
            </w:r>
            <w:r>
              <w:rPr>
                <w:rFonts w:hint="default" w:ascii="宋体" w:hAnsi="宋体" w:eastAsia="宋体" w:cs="宋体"/>
                <w:color w:val="auto"/>
                <w:sz w:val="20"/>
                <w:szCs w:val="20"/>
                <w:lang w:val="en-US" w:eastAsia="zh-CN"/>
              </w:rPr>
              <w:t>进场后，支付合同价款的40%预付款，工程完工并经学校现场管理人员初验合格后，支付至合同价款的80%</w:t>
            </w:r>
            <w:r>
              <w:rPr>
                <w:rFonts w:hint="eastAsia" w:ascii="宋体" w:hAnsi="宋体" w:eastAsia="宋体" w:cs="宋体"/>
                <w:color w:val="auto"/>
                <w:sz w:val="20"/>
                <w:szCs w:val="20"/>
                <w:lang w:val="en-US" w:eastAsia="zh-CN"/>
              </w:rPr>
              <w:t>，</w:t>
            </w:r>
            <w:r>
              <w:rPr>
                <w:rFonts w:hint="default" w:ascii="宋体" w:hAnsi="宋体" w:eastAsia="宋体" w:cs="宋体"/>
                <w:color w:val="auto"/>
                <w:sz w:val="20"/>
                <w:szCs w:val="20"/>
                <w:lang w:val="en-US" w:eastAsia="zh-CN"/>
              </w:rPr>
              <w:t>工程竣工验收合格后，结算经甲方审定、资料归档后，支付剩余全部工程款。</w:t>
            </w:r>
          </w:p>
        </w:tc>
      </w:tr>
      <w:tr w14:paraId="371A32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6" w:hRule="atLeast"/>
        </w:trPr>
        <w:tc>
          <w:tcPr>
            <w:tcW w:w="766" w:type="dxa"/>
            <w:vAlign w:val="center"/>
          </w:tcPr>
          <w:p w14:paraId="2C7167BF">
            <w:pPr>
              <w:pStyle w:val="6"/>
              <w:jc w:val="center"/>
              <w:rPr>
                <w:rFonts w:hint="eastAsia" w:ascii="宋体" w:hAnsi="宋体" w:eastAsia="宋体" w:cs="宋体"/>
                <w:color w:val="auto"/>
                <w:sz w:val="20"/>
                <w:szCs w:val="20"/>
              </w:rPr>
            </w:pPr>
          </w:p>
        </w:tc>
        <w:tc>
          <w:tcPr>
            <w:tcW w:w="792" w:type="dxa"/>
            <w:vAlign w:val="center"/>
          </w:tcPr>
          <w:p w14:paraId="7ABA745C">
            <w:pPr>
              <w:jc w:val="center"/>
              <w:rPr>
                <w:rFonts w:hint="eastAsia" w:ascii="宋体" w:hAnsi="宋体" w:eastAsia="宋体" w:cs="宋体"/>
                <w:color w:val="auto"/>
                <w:sz w:val="20"/>
                <w:szCs w:val="20"/>
              </w:rPr>
            </w:pPr>
          </w:p>
        </w:tc>
        <w:tc>
          <w:tcPr>
            <w:tcW w:w="8941" w:type="dxa"/>
            <w:vAlign w:val="center"/>
          </w:tcPr>
          <w:p w14:paraId="082B0C57">
            <w:pPr>
              <w:pStyle w:val="6"/>
              <w:numPr>
                <w:ilvl w:val="0"/>
                <w:numId w:val="0"/>
              </w:numPr>
              <w:jc w:val="left"/>
              <w:rPr>
                <w:rFonts w:hint="default" w:ascii="宋体" w:hAnsi="宋体" w:eastAsia="宋体" w:cs="宋体"/>
                <w:color w:val="auto"/>
                <w:sz w:val="20"/>
                <w:szCs w:val="20"/>
                <w:lang w:val="en-US" w:eastAsia="zh-CN"/>
              </w:rPr>
            </w:pPr>
            <w:r>
              <w:rPr>
                <w:rFonts w:hint="eastAsia" w:ascii="宋体" w:hAnsi="宋体" w:eastAsia="宋体" w:cs="宋体"/>
                <w:b/>
                <w:bCs/>
                <w:color w:val="auto"/>
                <w:sz w:val="20"/>
                <w:szCs w:val="20"/>
                <w:lang w:val="en-US" w:eastAsia="zh-CN"/>
              </w:rPr>
              <w:t>八、质量要求：</w:t>
            </w:r>
            <w:r>
              <w:rPr>
                <w:rFonts w:hint="default" w:ascii="宋体" w:hAnsi="宋体" w:eastAsia="宋体" w:cs="宋体"/>
                <w:color w:val="auto"/>
                <w:sz w:val="20"/>
                <w:szCs w:val="20"/>
                <w:lang w:val="en-US" w:eastAsia="zh-CN"/>
              </w:rPr>
              <w:t>合格</w:t>
            </w:r>
          </w:p>
        </w:tc>
      </w:tr>
      <w:tr w14:paraId="76C572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17" w:hRule="atLeast"/>
        </w:trPr>
        <w:tc>
          <w:tcPr>
            <w:tcW w:w="766" w:type="dxa"/>
            <w:vAlign w:val="center"/>
          </w:tcPr>
          <w:p w14:paraId="5B695EFD">
            <w:pPr>
              <w:pStyle w:val="6"/>
              <w:jc w:val="center"/>
              <w:rPr>
                <w:rFonts w:hint="eastAsia" w:ascii="宋体" w:hAnsi="宋体" w:eastAsia="宋体" w:cs="宋体"/>
                <w:color w:val="auto"/>
                <w:sz w:val="20"/>
                <w:szCs w:val="20"/>
              </w:rPr>
            </w:pPr>
          </w:p>
        </w:tc>
        <w:tc>
          <w:tcPr>
            <w:tcW w:w="792" w:type="dxa"/>
            <w:vAlign w:val="center"/>
          </w:tcPr>
          <w:p w14:paraId="72DADE90">
            <w:pPr>
              <w:jc w:val="center"/>
              <w:rPr>
                <w:rFonts w:hint="eastAsia" w:ascii="宋体" w:hAnsi="宋体" w:eastAsia="宋体" w:cs="宋体"/>
                <w:color w:val="auto"/>
                <w:sz w:val="20"/>
                <w:szCs w:val="20"/>
              </w:rPr>
            </w:pPr>
          </w:p>
        </w:tc>
        <w:tc>
          <w:tcPr>
            <w:tcW w:w="8941" w:type="dxa"/>
            <w:vAlign w:val="center"/>
          </w:tcPr>
          <w:p w14:paraId="02F679F0">
            <w:pPr>
              <w:pStyle w:val="6"/>
              <w:numPr>
                <w:ilvl w:val="0"/>
                <w:numId w:val="0"/>
              </w:numPr>
              <w:jc w:val="left"/>
              <w:rPr>
                <w:rFonts w:hint="eastAsia" w:ascii="宋体" w:hAnsi="宋体" w:eastAsia="宋体" w:cs="宋体"/>
                <w:b/>
                <w:bCs/>
                <w:color w:val="auto"/>
                <w:sz w:val="20"/>
                <w:szCs w:val="20"/>
                <w:lang w:val="en-US" w:eastAsia="zh-CN"/>
              </w:rPr>
            </w:pPr>
            <w:r>
              <w:rPr>
                <w:rFonts w:hint="eastAsia" w:ascii="宋体" w:hAnsi="宋体" w:eastAsia="宋体" w:cs="宋体"/>
                <w:b/>
                <w:bCs/>
                <w:color w:val="auto"/>
                <w:sz w:val="20"/>
                <w:szCs w:val="20"/>
                <w:lang w:val="en-US" w:eastAsia="zh-CN"/>
              </w:rPr>
              <w:t>九、其他要求：</w:t>
            </w:r>
          </w:p>
          <w:p w14:paraId="2AFDF483">
            <w:pPr>
              <w:pStyle w:val="6"/>
              <w:numPr>
                <w:ilvl w:val="0"/>
                <w:numId w:val="0"/>
              </w:numPr>
              <w:jc w:val="left"/>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1.施工单位的食宿由施工方自行解决，应遵守</w:t>
            </w:r>
            <w:r>
              <w:rPr>
                <w:rFonts w:hint="default" w:ascii="宋体" w:hAnsi="宋体" w:eastAsia="宋体" w:cs="宋体"/>
                <w:color w:val="auto"/>
                <w:sz w:val="20"/>
                <w:szCs w:val="20"/>
                <w:lang w:val="en-US" w:eastAsia="zh-CN"/>
              </w:rPr>
              <w:t>国家和</w:t>
            </w:r>
            <w:r>
              <w:rPr>
                <w:rFonts w:hint="eastAsia" w:ascii="宋体" w:hAnsi="宋体" w:eastAsia="宋体" w:cs="宋体"/>
                <w:color w:val="auto"/>
                <w:sz w:val="20"/>
                <w:szCs w:val="20"/>
                <w:lang w:val="en-US" w:eastAsia="zh-CN"/>
              </w:rPr>
              <w:t>采购人</w:t>
            </w:r>
            <w:r>
              <w:rPr>
                <w:rFonts w:hint="default" w:ascii="宋体" w:hAnsi="宋体" w:eastAsia="宋体" w:cs="宋体"/>
                <w:color w:val="auto"/>
                <w:sz w:val="20"/>
                <w:szCs w:val="20"/>
                <w:lang w:val="en-US" w:eastAsia="zh-CN"/>
              </w:rPr>
              <w:t>的各项规定，及时至</w:t>
            </w:r>
            <w:r>
              <w:rPr>
                <w:rFonts w:hint="eastAsia" w:ascii="宋体" w:hAnsi="宋体" w:eastAsia="宋体" w:cs="宋体"/>
                <w:color w:val="auto"/>
                <w:sz w:val="20"/>
                <w:szCs w:val="20"/>
                <w:lang w:val="en-US" w:eastAsia="zh-CN"/>
              </w:rPr>
              <w:t>采购人</w:t>
            </w:r>
            <w:r>
              <w:rPr>
                <w:rFonts w:hint="default" w:ascii="宋体" w:hAnsi="宋体" w:eastAsia="宋体" w:cs="宋体"/>
                <w:color w:val="auto"/>
                <w:sz w:val="20"/>
                <w:szCs w:val="20"/>
                <w:lang w:val="en-US" w:eastAsia="zh-CN"/>
              </w:rPr>
              <w:t>保卫处办理入校相关手续，施工期间的所有安全问题及由此而发生的各种费用由施工单位全部负责和承担。</w:t>
            </w:r>
          </w:p>
          <w:p w14:paraId="657DD1F0">
            <w:pPr>
              <w:pStyle w:val="6"/>
              <w:numPr>
                <w:ilvl w:val="0"/>
                <w:numId w:val="0"/>
              </w:numPr>
              <w:jc w:val="left"/>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2.严格按照原设计图纸进行施工，不得私自变更；如因</w:t>
            </w:r>
            <w:r>
              <w:rPr>
                <w:rFonts w:hint="eastAsia" w:ascii="宋体" w:hAnsi="宋体" w:eastAsia="宋体" w:cs="宋体"/>
                <w:color w:val="auto"/>
                <w:sz w:val="20"/>
                <w:szCs w:val="20"/>
                <w:lang w:val="en-US" w:eastAsia="zh-CN"/>
              </w:rPr>
              <w:t>采购人</w:t>
            </w:r>
            <w:r>
              <w:rPr>
                <w:rFonts w:hint="default" w:ascii="宋体" w:hAnsi="宋体" w:eastAsia="宋体" w:cs="宋体"/>
                <w:color w:val="auto"/>
                <w:sz w:val="20"/>
                <w:szCs w:val="20"/>
                <w:lang w:val="en-US" w:eastAsia="zh-CN"/>
              </w:rPr>
              <w:t>要求和现场情况需要变更签证，需严格按照</w:t>
            </w:r>
            <w:r>
              <w:rPr>
                <w:rFonts w:hint="eastAsia" w:ascii="宋体" w:hAnsi="宋体" w:eastAsia="宋体" w:cs="宋体"/>
                <w:color w:val="auto"/>
                <w:sz w:val="20"/>
                <w:szCs w:val="20"/>
                <w:lang w:val="en-US" w:eastAsia="zh-CN"/>
              </w:rPr>
              <w:t>采购人</w:t>
            </w:r>
            <w:r>
              <w:rPr>
                <w:rFonts w:hint="default" w:ascii="宋体" w:hAnsi="宋体" w:eastAsia="宋体" w:cs="宋体"/>
                <w:color w:val="auto"/>
                <w:sz w:val="20"/>
                <w:szCs w:val="20"/>
                <w:lang w:val="en-US" w:eastAsia="zh-CN"/>
              </w:rPr>
              <w:t>签证变更管理办法相关程序申报；</w:t>
            </w:r>
          </w:p>
          <w:p w14:paraId="30067222">
            <w:pPr>
              <w:pStyle w:val="6"/>
              <w:numPr>
                <w:ilvl w:val="0"/>
                <w:numId w:val="0"/>
              </w:numPr>
              <w:jc w:val="left"/>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3.施工产生的电费和水费由采购人安装电表和水表计量，水费5.80元/吨，电费0.80元/度，成交供应商每次申请支付进度款前先向采购人缴纳水电费。</w:t>
            </w:r>
          </w:p>
          <w:p w14:paraId="50545A70">
            <w:pPr>
              <w:pStyle w:val="6"/>
              <w:numPr>
                <w:ilvl w:val="0"/>
                <w:numId w:val="0"/>
              </w:numPr>
              <w:jc w:val="left"/>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4.施工单</w:t>
            </w:r>
            <w:r>
              <w:rPr>
                <w:rFonts w:hint="default" w:ascii="宋体" w:hAnsi="宋体" w:eastAsia="宋体" w:cs="宋体"/>
                <w:color w:val="auto"/>
                <w:sz w:val="20"/>
                <w:szCs w:val="20"/>
                <w:lang w:val="en-US" w:eastAsia="zh-CN"/>
              </w:rPr>
              <w:t>位必须按照</w:t>
            </w:r>
            <w:r>
              <w:rPr>
                <w:rFonts w:hint="eastAsia" w:ascii="宋体" w:hAnsi="宋体" w:eastAsia="宋体" w:cs="宋体"/>
                <w:color w:val="auto"/>
                <w:sz w:val="20"/>
                <w:szCs w:val="20"/>
                <w:lang w:val="en-US" w:eastAsia="zh-CN"/>
              </w:rPr>
              <w:t>采购人</w:t>
            </w:r>
            <w:r>
              <w:rPr>
                <w:rFonts w:hint="default" w:ascii="宋体" w:hAnsi="宋体" w:eastAsia="宋体" w:cs="宋体"/>
                <w:color w:val="auto"/>
                <w:sz w:val="20"/>
                <w:szCs w:val="20"/>
                <w:lang w:val="en-US" w:eastAsia="zh-CN"/>
              </w:rPr>
              <w:t>要求，严格按照工期要求保质保量完成工程；若延误工期，每日按照合同总额的千分之五处罚（若因天气等不可抗力因素导致延误，需作书面说明）。</w:t>
            </w:r>
          </w:p>
          <w:p w14:paraId="4C77A74D">
            <w:pPr>
              <w:pStyle w:val="6"/>
              <w:numPr>
                <w:ilvl w:val="0"/>
                <w:numId w:val="0"/>
              </w:numPr>
              <w:jc w:val="left"/>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5.确定</w:t>
            </w:r>
            <w:r>
              <w:rPr>
                <w:rFonts w:hint="eastAsia" w:ascii="宋体" w:hAnsi="宋体" w:eastAsia="宋体" w:cs="宋体"/>
                <w:color w:val="auto"/>
                <w:sz w:val="20"/>
                <w:szCs w:val="20"/>
                <w:lang w:val="en-US" w:eastAsia="zh-CN"/>
              </w:rPr>
              <w:t>成交供应商</w:t>
            </w:r>
            <w:r>
              <w:rPr>
                <w:rFonts w:hint="default" w:ascii="宋体" w:hAnsi="宋体" w:eastAsia="宋体" w:cs="宋体"/>
                <w:color w:val="auto"/>
                <w:sz w:val="20"/>
                <w:szCs w:val="20"/>
                <w:lang w:val="en-US" w:eastAsia="zh-CN"/>
              </w:rPr>
              <w:t>后，由现场负责人组织工程技术交底会，同时签订合同。</w:t>
            </w:r>
            <w:r>
              <w:rPr>
                <w:rFonts w:hint="eastAsia" w:ascii="宋体" w:hAnsi="宋体" w:eastAsia="宋体" w:cs="宋体"/>
                <w:color w:val="auto"/>
                <w:sz w:val="20"/>
                <w:szCs w:val="20"/>
                <w:lang w:val="en-US" w:eastAsia="zh-CN"/>
              </w:rPr>
              <w:t>成交供应商</w:t>
            </w:r>
            <w:r>
              <w:rPr>
                <w:rFonts w:hint="default" w:ascii="宋体" w:hAnsi="宋体" w:eastAsia="宋体" w:cs="宋体"/>
                <w:color w:val="auto"/>
                <w:sz w:val="20"/>
                <w:szCs w:val="20"/>
                <w:lang w:val="en-US" w:eastAsia="zh-CN"/>
              </w:rPr>
              <w:t>在规定的时间内未签署合同或不遵守</w:t>
            </w:r>
            <w:r>
              <w:rPr>
                <w:rFonts w:hint="eastAsia" w:ascii="宋体" w:hAnsi="宋体" w:eastAsia="宋体" w:cs="宋体"/>
                <w:color w:val="auto"/>
                <w:sz w:val="20"/>
                <w:szCs w:val="20"/>
                <w:lang w:val="en-US" w:eastAsia="zh-CN"/>
              </w:rPr>
              <w:t>招标采购</w:t>
            </w:r>
            <w:r>
              <w:rPr>
                <w:rFonts w:hint="default" w:ascii="宋体" w:hAnsi="宋体" w:eastAsia="宋体" w:cs="宋体"/>
                <w:color w:val="auto"/>
                <w:sz w:val="20"/>
                <w:szCs w:val="20"/>
                <w:lang w:val="en-US" w:eastAsia="zh-CN"/>
              </w:rPr>
              <w:t>要求，采购人有权取消其</w:t>
            </w:r>
            <w:r>
              <w:rPr>
                <w:rFonts w:hint="eastAsia" w:ascii="宋体" w:hAnsi="宋体" w:eastAsia="宋体" w:cs="宋体"/>
                <w:color w:val="auto"/>
                <w:sz w:val="20"/>
                <w:szCs w:val="20"/>
                <w:lang w:val="en-US" w:eastAsia="zh-CN"/>
              </w:rPr>
              <w:t>成交</w:t>
            </w:r>
            <w:r>
              <w:rPr>
                <w:rFonts w:hint="default" w:ascii="宋体" w:hAnsi="宋体" w:eastAsia="宋体" w:cs="宋体"/>
                <w:color w:val="auto"/>
                <w:sz w:val="20"/>
                <w:szCs w:val="20"/>
                <w:lang w:val="en-US" w:eastAsia="zh-CN"/>
              </w:rPr>
              <w:t>资格，并将</w:t>
            </w:r>
            <w:r>
              <w:rPr>
                <w:rFonts w:hint="eastAsia" w:ascii="宋体" w:hAnsi="宋体" w:eastAsia="宋体" w:cs="宋体"/>
                <w:color w:val="auto"/>
                <w:sz w:val="20"/>
                <w:szCs w:val="20"/>
                <w:lang w:val="en-US" w:eastAsia="zh-CN"/>
              </w:rPr>
              <w:t>成交</w:t>
            </w:r>
            <w:r>
              <w:rPr>
                <w:rFonts w:hint="default" w:ascii="宋体" w:hAnsi="宋体" w:eastAsia="宋体" w:cs="宋体"/>
                <w:color w:val="auto"/>
                <w:sz w:val="20"/>
                <w:szCs w:val="20"/>
                <w:lang w:val="en-US" w:eastAsia="zh-CN"/>
              </w:rPr>
              <w:t>资格授予备选的</w:t>
            </w:r>
            <w:r>
              <w:rPr>
                <w:rFonts w:hint="eastAsia" w:ascii="宋体" w:hAnsi="宋体" w:eastAsia="宋体" w:cs="宋体"/>
                <w:color w:val="auto"/>
                <w:sz w:val="20"/>
                <w:szCs w:val="20"/>
                <w:lang w:val="en-US" w:eastAsia="zh-CN"/>
              </w:rPr>
              <w:t>第二成交候选供应商</w:t>
            </w:r>
            <w:r>
              <w:rPr>
                <w:rFonts w:hint="eastAsia"/>
                <w:color w:val="auto"/>
                <w:lang w:val="en-US" w:eastAsia="zh-CN"/>
              </w:rPr>
              <w:t>或重新组织采购活动。</w:t>
            </w:r>
          </w:p>
          <w:p w14:paraId="795069DF">
            <w:pPr>
              <w:pStyle w:val="6"/>
              <w:numPr>
                <w:ilvl w:val="0"/>
                <w:numId w:val="0"/>
              </w:numPr>
              <w:jc w:val="left"/>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6.施工前</w:t>
            </w:r>
            <w:r>
              <w:rPr>
                <w:rFonts w:hint="default" w:ascii="宋体" w:hAnsi="宋体" w:eastAsia="宋体" w:cs="宋体"/>
                <w:color w:val="auto"/>
                <w:sz w:val="20"/>
                <w:szCs w:val="20"/>
                <w:lang w:val="en-US" w:eastAsia="zh-CN"/>
              </w:rPr>
              <w:t>，</w:t>
            </w:r>
            <w:r>
              <w:rPr>
                <w:rFonts w:hint="eastAsia" w:ascii="宋体" w:hAnsi="宋体" w:eastAsia="宋体" w:cs="宋体"/>
                <w:color w:val="auto"/>
                <w:sz w:val="20"/>
                <w:szCs w:val="20"/>
                <w:lang w:val="en-US" w:eastAsia="zh-CN"/>
              </w:rPr>
              <w:t>成交供应商</w:t>
            </w:r>
            <w:r>
              <w:rPr>
                <w:rFonts w:hint="default" w:ascii="宋体" w:hAnsi="宋体" w:eastAsia="宋体" w:cs="宋体"/>
                <w:color w:val="auto"/>
                <w:sz w:val="20"/>
                <w:szCs w:val="20"/>
                <w:lang w:val="en-US" w:eastAsia="zh-CN"/>
              </w:rPr>
              <w:t>应向</w:t>
            </w:r>
            <w:r>
              <w:rPr>
                <w:rFonts w:hint="eastAsia" w:ascii="宋体" w:hAnsi="宋体" w:eastAsia="宋体" w:cs="宋体"/>
                <w:color w:val="auto"/>
                <w:sz w:val="20"/>
                <w:szCs w:val="20"/>
                <w:lang w:val="en-US" w:eastAsia="zh-CN"/>
              </w:rPr>
              <w:t>采购人</w:t>
            </w:r>
            <w:r>
              <w:rPr>
                <w:rFonts w:hint="default" w:ascii="宋体" w:hAnsi="宋体" w:eastAsia="宋体" w:cs="宋体"/>
                <w:color w:val="auto"/>
                <w:sz w:val="20"/>
                <w:szCs w:val="20"/>
                <w:lang w:val="en-US" w:eastAsia="zh-CN"/>
              </w:rPr>
              <w:t>提交项目人员安排、进度计划表、安全措施、材料采购计划等（与</w:t>
            </w:r>
            <w:r>
              <w:rPr>
                <w:rFonts w:hint="eastAsia" w:ascii="宋体" w:hAnsi="宋体" w:eastAsia="宋体" w:cs="宋体"/>
                <w:color w:val="auto"/>
                <w:sz w:val="20"/>
                <w:szCs w:val="20"/>
                <w:lang w:val="en-US" w:eastAsia="zh-CN"/>
              </w:rPr>
              <w:t>响应</w:t>
            </w:r>
            <w:r>
              <w:rPr>
                <w:rFonts w:hint="default" w:ascii="宋体" w:hAnsi="宋体" w:eastAsia="宋体" w:cs="宋体"/>
                <w:color w:val="auto"/>
                <w:sz w:val="20"/>
                <w:szCs w:val="20"/>
                <w:lang w:val="en-US" w:eastAsia="zh-CN"/>
              </w:rPr>
              <w:t>文件一致），如有变动，应做书面说明并经</w:t>
            </w:r>
            <w:r>
              <w:rPr>
                <w:rFonts w:hint="eastAsia" w:ascii="宋体" w:hAnsi="宋体" w:eastAsia="宋体" w:cs="宋体"/>
                <w:color w:val="auto"/>
                <w:sz w:val="20"/>
                <w:szCs w:val="20"/>
                <w:lang w:val="en-US" w:eastAsia="zh-CN"/>
              </w:rPr>
              <w:t>采购人</w:t>
            </w:r>
            <w:r>
              <w:rPr>
                <w:rFonts w:hint="default" w:ascii="宋体" w:hAnsi="宋体" w:eastAsia="宋体" w:cs="宋体"/>
                <w:color w:val="auto"/>
                <w:sz w:val="20"/>
                <w:szCs w:val="20"/>
                <w:lang w:val="en-US" w:eastAsia="zh-CN"/>
              </w:rPr>
              <w:t>认可。</w:t>
            </w:r>
          </w:p>
          <w:p w14:paraId="2D400C4A">
            <w:pPr>
              <w:pStyle w:val="6"/>
              <w:numPr>
                <w:ilvl w:val="0"/>
                <w:numId w:val="0"/>
              </w:numPr>
              <w:jc w:val="left"/>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7.施工过程中，施工单位必须严格按照</w:t>
            </w:r>
            <w:r>
              <w:rPr>
                <w:rFonts w:hint="eastAsia" w:ascii="宋体" w:hAnsi="宋体" w:eastAsia="宋体" w:cs="宋体"/>
                <w:color w:val="auto"/>
                <w:sz w:val="20"/>
                <w:szCs w:val="20"/>
                <w:lang w:val="en-US" w:eastAsia="zh-CN"/>
              </w:rPr>
              <w:t>磋商</w:t>
            </w:r>
            <w:r>
              <w:rPr>
                <w:rFonts w:hint="default" w:ascii="宋体" w:hAnsi="宋体" w:eastAsia="宋体" w:cs="宋体"/>
                <w:color w:val="auto"/>
                <w:sz w:val="20"/>
                <w:szCs w:val="20"/>
                <w:lang w:val="en-US" w:eastAsia="zh-CN"/>
              </w:rPr>
              <w:t>文件技术要求施工，服从现场负责人安排，尤其对隐蔽工程、主材进场等环节做好记录、验收工作，确保施工质量符合工程施工相关规范。如发现有偷工减料、使用不合格的建筑材料等行为的，应立即停工整改，每次按照合同额的百分之一进行罚款，并责令限期整改，承担由此造成的一切损失。</w:t>
            </w:r>
          </w:p>
          <w:p w14:paraId="6EAD5C1D">
            <w:pPr>
              <w:pStyle w:val="6"/>
              <w:numPr>
                <w:ilvl w:val="0"/>
                <w:numId w:val="0"/>
              </w:numPr>
              <w:jc w:val="left"/>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8.</w:t>
            </w:r>
            <w:r>
              <w:rPr>
                <w:rFonts w:hint="eastAsia" w:ascii="宋体" w:hAnsi="宋体" w:eastAsia="宋体" w:cs="宋体"/>
                <w:color w:val="auto"/>
                <w:sz w:val="20"/>
                <w:szCs w:val="20"/>
                <w:lang w:val="en-US" w:eastAsia="zh-CN"/>
              </w:rPr>
              <w:t>成交供应商</w:t>
            </w:r>
            <w:r>
              <w:rPr>
                <w:rFonts w:hint="default" w:ascii="宋体" w:hAnsi="宋体" w:eastAsia="宋体" w:cs="宋体"/>
                <w:color w:val="auto"/>
                <w:sz w:val="20"/>
                <w:szCs w:val="20"/>
                <w:lang w:val="en-US" w:eastAsia="zh-CN"/>
              </w:rPr>
              <w:t>须严格落实安全协议书相关条款和提交的安全措施，如设置施工安全标志、施工人员佩戴安全防护用品、定期组织安全教育培训等。</w:t>
            </w:r>
          </w:p>
          <w:p w14:paraId="75386E4B">
            <w:pPr>
              <w:pStyle w:val="6"/>
              <w:numPr>
                <w:ilvl w:val="0"/>
                <w:numId w:val="0"/>
              </w:numPr>
              <w:jc w:val="left"/>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9</w:t>
            </w:r>
            <w:r>
              <w:rPr>
                <w:rFonts w:hint="default" w:ascii="宋体" w:hAnsi="宋体" w:eastAsia="宋体" w:cs="宋体"/>
                <w:color w:val="auto"/>
                <w:sz w:val="20"/>
                <w:szCs w:val="20"/>
                <w:lang w:val="en-US" w:eastAsia="zh-CN"/>
              </w:rPr>
              <w:t>.施工前</w:t>
            </w:r>
            <w:r>
              <w:rPr>
                <w:rFonts w:hint="eastAsia"/>
                <w:color w:val="auto"/>
                <w:sz w:val="20"/>
                <w:szCs w:val="20"/>
                <w:lang w:val="en-US" w:eastAsia="zh-CN"/>
              </w:rPr>
              <w:t>施工单位</w:t>
            </w:r>
            <w:r>
              <w:rPr>
                <w:rFonts w:hint="default" w:ascii="宋体" w:hAnsi="宋体" w:eastAsia="宋体" w:cs="宋体"/>
                <w:color w:val="auto"/>
                <w:sz w:val="20"/>
                <w:szCs w:val="20"/>
                <w:lang w:val="en-US" w:eastAsia="zh-CN"/>
              </w:rPr>
              <w:t>要在门口张贴施工告示，明确工期、负责人及联系方式等，工程材料应集中堆放；施工时严格采取措施控制好扬尘、噪音；施工中产生的建筑垃圾应装袋后及时清理。</w:t>
            </w:r>
          </w:p>
        </w:tc>
      </w:tr>
    </w:tbl>
    <w:p w14:paraId="1D689351"/>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6B4373"/>
    <w:rsid w:val="3E6B4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99"/>
    <w:pPr>
      <w:spacing w:before="120" w:after="120"/>
      <w:jc w:val="center"/>
    </w:pPr>
    <w:rPr>
      <w:rFonts w:ascii="Times New Roman" w:hAnsi="Times New Roman" w:eastAsia="黑体" w:cs="Times New Roman"/>
      <w:b/>
      <w:bCs/>
      <w:sz w:val="32"/>
      <w:szCs w:val="32"/>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null3"/>
    <w:hidden/>
    <w:qFormat/>
    <w:uiPriority w:val="0"/>
    <w:rPr>
      <w:rFonts w:hint="eastAsia" w:asciiTheme="minorHAnsi" w:hAnsiTheme="minorHAnsi" w:eastAsiaTheme="minorEastAsia" w:cstheme="minorBidi"/>
      <w:lang w:val="en-US" w:eastAsia="zh-Hans"/>
    </w:rPr>
  </w:style>
  <w:style w:type="character" w:customStyle="1" w:styleId="7">
    <w:name w:val="font101"/>
    <w:basedOn w:val="5"/>
    <w:qFormat/>
    <w:uiPriority w:val="0"/>
    <w:rPr>
      <w:rFonts w:hint="default" w:ascii="Times New Roman" w:hAnsi="Times New Roman" w:cs="Times New Roman"/>
      <w:color w:val="000000"/>
      <w:sz w:val="20"/>
      <w:szCs w:val="20"/>
      <w:u w:val="none"/>
      <w:vertAlign w:val="superscript"/>
    </w:rPr>
  </w:style>
  <w:style w:type="character" w:customStyle="1" w:styleId="8">
    <w:name w:val="font112"/>
    <w:basedOn w:val="5"/>
    <w:qFormat/>
    <w:uiPriority w:val="0"/>
    <w:rPr>
      <w:rFonts w:hint="eastAsia" w:ascii="宋体" w:hAnsi="宋体" w:eastAsia="宋体" w:cs="宋体"/>
      <w:color w:val="000000"/>
      <w:sz w:val="20"/>
      <w:szCs w:val="20"/>
      <w:u w:val="none"/>
      <w:vertAlign w:val="superscript"/>
    </w:rPr>
  </w:style>
  <w:style w:type="character" w:customStyle="1" w:styleId="9">
    <w:name w:val="font121"/>
    <w:basedOn w:val="5"/>
    <w:qFormat/>
    <w:uiPriority w:val="0"/>
    <w:rPr>
      <w:rFonts w:hint="default" w:ascii="Times New Roman" w:hAnsi="Times New Roman" w:cs="Times New Roman"/>
      <w:color w:val="000000"/>
      <w:sz w:val="20"/>
      <w:szCs w:val="20"/>
      <w:u w:val="none"/>
      <w:vertAlign w:val="subscript"/>
    </w:rPr>
  </w:style>
  <w:style w:type="paragraph" w:customStyle="1" w:styleId="10">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2025-07-10T10:07:00Z</dcterms:created>
  <dc:creator>hh</dc:creator>
  <cp:lastModifiedBy>hh</cp:lastModifiedBy>
  <dcterms:modified xsi:type="dcterms:W3CDTF">2025-07-10T10:08:43Z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194FFA7CC6DE481B8F8F308C2D502A83_11</vt:lpwstr>
  </property>
  <property fmtid="{D5CDD505-2E9C-101B-9397-08002B2CF9AE}" pid="4" name="KSOTemplateDocerSaveRecord">
    <vt:lpwstr>eyJoZGlkIjoiMGQ4ZTdmZWNkZThhYzU1MTNmMWJlNWM0M2ExM2M5MDQiLCJ1c2VySWQiOiI1NTQxNTg5NzAifQ==</vt:lpwstr>
  </property>
</Properties>
</file>