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92F9">
      <w:pPr>
        <w:pStyle w:val="3"/>
        <w:spacing w:line="480" w:lineRule="exact"/>
        <w:jc w:val="center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服务内容</w:t>
      </w:r>
    </w:p>
    <w:p w14:paraId="6F883B05"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4"/>
          <w:highlight w:val="none"/>
        </w:rPr>
        <w:t>1.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zCs w:val="24"/>
          <w:highlight w:val="none"/>
        </w:rPr>
        <w:t>项目地点：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泾阳县</w:t>
      </w:r>
    </w:p>
    <w:p w14:paraId="18E7B698">
      <w:pPr>
        <w:spacing w:line="480" w:lineRule="exact"/>
        <w:ind w:firstLine="480" w:firstLineChars="2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2.</w:t>
      </w: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szCs w:val="24"/>
          <w:highlight w:val="none"/>
        </w:rPr>
        <w:t>项目概况：项目北起南环路，南至泾河大道，新建d2000-d2600毫米混凝土雨水管网1654米，d400毫米混凝土污水管网846米。</w:t>
      </w:r>
    </w:p>
    <w:p w14:paraId="536F86FD"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4"/>
          <w:highlight w:val="none"/>
        </w:rPr>
        <w:t>.监理范围：建设工程施工，对项目实施过程进行监督、验收阶段监理及竣工验收资料移交的监理等相关工作。</w:t>
      </w:r>
    </w:p>
    <w:p w14:paraId="1F8C32F6"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4"/>
          <w:highlight w:val="none"/>
        </w:rPr>
        <w:t>.监理内容：</w:t>
      </w:r>
    </w:p>
    <w:p w14:paraId="31932D9F">
      <w:pPr>
        <w:spacing w:line="500" w:lineRule="exact"/>
        <w:ind w:firstLine="480" w:firstLineChars="200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（1）质量控制：必须严格依照国家有关规定，检查施工单位所施工的项目是否符合预定的质量要求，而且整个监理工作中应强调对工程质量的事前控制、事中监管和事后评估。</w:t>
      </w:r>
    </w:p>
    <w:p w14:paraId="7CBCBD98"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（2）进度控制：在工程实施过程中，监理工程师严格按照招标文件、合同、施工进度计划的要求，对施工进度进行跟进，确保整体施工有序进行。确保工程开、竣工时间进度计划按时完成。</w:t>
      </w:r>
    </w:p>
    <w:p w14:paraId="75D3AD0F"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（3）安全目标：不发生人身安全事故；不发生较大机械设备损坏事故；不发生较大火灾事故；不发生负主要责任的较大交通事故；不发生重大跨（坍）塌事故；不发生因工程项目建设而造成的电网停电事故,不发生重大环境污染事故。</w:t>
      </w:r>
    </w:p>
    <w:p w14:paraId="24356CC7">
      <w:pPr>
        <w:tabs>
          <w:tab w:val="left" w:pos="3485"/>
        </w:tabs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（4）监理人员名单组成：要求项目至少有一名总监理及三名辅助监理人员全程跟进，其余人员可根据施工进度派驻合理人数，所有参与监理人员须持证上岗，项目实施过程中，不得更换监理人员。</w:t>
      </w:r>
    </w:p>
    <w:p w14:paraId="38FDC8A0">
      <w:pPr>
        <w:tabs>
          <w:tab w:val="left" w:pos="3485"/>
        </w:tabs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（5）所有程序必须符合国家相关监理规定。</w:t>
      </w:r>
    </w:p>
    <w:p w14:paraId="0F8F224A">
      <w:pPr>
        <w:tabs>
          <w:tab w:val="left" w:pos="3485"/>
        </w:tabs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Cs w:val="24"/>
          <w:highlight w:val="none"/>
        </w:rPr>
      </w:pPr>
    </w:p>
    <w:p w14:paraId="14DAD525">
      <w:pPr>
        <w:tabs>
          <w:tab w:val="left" w:pos="3485"/>
        </w:tabs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注：服务内容为实质性响应，不得负偏离。</w:t>
      </w:r>
    </w:p>
    <w:p w14:paraId="13CEB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4D88"/>
    <w:rsid w:val="1B5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ahoma" w:hAnsi="Tahom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2025-07-16T08:48:00Z</dcterms:created>
  <dc:creator>叶染</dc:creator>
  <cp:lastModifiedBy>叶染</cp:lastModifiedBy>
  <dcterms:modified xsi:type="dcterms:W3CDTF">2025-07-16T08:48:31Z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E8FC3103C5F8402CBB8FEC7CB463F42C_11</vt:lpwstr>
  </property>
  <property fmtid="{D5CDD505-2E9C-101B-9397-08002B2CF9AE}" pid="4" name="KSOTemplateDocerSaveRecord">
    <vt:lpwstr>eyJoZGlkIjoiNmY1NDJlOWE5ZmM4ZjQ2NDQ1NTM2NmI4YmJjZjQ0OWIiLCJ1c2VySWQiOiI5Njc5NTM0ODMifQ==</vt:lpwstr>
  </property>
</Properties>
</file>