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75BA">
      <w:pPr>
        <w:pStyle w:val="10"/>
        <w:outlineLvl w:val="2"/>
        <w:rPr>
          <w:rFonts w:hint="default"/>
        </w:rPr>
      </w:pPr>
      <w:r>
        <w:rPr>
          <w:rFonts w:ascii="仿宋_GB2312" w:hAnsi="仿宋_GB2312" w:eastAsia="仿宋_GB2312" w:cs="仿宋_GB2312"/>
          <w:b/>
          <w:sz w:val="28"/>
        </w:rPr>
        <w:t>3.3技术要求</w:t>
      </w:r>
    </w:p>
    <w:p w14:paraId="5AC4C4EC">
      <w:pPr>
        <w:pStyle w:val="10"/>
        <w:rPr>
          <w:rFonts w:hint="default"/>
        </w:rPr>
      </w:pPr>
      <w:r>
        <w:rPr>
          <w:rFonts w:ascii="仿宋_GB2312" w:hAnsi="仿宋_GB2312" w:eastAsia="仿宋_GB2312" w:cs="仿宋_GB2312"/>
        </w:rPr>
        <w:t>采购包1：</w:t>
      </w:r>
    </w:p>
    <w:p w14:paraId="1F036C63">
      <w:pPr>
        <w:pStyle w:val="10"/>
        <w:rPr>
          <w:rFonts w:hint="default"/>
        </w:rPr>
      </w:pPr>
      <w:r>
        <w:rPr>
          <w:rFonts w:ascii="仿宋_GB2312" w:hAnsi="仿宋_GB2312" w:eastAsia="仿宋_GB2312" w:cs="仿宋_GB2312"/>
        </w:rPr>
        <w:t>标的名称：陕西铁路工程职业技术学院预算绩效一体化系统项目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5"/>
        <w:gridCol w:w="683"/>
        <w:gridCol w:w="6999"/>
      </w:tblGrid>
      <w:tr w14:paraId="6F548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124BD5C4">
            <w:pPr>
              <w:pStyle w:val="10"/>
              <w:rPr>
                <w:rFonts w:hint="default"/>
              </w:rPr>
            </w:pPr>
            <w:r>
              <w:rPr>
                <w:rFonts w:ascii="仿宋_GB2312" w:hAnsi="仿宋_GB2312" w:eastAsia="仿宋_GB2312" w:cs="仿宋_GB2312"/>
              </w:rPr>
              <w:t>序号</w:t>
            </w:r>
          </w:p>
        </w:tc>
        <w:tc>
          <w:tcPr>
            <w:tcW w:w="683" w:type="dxa"/>
          </w:tcPr>
          <w:p w14:paraId="4F64DD08">
            <w:pPr>
              <w:pStyle w:val="10"/>
              <w:rPr>
                <w:rFonts w:hint="default"/>
              </w:rPr>
            </w:pPr>
            <w:r>
              <w:rPr>
                <w:rFonts w:ascii="仿宋_GB2312" w:hAnsi="仿宋_GB2312" w:eastAsia="仿宋_GB2312" w:cs="仿宋_GB2312"/>
              </w:rPr>
              <w:t>参数性质</w:t>
            </w:r>
          </w:p>
        </w:tc>
        <w:tc>
          <w:tcPr>
            <w:tcW w:w="6999" w:type="dxa"/>
          </w:tcPr>
          <w:p w14:paraId="1D490993">
            <w:pPr>
              <w:pStyle w:val="10"/>
              <w:rPr>
                <w:rFonts w:hint="default"/>
              </w:rPr>
            </w:pPr>
            <w:r>
              <w:rPr>
                <w:rFonts w:ascii="仿宋_GB2312" w:hAnsi="仿宋_GB2312" w:eastAsia="仿宋_GB2312" w:cs="仿宋_GB2312"/>
              </w:rPr>
              <w:t xml:space="preserve"> 技术参数与性能指标</w:t>
            </w:r>
          </w:p>
        </w:tc>
      </w:tr>
      <w:tr w14:paraId="7872C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6F646E32">
            <w:pPr>
              <w:pStyle w:val="10"/>
              <w:rPr>
                <w:rFonts w:hint="default"/>
              </w:rPr>
            </w:pPr>
            <w:r>
              <w:rPr>
                <w:rFonts w:ascii="仿宋_GB2312" w:hAnsi="仿宋_GB2312" w:eastAsia="仿宋_GB2312" w:cs="仿宋_GB2312"/>
              </w:rPr>
              <w:t>1</w:t>
            </w:r>
          </w:p>
        </w:tc>
        <w:tc>
          <w:tcPr>
            <w:tcW w:w="683" w:type="dxa"/>
          </w:tcPr>
          <w:p w14:paraId="72FFDBDE"/>
        </w:tc>
        <w:tc>
          <w:tcPr>
            <w:tcW w:w="6999" w:type="dxa"/>
          </w:tcPr>
          <w:p w14:paraId="50A742EE">
            <w:pPr>
              <w:rPr>
                <w:rFonts w:ascii="宋体" w:hAnsi="宋体" w:eastAsia="宋体" w:cs="宋体"/>
                <w:szCs w:val="21"/>
              </w:rPr>
            </w:pPr>
            <w:r>
              <w:rPr>
                <w:rFonts w:hint="eastAsia" w:ascii="宋体" w:hAnsi="宋体" w:eastAsia="宋体" w:cs="宋体"/>
                <w:szCs w:val="21"/>
              </w:rPr>
              <w:t>采购需求概况：</w:t>
            </w:r>
          </w:p>
          <w:p w14:paraId="464EF615">
            <w:pPr>
              <w:rPr>
                <w:rFonts w:ascii="宋体" w:hAnsi="宋体" w:eastAsia="宋体" w:cs="宋体"/>
                <w:szCs w:val="21"/>
              </w:rPr>
            </w:pPr>
            <w:r>
              <w:rPr>
                <w:rFonts w:hint="eastAsia" w:ascii="宋体" w:hAnsi="宋体" w:eastAsia="宋体" w:cs="宋体"/>
                <w:szCs w:val="21"/>
              </w:rPr>
              <w:t>本项目旨在借助信息化手段建立健全学校项目库管理体系和完善预算管理体系，提升学校治理水平和信息化管理水平，具体需求如下：</w:t>
            </w:r>
          </w:p>
          <w:p w14:paraId="450F1032">
            <w:pPr>
              <w:rPr>
                <w:rFonts w:ascii="宋体" w:hAnsi="宋体" w:eastAsia="宋体" w:cs="宋体"/>
                <w:szCs w:val="21"/>
              </w:rPr>
            </w:pPr>
            <w:r>
              <w:rPr>
                <w:rFonts w:hint="eastAsia" w:ascii="宋体" w:hAnsi="宋体" w:eastAsia="宋体" w:cs="宋体"/>
                <w:szCs w:val="21"/>
              </w:rPr>
              <w:t>（1）将学校所有支出以预算项目的形式纳入项目库动态管理，完善以项目库为基础的预算绩效管理机制；</w:t>
            </w:r>
          </w:p>
          <w:p w14:paraId="338F0338">
            <w:pPr>
              <w:rPr>
                <w:rFonts w:ascii="宋体" w:hAnsi="宋体" w:eastAsia="宋体" w:cs="宋体"/>
                <w:szCs w:val="21"/>
              </w:rPr>
            </w:pPr>
            <w:r>
              <w:rPr>
                <w:rFonts w:hint="eastAsia" w:ascii="宋体" w:hAnsi="宋体" w:eastAsia="宋体" w:cs="宋体"/>
                <w:szCs w:val="21"/>
              </w:rPr>
              <w:t xml:space="preserve">（2）支持多级预算编制（部门、项目库、基本、专项等），支持角色权限分级管理（如校领导、部门负责人、经办人等），实现预算申报、分类、汇总、对比全流程线上化；    </w:t>
            </w:r>
          </w:p>
          <w:p w14:paraId="4BF9EFCE">
            <w:pPr>
              <w:rPr>
                <w:rFonts w:ascii="宋体" w:hAnsi="宋体" w:eastAsia="宋体" w:cs="宋体"/>
                <w:szCs w:val="21"/>
              </w:rPr>
            </w:pPr>
            <w:r>
              <w:rPr>
                <w:rFonts w:hint="eastAsia" w:ascii="宋体" w:hAnsi="宋体" w:eastAsia="宋体" w:cs="宋体"/>
                <w:szCs w:val="21"/>
              </w:rPr>
              <w:t xml:space="preserve">（3）支持绩效目标与预算项目联动编制，实现目标量化指标（如产出、效益、满意度等）的合并与跟踪；  </w:t>
            </w:r>
          </w:p>
          <w:p w14:paraId="30CAD31B">
            <w:pPr>
              <w:rPr>
                <w:rFonts w:ascii="宋体" w:hAnsi="宋体" w:eastAsia="宋体" w:cs="宋体"/>
                <w:szCs w:val="21"/>
              </w:rPr>
            </w:pPr>
            <w:r>
              <w:rPr>
                <w:rFonts w:hint="eastAsia" w:ascii="宋体" w:hAnsi="宋体" w:eastAsia="宋体" w:cs="宋体"/>
                <w:szCs w:val="21"/>
              </w:rPr>
              <w:t xml:space="preserve">（4）支持预算数据可视化分析（图表、仪表盘等）；  </w:t>
            </w:r>
          </w:p>
          <w:p w14:paraId="6E57E545">
            <w:pPr>
              <w:rPr>
                <w:rFonts w:ascii="宋体" w:hAnsi="宋体" w:eastAsia="宋体" w:cs="宋体"/>
              </w:rPr>
            </w:pPr>
            <w:r>
              <w:rPr>
                <w:rFonts w:hint="eastAsia" w:ascii="宋体" w:hAnsi="宋体" w:eastAsia="宋体" w:cs="宋体"/>
                <w:szCs w:val="21"/>
              </w:rPr>
              <w:t>（5）与现有财务系统、教务系统、人事系统等实现对接，完成不同数据集之间的互通互算，并支持财政主管部门数据标准，满足上报要求。</w:t>
            </w:r>
          </w:p>
        </w:tc>
      </w:tr>
      <w:tr w14:paraId="01416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33009508">
            <w:pPr>
              <w:pStyle w:val="10"/>
              <w:rPr>
                <w:rFonts w:hint="default"/>
              </w:rPr>
            </w:pPr>
            <w:r>
              <w:rPr>
                <w:rFonts w:ascii="仿宋_GB2312" w:hAnsi="仿宋_GB2312" w:eastAsia="仿宋_GB2312" w:cs="仿宋_GB2312"/>
              </w:rPr>
              <w:t>2</w:t>
            </w:r>
          </w:p>
        </w:tc>
        <w:tc>
          <w:tcPr>
            <w:tcW w:w="683" w:type="dxa"/>
          </w:tcPr>
          <w:p w14:paraId="59196D05"/>
        </w:tc>
        <w:tc>
          <w:tcPr>
            <w:tcW w:w="6999" w:type="dxa"/>
          </w:tcPr>
          <w:p w14:paraId="69344939">
            <w:pPr>
              <w:rPr>
                <w:rFonts w:ascii="宋体" w:hAnsi="宋体" w:eastAsia="宋体" w:cs="宋体"/>
                <w:szCs w:val="21"/>
              </w:rPr>
            </w:pPr>
            <w:r>
              <w:rPr>
                <w:rFonts w:hint="eastAsia" w:ascii="宋体" w:hAnsi="宋体" w:eastAsia="宋体" w:cs="宋体"/>
                <w:szCs w:val="21"/>
              </w:rPr>
              <w:t>项目建设功能目标：</w:t>
            </w:r>
          </w:p>
          <w:p w14:paraId="0B2AD890">
            <w:pPr>
              <w:rPr>
                <w:rFonts w:ascii="宋体" w:hAnsi="宋体" w:eastAsia="宋体" w:cs="宋体"/>
                <w:szCs w:val="21"/>
              </w:rPr>
            </w:pPr>
            <w:r>
              <w:rPr>
                <w:rFonts w:hint="eastAsia" w:ascii="宋体" w:hAnsi="宋体" w:eastAsia="宋体" w:cs="宋体"/>
                <w:szCs w:val="21"/>
              </w:rPr>
              <w:t>（1）通过建立统一信息化平台实现单位内部预算绩效一体化协同管理，解决“财务不懂业务，业务不理解财务”导致的协同困难；</w:t>
            </w:r>
          </w:p>
          <w:p w14:paraId="05C2B1A1">
            <w:pPr>
              <w:rPr>
                <w:rFonts w:ascii="宋体" w:hAnsi="宋体" w:eastAsia="宋体" w:cs="宋体"/>
                <w:szCs w:val="21"/>
              </w:rPr>
            </w:pPr>
            <w:r>
              <w:rPr>
                <w:rFonts w:hint="eastAsia" w:ascii="宋体" w:hAnsi="宋体" w:eastAsia="宋体" w:cs="宋体"/>
                <w:szCs w:val="21"/>
              </w:rPr>
              <w:t>（2）全口径预算资金均可纳入平台，落实预算资金及绩效管理的规范性；</w:t>
            </w:r>
          </w:p>
          <w:p w14:paraId="19253280">
            <w:pPr>
              <w:rPr>
                <w:rFonts w:ascii="宋体" w:hAnsi="宋体" w:eastAsia="宋体" w:cs="宋体"/>
                <w:szCs w:val="21"/>
              </w:rPr>
            </w:pPr>
            <w:r>
              <w:rPr>
                <w:rFonts w:hint="eastAsia" w:ascii="宋体" w:hAnsi="宋体" w:eastAsia="宋体" w:cs="宋体"/>
                <w:szCs w:val="21"/>
              </w:rPr>
              <w:t>（3）提升预算编制的科学化、规范化，服务效率大幅提升，既能够加快资金支付进度，同时实现数据“留痕”便于内控；</w:t>
            </w:r>
          </w:p>
          <w:p w14:paraId="430F1724">
            <w:pPr>
              <w:rPr>
                <w:rFonts w:ascii="宋体" w:hAnsi="宋体" w:eastAsia="宋体" w:cs="宋体"/>
                <w:szCs w:val="21"/>
              </w:rPr>
            </w:pPr>
            <w:r>
              <w:rPr>
                <w:rFonts w:hint="eastAsia" w:ascii="宋体" w:hAnsi="宋体" w:eastAsia="宋体" w:cs="宋体"/>
                <w:szCs w:val="21"/>
              </w:rPr>
              <w:t>（4）提供资金绩效管理工作抓手，各部门绩效申报统一标准，为结果评价及应用提供基础；</w:t>
            </w:r>
          </w:p>
          <w:p w14:paraId="34F79439">
            <w:pPr>
              <w:rPr>
                <w:rFonts w:ascii="宋体" w:hAnsi="宋体" w:eastAsia="宋体" w:cs="宋体"/>
                <w:szCs w:val="21"/>
              </w:rPr>
            </w:pPr>
            <w:r>
              <w:rPr>
                <w:rFonts w:hint="eastAsia" w:ascii="宋体" w:hAnsi="宋体" w:eastAsia="宋体" w:cs="宋体"/>
                <w:szCs w:val="21"/>
              </w:rPr>
              <w:t>（7）建立动态项目库机制、指标库体系，积累专家智力劳动成果及管理成果，总结经验、凝结规律，为后续管理提供依据；</w:t>
            </w:r>
          </w:p>
          <w:p w14:paraId="18FE27E0">
            <w:pPr>
              <w:rPr>
                <w:rFonts w:ascii="宋体" w:hAnsi="宋体" w:eastAsia="宋体" w:cs="宋体"/>
                <w:szCs w:val="21"/>
              </w:rPr>
            </w:pPr>
            <w:r>
              <w:rPr>
                <w:rFonts w:hint="eastAsia" w:ascii="宋体" w:hAnsi="宋体" w:eastAsia="宋体" w:cs="宋体"/>
                <w:szCs w:val="21"/>
              </w:rPr>
              <w:t>（8）建立全面绩效评价体系，自评、单位评价多手段约束控制，辅助实现绩效管理目标；</w:t>
            </w:r>
          </w:p>
          <w:p w14:paraId="3C66FE6A">
            <w:pPr>
              <w:spacing w:line="15" w:lineRule="auto"/>
              <w:rPr>
                <w:rFonts w:ascii="宋体" w:hAnsi="宋体" w:eastAsia="宋体" w:cs="宋体"/>
              </w:rPr>
            </w:pPr>
            <w:r>
              <w:rPr>
                <w:rFonts w:hint="eastAsia" w:ascii="宋体" w:hAnsi="宋体" w:eastAsia="宋体" w:cs="宋体"/>
                <w:szCs w:val="21"/>
              </w:rPr>
              <w:t>（9）提供数据统计及分析手段，对预算资金及使用全过程进行全维度分析对比，解决业务数据与财务数据由于工作维度不同导致的数据查询困难问题，为管理决策提供数据支撑。</w:t>
            </w:r>
          </w:p>
        </w:tc>
      </w:tr>
      <w:tr w14:paraId="158BB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66C2DA53">
            <w:pPr>
              <w:pStyle w:val="10"/>
              <w:rPr>
                <w:rFonts w:hint="default"/>
              </w:rPr>
            </w:pPr>
            <w:r>
              <w:rPr>
                <w:rFonts w:ascii="仿宋_GB2312" w:hAnsi="仿宋_GB2312" w:eastAsia="仿宋_GB2312" w:cs="仿宋_GB2312"/>
              </w:rPr>
              <w:t>3</w:t>
            </w:r>
          </w:p>
        </w:tc>
        <w:tc>
          <w:tcPr>
            <w:tcW w:w="683" w:type="dxa"/>
          </w:tcPr>
          <w:p w14:paraId="4D1B69C4"/>
        </w:tc>
        <w:tc>
          <w:tcPr>
            <w:tcW w:w="6999" w:type="dxa"/>
          </w:tcPr>
          <w:p w14:paraId="7862F7BC">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采购清单及产品主要规格参数、数量；</w:t>
            </w:r>
          </w:p>
          <w:tbl>
            <w:tblPr>
              <w:tblStyle w:val="6"/>
              <w:tblW w:w="6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667"/>
              <w:gridCol w:w="5268"/>
              <w:gridCol w:w="487"/>
            </w:tblGrid>
            <w:tr w14:paraId="72F2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18" w:type="pct"/>
                  <w:shd w:val="clear" w:color="auto" w:fill="F2F2F2"/>
                  <w:vAlign w:val="center"/>
                </w:tcPr>
                <w:p w14:paraId="07C6E9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 号</w:t>
                  </w:r>
                </w:p>
              </w:tc>
              <w:tc>
                <w:tcPr>
                  <w:tcW w:w="486" w:type="pct"/>
                  <w:shd w:val="clear" w:color="auto" w:fill="F2F2F2"/>
                  <w:vAlign w:val="center"/>
                </w:tcPr>
                <w:p w14:paraId="750227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标的名称</w:t>
                  </w:r>
                </w:p>
              </w:tc>
              <w:tc>
                <w:tcPr>
                  <w:tcW w:w="3840" w:type="pct"/>
                  <w:shd w:val="clear" w:color="auto" w:fill="F2F2F2"/>
                  <w:vAlign w:val="center"/>
                </w:tcPr>
                <w:p w14:paraId="6EAD18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具体技术（参数）/服务要求</w:t>
                  </w:r>
                </w:p>
              </w:tc>
              <w:tc>
                <w:tcPr>
                  <w:tcW w:w="355" w:type="pct"/>
                  <w:shd w:val="clear" w:color="auto" w:fill="auto"/>
                  <w:vAlign w:val="center"/>
                </w:tcPr>
                <w:p w14:paraId="01A391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r>
            <w:tr w14:paraId="3A4A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restart"/>
                  <w:shd w:val="clear" w:color="auto" w:fill="auto"/>
                  <w:vAlign w:val="center"/>
                </w:tcPr>
                <w:p w14:paraId="2143DBE5">
                  <w:pPr>
                    <w:jc w:val="center"/>
                    <w:rPr>
                      <w:rFonts w:ascii="宋体" w:hAnsi="宋体" w:eastAsia="宋体" w:cs="宋体"/>
                      <w:color w:val="000000"/>
                      <w:szCs w:val="21"/>
                    </w:rPr>
                  </w:pPr>
                  <w:r>
                    <w:rPr>
                      <w:rFonts w:hint="eastAsia" w:ascii="宋体" w:hAnsi="宋体" w:eastAsia="宋体" w:cs="宋体"/>
                      <w:color w:val="000000"/>
                      <w:szCs w:val="21"/>
                    </w:rPr>
                    <w:t>1</w:t>
                  </w:r>
                </w:p>
              </w:tc>
              <w:tc>
                <w:tcPr>
                  <w:tcW w:w="486" w:type="pct"/>
                  <w:vMerge w:val="restart"/>
                  <w:shd w:val="clear" w:color="auto" w:fill="auto"/>
                  <w:vAlign w:val="center"/>
                </w:tcPr>
                <w:p w14:paraId="435795C4">
                  <w:pPr>
                    <w:jc w:val="center"/>
                    <w:rPr>
                      <w:rFonts w:ascii="宋体" w:hAnsi="宋体" w:eastAsia="宋体" w:cs="宋体"/>
                      <w:color w:val="000000"/>
                      <w:szCs w:val="21"/>
                    </w:rPr>
                  </w:pPr>
                  <w:r>
                    <w:rPr>
                      <w:rFonts w:hint="eastAsia" w:ascii="宋体" w:hAnsi="宋体" w:eastAsia="宋体" w:cs="宋体"/>
                      <w:color w:val="000000"/>
                      <w:szCs w:val="21"/>
                    </w:rPr>
                    <w:t>基础平台</w:t>
                  </w:r>
                </w:p>
              </w:tc>
              <w:tc>
                <w:tcPr>
                  <w:tcW w:w="3840" w:type="pct"/>
                  <w:shd w:val="clear" w:color="auto" w:fill="auto"/>
                  <w:vAlign w:val="center"/>
                </w:tcPr>
                <w:p w14:paraId="1219552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（1）系统具备单据审批和分类功能。具备在不同单据类型下新增多个表单并根据审批流推送至对应审批人审批的功能。</w:t>
                  </w:r>
                </w:p>
              </w:tc>
              <w:tc>
                <w:tcPr>
                  <w:tcW w:w="355" w:type="pct"/>
                  <w:vMerge w:val="restart"/>
                  <w:shd w:val="clear" w:color="auto" w:fill="auto"/>
                  <w:noWrap/>
                  <w:vAlign w:val="center"/>
                </w:tcPr>
                <w:p w14:paraId="70E55212">
                  <w:pPr>
                    <w:jc w:val="center"/>
                    <w:rPr>
                      <w:rFonts w:ascii="宋体" w:hAnsi="宋体" w:eastAsia="宋体" w:cs="宋体"/>
                      <w:color w:val="000000"/>
                      <w:szCs w:val="21"/>
                    </w:rPr>
                  </w:pPr>
                  <w:r>
                    <w:rPr>
                      <w:rFonts w:hint="eastAsia" w:ascii="宋体" w:hAnsi="宋体" w:eastAsia="宋体" w:cs="宋体"/>
                      <w:color w:val="000000"/>
                      <w:szCs w:val="21"/>
                    </w:rPr>
                    <w:t>1</w:t>
                  </w:r>
                </w:p>
              </w:tc>
            </w:tr>
            <w:tr w14:paraId="1311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18" w:type="pct"/>
                  <w:vMerge w:val="continue"/>
                  <w:shd w:val="clear" w:color="auto" w:fill="auto"/>
                  <w:vAlign w:val="center"/>
                </w:tcPr>
                <w:p w14:paraId="08A697AE">
                  <w:pPr>
                    <w:jc w:val="center"/>
                    <w:rPr>
                      <w:rFonts w:ascii="宋体" w:hAnsi="宋体" w:eastAsia="宋体" w:cs="宋体"/>
                      <w:color w:val="000000"/>
                      <w:szCs w:val="21"/>
                    </w:rPr>
                  </w:pPr>
                </w:p>
              </w:tc>
              <w:tc>
                <w:tcPr>
                  <w:tcW w:w="486" w:type="pct"/>
                  <w:vMerge w:val="continue"/>
                  <w:shd w:val="clear" w:color="auto" w:fill="auto"/>
                  <w:vAlign w:val="center"/>
                </w:tcPr>
                <w:p w14:paraId="7A15910D">
                  <w:pPr>
                    <w:jc w:val="center"/>
                    <w:rPr>
                      <w:rFonts w:ascii="宋体" w:hAnsi="宋体" w:eastAsia="宋体" w:cs="宋体"/>
                      <w:color w:val="000000"/>
                      <w:szCs w:val="21"/>
                    </w:rPr>
                  </w:pPr>
                </w:p>
              </w:tc>
              <w:tc>
                <w:tcPr>
                  <w:tcW w:w="3840" w:type="pct"/>
                  <w:shd w:val="clear" w:color="auto" w:fill="auto"/>
                  <w:vAlign w:val="center"/>
                </w:tcPr>
                <w:p w14:paraId="286A8B5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具备业务流程的管理配置。根据管理制度要求，流程部署具备预制多套学校常用流程模板，并可根据学校内控和实际业务要求随时调整。流程配置对已部署的业务流程可针对不同预算项目类型进行配置管理。包括对学校预算信息化管理流程的梳理优化提供管理咨询服务。</w:t>
                  </w:r>
                </w:p>
              </w:tc>
              <w:tc>
                <w:tcPr>
                  <w:tcW w:w="355" w:type="pct"/>
                  <w:vMerge w:val="continue"/>
                  <w:shd w:val="clear" w:color="auto" w:fill="auto"/>
                  <w:noWrap/>
                  <w:vAlign w:val="center"/>
                </w:tcPr>
                <w:p w14:paraId="1A6F9C56">
                  <w:pPr>
                    <w:jc w:val="center"/>
                    <w:rPr>
                      <w:rFonts w:ascii="宋体" w:hAnsi="宋体" w:eastAsia="宋体" w:cs="宋体"/>
                      <w:color w:val="000000"/>
                      <w:szCs w:val="21"/>
                    </w:rPr>
                  </w:pPr>
                </w:p>
              </w:tc>
            </w:tr>
            <w:tr w14:paraId="0166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68646056">
                  <w:pPr>
                    <w:jc w:val="center"/>
                    <w:rPr>
                      <w:rFonts w:ascii="宋体" w:hAnsi="宋体" w:eastAsia="宋体" w:cs="宋体"/>
                      <w:color w:val="000000"/>
                      <w:szCs w:val="21"/>
                    </w:rPr>
                  </w:pPr>
                </w:p>
              </w:tc>
              <w:tc>
                <w:tcPr>
                  <w:tcW w:w="486" w:type="pct"/>
                  <w:vMerge w:val="continue"/>
                  <w:shd w:val="clear" w:color="auto" w:fill="auto"/>
                  <w:vAlign w:val="center"/>
                </w:tcPr>
                <w:p w14:paraId="6DD0B7E7">
                  <w:pPr>
                    <w:jc w:val="center"/>
                    <w:rPr>
                      <w:rFonts w:ascii="宋体" w:hAnsi="宋体" w:eastAsia="宋体" w:cs="宋体"/>
                      <w:color w:val="000000"/>
                      <w:szCs w:val="21"/>
                    </w:rPr>
                  </w:pPr>
                </w:p>
              </w:tc>
              <w:tc>
                <w:tcPr>
                  <w:tcW w:w="3840" w:type="pct"/>
                  <w:shd w:val="clear" w:color="auto" w:fill="auto"/>
                  <w:vAlign w:val="center"/>
                </w:tcPr>
                <w:p w14:paraId="7B2C120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（3）具备电子档案留痕功能。具备将业务单据相关的关键控制文档在线存档、具备包括但不限于word、excel、PPT、PDF等文档的在线预览、领导审批意见自动留痕。</w:t>
                  </w:r>
                </w:p>
              </w:tc>
              <w:tc>
                <w:tcPr>
                  <w:tcW w:w="355" w:type="pct"/>
                  <w:vMerge w:val="continue"/>
                  <w:shd w:val="clear" w:color="auto" w:fill="auto"/>
                  <w:noWrap/>
                  <w:vAlign w:val="center"/>
                </w:tcPr>
                <w:p w14:paraId="64BB7838">
                  <w:pPr>
                    <w:jc w:val="center"/>
                    <w:rPr>
                      <w:rFonts w:ascii="宋体" w:hAnsi="宋体" w:eastAsia="宋体" w:cs="宋体"/>
                      <w:color w:val="000000"/>
                      <w:szCs w:val="21"/>
                    </w:rPr>
                  </w:pPr>
                </w:p>
              </w:tc>
            </w:tr>
            <w:tr w14:paraId="6A24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6DF58269">
                  <w:pPr>
                    <w:jc w:val="center"/>
                    <w:rPr>
                      <w:rFonts w:ascii="宋体" w:hAnsi="宋体" w:eastAsia="宋体" w:cs="宋体"/>
                      <w:color w:val="000000"/>
                      <w:szCs w:val="21"/>
                    </w:rPr>
                  </w:pPr>
                </w:p>
              </w:tc>
              <w:tc>
                <w:tcPr>
                  <w:tcW w:w="486" w:type="pct"/>
                  <w:vMerge w:val="continue"/>
                  <w:shd w:val="clear" w:color="auto" w:fill="auto"/>
                  <w:vAlign w:val="center"/>
                </w:tcPr>
                <w:p w14:paraId="7E98F080">
                  <w:pPr>
                    <w:jc w:val="center"/>
                    <w:rPr>
                      <w:rFonts w:ascii="宋体" w:hAnsi="宋体" w:eastAsia="宋体" w:cs="宋体"/>
                      <w:color w:val="000000"/>
                      <w:szCs w:val="21"/>
                    </w:rPr>
                  </w:pPr>
                </w:p>
              </w:tc>
              <w:tc>
                <w:tcPr>
                  <w:tcW w:w="3840" w:type="pct"/>
                  <w:shd w:val="clear" w:color="auto" w:fill="auto"/>
                  <w:vAlign w:val="center"/>
                </w:tcPr>
                <w:p w14:paraId="4C4F502A">
                  <w:pPr>
                    <w:widowControl/>
                    <w:jc w:val="left"/>
                    <w:textAlignment w:val="center"/>
                    <w:rPr>
                      <w:rFonts w:ascii="宋体" w:hAnsi="宋体" w:eastAsia="宋体" w:cs="宋体"/>
                      <w:color w:val="000000"/>
                      <w:szCs w:val="21"/>
                    </w:rPr>
                  </w:pPr>
                  <w:r>
                    <w:rPr>
                      <w:rStyle w:val="16"/>
                      <w:lang w:bidi="ar"/>
                    </w:rPr>
                    <w:t>（4）具备基础数据的指标库和管理。具备在绩效指标库中对一、二级指标按照要求进行排序，校内项目中的绩效指标可按照定义的顺序显示；具备新增绩效指标自定义等。</w:t>
                  </w:r>
                </w:p>
              </w:tc>
              <w:tc>
                <w:tcPr>
                  <w:tcW w:w="355" w:type="pct"/>
                  <w:vMerge w:val="continue"/>
                  <w:shd w:val="clear" w:color="auto" w:fill="auto"/>
                  <w:noWrap/>
                  <w:vAlign w:val="center"/>
                </w:tcPr>
                <w:p w14:paraId="19C34A3B">
                  <w:pPr>
                    <w:jc w:val="center"/>
                    <w:rPr>
                      <w:rFonts w:ascii="宋体" w:hAnsi="宋体" w:eastAsia="宋体" w:cs="宋体"/>
                      <w:color w:val="000000"/>
                      <w:szCs w:val="21"/>
                    </w:rPr>
                  </w:pPr>
                </w:p>
              </w:tc>
            </w:tr>
            <w:tr w14:paraId="78DE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continue"/>
                  <w:shd w:val="clear" w:color="auto" w:fill="auto"/>
                  <w:vAlign w:val="center"/>
                </w:tcPr>
                <w:p w14:paraId="24B177E3">
                  <w:pPr>
                    <w:jc w:val="center"/>
                    <w:rPr>
                      <w:rFonts w:ascii="宋体" w:hAnsi="宋体" w:eastAsia="宋体" w:cs="宋体"/>
                      <w:color w:val="000000"/>
                      <w:szCs w:val="21"/>
                    </w:rPr>
                  </w:pPr>
                </w:p>
              </w:tc>
              <w:tc>
                <w:tcPr>
                  <w:tcW w:w="486" w:type="pct"/>
                  <w:vMerge w:val="continue"/>
                  <w:shd w:val="clear" w:color="auto" w:fill="auto"/>
                  <w:vAlign w:val="center"/>
                </w:tcPr>
                <w:p w14:paraId="4750F962">
                  <w:pPr>
                    <w:jc w:val="center"/>
                    <w:rPr>
                      <w:rFonts w:ascii="宋体" w:hAnsi="宋体" w:eastAsia="宋体" w:cs="宋体"/>
                      <w:color w:val="000000"/>
                      <w:szCs w:val="21"/>
                    </w:rPr>
                  </w:pPr>
                </w:p>
              </w:tc>
              <w:tc>
                <w:tcPr>
                  <w:tcW w:w="3840" w:type="pct"/>
                  <w:shd w:val="clear" w:color="auto" w:fill="auto"/>
                  <w:vAlign w:val="center"/>
                </w:tcPr>
                <w:p w14:paraId="087C0E1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（5）具备项目分类管理。能够按照所需的项目分类维度对项目库进行分类管理和统计分析。</w:t>
                  </w:r>
                </w:p>
              </w:tc>
              <w:tc>
                <w:tcPr>
                  <w:tcW w:w="355" w:type="pct"/>
                  <w:vMerge w:val="continue"/>
                  <w:shd w:val="clear" w:color="auto" w:fill="auto"/>
                  <w:noWrap/>
                  <w:vAlign w:val="center"/>
                </w:tcPr>
                <w:p w14:paraId="1A35CBB2">
                  <w:pPr>
                    <w:jc w:val="center"/>
                    <w:rPr>
                      <w:rFonts w:ascii="宋体" w:hAnsi="宋体" w:eastAsia="宋体" w:cs="宋体"/>
                      <w:color w:val="000000"/>
                      <w:szCs w:val="21"/>
                    </w:rPr>
                  </w:pPr>
                </w:p>
              </w:tc>
            </w:tr>
            <w:tr w14:paraId="4FEE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318" w:type="pct"/>
                  <w:vMerge w:val="continue"/>
                  <w:shd w:val="clear" w:color="auto" w:fill="auto"/>
                  <w:vAlign w:val="center"/>
                </w:tcPr>
                <w:p w14:paraId="20C091A7">
                  <w:pPr>
                    <w:jc w:val="center"/>
                    <w:rPr>
                      <w:rFonts w:ascii="宋体" w:hAnsi="宋体" w:eastAsia="宋体" w:cs="宋体"/>
                      <w:color w:val="000000"/>
                      <w:szCs w:val="21"/>
                    </w:rPr>
                  </w:pPr>
                </w:p>
              </w:tc>
              <w:tc>
                <w:tcPr>
                  <w:tcW w:w="486" w:type="pct"/>
                  <w:vMerge w:val="continue"/>
                  <w:shd w:val="clear" w:color="auto" w:fill="auto"/>
                  <w:vAlign w:val="center"/>
                </w:tcPr>
                <w:p w14:paraId="596C21C2">
                  <w:pPr>
                    <w:jc w:val="center"/>
                    <w:rPr>
                      <w:rFonts w:ascii="宋体" w:hAnsi="宋体" w:eastAsia="宋体" w:cs="宋体"/>
                      <w:color w:val="000000"/>
                      <w:szCs w:val="21"/>
                    </w:rPr>
                  </w:pPr>
                </w:p>
              </w:tc>
              <w:tc>
                <w:tcPr>
                  <w:tcW w:w="3840" w:type="pct"/>
                  <w:shd w:val="clear" w:color="auto" w:fill="auto"/>
                  <w:vAlign w:val="center"/>
                </w:tcPr>
                <w:p w14:paraId="0866FCA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（6）在开展基础平台建设前，需先行围绕内控管理梳理相关工作，涵盖但不限于以下内容 ：</w:t>
                  </w:r>
                </w:p>
                <w:p w14:paraId="39D3436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施的业务范围包括单位层面内部控制和业务层面内部控制，其中单位层面内部控制主要包括但不限于组织岗位、权力运行、决策机制、管理制度、信息技术等；业务层面内部控制包括但不限于预算绩效管理、收支管理、采购管理、合同管理。</w:t>
                  </w:r>
                </w:p>
                <w:p w14:paraId="487F9A8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能够建立风险评估标准、程序和工具，识别预算管理、绩效管理、合同管理、收支管理、资金管理等经济活动的风险点，形成《风险评估报告》。</w:t>
                  </w:r>
                </w:p>
                <w:p w14:paraId="5175B6E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能够协助修订、完善学校财务制度、办法、规定等，确保与内控要求衔接；能够优化业务流程关键控制点的设计，按照相关要求制定《内部控制手册》。</w:t>
                  </w:r>
                </w:p>
                <w:p w14:paraId="28C9159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能够结合系统设计信息化建设路径（如预算-绩效-合同-支付一体化流程）。并基于信息系统规范执行，可动态监控、分析、预警；提供5年免费咨询（如电话/邮件答疑、制度微调支持），能够协助应对审计或巡视中发现的财务内控问题。</w:t>
                  </w:r>
                </w:p>
              </w:tc>
              <w:tc>
                <w:tcPr>
                  <w:tcW w:w="355" w:type="pct"/>
                  <w:shd w:val="clear" w:color="auto" w:fill="auto"/>
                  <w:noWrap/>
                  <w:vAlign w:val="center"/>
                </w:tcPr>
                <w:p w14:paraId="74BF5407">
                  <w:pPr>
                    <w:jc w:val="center"/>
                    <w:rPr>
                      <w:rFonts w:ascii="宋体" w:hAnsi="宋体" w:eastAsia="宋体" w:cs="宋体"/>
                      <w:color w:val="000000"/>
                      <w:szCs w:val="21"/>
                    </w:rPr>
                  </w:pPr>
                </w:p>
              </w:tc>
            </w:tr>
            <w:tr w14:paraId="3DD6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18" w:type="pct"/>
                  <w:vMerge w:val="restart"/>
                  <w:shd w:val="clear" w:color="auto" w:fill="auto"/>
                  <w:vAlign w:val="center"/>
                </w:tcPr>
                <w:p w14:paraId="044C1F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486" w:type="pct"/>
                  <w:vMerge w:val="restart"/>
                  <w:shd w:val="clear" w:color="auto" w:fill="auto"/>
                  <w:vAlign w:val="center"/>
                </w:tcPr>
                <w:p w14:paraId="775091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项目库管理</w:t>
                  </w:r>
                </w:p>
              </w:tc>
              <w:tc>
                <w:tcPr>
                  <w:tcW w:w="3840" w:type="pct"/>
                  <w:shd w:val="clear" w:color="auto" w:fill="auto"/>
                  <w:vAlign w:val="center"/>
                </w:tcPr>
                <w:p w14:paraId="68EFF87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具备项目逐年滚动管理功能。可以批量导入项目信息，包括项目基本信息、预算信息、采购信息和绩效信息；对上传的附件如专家论证表等（图片格式）能够识别后进行汇总统计，并按照学校采购管理办法或公式进行判断是否符合要求。</w:t>
                  </w:r>
                </w:p>
              </w:tc>
              <w:tc>
                <w:tcPr>
                  <w:tcW w:w="355" w:type="pct"/>
                  <w:vMerge w:val="restart"/>
                  <w:shd w:val="clear" w:color="auto" w:fill="auto"/>
                  <w:noWrap/>
                  <w:vAlign w:val="center"/>
                </w:tcPr>
                <w:p w14:paraId="591C27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7538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18" w:type="pct"/>
                  <w:vMerge w:val="continue"/>
                  <w:shd w:val="clear" w:color="auto" w:fill="auto"/>
                  <w:vAlign w:val="center"/>
                </w:tcPr>
                <w:p w14:paraId="6712482E">
                  <w:pPr>
                    <w:jc w:val="center"/>
                    <w:rPr>
                      <w:rFonts w:ascii="宋体" w:hAnsi="宋体" w:eastAsia="宋体" w:cs="宋体"/>
                      <w:color w:val="000000"/>
                      <w:szCs w:val="21"/>
                    </w:rPr>
                  </w:pPr>
                </w:p>
              </w:tc>
              <w:tc>
                <w:tcPr>
                  <w:tcW w:w="486" w:type="pct"/>
                  <w:vMerge w:val="continue"/>
                  <w:shd w:val="clear" w:color="auto" w:fill="auto"/>
                  <w:vAlign w:val="center"/>
                </w:tcPr>
                <w:p w14:paraId="43680C8A">
                  <w:pPr>
                    <w:jc w:val="center"/>
                    <w:rPr>
                      <w:rFonts w:ascii="宋体" w:hAnsi="宋体" w:eastAsia="宋体" w:cs="宋体"/>
                      <w:color w:val="000000"/>
                      <w:szCs w:val="21"/>
                    </w:rPr>
                  </w:pPr>
                </w:p>
              </w:tc>
              <w:tc>
                <w:tcPr>
                  <w:tcW w:w="3840" w:type="pct"/>
                  <w:shd w:val="clear" w:color="auto" w:fill="auto"/>
                  <w:vAlign w:val="center"/>
                </w:tcPr>
                <w:p w14:paraId="09B5DF5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（2）具备申报模板管理功能。</w:t>
                  </w:r>
                </w:p>
              </w:tc>
              <w:tc>
                <w:tcPr>
                  <w:tcW w:w="355" w:type="pct"/>
                  <w:vMerge w:val="continue"/>
                  <w:shd w:val="clear" w:color="auto" w:fill="auto"/>
                  <w:noWrap/>
                  <w:vAlign w:val="center"/>
                </w:tcPr>
                <w:p w14:paraId="21456126">
                  <w:pPr>
                    <w:jc w:val="center"/>
                    <w:rPr>
                      <w:rFonts w:ascii="宋体" w:hAnsi="宋体" w:eastAsia="宋体" w:cs="宋体"/>
                      <w:color w:val="000000"/>
                      <w:szCs w:val="21"/>
                    </w:rPr>
                  </w:pPr>
                </w:p>
              </w:tc>
            </w:tr>
            <w:tr w14:paraId="591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11AA6A12">
                  <w:pPr>
                    <w:jc w:val="center"/>
                    <w:rPr>
                      <w:rFonts w:ascii="宋体" w:hAnsi="宋体" w:eastAsia="宋体" w:cs="宋体"/>
                      <w:color w:val="000000"/>
                      <w:szCs w:val="21"/>
                    </w:rPr>
                  </w:pPr>
                </w:p>
              </w:tc>
              <w:tc>
                <w:tcPr>
                  <w:tcW w:w="486" w:type="pct"/>
                  <w:vMerge w:val="continue"/>
                  <w:shd w:val="clear" w:color="auto" w:fill="auto"/>
                  <w:vAlign w:val="center"/>
                </w:tcPr>
                <w:p w14:paraId="51B3E5EB">
                  <w:pPr>
                    <w:jc w:val="center"/>
                    <w:rPr>
                      <w:rFonts w:ascii="宋体" w:hAnsi="宋体" w:eastAsia="宋体" w:cs="宋体"/>
                      <w:color w:val="000000"/>
                      <w:szCs w:val="21"/>
                    </w:rPr>
                  </w:pPr>
                </w:p>
              </w:tc>
              <w:tc>
                <w:tcPr>
                  <w:tcW w:w="3840" w:type="pct"/>
                  <w:shd w:val="clear" w:color="auto" w:fill="auto"/>
                  <w:vAlign w:val="center"/>
                </w:tcPr>
                <w:p w14:paraId="7D8836B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（3）具备校内项目管理功能。项目库分类查询，可批量导出项目库明细数据（含项目申报书及相关附件的超链接和批量下载功能），能够形成项目库全生命周期管理。</w:t>
                  </w:r>
                </w:p>
              </w:tc>
              <w:tc>
                <w:tcPr>
                  <w:tcW w:w="355" w:type="pct"/>
                  <w:vMerge w:val="continue"/>
                  <w:shd w:val="clear" w:color="auto" w:fill="auto"/>
                  <w:noWrap/>
                  <w:vAlign w:val="center"/>
                </w:tcPr>
                <w:p w14:paraId="6DA91713">
                  <w:pPr>
                    <w:jc w:val="center"/>
                    <w:rPr>
                      <w:rFonts w:ascii="宋体" w:hAnsi="宋体" w:eastAsia="宋体" w:cs="宋体"/>
                      <w:color w:val="000000"/>
                      <w:szCs w:val="21"/>
                    </w:rPr>
                  </w:pPr>
                </w:p>
              </w:tc>
            </w:tr>
            <w:tr w14:paraId="064B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318" w:type="pct"/>
                  <w:vMerge w:val="continue"/>
                  <w:shd w:val="clear" w:color="auto" w:fill="auto"/>
                  <w:vAlign w:val="center"/>
                </w:tcPr>
                <w:p w14:paraId="0849A669">
                  <w:pPr>
                    <w:jc w:val="center"/>
                    <w:rPr>
                      <w:rFonts w:ascii="宋体" w:hAnsi="宋体" w:eastAsia="宋体" w:cs="宋体"/>
                      <w:color w:val="000000"/>
                      <w:szCs w:val="21"/>
                    </w:rPr>
                  </w:pPr>
                </w:p>
              </w:tc>
              <w:tc>
                <w:tcPr>
                  <w:tcW w:w="486" w:type="pct"/>
                  <w:vMerge w:val="continue"/>
                  <w:shd w:val="clear" w:color="auto" w:fill="auto"/>
                  <w:vAlign w:val="center"/>
                </w:tcPr>
                <w:p w14:paraId="0C81AF76">
                  <w:pPr>
                    <w:jc w:val="center"/>
                    <w:rPr>
                      <w:rFonts w:ascii="宋体" w:hAnsi="宋体" w:eastAsia="宋体" w:cs="宋体"/>
                      <w:color w:val="000000"/>
                      <w:szCs w:val="21"/>
                    </w:rPr>
                  </w:pPr>
                </w:p>
              </w:tc>
              <w:tc>
                <w:tcPr>
                  <w:tcW w:w="3840" w:type="pct"/>
                  <w:shd w:val="clear" w:color="auto" w:fill="auto"/>
                  <w:vAlign w:val="center"/>
                </w:tcPr>
                <w:p w14:paraId="663506E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具备项目申报功能。具备带出关联申报模板的默认数据和政采目录填写范围，可一键复制往年填报内容，帮助业务人员准确快速的完成项目申报；具备双高项目的特殊管理要求，实现校内项目与双高计划的关联；具备项目申报书内容合格性自动校验；具备项目申报书的暂存，保存用户阶段工作成果；具备重新编辑并提交被驳回或已撤销的项目。</w:t>
                  </w:r>
                </w:p>
              </w:tc>
              <w:tc>
                <w:tcPr>
                  <w:tcW w:w="355" w:type="pct"/>
                  <w:vMerge w:val="continue"/>
                  <w:shd w:val="clear" w:color="auto" w:fill="auto"/>
                  <w:noWrap/>
                  <w:vAlign w:val="center"/>
                </w:tcPr>
                <w:p w14:paraId="1B55A462">
                  <w:pPr>
                    <w:jc w:val="center"/>
                    <w:rPr>
                      <w:rFonts w:ascii="宋体" w:hAnsi="宋体" w:eastAsia="宋体" w:cs="宋体"/>
                      <w:color w:val="000000"/>
                      <w:szCs w:val="21"/>
                    </w:rPr>
                  </w:pPr>
                </w:p>
              </w:tc>
            </w:tr>
            <w:tr w14:paraId="5BFF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18" w:type="pct"/>
                  <w:vMerge w:val="continue"/>
                  <w:shd w:val="clear" w:color="auto" w:fill="auto"/>
                  <w:vAlign w:val="center"/>
                </w:tcPr>
                <w:p w14:paraId="27D8DF95">
                  <w:pPr>
                    <w:jc w:val="center"/>
                    <w:rPr>
                      <w:rFonts w:ascii="宋体" w:hAnsi="宋体" w:eastAsia="宋体" w:cs="宋体"/>
                      <w:color w:val="000000"/>
                      <w:szCs w:val="21"/>
                    </w:rPr>
                  </w:pPr>
                </w:p>
              </w:tc>
              <w:tc>
                <w:tcPr>
                  <w:tcW w:w="486" w:type="pct"/>
                  <w:vMerge w:val="continue"/>
                  <w:shd w:val="clear" w:color="auto" w:fill="auto"/>
                  <w:vAlign w:val="center"/>
                </w:tcPr>
                <w:p w14:paraId="460621FB">
                  <w:pPr>
                    <w:jc w:val="center"/>
                    <w:rPr>
                      <w:rFonts w:ascii="宋体" w:hAnsi="宋体" w:eastAsia="宋体" w:cs="宋体"/>
                      <w:color w:val="000000"/>
                      <w:szCs w:val="21"/>
                    </w:rPr>
                  </w:pPr>
                </w:p>
              </w:tc>
              <w:tc>
                <w:tcPr>
                  <w:tcW w:w="3840" w:type="pct"/>
                  <w:shd w:val="clear" w:color="auto" w:fill="auto"/>
                  <w:vAlign w:val="center"/>
                </w:tcPr>
                <w:p w14:paraId="745285A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（5）具备项目审批功能。包括具备移动端审批。</w:t>
                  </w:r>
                </w:p>
              </w:tc>
              <w:tc>
                <w:tcPr>
                  <w:tcW w:w="355" w:type="pct"/>
                  <w:vMerge w:val="continue"/>
                  <w:shd w:val="clear" w:color="auto" w:fill="auto"/>
                  <w:noWrap/>
                  <w:vAlign w:val="center"/>
                </w:tcPr>
                <w:p w14:paraId="1CDD5D76">
                  <w:pPr>
                    <w:jc w:val="center"/>
                    <w:rPr>
                      <w:rFonts w:ascii="宋体" w:hAnsi="宋体" w:eastAsia="宋体" w:cs="宋体"/>
                      <w:color w:val="000000"/>
                      <w:szCs w:val="21"/>
                    </w:rPr>
                  </w:pPr>
                </w:p>
              </w:tc>
            </w:tr>
            <w:tr w14:paraId="1F11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762581D9">
                  <w:pPr>
                    <w:jc w:val="center"/>
                    <w:rPr>
                      <w:rFonts w:ascii="宋体" w:hAnsi="宋体" w:eastAsia="宋体" w:cs="宋体"/>
                      <w:color w:val="000000"/>
                      <w:szCs w:val="21"/>
                    </w:rPr>
                  </w:pPr>
                </w:p>
              </w:tc>
              <w:tc>
                <w:tcPr>
                  <w:tcW w:w="486" w:type="pct"/>
                  <w:vMerge w:val="continue"/>
                  <w:shd w:val="clear" w:color="auto" w:fill="auto"/>
                  <w:vAlign w:val="center"/>
                </w:tcPr>
                <w:p w14:paraId="17F3585F">
                  <w:pPr>
                    <w:jc w:val="center"/>
                    <w:rPr>
                      <w:rFonts w:ascii="宋体" w:hAnsi="宋体" w:eastAsia="宋体" w:cs="宋体"/>
                      <w:color w:val="000000"/>
                      <w:szCs w:val="21"/>
                    </w:rPr>
                  </w:pPr>
                </w:p>
              </w:tc>
              <w:tc>
                <w:tcPr>
                  <w:tcW w:w="3840" w:type="pct"/>
                  <w:shd w:val="clear" w:color="auto" w:fill="auto"/>
                  <w:vAlign w:val="center"/>
                </w:tcPr>
                <w:p w14:paraId="6D91F5C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●（6）具备专家论证功能。具备外部专家论证、内部专家论证两种论证方式，两种论证方式都能够实现论证过程资料及结果的在线留痕，论证金额自动更新项目的拟批金额。</w:t>
                  </w:r>
                </w:p>
              </w:tc>
              <w:tc>
                <w:tcPr>
                  <w:tcW w:w="355" w:type="pct"/>
                  <w:vMerge w:val="continue"/>
                  <w:shd w:val="clear" w:color="auto" w:fill="auto"/>
                  <w:noWrap/>
                  <w:vAlign w:val="center"/>
                </w:tcPr>
                <w:p w14:paraId="138E8ECA">
                  <w:pPr>
                    <w:jc w:val="center"/>
                    <w:rPr>
                      <w:rFonts w:ascii="宋体" w:hAnsi="宋体" w:eastAsia="宋体" w:cs="宋体"/>
                      <w:color w:val="000000"/>
                      <w:szCs w:val="21"/>
                    </w:rPr>
                  </w:pPr>
                </w:p>
              </w:tc>
            </w:tr>
            <w:tr w14:paraId="34CC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continue"/>
                  <w:shd w:val="clear" w:color="auto" w:fill="auto"/>
                  <w:vAlign w:val="center"/>
                </w:tcPr>
                <w:p w14:paraId="6EDC3D6A">
                  <w:pPr>
                    <w:jc w:val="center"/>
                    <w:rPr>
                      <w:rFonts w:ascii="宋体" w:hAnsi="宋体" w:eastAsia="宋体" w:cs="宋体"/>
                      <w:color w:val="000000"/>
                      <w:szCs w:val="21"/>
                    </w:rPr>
                  </w:pPr>
                </w:p>
              </w:tc>
              <w:tc>
                <w:tcPr>
                  <w:tcW w:w="486" w:type="pct"/>
                  <w:vMerge w:val="continue"/>
                  <w:shd w:val="clear" w:color="auto" w:fill="auto"/>
                  <w:vAlign w:val="center"/>
                </w:tcPr>
                <w:p w14:paraId="122D0B1D">
                  <w:pPr>
                    <w:jc w:val="center"/>
                    <w:rPr>
                      <w:rFonts w:ascii="宋体" w:hAnsi="宋体" w:eastAsia="宋体" w:cs="宋体"/>
                      <w:color w:val="000000"/>
                      <w:szCs w:val="21"/>
                    </w:rPr>
                  </w:pPr>
                </w:p>
              </w:tc>
              <w:tc>
                <w:tcPr>
                  <w:tcW w:w="3840" w:type="pct"/>
                  <w:shd w:val="clear" w:color="auto" w:fill="auto"/>
                  <w:vAlign w:val="center"/>
                </w:tcPr>
                <w:p w14:paraId="651017E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（7）项目评审。具备评审流程审批推送，评审意见填写和评审过程资料及结果的在线留痕。</w:t>
                  </w:r>
                </w:p>
              </w:tc>
              <w:tc>
                <w:tcPr>
                  <w:tcW w:w="355" w:type="pct"/>
                  <w:vMerge w:val="continue"/>
                  <w:shd w:val="clear" w:color="auto" w:fill="auto"/>
                  <w:noWrap/>
                  <w:vAlign w:val="center"/>
                </w:tcPr>
                <w:p w14:paraId="3571AD85">
                  <w:pPr>
                    <w:jc w:val="center"/>
                    <w:rPr>
                      <w:rFonts w:ascii="宋体" w:hAnsi="宋体" w:eastAsia="宋体" w:cs="宋体"/>
                      <w:color w:val="000000"/>
                      <w:szCs w:val="21"/>
                    </w:rPr>
                  </w:pPr>
                </w:p>
              </w:tc>
            </w:tr>
            <w:tr w14:paraId="0D53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18" w:type="pct"/>
                  <w:vMerge w:val="continue"/>
                  <w:shd w:val="clear" w:color="auto" w:fill="auto"/>
                  <w:vAlign w:val="center"/>
                </w:tcPr>
                <w:p w14:paraId="190B4EB1">
                  <w:pPr>
                    <w:jc w:val="center"/>
                    <w:rPr>
                      <w:rFonts w:ascii="宋体" w:hAnsi="宋体" w:eastAsia="宋体" w:cs="宋体"/>
                      <w:color w:val="000000"/>
                      <w:szCs w:val="21"/>
                    </w:rPr>
                  </w:pPr>
                </w:p>
              </w:tc>
              <w:tc>
                <w:tcPr>
                  <w:tcW w:w="486" w:type="pct"/>
                  <w:vMerge w:val="continue"/>
                  <w:shd w:val="clear" w:color="auto" w:fill="auto"/>
                  <w:vAlign w:val="center"/>
                </w:tcPr>
                <w:p w14:paraId="61D6A61A">
                  <w:pPr>
                    <w:jc w:val="center"/>
                    <w:rPr>
                      <w:rFonts w:ascii="宋体" w:hAnsi="宋体" w:eastAsia="宋体" w:cs="宋体"/>
                      <w:color w:val="000000"/>
                      <w:szCs w:val="21"/>
                    </w:rPr>
                  </w:pPr>
                </w:p>
              </w:tc>
              <w:tc>
                <w:tcPr>
                  <w:tcW w:w="3840" w:type="pct"/>
                  <w:shd w:val="clear" w:color="auto" w:fill="auto"/>
                  <w:vAlign w:val="center"/>
                </w:tcPr>
                <w:p w14:paraId="02AF306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（8）排序入库。具备通过专家论证或校内评价（预设条件）后对项目进行排序功能；具备批量导入导出排序结果；具备将已入库的项目退出储备库，并可根据实际情况重新排序入库。</w:t>
                  </w:r>
                </w:p>
              </w:tc>
              <w:tc>
                <w:tcPr>
                  <w:tcW w:w="355" w:type="pct"/>
                  <w:vMerge w:val="continue"/>
                  <w:shd w:val="clear" w:color="auto" w:fill="auto"/>
                  <w:noWrap/>
                  <w:vAlign w:val="center"/>
                </w:tcPr>
                <w:p w14:paraId="15E19E8A">
                  <w:pPr>
                    <w:jc w:val="center"/>
                    <w:rPr>
                      <w:rFonts w:ascii="宋体" w:hAnsi="宋体" w:eastAsia="宋体" w:cs="宋体"/>
                      <w:color w:val="000000"/>
                      <w:szCs w:val="21"/>
                    </w:rPr>
                  </w:pPr>
                </w:p>
              </w:tc>
            </w:tr>
            <w:tr w14:paraId="1C04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continue"/>
                  <w:shd w:val="clear" w:color="auto" w:fill="auto"/>
                  <w:vAlign w:val="center"/>
                </w:tcPr>
                <w:p w14:paraId="59946D24">
                  <w:pPr>
                    <w:jc w:val="center"/>
                    <w:rPr>
                      <w:rFonts w:ascii="宋体" w:hAnsi="宋体" w:eastAsia="宋体" w:cs="宋体"/>
                      <w:color w:val="000000"/>
                      <w:szCs w:val="21"/>
                    </w:rPr>
                  </w:pPr>
                </w:p>
              </w:tc>
              <w:tc>
                <w:tcPr>
                  <w:tcW w:w="486" w:type="pct"/>
                  <w:vMerge w:val="continue"/>
                  <w:shd w:val="clear" w:color="auto" w:fill="auto"/>
                  <w:vAlign w:val="center"/>
                </w:tcPr>
                <w:p w14:paraId="2E2BDB11">
                  <w:pPr>
                    <w:jc w:val="center"/>
                    <w:rPr>
                      <w:rFonts w:ascii="宋体" w:hAnsi="宋体" w:eastAsia="宋体" w:cs="宋体"/>
                      <w:color w:val="000000"/>
                      <w:szCs w:val="21"/>
                    </w:rPr>
                  </w:pPr>
                </w:p>
              </w:tc>
              <w:tc>
                <w:tcPr>
                  <w:tcW w:w="3840" w:type="pct"/>
                  <w:shd w:val="clear" w:color="auto" w:fill="auto"/>
                  <w:vAlign w:val="center"/>
                </w:tcPr>
                <w:p w14:paraId="637FDE9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（9）领导批复。系统应具备将待上会项目列表及相关附件批量下载导出y，具备根据党委会意见，批量批复项目申报金额与一上预算。</w:t>
                  </w:r>
                </w:p>
              </w:tc>
              <w:tc>
                <w:tcPr>
                  <w:tcW w:w="355" w:type="pct"/>
                  <w:vMerge w:val="continue"/>
                  <w:shd w:val="clear" w:color="auto" w:fill="auto"/>
                  <w:noWrap/>
                  <w:vAlign w:val="center"/>
                </w:tcPr>
                <w:p w14:paraId="3B8BF2CB">
                  <w:pPr>
                    <w:jc w:val="center"/>
                    <w:rPr>
                      <w:rFonts w:ascii="宋体" w:hAnsi="宋体" w:eastAsia="宋体" w:cs="宋体"/>
                      <w:color w:val="000000"/>
                      <w:szCs w:val="21"/>
                    </w:rPr>
                  </w:pPr>
                </w:p>
              </w:tc>
            </w:tr>
            <w:tr w14:paraId="55B4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continue"/>
                  <w:shd w:val="clear" w:color="auto" w:fill="auto"/>
                  <w:vAlign w:val="center"/>
                </w:tcPr>
                <w:p w14:paraId="7008ABAC">
                  <w:pPr>
                    <w:jc w:val="center"/>
                    <w:rPr>
                      <w:rFonts w:ascii="宋体" w:hAnsi="宋体" w:eastAsia="宋体" w:cs="宋体"/>
                      <w:color w:val="000000"/>
                      <w:szCs w:val="21"/>
                    </w:rPr>
                  </w:pPr>
                </w:p>
              </w:tc>
              <w:tc>
                <w:tcPr>
                  <w:tcW w:w="486" w:type="pct"/>
                  <w:vMerge w:val="continue"/>
                  <w:shd w:val="clear" w:color="auto" w:fill="auto"/>
                  <w:vAlign w:val="center"/>
                </w:tcPr>
                <w:p w14:paraId="17AEE3C7">
                  <w:pPr>
                    <w:jc w:val="center"/>
                    <w:rPr>
                      <w:rFonts w:ascii="宋体" w:hAnsi="宋体" w:eastAsia="宋体" w:cs="宋体"/>
                      <w:color w:val="000000"/>
                      <w:szCs w:val="21"/>
                    </w:rPr>
                  </w:pPr>
                </w:p>
              </w:tc>
              <w:tc>
                <w:tcPr>
                  <w:tcW w:w="3840" w:type="pct"/>
                  <w:shd w:val="clear" w:color="auto" w:fill="auto"/>
                  <w:vAlign w:val="center"/>
                </w:tcPr>
                <w:p w14:paraId="2B6515F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（10）项目申报监控。具备根据审批流程，汇总各流程节点待审批项目数量，实时把握项目申报状态。</w:t>
                  </w:r>
                </w:p>
              </w:tc>
              <w:tc>
                <w:tcPr>
                  <w:tcW w:w="355" w:type="pct"/>
                  <w:vMerge w:val="continue"/>
                  <w:shd w:val="clear" w:color="auto" w:fill="auto"/>
                  <w:noWrap/>
                  <w:vAlign w:val="center"/>
                </w:tcPr>
                <w:p w14:paraId="6007B7C8">
                  <w:pPr>
                    <w:jc w:val="center"/>
                    <w:rPr>
                      <w:rFonts w:ascii="宋体" w:hAnsi="宋体" w:eastAsia="宋体" w:cs="宋体"/>
                      <w:color w:val="000000"/>
                      <w:szCs w:val="21"/>
                    </w:rPr>
                  </w:pPr>
                </w:p>
              </w:tc>
            </w:tr>
            <w:tr w14:paraId="0E68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18" w:type="pct"/>
                  <w:vMerge w:val="restart"/>
                  <w:shd w:val="clear" w:color="auto" w:fill="auto"/>
                  <w:vAlign w:val="center"/>
                </w:tcPr>
                <w:p w14:paraId="19FA6DF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486" w:type="pct"/>
                  <w:vMerge w:val="restart"/>
                  <w:shd w:val="clear" w:color="auto" w:fill="auto"/>
                  <w:vAlign w:val="center"/>
                </w:tcPr>
                <w:p w14:paraId="7ADCECF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预算管理</w:t>
                  </w:r>
                </w:p>
              </w:tc>
              <w:tc>
                <w:tcPr>
                  <w:tcW w:w="3840" w:type="pct"/>
                  <w:shd w:val="clear" w:color="auto" w:fill="auto"/>
                  <w:vAlign w:val="center"/>
                </w:tcPr>
                <w:p w14:paraId="087B915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（1）具备预算分解与导入学校现已建设的财务核算系统，且预算模块各统计口径之间数据准确、闭合，能够显示各项目审批节点时间及状态，并实时统计和批量导出项目审批状态详情。</w:t>
                  </w:r>
                </w:p>
              </w:tc>
              <w:tc>
                <w:tcPr>
                  <w:tcW w:w="355" w:type="pct"/>
                  <w:vMerge w:val="restart"/>
                  <w:shd w:val="clear" w:color="auto" w:fill="auto"/>
                  <w:noWrap/>
                  <w:vAlign w:val="center"/>
                </w:tcPr>
                <w:p w14:paraId="1C9127B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14:paraId="01D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62310562">
                  <w:pPr>
                    <w:jc w:val="center"/>
                    <w:rPr>
                      <w:rFonts w:ascii="宋体" w:hAnsi="宋体" w:eastAsia="宋体" w:cs="宋体"/>
                      <w:color w:val="000000"/>
                      <w:szCs w:val="21"/>
                    </w:rPr>
                  </w:pPr>
                </w:p>
              </w:tc>
              <w:tc>
                <w:tcPr>
                  <w:tcW w:w="486" w:type="pct"/>
                  <w:vMerge w:val="continue"/>
                  <w:shd w:val="clear" w:color="auto" w:fill="auto"/>
                  <w:vAlign w:val="center"/>
                </w:tcPr>
                <w:p w14:paraId="0DA87498">
                  <w:pPr>
                    <w:jc w:val="center"/>
                    <w:rPr>
                      <w:rFonts w:ascii="宋体" w:hAnsi="宋体" w:eastAsia="宋体" w:cs="宋体"/>
                      <w:color w:val="000000"/>
                      <w:szCs w:val="21"/>
                    </w:rPr>
                  </w:pPr>
                </w:p>
              </w:tc>
              <w:tc>
                <w:tcPr>
                  <w:tcW w:w="3840" w:type="pct"/>
                  <w:shd w:val="clear" w:color="auto" w:fill="auto"/>
                  <w:vAlign w:val="center"/>
                </w:tcPr>
                <w:p w14:paraId="128DA59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（2）项目库中的项目数据可转移至预算管理模块，与当年拟申报的预算项目进行合并，共同形成当年预算数据，且预算明细批量导出后需含该部分数据附件。</w:t>
                  </w:r>
                </w:p>
              </w:tc>
              <w:tc>
                <w:tcPr>
                  <w:tcW w:w="355" w:type="pct"/>
                  <w:vMerge w:val="continue"/>
                  <w:shd w:val="clear" w:color="auto" w:fill="auto"/>
                  <w:noWrap/>
                  <w:vAlign w:val="center"/>
                </w:tcPr>
                <w:p w14:paraId="5F165870">
                  <w:pPr>
                    <w:jc w:val="center"/>
                    <w:rPr>
                      <w:rFonts w:ascii="宋体" w:hAnsi="宋体" w:eastAsia="宋体" w:cs="宋体"/>
                      <w:color w:val="000000"/>
                      <w:szCs w:val="21"/>
                    </w:rPr>
                  </w:pPr>
                </w:p>
              </w:tc>
            </w:tr>
            <w:tr w14:paraId="6D1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continue"/>
                  <w:shd w:val="clear" w:color="auto" w:fill="auto"/>
                  <w:vAlign w:val="center"/>
                </w:tcPr>
                <w:p w14:paraId="1EBEA330">
                  <w:pPr>
                    <w:jc w:val="center"/>
                    <w:rPr>
                      <w:rFonts w:ascii="宋体" w:hAnsi="宋体" w:eastAsia="宋体" w:cs="宋体"/>
                      <w:color w:val="000000"/>
                      <w:szCs w:val="21"/>
                    </w:rPr>
                  </w:pPr>
                </w:p>
              </w:tc>
              <w:tc>
                <w:tcPr>
                  <w:tcW w:w="486" w:type="pct"/>
                  <w:vMerge w:val="continue"/>
                  <w:shd w:val="clear" w:color="auto" w:fill="auto"/>
                  <w:vAlign w:val="center"/>
                </w:tcPr>
                <w:p w14:paraId="128735D8">
                  <w:pPr>
                    <w:jc w:val="center"/>
                    <w:rPr>
                      <w:rFonts w:ascii="宋体" w:hAnsi="宋体" w:eastAsia="宋体" w:cs="宋体"/>
                      <w:color w:val="000000"/>
                      <w:szCs w:val="21"/>
                    </w:rPr>
                  </w:pPr>
                </w:p>
              </w:tc>
              <w:tc>
                <w:tcPr>
                  <w:tcW w:w="3840" w:type="pct"/>
                  <w:shd w:val="clear" w:color="auto" w:fill="auto"/>
                  <w:vAlign w:val="center"/>
                </w:tcPr>
                <w:p w14:paraId="68295BE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●（3）部分预算项目具有定额或公式要求时，上传数据文件后能够按既定规律测算项目额度，形成系统自动申报记录。</w:t>
                  </w:r>
                </w:p>
              </w:tc>
              <w:tc>
                <w:tcPr>
                  <w:tcW w:w="355" w:type="pct"/>
                  <w:vMerge w:val="continue"/>
                  <w:shd w:val="clear" w:color="auto" w:fill="auto"/>
                  <w:noWrap/>
                  <w:vAlign w:val="center"/>
                </w:tcPr>
                <w:p w14:paraId="15B8D012">
                  <w:pPr>
                    <w:jc w:val="center"/>
                    <w:rPr>
                      <w:rFonts w:ascii="宋体" w:hAnsi="宋体" w:eastAsia="宋体" w:cs="宋体"/>
                      <w:color w:val="000000"/>
                      <w:szCs w:val="21"/>
                    </w:rPr>
                  </w:pPr>
                </w:p>
              </w:tc>
            </w:tr>
            <w:tr w14:paraId="3A59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18" w:type="pct"/>
                  <w:vMerge w:val="continue"/>
                  <w:shd w:val="clear" w:color="auto" w:fill="auto"/>
                  <w:vAlign w:val="center"/>
                </w:tcPr>
                <w:p w14:paraId="66F2D3D1">
                  <w:pPr>
                    <w:jc w:val="center"/>
                    <w:rPr>
                      <w:rFonts w:ascii="宋体" w:hAnsi="宋体" w:eastAsia="宋体" w:cs="宋体"/>
                      <w:color w:val="000000"/>
                      <w:szCs w:val="21"/>
                    </w:rPr>
                  </w:pPr>
                </w:p>
              </w:tc>
              <w:tc>
                <w:tcPr>
                  <w:tcW w:w="486" w:type="pct"/>
                  <w:vMerge w:val="continue"/>
                  <w:shd w:val="clear" w:color="auto" w:fill="auto"/>
                  <w:vAlign w:val="center"/>
                </w:tcPr>
                <w:p w14:paraId="0CB4D491">
                  <w:pPr>
                    <w:jc w:val="center"/>
                    <w:rPr>
                      <w:rFonts w:ascii="宋体" w:hAnsi="宋体" w:eastAsia="宋体" w:cs="宋体"/>
                      <w:color w:val="000000"/>
                      <w:szCs w:val="21"/>
                    </w:rPr>
                  </w:pPr>
                </w:p>
              </w:tc>
              <w:tc>
                <w:tcPr>
                  <w:tcW w:w="3840" w:type="pct"/>
                  <w:shd w:val="clear" w:color="auto" w:fill="auto"/>
                  <w:vAlign w:val="center"/>
                </w:tcPr>
                <w:p w14:paraId="104B77C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具备预算查询功能。具备根据用户权限、负责人、部门等条件筛选、实时查询下达预算、在途资金、已使用预算、可用预算等数据以及预算执行情况，并可实现穿透查询项目预算明细的支出进度情况，以前年度数据或驳回数据能够隐藏或不在当前页面显示。</w:t>
                  </w:r>
                </w:p>
              </w:tc>
              <w:tc>
                <w:tcPr>
                  <w:tcW w:w="355" w:type="pct"/>
                  <w:vMerge w:val="continue"/>
                  <w:shd w:val="clear" w:color="auto" w:fill="auto"/>
                  <w:noWrap/>
                  <w:vAlign w:val="center"/>
                </w:tcPr>
                <w:p w14:paraId="3A3EAA24">
                  <w:pPr>
                    <w:jc w:val="center"/>
                    <w:rPr>
                      <w:rFonts w:ascii="宋体" w:hAnsi="宋体" w:eastAsia="宋体" w:cs="宋体"/>
                      <w:color w:val="000000"/>
                      <w:szCs w:val="21"/>
                    </w:rPr>
                  </w:pPr>
                </w:p>
              </w:tc>
            </w:tr>
            <w:tr w14:paraId="7023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18" w:type="pct"/>
                  <w:vMerge w:val="continue"/>
                  <w:shd w:val="clear" w:color="auto" w:fill="auto"/>
                  <w:vAlign w:val="center"/>
                </w:tcPr>
                <w:p w14:paraId="0E80E13F">
                  <w:pPr>
                    <w:jc w:val="center"/>
                    <w:rPr>
                      <w:rFonts w:ascii="宋体" w:hAnsi="宋体" w:eastAsia="宋体" w:cs="宋体"/>
                      <w:color w:val="000000"/>
                      <w:szCs w:val="21"/>
                    </w:rPr>
                  </w:pPr>
                </w:p>
              </w:tc>
              <w:tc>
                <w:tcPr>
                  <w:tcW w:w="486" w:type="pct"/>
                  <w:vMerge w:val="continue"/>
                  <w:shd w:val="clear" w:color="auto" w:fill="auto"/>
                  <w:vAlign w:val="center"/>
                </w:tcPr>
                <w:p w14:paraId="014DE962">
                  <w:pPr>
                    <w:jc w:val="center"/>
                    <w:rPr>
                      <w:rFonts w:ascii="宋体" w:hAnsi="宋体" w:eastAsia="宋体" w:cs="宋体"/>
                      <w:color w:val="000000"/>
                      <w:szCs w:val="21"/>
                    </w:rPr>
                  </w:pPr>
                </w:p>
              </w:tc>
              <w:tc>
                <w:tcPr>
                  <w:tcW w:w="3840" w:type="pct"/>
                  <w:shd w:val="clear" w:color="auto" w:fill="auto"/>
                  <w:vAlign w:val="center"/>
                </w:tcPr>
                <w:p w14:paraId="24FF109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（5）具备预算项目调整或合并功能。</w:t>
                  </w:r>
                </w:p>
              </w:tc>
              <w:tc>
                <w:tcPr>
                  <w:tcW w:w="355" w:type="pct"/>
                  <w:vMerge w:val="continue"/>
                  <w:shd w:val="clear" w:color="auto" w:fill="auto"/>
                  <w:noWrap/>
                  <w:vAlign w:val="center"/>
                </w:tcPr>
                <w:p w14:paraId="682D6A32">
                  <w:pPr>
                    <w:jc w:val="center"/>
                    <w:rPr>
                      <w:rFonts w:ascii="宋体" w:hAnsi="宋体" w:eastAsia="宋体" w:cs="宋体"/>
                      <w:color w:val="000000"/>
                      <w:szCs w:val="21"/>
                    </w:rPr>
                  </w:pPr>
                </w:p>
              </w:tc>
            </w:tr>
            <w:tr w14:paraId="127B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18" w:type="pct"/>
                  <w:vMerge w:val="restart"/>
                  <w:shd w:val="clear" w:color="auto" w:fill="auto"/>
                  <w:vAlign w:val="center"/>
                </w:tcPr>
                <w:p w14:paraId="27EC36E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486" w:type="pct"/>
                  <w:vMerge w:val="restart"/>
                  <w:shd w:val="clear" w:color="auto" w:fill="auto"/>
                  <w:vAlign w:val="center"/>
                </w:tcPr>
                <w:p w14:paraId="2C03EF0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绩效管理</w:t>
                  </w:r>
                </w:p>
              </w:tc>
              <w:tc>
                <w:tcPr>
                  <w:tcW w:w="3840" w:type="pct"/>
                  <w:shd w:val="clear" w:color="auto" w:fill="auto"/>
                  <w:vAlign w:val="center"/>
                </w:tcPr>
                <w:p w14:paraId="2DF68E1B">
                  <w:pPr>
                    <w:widowControl/>
                    <w:textAlignment w:val="center"/>
                    <w:rPr>
                      <w:rFonts w:ascii="宋体" w:hAnsi="宋体" w:eastAsia="宋体" w:cs="宋体"/>
                      <w:szCs w:val="21"/>
                      <w:highlight w:val="yellow"/>
                    </w:rPr>
                  </w:pPr>
                  <w:r>
                    <w:rPr>
                      <w:rFonts w:hint="eastAsia" w:ascii="宋体" w:hAnsi="宋体" w:eastAsia="宋体" w:cs="宋体"/>
                      <w:color w:val="000000"/>
                      <w:kern w:val="0"/>
                      <w:szCs w:val="21"/>
                      <w:lang w:bidi="ar"/>
                    </w:rPr>
                    <w:t>（1）根据学校提供的Excel报表，结合上级部门要求或校内会议要求的固定模版，在系统中用页面实现，并可支持导出。</w:t>
                  </w:r>
                </w:p>
              </w:tc>
              <w:tc>
                <w:tcPr>
                  <w:tcW w:w="355" w:type="pct"/>
                  <w:vMerge w:val="restart"/>
                  <w:shd w:val="clear" w:color="auto" w:fill="auto"/>
                  <w:noWrap/>
                  <w:vAlign w:val="center"/>
                </w:tcPr>
                <w:p w14:paraId="66B6671D">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1DA8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18" w:type="pct"/>
                  <w:vMerge w:val="continue"/>
                  <w:shd w:val="clear" w:color="auto" w:fill="auto"/>
                  <w:vAlign w:val="center"/>
                </w:tcPr>
                <w:p w14:paraId="4BF10135">
                  <w:pPr>
                    <w:jc w:val="center"/>
                    <w:rPr>
                      <w:rFonts w:ascii="宋体" w:hAnsi="宋体" w:eastAsia="宋体" w:cs="宋体"/>
                      <w:color w:val="000000"/>
                      <w:szCs w:val="21"/>
                    </w:rPr>
                  </w:pPr>
                </w:p>
              </w:tc>
              <w:tc>
                <w:tcPr>
                  <w:tcW w:w="486" w:type="pct"/>
                  <w:vMerge w:val="continue"/>
                  <w:shd w:val="clear" w:color="auto" w:fill="auto"/>
                  <w:vAlign w:val="center"/>
                </w:tcPr>
                <w:p w14:paraId="77C83CFF">
                  <w:pPr>
                    <w:spacing w:before="65" w:line="258" w:lineRule="auto"/>
                    <w:ind w:left="647" w:right="119" w:hanging="523"/>
                    <w:jc w:val="center"/>
                    <w:rPr>
                      <w:rFonts w:ascii="宋体" w:hAnsi="宋体" w:eastAsia="宋体" w:cs="宋体"/>
                      <w:spacing w:val="7"/>
                      <w:szCs w:val="21"/>
                    </w:rPr>
                  </w:pPr>
                </w:p>
              </w:tc>
              <w:tc>
                <w:tcPr>
                  <w:tcW w:w="3840" w:type="pct"/>
                  <w:shd w:val="clear" w:color="auto" w:fill="auto"/>
                  <w:vAlign w:val="center"/>
                </w:tcPr>
                <w:p w14:paraId="383B274A">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●（2）具备建设任务书电子化。具备借助系统实现各类建设任务书电子化管理，绩效指标和项目资金均在系统中进行呈现；并能够在校内项目申报或绩效自评时，具备校内项目关联对应的建设任务。</w:t>
                  </w:r>
                </w:p>
              </w:tc>
              <w:tc>
                <w:tcPr>
                  <w:tcW w:w="355" w:type="pct"/>
                  <w:vMerge w:val="continue"/>
                  <w:shd w:val="clear" w:color="auto" w:fill="auto"/>
                  <w:noWrap/>
                  <w:vAlign w:val="bottom"/>
                </w:tcPr>
                <w:p w14:paraId="505F0C83">
                  <w:pPr>
                    <w:jc w:val="center"/>
                    <w:rPr>
                      <w:rFonts w:ascii="宋体" w:hAnsi="宋体" w:eastAsia="宋体" w:cs="宋体"/>
                      <w:color w:val="000000"/>
                      <w:szCs w:val="21"/>
                    </w:rPr>
                  </w:pPr>
                </w:p>
              </w:tc>
            </w:tr>
            <w:tr w14:paraId="19FA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6C3697D4">
                  <w:pPr>
                    <w:jc w:val="center"/>
                    <w:rPr>
                      <w:rFonts w:ascii="宋体" w:hAnsi="宋体" w:eastAsia="宋体" w:cs="宋体"/>
                      <w:color w:val="000000"/>
                      <w:szCs w:val="21"/>
                    </w:rPr>
                  </w:pPr>
                </w:p>
              </w:tc>
              <w:tc>
                <w:tcPr>
                  <w:tcW w:w="486" w:type="pct"/>
                  <w:vMerge w:val="continue"/>
                  <w:shd w:val="clear" w:color="auto" w:fill="auto"/>
                  <w:vAlign w:val="center"/>
                </w:tcPr>
                <w:p w14:paraId="056B8446">
                  <w:pPr>
                    <w:spacing w:before="65" w:line="258" w:lineRule="auto"/>
                    <w:ind w:left="647" w:right="119" w:hanging="523"/>
                    <w:jc w:val="center"/>
                    <w:rPr>
                      <w:rFonts w:ascii="宋体" w:hAnsi="宋体" w:eastAsia="宋体" w:cs="宋体"/>
                      <w:spacing w:val="7"/>
                      <w:szCs w:val="21"/>
                    </w:rPr>
                  </w:pPr>
                </w:p>
              </w:tc>
              <w:tc>
                <w:tcPr>
                  <w:tcW w:w="3840" w:type="pct"/>
                  <w:shd w:val="clear" w:color="auto" w:fill="auto"/>
                  <w:vAlign w:val="center"/>
                </w:tcPr>
                <w:p w14:paraId="08BE2668">
                  <w:pPr>
                    <w:widowControl/>
                    <w:textAlignment w:val="center"/>
                    <w:rPr>
                      <w:rFonts w:ascii="宋体" w:hAnsi="宋体" w:eastAsia="宋体" w:cs="宋体"/>
                      <w:szCs w:val="21"/>
                    </w:rPr>
                  </w:pPr>
                  <w:r>
                    <w:rPr>
                      <w:rFonts w:hint="eastAsia" w:ascii="宋体" w:hAnsi="宋体" w:eastAsia="宋体" w:cs="宋体"/>
                      <w:color w:val="000000"/>
                      <w:kern w:val="0"/>
                      <w:szCs w:val="21"/>
                      <w:lang w:bidi="ar"/>
                    </w:rPr>
                    <w:t>（3）绩效跟踪监控可视化。具备合并同类项目绩效指标的功能。绩效指标申报部门能够填报绩效完成情况并上传佐证材料，绩效完成情况和年初绩效指标之间能形成对比。</w:t>
                  </w:r>
                </w:p>
              </w:tc>
              <w:tc>
                <w:tcPr>
                  <w:tcW w:w="355" w:type="pct"/>
                  <w:vMerge w:val="continue"/>
                  <w:shd w:val="clear" w:color="auto" w:fill="auto"/>
                  <w:noWrap/>
                  <w:vAlign w:val="bottom"/>
                </w:tcPr>
                <w:p w14:paraId="01D4275F">
                  <w:pPr>
                    <w:jc w:val="center"/>
                    <w:rPr>
                      <w:rFonts w:ascii="宋体" w:hAnsi="宋体" w:eastAsia="宋体" w:cs="宋体"/>
                      <w:color w:val="000000"/>
                      <w:szCs w:val="21"/>
                    </w:rPr>
                  </w:pPr>
                </w:p>
              </w:tc>
            </w:tr>
            <w:tr w14:paraId="5F1C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419E3236">
                  <w:pPr>
                    <w:jc w:val="center"/>
                    <w:rPr>
                      <w:rFonts w:ascii="宋体" w:hAnsi="宋体" w:eastAsia="宋体" w:cs="宋体"/>
                      <w:color w:val="000000"/>
                      <w:szCs w:val="21"/>
                    </w:rPr>
                  </w:pPr>
                </w:p>
              </w:tc>
              <w:tc>
                <w:tcPr>
                  <w:tcW w:w="486" w:type="pct"/>
                  <w:vMerge w:val="continue"/>
                  <w:shd w:val="clear" w:color="auto" w:fill="auto"/>
                  <w:vAlign w:val="center"/>
                </w:tcPr>
                <w:p w14:paraId="6CF9226C">
                  <w:pPr>
                    <w:spacing w:before="65" w:line="258" w:lineRule="auto"/>
                    <w:ind w:left="647" w:right="119" w:hanging="523"/>
                    <w:jc w:val="center"/>
                    <w:rPr>
                      <w:rFonts w:ascii="宋体" w:hAnsi="宋体" w:eastAsia="宋体" w:cs="宋体"/>
                      <w:spacing w:val="7"/>
                      <w:szCs w:val="21"/>
                    </w:rPr>
                  </w:pPr>
                </w:p>
              </w:tc>
              <w:tc>
                <w:tcPr>
                  <w:tcW w:w="3840" w:type="pct"/>
                  <w:shd w:val="clear" w:color="auto" w:fill="auto"/>
                  <w:vAlign w:val="center"/>
                </w:tcPr>
                <w:p w14:paraId="2CAA7D26">
                  <w:pPr>
                    <w:widowControl/>
                    <w:textAlignment w:val="center"/>
                    <w:rPr>
                      <w:rFonts w:ascii="宋体" w:hAnsi="宋体" w:eastAsia="宋体" w:cs="宋体"/>
                      <w:szCs w:val="21"/>
                    </w:rPr>
                  </w:pPr>
                  <w:r>
                    <w:rPr>
                      <w:rFonts w:hint="eastAsia" w:ascii="宋体" w:hAnsi="宋体" w:eastAsia="宋体" w:cs="宋体"/>
                      <w:color w:val="000000"/>
                      <w:kern w:val="0"/>
                      <w:szCs w:val="21"/>
                      <w:lang w:bidi="ar"/>
                    </w:rPr>
                    <w:t>●（4）具备绩效评价管理。系统具备针对校内项目、规划项目两个对象的绩效评价工作，包括绩效自评和第三方评价两个部分。系统可根据自评数据汇总生成相关数据采集表。</w:t>
                  </w:r>
                </w:p>
              </w:tc>
              <w:tc>
                <w:tcPr>
                  <w:tcW w:w="355" w:type="pct"/>
                  <w:vMerge w:val="continue"/>
                  <w:shd w:val="clear" w:color="auto" w:fill="auto"/>
                  <w:noWrap/>
                  <w:vAlign w:val="bottom"/>
                </w:tcPr>
                <w:p w14:paraId="238FF4A5">
                  <w:pPr>
                    <w:jc w:val="center"/>
                    <w:rPr>
                      <w:rFonts w:ascii="宋体" w:hAnsi="宋体" w:eastAsia="宋体" w:cs="宋体"/>
                      <w:color w:val="000000"/>
                      <w:szCs w:val="21"/>
                    </w:rPr>
                  </w:pPr>
                </w:p>
              </w:tc>
            </w:tr>
            <w:tr w14:paraId="5A23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18" w:type="pct"/>
                  <w:vMerge w:val="continue"/>
                  <w:shd w:val="clear" w:color="auto" w:fill="auto"/>
                  <w:vAlign w:val="center"/>
                </w:tcPr>
                <w:p w14:paraId="73696C67">
                  <w:pPr>
                    <w:jc w:val="center"/>
                    <w:rPr>
                      <w:rFonts w:ascii="宋体" w:hAnsi="宋体" w:eastAsia="宋体" w:cs="宋体"/>
                      <w:color w:val="000000"/>
                      <w:szCs w:val="21"/>
                    </w:rPr>
                  </w:pPr>
                </w:p>
              </w:tc>
              <w:tc>
                <w:tcPr>
                  <w:tcW w:w="486" w:type="pct"/>
                  <w:vMerge w:val="continue"/>
                  <w:shd w:val="clear" w:color="auto" w:fill="auto"/>
                  <w:vAlign w:val="center"/>
                </w:tcPr>
                <w:p w14:paraId="2E709DC3">
                  <w:pPr>
                    <w:spacing w:before="65" w:line="258" w:lineRule="auto"/>
                    <w:ind w:left="647" w:right="119" w:hanging="523"/>
                    <w:jc w:val="center"/>
                    <w:rPr>
                      <w:rFonts w:ascii="宋体" w:hAnsi="宋体" w:eastAsia="宋体" w:cs="宋体"/>
                      <w:spacing w:val="7"/>
                      <w:szCs w:val="21"/>
                    </w:rPr>
                  </w:pPr>
                </w:p>
              </w:tc>
              <w:tc>
                <w:tcPr>
                  <w:tcW w:w="3840" w:type="pct"/>
                  <w:shd w:val="clear" w:color="auto" w:fill="auto"/>
                  <w:vAlign w:val="center"/>
                </w:tcPr>
                <w:p w14:paraId="3160FC83">
                  <w:pPr>
                    <w:widowControl/>
                    <w:textAlignment w:val="center"/>
                    <w:rPr>
                      <w:rFonts w:ascii="宋体" w:hAnsi="宋体" w:eastAsia="宋体" w:cs="宋体"/>
                      <w:szCs w:val="21"/>
                    </w:rPr>
                  </w:pPr>
                  <w:r>
                    <w:rPr>
                      <w:rFonts w:hint="eastAsia" w:ascii="宋体" w:hAnsi="宋体" w:eastAsia="宋体" w:cs="宋体"/>
                      <w:color w:val="000000"/>
                      <w:kern w:val="0"/>
                      <w:szCs w:val="21"/>
                      <w:lang w:bidi="ar"/>
                    </w:rPr>
                    <w:t>（5）对于第三方评价，具备根据第三方反馈的问题按条进行记录，形成问题清单。</w:t>
                  </w:r>
                </w:p>
              </w:tc>
              <w:tc>
                <w:tcPr>
                  <w:tcW w:w="355" w:type="pct"/>
                  <w:vMerge w:val="continue"/>
                  <w:shd w:val="clear" w:color="auto" w:fill="auto"/>
                  <w:noWrap/>
                  <w:vAlign w:val="bottom"/>
                </w:tcPr>
                <w:p w14:paraId="70C3E9AE">
                  <w:pPr>
                    <w:jc w:val="center"/>
                    <w:rPr>
                      <w:rFonts w:ascii="宋体" w:hAnsi="宋体" w:eastAsia="宋体" w:cs="宋体"/>
                      <w:color w:val="000000"/>
                      <w:szCs w:val="21"/>
                    </w:rPr>
                  </w:pPr>
                </w:p>
              </w:tc>
            </w:tr>
            <w:tr w14:paraId="0C6F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restart"/>
                  <w:shd w:val="clear" w:color="auto" w:fill="auto"/>
                  <w:vAlign w:val="center"/>
                </w:tcPr>
                <w:p w14:paraId="2AF40DE7">
                  <w:pPr>
                    <w:jc w:val="center"/>
                    <w:rPr>
                      <w:rFonts w:ascii="宋体" w:hAnsi="宋体" w:eastAsia="宋体" w:cs="宋体"/>
                      <w:color w:val="000000"/>
                      <w:szCs w:val="21"/>
                    </w:rPr>
                  </w:pPr>
                  <w:r>
                    <w:rPr>
                      <w:rFonts w:hint="eastAsia" w:ascii="宋体" w:hAnsi="宋体" w:eastAsia="宋体" w:cs="宋体"/>
                      <w:color w:val="000000"/>
                      <w:szCs w:val="21"/>
                    </w:rPr>
                    <w:t>5</w:t>
                  </w:r>
                </w:p>
              </w:tc>
              <w:tc>
                <w:tcPr>
                  <w:tcW w:w="486" w:type="pct"/>
                  <w:vMerge w:val="restart"/>
                  <w:shd w:val="clear" w:color="auto" w:fill="auto"/>
                  <w:vAlign w:val="center"/>
                </w:tcPr>
                <w:p w14:paraId="6FC62C2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领导决策支持</w:t>
                  </w:r>
                </w:p>
              </w:tc>
              <w:tc>
                <w:tcPr>
                  <w:tcW w:w="3840" w:type="pct"/>
                  <w:shd w:val="clear" w:color="auto" w:fill="auto"/>
                </w:tcPr>
                <w:p w14:paraId="2099FC0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（1）具备工作台管理。包含用户待审批任务、通知提醒等，以及项目库、预算执行率等各类数据汇总等。</w:t>
                  </w:r>
                </w:p>
              </w:tc>
              <w:tc>
                <w:tcPr>
                  <w:tcW w:w="355" w:type="pct"/>
                  <w:vMerge w:val="restart"/>
                  <w:shd w:val="clear" w:color="auto" w:fill="auto"/>
                  <w:noWrap/>
                  <w:vAlign w:val="center"/>
                </w:tcPr>
                <w:p w14:paraId="4E66D3F0">
                  <w:pPr>
                    <w:jc w:val="center"/>
                    <w:rPr>
                      <w:rFonts w:ascii="宋体" w:hAnsi="宋体" w:eastAsia="宋体" w:cs="宋体"/>
                      <w:color w:val="000000"/>
                      <w:szCs w:val="21"/>
                    </w:rPr>
                  </w:pPr>
                  <w:r>
                    <w:rPr>
                      <w:rFonts w:hint="eastAsia" w:ascii="宋体" w:hAnsi="宋体" w:eastAsia="宋体" w:cs="宋体"/>
                      <w:color w:val="000000"/>
                      <w:szCs w:val="21"/>
                    </w:rPr>
                    <w:t>1</w:t>
                  </w:r>
                </w:p>
              </w:tc>
            </w:tr>
            <w:tr w14:paraId="1A91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continue"/>
                  <w:shd w:val="clear" w:color="auto" w:fill="auto"/>
                  <w:vAlign w:val="center"/>
                </w:tcPr>
                <w:p w14:paraId="3D447923">
                  <w:pPr>
                    <w:jc w:val="center"/>
                    <w:rPr>
                      <w:rFonts w:ascii="宋体" w:hAnsi="宋体" w:eastAsia="宋体" w:cs="宋体"/>
                      <w:color w:val="000000"/>
                      <w:szCs w:val="21"/>
                    </w:rPr>
                  </w:pPr>
                </w:p>
              </w:tc>
              <w:tc>
                <w:tcPr>
                  <w:tcW w:w="486" w:type="pct"/>
                  <w:vMerge w:val="continue"/>
                  <w:shd w:val="clear" w:color="auto" w:fill="auto"/>
                  <w:vAlign w:val="center"/>
                </w:tcPr>
                <w:p w14:paraId="06E819EC">
                  <w:pPr>
                    <w:spacing w:before="65" w:line="258" w:lineRule="auto"/>
                    <w:ind w:right="119"/>
                    <w:rPr>
                      <w:rFonts w:ascii="宋体" w:hAnsi="宋体" w:eastAsia="宋体" w:cs="宋体"/>
                      <w:spacing w:val="7"/>
                      <w:szCs w:val="21"/>
                    </w:rPr>
                  </w:pPr>
                </w:p>
              </w:tc>
              <w:tc>
                <w:tcPr>
                  <w:tcW w:w="3840" w:type="pct"/>
                  <w:shd w:val="clear" w:color="auto" w:fill="auto"/>
                </w:tcPr>
                <w:p w14:paraId="11371CEC">
                  <w:pPr>
                    <w:widowControl/>
                    <w:jc w:val="left"/>
                    <w:textAlignment w:val="center"/>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（2）可自动提取或按模板导入上年预算批复和预算执行数据，并与当年拟申报预算项目（含项目库）进行匹配、对比、分析。</w:t>
                  </w:r>
                </w:p>
              </w:tc>
              <w:tc>
                <w:tcPr>
                  <w:tcW w:w="355" w:type="pct"/>
                  <w:vMerge w:val="continue"/>
                  <w:shd w:val="clear" w:color="auto" w:fill="auto"/>
                  <w:noWrap/>
                  <w:vAlign w:val="center"/>
                </w:tcPr>
                <w:p w14:paraId="0A5D4754">
                  <w:pPr>
                    <w:jc w:val="center"/>
                    <w:rPr>
                      <w:rFonts w:ascii="宋体" w:hAnsi="宋体" w:eastAsia="宋体" w:cs="宋体"/>
                      <w:color w:val="000000"/>
                      <w:szCs w:val="21"/>
                    </w:rPr>
                  </w:pPr>
                </w:p>
              </w:tc>
            </w:tr>
            <w:tr w14:paraId="3C1F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continue"/>
                  <w:shd w:val="clear" w:color="auto" w:fill="auto"/>
                  <w:vAlign w:val="center"/>
                </w:tcPr>
                <w:p w14:paraId="6AA59499">
                  <w:pPr>
                    <w:jc w:val="center"/>
                    <w:rPr>
                      <w:rFonts w:ascii="宋体" w:hAnsi="宋体" w:eastAsia="宋体" w:cs="宋体"/>
                      <w:color w:val="000000"/>
                      <w:szCs w:val="21"/>
                    </w:rPr>
                  </w:pPr>
                </w:p>
              </w:tc>
              <w:tc>
                <w:tcPr>
                  <w:tcW w:w="486" w:type="pct"/>
                  <w:vMerge w:val="continue"/>
                  <w:shd w:val="clear" w:color="auto" w:fill="auto"/>
                  <w:vAlign w:val="center"/>
                </w:tcPr>
                <w:p w14:paraId="6D42905D">
                  <w:pPr>
                    <w:spacing w:before="65" w:line="258" w:lineRule="auto"/>
                    <w:ind w:right="119"/>
                    <w:rPr>
                      <w:rFonts w:ascii="宋体" w:hAnsi="宋体" w:eastAsia="宋体" w:cs="宋体"/>
                      <w:spacing w:val="7"/>
                      <w:szCs w:val="21"/>
                    </w:rPr>
                  </w:pPr>
                </w:p>
              </w:tc>
              <w:tc>
                <w:tcPr>
                  <w:tcW w:w="3840" w:type="pct"/>
                  <w:shd w:val="clear" w:color="auto" w:fill="auto"/>
                </w:tcPr>
                <w:p w14:paraId="2DA9375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●（3）具备支出监控管理。具备按照项目、申请日期、申请部门等条件组合查询支出明细单据；具备列表查看每项支出的关联业务执行状态查询。</w:t>
                  </w:r>
                </w:p>
              </w:tc>
              <w:tc>
                <w:tcPr>
                  <w:tcW w:w="355" w:type="pct"/>
                  <w:vMerge w:val="continue"/>
                  <w:shd w:val="clear" w:color="auto" w:fill="auto"/>
                  <w:noWrap/>
                  <w:vAlign w:val="center"/>
                </w:tcPr>
                <w:p w14:paraId="4FBE0D74">
                  <w:pPr>
                    <w:jc w:val="center"/>
                    <w:rPr>
                      <w:rFonts w:ascii="宋体" w:hAnsi="宋体" w:eastAsia="宋体" w:cs="宋体"/>
                      <w:color w:val="000000"/>
                      <w:szCs w:val="21"/>
                    </w:rPr>
                  </w:pPr>
                </w:p>
              </w:tc>
            </w:tr>
            <w:tr w14:paraId="5B11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continue"/>
                  <w:shd w:val="clear" w:color="auto" w:fill="auto"/>
                  <w:vAlign w:val="center"/>
                </w:tcPr>
                <w:p w14:paraId="230FEFFD">
                  <w:pPr>
                    <w:jc w:val="center"/>
                    <w:rPr>
                      <w:rFonts w:ascii="宋体" w:hAnsi="宋体" w:eastAsia="宋体" w:cs="宋体"/>
                      <w:color w:val="000000"/>
                      <w:szCs w:val="21"/>
                    </w:rPr>
                  </w:pPr>
                </w:p>
              </w:tc>
              <w:tc>
                <w:tcPr>
                  <w:tcW w:w="486" w:type="pct"/>
                  <w:vMerge w:val="continue"/>
                  <w:shd w:val="clear" w:color="auto" w:fill="auto"/>
                  <w:vAlign w:val="center"/>
                </w:tcPr>
                <w:p w14:paraId="226AE3B8">
                  <w:pPr>
                    <w:spacing w:before="65" w:line="258" w:lineRule="auto"/>
                    <w:ind w:right="119"/>
                    <w:rPr>
                      <w:rFonts w:ascii="宋体" w:hAnsi="宋体" w:eastAsia="宋体" w:cs="宋体"/>
                      <w:spacing w:val="7"/>
                      <w:szCs w:val="21"/>
                    </w:rPr>
                  </w:pPr>
                </w:p>
              </w:tc>
              <w:tc>
                <w:tcPr>
                  <w:tcW w:w="3840" w:type="pct"/>
                  <w:shd w:val="clear" w:color="auto" w:fill="auto"/>
                </w:tcPr>
                <w:p w14:paraId="60926EF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●（4）具备风险智能检查。系统可根据预制的风险防范规则，智能检查内控风险点，辅助学校防范风险。</w:t>
                  </w:r>
                </w:p>
              </w:tc>
              <w:tc>
                <w:tcPr>
                  <w:tcW w:w="355" w:type="pct"/>
                  <w:vMerge w:val="continue"/>
                  <w:shd w:val="clear" w:color="auto" w:fill="auto"/>
                  <w:noWrap/>
                  <w:vAlign w:val="center"/>
                </w:tcPr>
                <w:p w14:paraId="6465D1FC">
                  <w:pPr>
                    <w:jc w:val="center"/>
                    <w:rPr>
                      <w:rFonts w:ascii="宋体" w:hAnsi="宋体" w:eastAsia="宋体" w:cs="宋体"/>
                      <w:color w:val="000000"/>
                      <w:szCs w:val="21"/>
                    </w:rPr>
                  </w:pPr>
                </w:p>
              </w:tc>
            </w:tr>
            <w:tr w14:paraId="2912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18" w:type="pct"/>
                  <w:vMerge w:val="continue"/>
                  <w:shd w:val="clear" w:color="auto" w:fill="auto"/>
                  <w:vAlign w:val="center"/>
                </w:tcPr>
                <w:p w14:paraId="07DB5013">
                  <w:pPr>
                    <w:jc w:val="center"/>
                    <w:rPr>
                      <w:rFonts w:ascii="宋体" w:hAnsi="宋体" w:eastAsia="宋体" w:cs="宋体"/>
                      <w:color w:val="000000"/>
                      <w:szCs w:val="21"/>
                    </w:rPr>
                  </w:pPr>
                </w:p>
              </w:tc>
              <w:tc>
                <w:tcPr>
                  <w:tcW w:w="486" w:type="pct"/>
                  <w:vMerge w:val="continue"/>
                  <w:shd w:val="clear" w:color="auto" w:fill="auto"/>
                  <w:vAlign w:val="center"/>
                </w:tcPr>
                <w:p w14:paraId="35768631">
                  <w:pPr>
                    <w:spacing w:before="65" w:line="258" w:lineRule="auto"/>
                    <w:ind w:right="119"/>
                    <w:rPr>
                      <w:rFonts w:ascii="宋体" w:hAnsi="宋体" w:eastAsia="宋体" w:cs="宋体"/>
                      <w:spacing w:val="7"/>
                      <w:szCs w:val="21"/>
                    </w:rPr>
                  </w:pPr>
                </w:p>
              </w:tc>
              <w:tc>
                <w:tcPr>
                  <w:tcW w:w="3840" w:type="pct"/>
                  <w:shd w:val="clear" w:color="auto" w:fill="auto"/>
                </w:tcPr>
                <w:p w14:paraId="7AF15B40">
                  <w:pPr>
                    <w:widowControl/>
                    <w:numPr>
                      <w:ilvl w:val="0"/>
                      <w:numId w:val="1"/>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●具备校内项目看板。具体要求为：</w:t>
                  </w:r>
                </w:p>
                <w:p w14:paraId="47A6958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a、全生命周期管理</w:t>
                  </w:r>
                </w:p>
                <w:p w14:paraId="5A6F767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支持整合校内项目事前申报、事中预算执行、事后绩效评价的全周期数据并展示；b、风险提示</w:t>
                  </w:r>
                </w:p>
                <w:p w14:paraId="159D81E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自动识别项目执行风险（如中标 30 天未签合同、绩效自评逾期），并展示风险信息。</w:t>
                  </w:r>
                </w:p>
                <w:p w14:paraId="506D5387">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c、项目文档管理</w:t>
                  </w:r>
                </w:p>
                <w:p w14:paraId="1732123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支持按项目申报、采购、合同等阶段分类管理和检索全周期文档。</w:t>
                  </w:r>
                </w:p>
                <w:p w14:paraId="047FFBE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d、项目进展管理</w:t>
                  </w:r>
                </w:p>
                <w:p w14:paraId="1F06D20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项目成员可实时共享、讨论进展，填写执行描述与计划并关联业务；遇卡点可 @相关人员并触发系统提醒；进展按汇报时间倒序展示，便于查看整体进度。</w:t>
                  </w:r>
                </w:p>
              </w:tc>
              <w:tc>
                <w:tcPr>
                  <w:tcW w:w="355" w:type="pct"/>
                  <w:vMerge w:val="continue"/>
                  <w:shd w:val="clear" w:color="auto" w:fill="auto"/>
                  <w:noWrap/>
                  <w:vAlign w:val="center"/>
                </w:tcPr>
                <w:p w14:paraId="63B33FC9">
                  <w:pPr>
                    <w:jc w:val="center"/>
                    <w:rPr>
                      <w:rFonts w:ascii="宋体" w:hAnsi="宋体" w:eastAsia="宋体" w:cs="宋体"/>
                      <w:color w:val="000000"/>
                      <w:szCs w:val="21"/>
                    </w:rPr>
                  </w:pPr>
                </w:p>
              </w:tc>
            </w:tr>
            <w:tr w14:paraId="1589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restart"/>
                  <w:shd w:val="clear" w:color="auto" w:fill="auto"/>
                  <w:vAlign w:val="center"/>
                </w:tcPr>
                <w:p w14:paraId="50710C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486" w:type="pct"/>
                  <w:vMerge w:val="restart"/>
                  <w:shd w:val="clear" w:color="auto" w:fill="auto"/>
                  <w:vAlign w:val="center"/>
                </w:tcPr>
                <w:p w14:paraId="1BF383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移动应用</w:t>
                  </w:r>
                </w:p>
              </w:tc>
              <w:tc>
                <w:tcPr>
                  <w:tcW w:w="3840" w:type="pct"/>
                  <w:shd w:val="clear" w:color="auto" w:fill="auto"/>
                  <w:vAlign w:val="center"/>
                </w:tcPr>
                <w:p w14:paraId="6810744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kern w:val="0"/>
                      <w:szCs w:val="21"/>
                    </w:rPr>
                    <w:t>系统具备与学校统企业微信实现单点登录，实现移动端办公门户的应用集成，在移动端实现事前申请、报销、移动审批和预算执行监控等功能。</w:t>
                  </w:r>
                </w:p>
              </w:tc>
              <w:tc>
                <w:tcPr>
                  <w:tcW w:w="355" w:type="pct"/>
                  <w:vMerge w:val="restart"/>
                  <w:shd w:val="clear" w:color="auto" w:fill="auto"/>
                  <w:noWrap/>
                  <w:vAlign w:val="center"/>
                </w:tcPr>
                <w:p w14:paraId="5A4959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3618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18" w:type="pct"/>
                  <w:vMerge w:val="continue"/>
                  <w:shd w:val="clear" w:color="auto" w:fill="auto"/>
                  <w:vAlign w:val="center"/>
                </w:tcPr>
                <w:p w14:paraId="5732A716">
                  <w:pPr>
                    <w:jc w:val="center"/>
                    <w:rPr>
                      <w:rFonts w:ascii="宋体" w:hAnsi="宋体" w:eastAsia="宋体" w:cs="宋体"/>
                      <w:color w:val="000000"/>
                      <w:szCs w:val="21"/>
                    </w:rPr>
                  </w:pPr>
                </w:p>
              </w:tc>
              <w:tc>
                <w:tcPr>
                  <w:tcW w:w="486" w:type="pct"/>
                  <w:vMerge w:val="continue"/>
                  <w:shd w:val="clear" w:color="auto" w:fill="auto"/>
                  <w:vAlign w:val="center"/>
                </w:tcPr>
                <w:p w14:paraId="4D40ECB4">
                  <w:pPr>
                    <w:jc w:val="center"/>
                    <w:rPr>
                      <w:rFonts w:ascii="宋体" w:hAnsi="宋体" w:eastAsia="宋体" w:cs="宋体"/>
                      <w:color w:val="000000"/>
                      <w:szCs w:val="21"/>
                    </w:rPr>
                  </w:pPr>
                </w:p>
              </w:tc>
              <w:tc>
                <w:tcPr>
                  <w:tcW w:w="3840" w:type="pct"/>
                  <w:shd w:val="clear" w:color="auto" w:fill="auto"/>
                  <w:vAlign w:val="center"/>
                </w:tcPr>
                <w:p w14:paraId="4EC59CF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具备在移动端发起项目申报，实现移动办公，审批消息与企业微信对接，实现自动推送，并可以穿透查询单据明细，用户可以实时查看数据权限范围内的可用预算汇总金额，能够多级穿透查询用户数据权限范围内各项目预算执行率和可用预算金额。</w:t>
                  </w:r>
                </w:p>
              </w:tc>
              <w:tc>
                <w:tcPr>
                  <w:tcW w:w="355" w:type="pct"/>
                  <w:vMerge w:val="continue"/>
                  <w:shd w:val="clear" w:color="auto" w:fill="auto"/>
                  <w:noWrap/>
                  <w:vAlign w:val="center"/>
                </w:tcPr>
                <w:p w14:paraId="0E22A471">
                  <w:pPr>
                    <w:jc w:val="center"/>
                    <w:rPr>
                      <w:rFonts w:ascii="宋体" w:hAnsi="宋体" w:eastAsia="宋体" w:cs="宋体"/>
                      <w:color w:val="000000"/>
                      <w:szCs w:val="21"/>
                    </w:rPr>
                  </w:pPr>
                </w:p>
              </w:tc>
            </w:tr>
            <w:tr w14:paraId="302A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18" w:type="pct"/>
                  <w:vMerge w:val="restart"/>
                  <w:shd w:val="clear" w:color="auto" w:fill="auto"/>
                  <w:vAlign w:val="center"/>
                </w:tcPr>
                <w:p w14:paraId="75A4B6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486" w:type="pct"/>
                  <w:vMerge w:val="restart"/>
                  <w:shd w:val="clear" w:color="auto" w:fill="auto"/>
                  <w:vAlign w:val="center"/>
                </w:tcPr>
                <w:p w14:paraId="4AFA514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一体化集成</w:t>
                  </w:r>
                </w:p>
              </w:tc>
              <w:tc>
                <w:tcPr>
                  <w:tcW w:w="3840" w:type="pct"/>
                  <w:shd w:val="clear" w:color="auto" w:fill="auto"/>
                  <w:vAlign w:val="center"/>
                </w:tcPr>
                <w:p w14:paraId="000CBF2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kern w:val="0"/>
                      <w:szCs w:val="21"/>
                    </w:rPr>
                    <w:t>与天财财务系统对接，推送供核算系统调用生成财务数据。</w:t>
                  </w:r>
                </w:p>
              </w:tc>
              <w:tc>
                <w:tcPr>
                  <w:tcW w:w="355" w:type="pct"/>
                  <w:vMerge w:val="restart"/>
                  <w:shd w:val="clear" w:color="auto" w:fill="auto"/>
                  <w:noWrap/>
                  <w:vAlign w:val="center"/>
                </w:tcPr>
                <w:p w14:paraId="040EE5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255F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vMerge w:val="continue"/>
                  <w:shd w:val="clear" w:color="auto" w:fill="auto"/>
                  <w:vAlign w:val="center"/>
                </w:tcPr>
                <w:p w14:paraId="7BACB9D9">
                  <w:pPr>
                    <w:jc w:val="center"/>
                    <w:rPr>
                      <w:rFonts w:ascii="宋体" w:hAnsi="宋体" w:eastAsia="宋体" w:cs="宋体"/>
                      <w:color w:val="000000"/>
                      <w:szCs w:val="21"/>
                    </w:rPr>
                  </w:pPr>
                </w:p>
              </w:tc>
              <w:tc>
                <w:tcPr>
                  <w:tcW w:w="486" w:type="pct"/>
                  <w:vMerge w:val="continue"/>
                  <w:shd w:val="clear" w:color="auto" w:fill="auto"/>
                  <w:vAlign w:val="center"/>
                </w:tcPr>
                <w:p w14:paraId="2C62B6F7">
                  <w:pPr>
                    <w:jc w:val="center"/>
                    <w:rPr>
                      <w:rFonts w:ascii="宋体" w:hAnsi="宋体" w:eastAsia="宋体" w:cs="宋体"/>
                      <w:color w:val="000000"/>
                      <w:szCs w:val="21"/>
                    </w:rPr>
                  </w:pPr>
                </w:p>
              </w:tc>
              <w:tc>
                <w:tcPr>
                  <w:tcW w:w="3840" w:type="pct"/>
                  <w:shd w:val="clear" w:color="auto" w:fill="auto"/>
                  <w:vAlign w:val="center"/>
                </w:tcPr>
                <w:p w14:paraId="6211E26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（2）数据设计符合学校信息标准及接口规范，学校数据中心集成，开放数据字典和数据库只读账号，按需配合学校数据中心实现数据的交换与共享。</w:t>
                  </w:r>
                </w:p>
              </w:tc>
              <w:tc>
                <w:tcPr>
                  <w:tcW w:w="355" w:type="pct"/>
                  <w:vMerge w:val="continue"/>
                  <w:shd w:val="clear" w:color="auto" w:fill="auto"/>
                  <w:noWrap/>
                  <w:vAlign w:val="center"/>
                </w:tcPr>
                <w:p w14:paraId="63270D2A">
                  <w:pPr>
                    <w:jc w:val="center"/>
                    <w:rPr>
                      <w:rFonts w:ascii="宋体" w:hAnsi="宋体" w:eastAsia="宋体" w:cs="宋体"/>
                      <w:color w:val="000000"/>
                      <w:szCs w:val="21"/>
                    </w:rPr>
                  </w:pPr>
                </w:p>
              </w:tc>
            </w:tr>
            <w:tr w14:paraId="16C1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8" w:type="pct"/>
                  <w:vMerge w:val="continue"/>
                  <w:shd w:val="clear" w:color="auto" w:fill="auto"/>
                  <w:vAlign w:val="center"/>
                </w:tcPr>
                <w:p w14:paraId="65C5429A">
                  <w:pPr>
                    <w:jc w:val="center"/>
                    <w:rPr>
                      <w:rFonts w:ascii="宋体" w:hAnsi="宋体" w:eastAsia="宋体" w:cs="宋体"/>
                      <w:color w:val="000000"/>
                      <w:szCs w:val="21"/>
                    </w:rPr>
                  </w:pPr>
                </w:p>
              </w:tc>
              <w:tc>
                <w:tcPr>
                  <w:tcW w:w="486" w:type="pct"/>
                  <w:vMerge w:val="continue"/>
                  <w:shd w:val="clear" w:color="auto" w:fill="auto"/>
                  <w:vAlign w:val="center"/>
                </w:tcPr>
                <w:p w14:paraId="5B99059B">
                  <w:pPr>
                    <w:jc w:val="center"/>
                    <w:rPr>
                      <w:rFonts w:ascii="宋体" w:hAnsi="宋体" w:eastAsia="宋体" w:cs="宋体"/>
                      <w:color w:val="000000"/>
                      <w:szCs w:val="21"/>
                    </w:rPr>
                  </w:pPr>
                </w:p>
              </w:tc>
              <w:tc>
                <w:tcPr>
                  <w:tcW w:w="3840" w:type="pct"/>
                  <w:shd w:val="clear" w:color="auto" w:fill="auto"/>
                  <w:vAlign w:val="center"/>
                </w:tcPr>
                <w:p w14:paraId="1878E83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（3）系统所需数据与学校数据中心对接，按数据中心接口标准和共享规范进行调用</w:t>
                  </w:r>
                </w:p>
              </w:tc>
              <w:tc>
                <w:tcPr>
                  <w:tcW w:w="355" w:type="pct"/>
                  <w:vMerge w:val="continue"/>
                  <w:shd w:val="clear" w:color="auto" w:fill="auto"/>
                  <w:noWrap/>
                  <w:vAlign w:val="center"/>
                </w:tcPr>
                <w:p w14:paraId="71718F2C">
                  <w:pPr>
                    <w:jc w:val="center"/>
                    <w:rPr>
                      <w:rFonts w:ascii="宋体" w:hAnsi="宋体" w:eastAsia="宋体" w:cs="宋体"/>
                      <w:color w:val="000000"/>
                      <w:szCs w:val="21"/>
                    </w:rPr>
                  </w:pPr>
                </w:p>
              </w:tc>
            </w:tr>
            <w:tr w14:paraId="726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18" w:type="pct"/>
                  <w:vMerge w:val="continue"/>
                  <w:shd w:val="clear" w:color="auto" w:fill="auto"/>
                  <w:vAlign w:val="center"/>
                </w:tcPr>
                <w:p w14:paraId="28518C48">
                  <w:pPr>
                    <w:jc w:val="center"/>
                    <w:rPr>
                      <w:rFonts w:ascii="宋体" w:hAnsi="宋体" w:eastAsia="宋体" w:cs="宋体"/>
                      <w:color w:val="000000"/>
                      <w:szCs w:val="21"/>
                    </w:rPr>
                  </w:pPr>
                </w:p>
              </w:tc>
              <w:tc>
                <w:tcPr>
                  <w:tcW w:w="486" w:type="pct"/>
                  <w:vMerge w:val="continue"/>
                  <w:shd w:val="clear" w:color="auto" w:fill="auto"/>
                  <w:vAlign w:val="center"/>
                </w:tcPr>
                <w:p w14:paraId="5B7F6F6F">
                  <w:pPr>
                    <w:jc w:val="center"/>
                    <w:rPr>
                      <w:rFonts w:ascii="宋体" w:hAnsi="宋体" w:eastAsia="宋体" w:cs="宋体"/>
                      <w:color w:val="000000"/>
                      <w:szCs w:val="21"/>
                    </w:rPr>
                  </w:pPr>
                </w:p>
              </w:tc>
              <w:tc>
                <w:tcPr>
                  <w:tcW w:w="3840" w:type="pct"/>
                  <w:shd w:val="clear" w:color="auto" w:fill="auto"/>
                  <w:vAlign w:val="center"/>
                </w:tcPr>
                <w:p w14:paraId="42E2E7E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（4）与学校统一身份认证平台对接，实现身份统一认证。</w:t>
                  </w:r>
                </w:p>
              </w:tc>
              <w:tc>
                <w:tcPr>
                  <w:tcW w:w="355" w:type="pct"/>
                  <w:vMerge w:val="continue"/>
                  <w:shd w:val="clear" w:color="auto" w:fill="auto"/>
                  <w:noWrap/>
                  <w:vAlign w:val="center"/>
                </w:tcPr>
                <w:p w14:paraId="15E6E541">
                  <w:pPr>
                    <w:jc w:val="center"/>
                    <w:rPr>
                      <w:rFonts w:ascii="宋体" w:hAnsi="宋体" w:eastAsia="宋体" w:cs="宋体"/>
                      <w:color w:val="000000"/>
                      <w:szCs w:val="21"/>
                    </w:rPr>
                  </w:pPr>
                </w:p>
              </w:tc>
            </w:tr>
            <w:tr w14:paraId="4F81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18" w:type="pct"/>
                  <w:vMerge w:val="continue"/>
                  <w:shd w:val="clear" w:color="auto" w:fill="auto"/>
                  <w:vAlign w:val="center"/>
                </w:tcPr>
                <w:p w14:paraId="25D6D604">
                  <w:pPr>
                    <w:jc w:val="center"/>
                    <w:rPr>
                      <w:rFonts w:ascii="宋体" w:hAnsi="宋体" w:eastAsia="宋体" w:cs="宋体"/>
                      <w:color w:val="000000"/>
                      <w:szCs w:val="21"/>
                    </w:rPr>
                  </w:pPr>
                </w:p>
              </w:tc>
              <w:tc>
                <w:tcPr>
                  <w:tcW w:w="486" w:type="pct"/>
                  <w:vMerge w:val="continue"/>
                  <w:shd w:val="clear" w:color="auto" w:fill="auto"/>
                  <w:vAlign w:val="center"/>
                </w:tcPr>
                <w:p w14:paraId="3DDD1652">
                  <w:pPr>
                    <w:jc w:val="center"/>
                    <w:rPr>
                      <w:rFonts w:ascii="宋体" w:hAnsi="宋体" w:eastAsia="宋体" w:cs="宋体"/>
                      <w:color w:val="000000"/>
                      <w:szCs w:val="21"/>
                    </w:rPr>
                  </w:pPr>
                </w:p>
              </w:tc>
              <w:tc>
                <w:tcPr>
                  <w:tcW w:w="3840" w:type="pct"/>
                  <w:shd w:val="clear" w:color="auto" w:fill="auto"/>
                  <w:vAlign w:val="center"/>
                </w:tcPr>
                <w:p w14:paraId="65AE0A79">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（5）与学校网上办事大厅，实现应用连接跳转。</w:t>
                  </w:r>
                </w:p>
              </w:tc>
              <w:tc>
                <w:tcPr>
                  <w:tcW w:w="355" w:type="pct"/>
                  <w:vMerge w:val="continue"/>
                  <w:shd w:val="clear" w:color="auto" w:fill="auto"/>
                  <w:noWrap/>
                  <w:vAlign w:val="center"/>
                </w:tcPr>
                <w:p w14:paraId="60D4B71F">
                  <w:pPr>
                    <w:jc w:val="center"/>
                    <w:rPr>
                      <w:rFonts w:ascii="宋体" w:hAnsi="宋体" w:eastAsia="宋体" w:cs="宋体"/>
                      <w:color w:val="000000"/>
                      <w:szCs w:val="21"/>
                    </w:rPr>
                  </w:pPr>
                </w:p>
              </w:tc>
            </w:tr>
            <w:tr w14:paraId="0918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8" w:type="pct"/>
                  <w:shd w:val="clear" w:color="auto" w:fill="auto"/>
                  <w:vAlign w:val="center"/>
                </w:tcPr>
                <w:p w14:paraId="394290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486" w:type="pct"/>
                  <w:shd w:val="clear" w:color="auto" w:fill="auto"/>
                  <w:vAlign w:val="center"/>
                </w:tcPr>
                <w:p w14:paraId="49C0313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数据梳理迁移</w:t>
                  </w:r>
                </w:p>
              </w:tc>
              <w:tc>
                <w:tcPr>
                  <w:tcW w:w="3840" w:type="pct"/>
                  <w:shd w:val="clear" w:color="auto" w:fill="auto"/>
                  <w:vAlign w:val="center"/>
                </w:tcPr>
                <w:p w14:paraId="6D2DE55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完成数据梳理迁移。梳理双高计划建设期内任务项目、绩效指标、项目资金，确保清晰、明确，完整准确完成数据迁移，协助学校快速准确、保质保量完成双高绩效评价工作。</w:t>
                  </w:r>
                </w:p>
              </w:tc>
              <w:tc>
                <w:tcPr>
                  <w:tcW w:w="355" w:type="pct"/>
                  <w:shd w:val="clear" w:color="auto" w:fill="auto"/>
                  <w:noWrap/>
                  <w:vAlign w:val="center"/>
                </w:tcPr>
                <w:p w14:paraId="14C563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04F8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18" w:type="pct"/>
                  <w:vMerge w:val="restart"/>
                  <w:shd w:val="clear" w:color="auto" w:fill="auto"/>
                  <w:vAlign w:val="center"/>
                </w:tcPr>
                <w:p w14:paraId="1F0F43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486" w:type="pct"/>
                  <w:vMerge w:val="restart"/>
                  <w:shd w:val="clear" w:color="auto" w:fill="auto"/>
                  <w:vAlign w:val="center"/>
                </w:tcPr>
                <w:p w14:paraId="279294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系统技术要求</w:t>
                  </w:r>
                </w:p>
              </w:tc>
              <w:tc>
                <w:tcPr>
                  <w:tcW w:w="3840" w:type="pct"/>
                  <w:shd w:val="clear" w:color="auto" w:fill="auto"/>
                  <w:vAlign w:val="center"/>
                </w:tcPr>
                <w:p w14:paraId="3D49BF8F">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（1）系统平台设计时应充分考虑技术的发展方向，平台建设在技术上应采用互联网应用开发的前后端分离架构,保证技术上的先进性和前瞻性，能够满足学院业务发展对信息化系统平台的要求。</w:t>
                  </w:r>
                </w:p>
              </w:tc>
              <w:tc>
                <w:tcPr>
                  <w:tcW w:w="355" w:type="pct"/>
                  <w:vMerge w:val="restart"/>
                  <w:shd w:val="clear" w:color="auto" w:fill="auto"/>
                  <w:noWrap/>
                  <w:vAlign w:val="center"/>
                </w:tcPr>
                <w:p w14:paraId="514697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2D1F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18" w:type="pct"/>
                  <w:vMerge w:val="continue"/>
                  <w:shd w:val="clear" w:color="auto" w:fill="auto"/>
                  <w:vAlign w:val="center"/>
                </w:tcPr>
                <w:p w14:paraId="5CA247AC">
                  <w:pPr>
                    <w:jc w:val="center"/>
                    <w:rPr>
                      <w:rFonts w:ascii="宋体" w:hAnsi="宋体" w:eastAsia="宋体" w:cs="宋体"/>
                      <w:color w:val="000000"/>
                      <w:szCs w:val="21"/>
                    </w:rPr>
                  </w:pPr>
                </w:p>
              </w:tc>
              <w:tc>
                <w:tcPr>
                  <w:tcW w:w="486" w:type="pct"/>
                  <w:vMerge w:val="continue"/>
                  <w:shd w:val="clear" w:color="auto" w:fill="auto"/>
                  <w:vAlign w:val="center"/>
                </w:tcPr>
                <w:p w14:paraId="09AFF602">
                  <w:pPr>
                    <w:jc w:val="center"/>
                    <w:rPr>
                      <w:rFonts w:ascii="宋体" w:hAnsi="宋体" w:eastAsia="宋体" w:cs="宋体"/>
                      <w:color w:val="000000"/>
                      <w:szCs w:val="21"/>
                    </w:rPr>
                  </w:pPr>
                </w:p>
              </w:tc>
              <w:tc>
                <w:tcPr>
                  <w:tcW w:w="3840" w:type="pct"/>
                  <w:shd w:val="clear" w:color="auto" w:fill="auto"/>
                  <w:vAlign w:val="center"/>
                </w:tcPr>
                <w:p w14:paraId="228498BE">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shd w:val="clear" w:color="auto" w:fill="FFFFFF"/>
                      <w:lang w:bidi="ar"/>
                    </w:rPr>
                    <w:t>（2）系统要支持国产化的服务器和数据库 。系统需要支持常用的信创平台，具体包括但不限于：国产服务器，飞腾、鲲鹏处理器的服务器；国产操作系统，银河麒麟操作系统等；国产中间件，金蝶天燕等；国产数据库，达梦、金仓等。</w:t>
                  </w:r>
                </w:p>
              </w:tc>
              <w:tc>
                <w:tcPr>
                  <w:tcW w:w="355" w:type="pct"/>
                  <w:vMerge w:val="continue"/>
                  <w:shd w:val="clear" w:color="auto" w:fill="auto"/>
                  <w:noWrap/>
                  <w:vAlign w:val="center"/>
                </w:tcPr>
                <w:p w14:paraId="002B4A01">
                  <w:pPr>
                    <w:jc w:val="center"/>
                    <w:rPr>
                      <w:rFonts w:ascii="宋体" w:hAnsi="宋体" w:eastAsia="宋体" w:cs="宋体"/>
                      <w:color w:val="000000"/>
                      <w:szCs w:val="21"/>
                    </w:rPr>
                  </w:pPr>
                </w:p>
              </w:tc>
            </w:tr>
            <w:tr w14:paraId="4486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18" w:type="pct"/>
                  <w:vMerge w:val="continue"/>
                  <w:shd w:val="clear" w:color="auto" w:fill="auto"/>
                  <w:vAlign w:val="center"/>
                </w:tcPr>
                <w:p w14:paraId="62F5E55A">
                  <w:pPr>
                    <w:jc w:val="center"/>
                    <w:rPr>
                      <w:rFonts w:ascii="宋体" w:hAnsi="宋体" w:eastAsia="宋体" w:cs="宋体"/>
                      <w:color w:val="000000"/>
                      <w:szCs w:val="21"/>
                    </w:rPr>
                  </w:pPr>
                </w:p>
              </w:tc>
              <w:tc>
                <w:tcPr>
                  <w:tcW w:w="486" w:type="pct"/>
                  <w:vMerge w:val="continue"/>
                  <w:shd w:val="clear" w:color="auto" w:fill="auto"/>
                  <w:vAlign w:val="center"/>
                </w:tcPr>
                <w:p w14:paraId="58A47656">
                  <w:pPr>
                    <w:jc w:val="center"/>
                    <w:rPr>
                      <w:rFonts w:ascii="宋体" w:hAnsi="宋体" w:eastAsia="宋体" w:cs="宋体"/>
                      <w:color w:val="000000"/>
                      <w:szCs w:val="21"/>
                    </w:rPr>
                  </w:pPr>
                </w:p>
              </w:tc>
              <w:tc>
                <w:tcPr>
                  <w:tcW w:w="3840" w:type="pct"/>
                  <w:shd w:val="clear" w:color="auto" w:fill="auto"/>
                  <w:vAlign w:val="center"/>
                </w:tcPr>
                <w:p w14:paraId="385CADD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（3）系统要具备扩充和升级。在选择技术架构上，应遵循共同技术标准构成一个开放的、易扩充的、统一软件的系统。全面具备跨硬件平台、跨操作系统、跨数据库，具备系统扩充和升级。</w:t>
                  </w:r>
                </w:p>
              </w:tc>
              <w:tc>
                <w:tcPr>
                  <w:tcW w:w="355" w:type="pct"/>
                  <w:vMerge w:val="continue"/>
                  <w:shd w:val="clear" w:color="auto" w:fill="auto"/>
                  <w:noWrap/>
                  <w:vAlign w:val="center"/>
                </w:tcPr>
                <w:p w14:paraId="5684E5F8">
                  <w:pPr>
                    <w:jc w:val="center"/>
                    <w:rPr>
                      <w:rFonts w:ascii="宋体" w:hAnsi="宋体" w:eastAsia="宋体" w:cs="宋体"/>
                      <w:color w:val="000000"/>
                      <w:szCs w:val="21"/>
                    </w:rPr>
                  </w:pPr>
                </w:p>
              </w:tc>
            </w:tr>
            <w:tr w14:paraId="2795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continue"/>
                  <w:shd w:val="clear" w:color="auto" w:fill="auto"/>
                  <w:vAlign w:val="center"/>
                </w:tcPr>
                <w:p w14:paraId="7E1E4A0E">
                  <w:pPr>
                    <w:jc w:val="center"/>
                    <w:rPr>
                      <w:rFonts w:ascii="宋体" w:hAnsi="宋体" w:eastAsia="宋体" w:cs="宋体"/>
                      <w:color w:val="000000"/>
                      <w:szCs w:val="21"/>
                    </w:rPr>
                  </w:pPr>
                </w:p>
              </w:tc>
              <w:tc>
                <w:tcPr>
                  <w:tcW w:w="486" w:type="pct"/>
                  <w:vMerge w:val="continue"/>
                  <w:shd w:val="clear" w:color="auto" w:fill="auto"/>
                  <w:vAlign w:val="center"/>
                </w:tcPr>
                <w:p w14:paraId="6B0BE3E9">
                  <w:pPr>
                    <w:jc w:val="center"/>
                    <w:rPr>
                      <w:rFonts w:ascii="宋体" w:hAnsi="宋体" w:eastAsia="宋体" w:cs="宋体"/>
                      <w:color w:val="000000"/>
                      <w:szCs w:val="21"/>
                    </w:rPr>
                  </w:pPr>
                </w:p>
              </w:tc>
              <w:tc>
                <w:tcPr>
                  <w:tcW w:w="3840" w:type="pct"/>
                  <w:shd w:val="clear" w:color="auto" w:fill="auto"/>
                  <w:vAlign w:val="center"/>
                </w:tcPr>
                <w:p w14:paraId="42333FF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（4）系统要灵活，具备随时增加功能模块。平台随时增加新的功能模块和业务组件，可以根据需要修改某个模块，满足学校的业务需求。</w:t>
                  </w:r>
                </w:p>
              </w:tc>
              <w:tc>
                <w:tcPr>
                  <w:tcW w:w="355" w:type="pct"/>
                  <w:vMerge w:val="continue"/>
                  <w:shd w:val="clear" w:color="auto" w:fill="auto"/>
                  <w:noWrap/>
                  <w:vAlign w:val="center"/>
                </w:tcPr>
                <w:p w14:paraId="432A4E09">
                  <w:pPr>
                    <w:jc w:val="center"/>
                    <w:rPr>
                      <w:rFonts w:ascii="宋体" w:hAnsi="宋体" w:eastAsia="宋体" w:cs="宋体"/>
                      <w:color w:val="000000"/>
                      <w:szCs w:val="21"/>
                    </w:rPr>
                  </w:pPr>
                </w:p>
              </w:tc>
            </w:tr>
            <w:tr w14:paraId="59F1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continue"/>
                  <w:shd w:val="clear" w:color="auto" w:fill="auto"/>
                  <w:vAlign w:val="center"/>
                </w:tcPr>
                <w:p w14:paraId="2F599C8F">
                  <w:pPr>
                    <w:jc w:val="center"/>
                    <w:rPr>
                      <w:rFonts w:ascii="宋体" w:hAnsi="宋体" w:eastAsia="宋体" w:cs="宋体"/>
                      <w:color w:val="000000"/>
                      <w:szCs w:val="21"/>
                    </w:rPr>
                  </w:pPr>
                </w:p>
              </w:tc>
              <w:tc>
                <w:tcPr>
                  <w:tcW w:w="486" w:type="pct"/>
                  <w:vMerge w:val="continue"/>
                  <w:shd w:val="clear" w:color="auto" w:fill="auto"/>
                  <w:vAlign w:val="center"/>
                </w:tcPr>
                <w:p w14:paraId="1BD7E388">
                  <w:pPr>
                    <w:jc w:val="center"/>
                    <w:rPr>
                      <w:rFonts w:ascii="宋体" w:hAnsi="宋体" w:eastAsia="宋体" w:cs="宋体"/>
                      <w:color w:val="000000"/>
                      <w:szCs w:val="21"/>
                    </w:rPr>
                  </w:pPr>
                </w:p>
              </w:tc>
              <w:tc>
                <w:tcPr>
                  <w:tcW w:w="3840" w:type="pct"/>
                  <w:shd w:val="clear" w:color="auto" w:fill="auto"/>
                  <w:vAlign w:val="center"/>
                </w:tcPr>
                <w:p w14:paraId="44409A1E">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（5）系统操作简单，便于理解，不同角色的人能配置自己的常用功能系统整个操作过程简单。</w:t>
                  </w:r>
                </w:p>
              </w:tc>
              <w:tc>
                <w:tcPr>
                  <w:tcW w:w="355" w:type="pct"/>
                  <w:vMerge w:val="continue"/>
                  <w:shd w:val="clear" w:color="auto" w:fill="auto"/>
                  <w:noWrap/>
                  <w:vAlign w:val="center"/>
                </w:tcPr>
                <w:p w14:paraId="7D655633">
                  <w:pPr>
                    <w:jc w:val="center"/>
                    <w:rPr>
                      <w:rFonts w:ascii="宋体" w:hAnsi="宋体" w:eastAsia="宋体" w:cs="宋体"/>
                      <w:color w:val="000000"/>
                      <w:szCs w:val="21"/>
                    </w:rPr>
                  </w:pPr>
                </w:p>
              </w:tc>
            </w:tr>
            <w:tr w14:paraId="688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restart"/>
                  <w:shd w:val="clear" w:color="auto" w:fill="auto"/>
                  <w:vAlign w:val="center"/>
                </w:tcPr>
                <w:p w14:paraId="139F7F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486" w:type="pct"/>
                  <w:vMerge w:val="restart"/>
                  <w:shd w:val="clear" w:color="auto" w:fill="auto"/>
                  <w:vAlign w:val="center"/>
                </w:tcPr>
                <w:p w14:paraId="68EAFE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系统安全要求</w:t>
                  </w:r>
                </w:p>
              </w:tc>
              <w:tc>
                <w:tcPr>
                  <w:tcW w:w="3840" w:type="pct"/>
                  <w:shd w:val="clear" w:color="auto" w:fill="auto"/>
                  <w:vAlign w:val="center"/>
                </w:tcPr>
                <w:p w14:paraId="1A36677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（1）数据安全：要求从数据加密、数据审计、数据备份、数据销毁、数据隐私和数据容灾等方面保障数据安全；</w:t>
                  </w:r>
                </w:p>
              </w:tc>
              <w:tc>
                <w:tcPr>
                  <w:tcW w:w="355" w:type="pct"/>
                  <w:vMerge w:val="restart"/>
                  <w:shd w:val="clear" w:color="auto" w:fill="auto"/>
                  <w:noWrap/>
                  <w:vAlign w:val="center"/>
                </w:tcPr>
                <w:p w14:paraId="342CDE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14:paraId="50D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18" w:type="pct"/>
                  <w:vMerge w:val="continue"/>
                  <w:shd w:val="clear" w:color="auto" w:fill="auto"/>
                  <w:vAlign w:val="center"/>
                </w:tcPr>
                <w:p w14:paraId="4ECFD788">
                  <w:pPr>
                    <w:jc w:val="center"/>
                    <w:rPr>
                      <w:rFonts w:ascii="宋体" w:hAnsi="宋体" w:eastAsia="宋体" w:cs="宋体"/>
                      <w:color w:val="000000"/>
                      <w:szCs w:val="21"/>
                    </w:rPr>
                  </w:pPr>
                </w:p>
              </w:tc>
              <w:tc>
                <w:tcPr>
                  <w:tcW w:w="486" w:type="pct"/>
                  <w:vMerge w:val="continue"/>
                  <w:shd w:val="clear" w:color="auto" w:fill="auto"/>
                  <w:vAlign w:val="center"/>
                </w:tcPr>
                <w:p w14:paraId="168C5174">
                  <w:pPr>
                    <w:jc w:val="center"/>
                    <w:rPr>
                      <w:rFonts w:ascii="宋体" w:hAnsi="宋体" w:eastAsia="宋体" w:cs="宋体"/>
                      <w:color w:val="000000"/>
                      <w:szCs w:val="21"/>
                    </w:rPr>
                  </w:pPr>
                </w:p>
              </w:tc>
              <w:tc>
                <w:tcPr>
                  <w:tcW w:w="3840" w:type="pct"/>
                  <w:shd w:val="clear" w:color="auto" w:fill="auto"/>
                  <w:vAlign w:val="center"/>
                </w:tcPr>
                <w:p w14:paraId="201D88D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（2）应用安全：要求从安全配置、访问安全、应用防火墙、帐户安全（含人脸识别、数字签名等）等方面保障应用安全；</w:t>
                  </w:r>
                </w:p>
              </w:tc>
              <w:tc>
                <w:tcPr>
                  <w:tcW w:w="355" w:type="pct"/>
                  <w:vMerge w:val="continue"/>
                  <w:shd w:val="clear" w:color="auto" w:fill="auto"/>
                  <w:noWrap/>
                  <w:vAlign w:val="center"/>
                </w:tcPr>
                <w:p w14:paraId="28174E57">
                  <w:pPr>
                    <w:jc w:val="center"/>
                    <w:rPr>
                      <w:rFonts w:ascii="宋体" w:hAnsi="宋体" w:eastAsia="宋体" w:cs="宋体"/>
                      <w:color w:val="000000"/>
                      <w:szCs w:val="21"/>
                    </w:rPr>
                  </w:pPr>
                </w:p>
              </w:tc>
            </w:tr>
            <w:tr w14:paraId="614A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8" w:type="pct"/>
                  <w:vMerge w:val="continue"/>
                  <w:shd w:val="clear" w:color="auto" w:fill="auto"/>
                  <w:vAlign w:val="center"/>
                </w:tcPr>
                <w:p w14:paraId="23259A84">
                  <w:pPr>
                    <w:jc w:val="center"/>
                    <w:rPr>
                      <w:rFonts w:ascii="宋体" w:hAnsi="宋体" w:eastAsia="宋体" w:cs="宋体"/>
                      <w:color w:val="000000"/>
                      <w:szCs w:val="21"/>
                    </w:rPr>
                  </w:pPr>
                </w:p>
              </w:tc>
              <w:tc>
                <w:tcPr>
                  <w:tcW w:w="486" w:type="pct"/>
                  <w:vMerge w:val="continue"/>
                  <w:shd w:val="clear" w:color="auto" w:fill="auto"/>
                  <w:vAlign w:val="center"/>
                </w:tcPr>
                <w:p w14:paraId="74A5767E">
                  <w:pPr>
                    <w:jc w:val="center"/>
                    <w:rPr>
                      <w:rFonts w:ascii="宋体" w:hAnsi="宋体" w:eastAsia="宋体" w:cs="宋体"/>
                      <w:color w:val="000000"/>
                      <w:szCs w:val="21"/>
                    </w:rPr>
                  </w:pPr>
                </w:p>
              </w:tc>
              <w:tc>
                <w:tcPr>
                  <w:tcW w:w="3840" w:type="pct"/>
                  <w:shd w:val="clear" w:color="auto" w:fill="auto"/>
                  <w:vAlign w:val="center"/>
                </w:tcPr>
                <w:p w14:paraId="0ABFB6F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（3）网络安全：要求从网络访问控制、传输层安全、DDOS防御及入侵检测与防御等方面保障网络安全；</w:t>
                  </w:r>
                </w:p>
              </w:tc>
              <w:tc>
                <w:tcPr>
                  <w:tcW w:w="355" w:type="pct"/>
                  <w:vMerge w:val="continue"/>
                  <w:shd w:val="clear" w:color="auto" w:fill="auto"/>
                  <w:noWrap/>
                  <w:vAlign w:val="center"/>
                </w:tcPr>
                <w:p w14:paraId="77DBBB15">
                  <w:pPr>
                    <w:jc w:val="center"/>
                    <w:rPr>
                      <w:rFonts w:ascii="宋体" w:hAnsi="宋体" w:eastAsia="宋体" w:cs="宋体"/>
                      <w:color w:val="000000"/>
                      <w:szCs w:val="21"/>
                    </w:rPr>
                  </w:pPr>
                </w:p>
              </w:tc>
            </w:tr>
            <w:tr w14:paraId="3459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18" w:type="pct"/>
                  <w:shd w:val="clear" w:color="auto" w:fill="auto"/>
                  <w:vAlign w:val="center"/>
                </w:tcPr>
                <w:p w14:paraId="0B0695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486" w:type="pct"/>
                  <w:shd w:val="clear" w:color="auto" w:fill="auto"/>
                  <w:vAlign w:val="center"/>
                </w:tcPr>
                <w:p w14:paraId="16AEB8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网络安全等保认证要求</w:t>
                  </w:r>
                </w:p>
              </w:tc>
              <w:tc>
                <w:tcPr>
                  <w:tcW w:w="3840" w:type="pct"/>
                  <w:shd w:val="clear" w:color="auto" w:fill="auto"/>
                  <w:vAlign w:val="center"/>
                </w:tcPr>
                <w:p w14:paraId="47E67309">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shd w:val="clear" w:color="auto" w:fill="FFFFFF"/>
                      <w:lang w:bidi="ar"/>
                    </w:rPr>
                    <w:t>符合国家对信息化系统的安全要求，具备安全等级保护 2.0 二级等保认证能力（须提供承诺书及已建设项目网络安全等保认证证书）。</w:t>
                  </w:r>
                </w:p>
              </w:tc>
              <w:tc>
                <w:tcPr>
                  <w:tcW w:w="355" w:type="pct"/>
                  <w:shd w:val="clear" w:color="auto" w:fill="auto"/>
                  <w:noWrap/>
                  <w:vAlign w:val="center"/>
                </w:tcPr>
                <w:p w14:paraId="6ED7EB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bl>
          <w:p w14:paraId="1752184C">
            <w:pPr>
              <w:pStyle w:val="10"/>
              <w:jc w:val="both"/>
              <w:rPr>
                <w:rFonts w:hint="default"/>
              </w:rPr>
            </w:pPr>
          </w:p>
        </w:tc>
      </w:tr>
      <w:tr w14:paraId="6F6F7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4F91D068">
            <w:pPr>
              <w:pStyle w:val="10"/>
              <w:rPr>
                <w:rFonts w:hint="default"/>
              </w:rPr>
            </w:pPr>
            <w:r>
              <w:rPr>
                <w:rFonts w:ascii="仿宋_GB2312" w:hAnsi="仿宋_GB2312" w:eastAsia="仿宋_GB2312" w:cs="仿宋_GB2312"/>
              </w:rPr>
              <w:t>4</w:t>
            </w:r>
          </w:p>
        </w:tc>
        <w:tc>
          <w:tcPr>
            <w:tcW w:w="683" w:type="dxa"/>
          </w:tcPr>
          <w:p w14:paraId="4BB85FA7"/>
        </w:tc>
        <w:tc>
          <w:tcPr>
            <w:tcW w:w="6999" w:type="dxa"/>
          </w:tcPr>
          <w:p w14:paraId="7813C3E3">
            <w:pPr>
              <w:pStyle w:val="10"/>
              <w:jc w:val="both"/>
              <w:rPr>
                <w:rFonts w:hint="default"/>
                <w:lang w:eastAsia="zh-CN"/>
              </w:rPr>
            </w:pPr>
            <w:r>
              <w:rPr>
                <w:lang w:eastAsia="zh-CN"/>
              </w:rPr>
              <w:t>其他要求：</w:t>
            </w:r>
          </w:p>
          <w:p w14:paraId="3A48A4DA">
            <w:pPr>
              <w:pStyle w:val="10"/>
              <w:jc w:val="both"/>
              <w:rPr>
                <w:rFonts w:hint="default"/>
                <w:lang w:eastAsia="zh-CN"/>
              </w:rPr>
            </w:pPr>
            <w:r>
              <w:rPr>
                <w:lang w:eastAsia="zh-CN"/>
              </w:rPr>
              <w:t>1、需执行的国家相关标准、行业标准、地方标准或者其他标准、规范；</w:t>
            </w:r>
          </w:p>
          <w:p w14:paraId="6B82E6F6">
            <w:pPr>
              <w:pStyle w:val="10"/>
              <w:jc w:val="both"/>
              <w:rPr>
                <w:rFonts w:hint="default"/>
                <w:lang w:eastAsia="zh-CN"/>
              </w:rPr>
            </w:pPr>
            <w:r>
              <w:rPr>
                <w:lang w:eastAsia="zh-CN"/>
              </w:rPr>
              <w:t>①符合国家安全质量标准、行业标准；</w:t>
            </w:r>
          </w:p>
          <w:p w14:paraId="71383810">
            <w:pPr>
              <w:pStyle w:val="10"/>
              <w:jc w:val="both"/>
              <w:rPr>
                <w:rFonts w:hint="default"/>
                <w:lang w:eastAsia="zh-CN"/>
              </w:rPr>
            </w:pPr>
            <w:r>
              <w:rPr>
                <w:lang w:eastAsia="zh-CN"/>
              </w:rPr>
              <w:t>②符合招标文件和响应承诺中甲方认可的合理最佳配置、参数及各项要求；</w:t>
            </w:r>
          </w:p>
          <w:p w14:paraId="2952710E">
            <w:pPr>
              <w:pStyle w:val="10"/>
              <w:jc w:val="both"/>
              <w:rPr>
                <w:rFonts w:hint="default"/>
                <w:lang w:eastAsia="zh-CN"/>
              </w:rPr>
            </w:pPr>
            <w:r>
              <w:rPr>
                <w:lang w:eastAsia="zh-CN"/>
              </w:rPr>
              <w:t>③货物来源官方标准。</w:t>
            </w:r>
          </w:p>
          <w:p w14:paraId="72B9DC26">
            <w:pPr>
              <w:pStyle w:val="10"/>
              <w:jc w:val="both"/>
              <w:rPr>
                <w:rFonts w:hint="default"/>
                <w:lang w:eastAsia="zh-CN"/>
              </w:rPr>
            </w:pPr>
            <w:r>
              <w:rPr>
                <w:lang w:eastAsia="zh-CN"/>
              </w:rPr>
              <w:t>2、货物包装运输、供货时间、供货地点、技术保障等要求；</w:t>
            </w:r>
          </w:p>
          <w:p w14:paraId="6F54CC7E">
            <w:pPr>
              <w:pStyle w:val="10"/>
              <w:jc w:val="both"/>
              <w:rPr>
                <w:rFonts w:hint="default"/>
                <w:lang w:eastAsia="zh-CN"/>
              </w:rPr>
            </w:pPr>
            <w:r>
              <w:rPr>
                <w:lang w:eastAsia="zh-CN"/>
              </w:rPr>
              <w:t xml:space="preserve">供货地点：甲方指定的供货地点  </w:t>
            </w:r>
          </w:p>
          <w:p w14:paraId="119DAB6F">
            <w:pPr>
              <w:pStyle w:val="10"/>
              <w:jc w:val="both"/>
              <w:rPr>
                <w:rFonts w:hint="default"/>
                <w:lang w:eastAsia="zh-CN"/>
              </w:rPr>
            </w:pPr>
            <w:r>
              <w:rPr>
                <w:lang w:eastAsia="zh-CN"/>
              </w:rPr>
              <w:t>供货时间：</w:t>
            </w:r>
          </w:p>
          <w:p w14:paraId="17F41BA1">
            <w:pPr>
              <w:pStyle w:val="10"/>
              <w:jc w:val="both"/>
              <w:rPr>
                <w:rFonts w:hint="default"/>
                <w:lang w:eastAsia="zh-CN"/>
              </w:rPr>
            </w:pPr>
            <w:r>
              <w:rPr>
                <w:lang w:eastAsia="zh-CN"/>
              </w:rPr>
              <w:t>（1）第一阶段：合同签订后</w:t>
            </w:r>
            <w:r>
              <w:rPr>
                <w:rFonts w:hint="eastAsia"/>
                <w:lang w:val="en-US" w:eastAsia="zh-CN"/>
              </w:rPr>
              <w:t>40</w:t>
            </w:r>
            <w:r>
              <w:rPr>
                <w:lang w:eastAsia="zh-CN"/>
              </w:rPr>
              <w:t>日内完成软件的安装及调试、采购人业务需求梳理及个性化要求的实施配置和定制开发，实现需求功能；</w:t>
            </w:r>
          </w:p>
          <w:p w14:paraId="6A6AE380">
            <w:pPr>
              <w:pStyle w:val="10"/>
              <w:jc w:val="both"/>
              <w:rPr>
                <w:rFonts w:hint="default"/>
                <w:lang w:eastAsia="zh-CN"/>
              </w:rPr>
            </w:pPr>
            <w:r>
              <w:rPr>
                <w:lang w:eastAsia="zh-CN"/>
              </w:rPr>
              <w:t>（2）第二阶段：第一阶段完成后，完成相关用户的使用培训，并依据陕西省项目库申报和学校编制预算进程（项目库申报时间8-9月、省级预算一上二上10-12月初，学校预算12月、</w:t>
            </w:r>
            <w:r>
              <w:rPr>
                <w:rFonts w:hint="eastAsia"/>
                <w:lang w:val="en-US" w:eastAsia="zh-CN"/>
              </w:rPr>
              <w:t>次年</w:t>
            </w:r>
            <w:r>
              <w:rPr>
                <w:lang w:eastAsia="zh-CN"/>
              </w:rPr>
              <w:t>3月）完成采购人数据梳理迁移，带数据运行测试，达到功能实现及系统试运行水平；</w:t>
            </w:r>
          </w:p>
          <w:p w14:paraId="15665ABD">
            <w:pPr>
              <w:pStyle w:val="10"/>
              <w:jc w:val="both"/>
              <w:rPr>
                <w:rFonts w:hint="default"/>
                <w:lang w:eastAsia="zh-CN"/>
              </w:rPr>
            </w:pPr>
            <w:r>
              <w:rPr>
                <w:lang w:eastAsia="zh-CN"/>
              </w:rPr>
              <w:t>（3）第三阶段：第二阶段完成后30日内完成相关用户的使用培训，组织并进行最终验收。</w:t>
            </w:r>
          </w:p>
          <w:p w14:paraId="2BDE2C5A">
            <w:pPr>
              <w:pStyle w:val="10"/>
              <w:jc w:val="both"/>
              <w:rPr>
                <w:rFonts w:hint="default"/>
                <w:lang w:eastAsia="zh-CN"/>
              </w:rPr>
            </w:pPr>
            <w:r>
              <w:rPr>
                <w:lang w:eastAsia="zh-CN"/>
              </w:rPr>
              <w:t>技术保障：</w:t>
            </w:r>
          </w:p>
          <w:p w14:paraId="1C174025">
            <w:pPr>
              <w:pStyle w:val="10"/>
              <w:jc w:val="both"/>
              <w:rPr>
                <w:rFonts w:hint="default"/>
                <w:lang w:eastAsia="zh-CN"/>
              </w:rPr>
            </w:pPr>
            <w:r>
              <w:rPr>
                <w:lang w:eastAsia="zh-CN"/>
              </w:rPr>
              <w:t>（1）中标单位需对所投设备提供 5 年上门保修服务。保修期自项目验收通过之日起计算。中标单位在</w:t>
            </w:r>
            <w:r>
              <w:rPr>
                <w:rFonts w:hint="eastAsia"/>
                <w:lang w:val="en-US" w:eastAsia="zh-CN"/>
              </w:rPr>
              <w:t>保修</w:t>
            </w:r>
            <w:r>
              <w:rPr>
                <w:lang w:eastAsia="zh-CN"/>
              </w:rPr>
              <w:t>期间内每 6 个月进行一次设备、系统安全检查并提供安全检查报告。</w:t>
            </w:r>
          </w:p>
          <w:p w14:paraId="7B510AB4">
            <w:pPr>
              <w:pStyle w:val="10"/>
              <w:jc w:val="both"/>
              <w:rPr>
                <w:rFonts w:hint="default"/>
                <w:lang w:eastAsia="zh-CN"/>
              </w:rPr>
            </w:pPr>
            <w:r>
              <w:rPr>
                <w:lang w:eastAsia="zh-CN"/>
              </w:rPr>
              <w:t>（2）</w:t>
            </w:r>
            <w:r>
              <w:rPr>
                <w:rFonts w:hint="eastAsia"/>
                <w:lang w:val="en-US" w:eastAsia="zh-CN"/>
              </w:rPr>
              <w:t>项目保修期满时，</w:t>
            </w:r>
            <w:r>
              <w:rPr>
                <w:lang w:eastAsia="zh-CN"/>
              </w:rPr>
              <w:t>如继续与中标单位签订维保协议，每年的维护费不得超过合同价格的10%（具体维护费由双方商定)。</w:t>
            </w:r>
          </w:p>
          <w:p w14:paraId="783B2A71">
            <w:pPr>
              <w:pStyle w:val="10"/>
              <w:jc w:val="both"/>
              <w:rPr>
                <w:rFonts w:hint="default"/>
                <w:lang w:eastAsia="zh-CN"/>
              </w:rPr>
            </w:pPr>
            <w:r>
              <w:rPr>
                <w:lang w:eastAsia="zh-CN"/>
              </w:rPr>
              <w:t>3、采购标的的专用工具、备品备件、安装调试及配套工程、质量保证、售后服务等要求；</w:t>
            </w:r>
          </w:p>
          <w:p w14:paraId="000ADBEF">
            <w:pPr>
              <w:pStyle w:val="10"/>
              <w:jc w:val="both"/>
              <w:rPr>
                <w:rFonts w:hint="default"/>
                <w:lang w:eastAsia="zh-CN"/>
              </w:rPr>
            </w:pPr>
            <w:r>
              <w:rPr>
                <w:lang w:eastAsia="zh-CN"/>
              </w:rPr>
              <w:t>培训要求：</w:t>
            </w:r>
          </w:p>
          <w:p w14:paraId="73179C13">
            <w:pPr>
              <w:pStyle w:val="10"/>
              <w:jc w:val="both"/>
              <w:rPr>
                <w:rFonts w:hint="default"/>
                <w:lang w:eastAsia="zh-CN"/>
              </w:rPr>
            </w:pPr>
            <w:r>
              <w:rPr>
                <w:lang w:eastAsia="zh-CN"/>
              </w:rPr>
              <w:t>培训工作需要贯穿项目实施的全过程，按照时间节点进行阶段划分，按照人员类型进行层级划分，针对不同阶段、不同角色制定不同的培训计划，提供不同的培训内容，按照项目实施的进度对相关人员进行培训，其次对相同角色的人员，也根据需要分期分批的进行培训。</w:t>
            </w:r>
          </w:p>
          <w:p w14:paraId="18965000">
            <w:pPr>
              <w:pStyle w:val="10"/>
              <w:jc w:val="both"/>
              <w:rPr>
                <w:rFonts w:hint="default"/>
                <w:lang w:eastAsia="zh-CN"/>
              </w:rPr>
            </w:pPr>
            <w:r>
              <w:rPr>
                <w:lang w:eastAsia="zh-CN"/>
              </w:rPr>
              <w:t>（1）培训目的：帮助校级领导、各级业务部门负责人明确单位以信息手段进行预算绩效及内控一体化管理的管理思路；通过操作培训，使全部系统操作人员对系统从感性上产生直接的认识。</w:t>
            </w:r>
          </w:p>
          <w:p w14:paraId="66A1247C">
            <w:pPr>
              <w:pStyle w:val="10"/>
              <w:jc w:val="both"/>
              <w:rPr>
                <w:rFonts w:hint="default"/>
                <w:lang w:eastAsia="zh-CN"/>
              </w:rPr>
            </w:pPr>
            <w:r>
              <w:rPr>
                <w:lang w:eastAsia="zh-CN"/>
              </w:rPr>
              <w:t>（3）培训内容：包括管理培训和实际操作两大方面，具体为预算绩效信息化管理理念及发展趋势、项目管理方法、系统架构介绍、各业务模块的业务流程和详细功能等。免费为我校提供2-3次性软件使用的操作培训，通过培训后，相关人员可以熟练的操作使用系统，管理员能够进行日常维护，并处理系统使用过程中遇到的简单故障。培训一般安排在系统安装、调试结束后进行，培训方式由学校与软件供应商协商，培训地点由学校指定。</w:t>
            </w:r>
          </w:p>
          <w:p w14:paraId="42B82C54">
            <w:pPr>
              <w:pStyle w:val="10"/>
              <w:jc w:val="both"/>
              <w:rPr>
                <w:rFonts w:hint="default"/>
                <w:lang w:eastAsia="zh-CN"/>
              </w:rPr>
            </w:pPr>
            <w:r>
              <w:rPr>
                <w:lang w:eastAsia="zh-CN"/>
              </w:rPr>
              <w:t>①集中培训，适用于通用操作培训，所有软件操作人员都参加。</w:t>
            </w:r>
          </w:p>
          <w:p w14:paraId="0432FF85">
            <w:pPr>
              <w:pStyle w:val="10"/>
              <w:jc w:val="both"/>
              <w:rPr>
                <w:rFonts w:hint="default"/>
                <w:lang w:eastAsia="zh-CN"/>
              </w:rPr>
            </w:pPr>
            <w:r>
              <w:rPr>
                <w:lang w:eastAsia="zh-CN"/>
              </w:rPr>
              <w:t xml:space="preserve">②面对面培训，适用于职责相似的部门用户、单用户或是系统维护人员。 </w:t>
            </w:r>
          </w:p>
          <w:p w14:paraId="5A36709B">
            <w:pPr>
              <w:pStyle w:val="10"/>
              <w:jc w:val="both"/>
              <w:rPr>
                <w:rFonts w:hint="default"/>
                <w:lang w:eastAsia="zh-CN"/>
              </w:rPr>
            </w:pPr>
            <w:r>
              <w:rPr>
                <w:lang w:eastAsia="zh-CN"/>
              </w:rPr>
              <w:t>③其他方式，如电话、远程等，适用于远程培训。</w:t>
            </w:r>
          </w:p>
          <w:p w14:paraId="5D64B0C0">
            <w:pPr>
              <w:pStyle w:val="10"/>
              <w:jc w:val="both"/>
              <w:rPr>
                <w:rFonts w:hint="default"/>
                <w:lang w:eastAsia="zh-CN"/>
              </w:rPr>
            </w:pPr>
            <w:r>
              <w:rPr>
                <w:lang w:eastAsia="zh-CN"/>
              </w:rPr>
              <w:t>备注：投标人应上述培训要求提供完整的培训计划和方案，以上费用包含在本项目投标报价中。</w:t>
            </w:r>
          </w:p>
          <w:p w14:paraId="375C9280">
            <w:pPr>
              <w:pStyle w:val="10"/>
              <w:jc w:val="both"/>
              <w:rPr>
                <w:rFonts w:hint="default"/>
                <w:lang w:eastAsia="zh-CN"/>
              </w:rPr>
            </w:pPr>
            <w:r>
              <w:rPr>
                <w:lang w:eastAsia="zh-CN"/>
              </w:rPr>
              <w:t>售后服务要求：</w:t>
            </w:r>
          </w:p>
          <w:p w14:paraId="0E285692">
            <w:pPr>
              <w:pStyle w:val="10"/>
              <w:jc w:val="both"/>
              <w:rPr>
                <w:rFonts w:hint="default"/>
                <w:lang w:eastAsia="zh-CN"/>
              </w:rPr>
            </w:pPr>
            <w:r>
              <w:rPr>
                <w:lang w:eastAsia="zh-CN"/>
              </w:rPr>
              <w:t>（1）系统上线运行后，由产品供应商负责对系统安全漏洞修复及检测，修复前须经充分测试评估后方可实施。在产品的使用过程中，供应商能为我校提供各种类型的专业技术服务，帮助学校及时、可靠地解决所遇到的技术问题，保障系统安全稳定的运行。</w:t>
            </w:r>
          </w:p>
          <w:p w14:paraId="490FBBFA">
            <w:pPr>
              <w:pStyle w:val="10"/>
              <w:jc w:val="both"/>
              <w:rPr>
                <w:rFonts w:hint="default"/>
                <w:lang w:eastAsia="zh-CN"/>
              </w:rPr>
            </w:pPr>
            <w:r>
              <w:rPr>
                <w:lang w:eastAsia="zh-CN"/>
              </w:rPr>
              <w:t>（2）售后服务项目包括但不限于：安装、调试服务；定制开发（当软件不能满足约定目标需求时，软件供应商可按我校的实际需求定制开发或升级软件）；培训服务；维护服务；技术支持等。</w:t>
            </w:r>
          </w:p>
          <w:p w14:paraId="103F2965">
            <w:pPr>
              <w:pStyle w:val="10"/>
              <w:jc w:val="both"/>
              <w:rPr>
                <w:rFonts w:hint="default"/>
                <w:lang w:eastAsia="zh-CN"/>
              </w:rPr>
            </w:pPr>
            <w:r>
              <w:rPr>
                <w:lang w:eastAsia="zh-CN"/>
              </w:rPr>
              <w:t>（3）要求提供7×24小时的技术支持和服务，4小时内对采购人提出维护维修要求做出响应，1个工作日内修复或提供采购人认可的替代品或软件解决方案。</w:t>
            </w:r>
          </w:p>
          <w:p w14:paraId="6DEC34D3">
            <w:pPr>
              <w:pStyle w:val="10"/>
              <w:jc w:val="both"/>
              <w:rPr>
                <w:rFonts w:hint="default"/>
                <w:lang w:eastAsia="zh-CN"/>
              </w:rPr>
            </w:pPr>
            <w:r>
              <w:rPr>
                <w:lang w:eastAsia="zh-CN"/>
              </w:rPr>
              <w:t xml:space="preserve">（4）除提供日常的系统管理与维护培训外，还应配合提供远程7×24小时的应急技术支持等。 </w:t>
            </w:r>
          </w:p>
          <w:p w14:paraId="34A7FFFC">
            <w:pPr>
              <w:pStyle w:val="10"/>
              <w:jc w:val="both"/>
              <w:rPr>
                <w:rFonts w:hint="default"/>
                <w:lang w:eastAsia="zh-CN"/>
              </w:rPr>
            </w:pPr>
            <w:r>
              <w:rPr>
                <w:lang w:eastAsia="zh-CN"/>
              </w:rPr>
              <w:t>系统对接要求：</w:t>
            </w:r>
          </w:p>
          <w:p w14:paraId="0AB03C2F">
            <w:pPr>
              <w:pStyle w:val="10"/>
              <w:jc w:val="both"/>
              <w:rPr>
                <w:rFonts w:hint="default"/>
                <w:lang w:eastAsia="zh-CN"/>
              </w:rPr>
            </w:pPr>
            <w:r>
              <w:rPr>
                <w:lang w:eastAsia="zh-CN"/>
              </w:rPr>
              <w:t>本项目要求与学校已建设的天财财务系统V6.0对接，报价含对接所产生的所有费用，项目集成应具备数据推送功能并为核算系统调用生成所需的财务数据，符合与学校信息系统整合、衔接的要求。</w:t>
            </w:r>
          </w:p>
          <w:p w14:paraId="63098EDB">
            <w:pPr>
              <w:pStyle w:val="10"/>
              <w:jc w:val="both"/>
              <w:rPr>
                <w:rFonts w:hint="default"/>
                <w:lang w:eastAsia="zh-CN"/>
              </w:rPr>
            </w:pPr>
            <w:r>
              <w:rPr>
                <w:lang w:eastAsia="zh-CN"/>
              </w:rPr>
              <w:t>服务人员要求：</w:t>
            </w:r>
          </w:p>
          <w:p w14:paraId="305B165F">
            <w:pPr>
              <w:pStyle w:val="10"/>
              <w:jc w:val="both"/>
              <w:rPr>
                <w:rFonts w:hint="default"/>
                <w:lang w:eastAsia="zh-CN"/>
              </w:rPr>
            </w:pPr>
            <w:r>
              <w:rPr>
                <w:lang w:eastAsia="zh-CN"/>
              </w:rPr>
              <w:t xml:space="preserve">项目组成员不得少于五人，团队成员不少于3人具有人力资源和社会保障部门颁发的计算机、会计、人力资源管理相关专业的认证证书。其中计算机专业人员不得少于2人且具有行业中级职称以上。           </w:t>
            </w:r>
          </w:p>
          <w:p w14:paraId="471FB1FE">
            <w:pPr>
              <w:pStyle w:val="10"/>
              <w:jc w:val="both"/>
              <w:rPr>
                <w:rFonts w:hint="default"/>
                <w:lang w:eastAsia="zh-CN"/>
              </w:rPr>
            </w:pPr>
            <w:r>
              <w:rPr>
                <w:lang w:eastAsia="zh-CN"/>
              </w:rPr>
              <w:t>5.采购标的的验收标准。</w:t>
            </w:r>
          </w:p>
          <w:p w14:paraId="725FE1B7">
            <w:pPr>
              <w:pStyle w:val="10"/>
              <w:jc w:val="both"/>
              <w:rPr>
                <w:rFonts w:hint="default"/>
                <w:lang w:eastAsia="zh-CN"/>
              </w:rPr>
            </w:pPr>
            <w:r>
              <w:rPr>
                <w:lang w:eastAsia="zh-CN"/>
              </w:rPr>
              <w:t>A.系统上线试运行阶段结束后一个月内，中标人应以书面形式向采购人递交验收申请，采购人于收到验收申请后一个月内组织项目验收工作。</w:t>
            </w:r>
          </w:p>
          <w:p w14:paraId="7644B3E8">
            <w:pPr>
              <w:pStyle w:val="10"/>
              <w:jc w:val="both"/>
              <w:rPr>
                <w:rFonts w:hint="default"/>
                <w:lang w:eastAsia="zh-CN"/>
              </w:rPr>
            </w:pPr>
            <w:r>
              <w:rPr>
                <w:lang w:eastAsia="zh-CN"/>
              </w:rPr>
              <w:t>B.验收准备</w:t>
            </w:r>
          </w:p>
          <w:p w14:paraId="65DCB32A">
            <w:pPr>
              <w:pStyle w:val="10"/>
              <w:jc w:val="both"/>
              <w:rPr>
                <w:rFonts w:hint="default"/>
                <w:lang w:eastAsia="zh-CN"/>
              </w:rPr>
            </w:pPr>
            <w:r>
              <w:rPr>
                <w:lang w:eastAsia="zh-CN"/>
              </w:rPr>
              <w:t>中标人按照合同或合同附件的要求，完成各种技术文档，提供软件需求说明书、概要设计、详细设计、用户使用手册、维护手册、数据库（权限管理）等。</w:t>
            </w:r>
          </w:p>
          <w:p w14:paraId="4C75E45C">
            <w:pPr>
              <w:pStyle w:val="10"/>
              <w:jc w:val="both"/>
              <w:rPr>
                <w:rFonts w:hint="default"/>
                <w:lang w:eastAsia="zh-CN"/>
              </w:rPr>
            </w:pPr>
            <w:r>
              <w:rPr>
                <w:lang w:eastAsia="zh-CN"/>
              </w:rPr>
              <w:t>C.验收标准以双方签订的合同条款和中标人在投标/响应文件提供的技术资料为准，同时需现场演示验收人员随机指定的软件功能。</w:t>
            </w:r>
          </w:p>
          <w:p w14:paraId="66126E9B">
            <w:pPr>
              <w:pStyle w:val="10"/>
              <w:jc w:val="both"/>
              <w:rPr>
                <w:rFonts w:hint="default"/>
                <w:lang w:eastAsia="zh-CN"/>
              </w:rPr>
            </w:pPr>
            <w:r>
              <w:rPr>
                <w:lang w:eastAsia="zh-CN"/>
              </w:rPr>
              <w:t xml:space="preserve">D.如发现任何一项与前述验收标准要求不符，采购人有权不通过验收，中标人应当在采购人要求的时间内进行整改，若整改后仍未通过再次验收的，采购人有权追究中标人的违约责任。 </w:t>
            </w:r>
          </w:p>
        </w:tc>
      </w:tr>
    </w:tbl>
    <w:p w14:paraId="0B88763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616F6"/>
    <w:multiLevelType w:val="singleLevel"/>
    <w:tmpl w:val="BC3616F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03124449"/>
    <w:rsid w:val="03E1456A"/>
    <w:rsid w:val="108E0B4A"/>
    <w:rsid w:val="12814146"/>
    <w:rsid w:val="1ECA384D"/>
    <w:rsid w:val="22E00E2D"/>
    <w:rsid w:val="25F86AF1"/>
    <w:rsid w:val="3EFA5C6C"/>
    <w:rsid w:val="40F82EF9"/>
    <w:rsid w:val="49B76F52"/>
    <w:rsid w:val="550A1873"/>
    <w:rsid w:val="56A4373E"/>
    <w:rsid w:val="5A612985"/>
    <w:rsid w:val="672226E7"/>
    <w:rsid w:val="68993E8A"/>
    <w:rsid w:val="6CCC3552"/>
    <w:rsid w:val="79DB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99"/>
    <w:rPr>
      <w:rFonts w:ascii="宋体" w:hAnsi="Courier New" w:cs="Courier New"/>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99"/>
    <w:pPr>
      <w:ind w:firstLine="420" w:firstLineChars="200"/>
    </w:pPr>
    <w:rPr>
      <w:rFonts w:ascii="Calibri" w:hAnsi="Calibri" w:cs="Calibri"/>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styleId="11">
    <w:name w:val="List Paragraph"/>
    <w:basedOn w:val="1"/>
    <w:autoRedefine/>
    <w:qFormat/>
    <w:uiPriority w:val="34"/>
    <w:pPr>
      <w:ind w:firstLine="420"/>
    </w:pPr>
  </w:style>
  <w:style w:type="character" w:customStyle="1" w:styleId="12">
    <w:name w:val="font71"/>
    <w:basedOn w:val="8"/>
    <w:autoRedefine/>
    <w:qFormat/>
    <w:uiPriority w:val="0"/>
    <w:rPr>
      <w:rFonts w:hint="eastAsia" w:ascii="宋体" w:hAnsi="宋体" w:eastAsia="宋体" w:cs="宋体"/>
      <w:color w:val="000000"/>
      <w:sz w:val="22"/>
      <w:szCs w:val="22"/>
      <w:u w:val="none"/>
    </w:rPr>
  </w:style>
  <w:style w:type="character" w:customStyle="1" w:styleId="13">
    <w:name w:val="font91"/>
    <w:basedOn w:val="8"/>
    <w:qFormat/>
    <w:uiPriority w:val="0"/>
    <w:rPr>
      <w:rFonts w:ascii="宋体-简" w:hAnsi="宋体-简" w:eastAsia="宋体-简" w:cs="宋体-简"/>
      <w:color w:val="000000"/>
      <w:sz w:val="22"/>
      <w:szCs w:val="22"/>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paragraph" w:customStyle="1" w:styleId="1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1762</Words>
  <Characters>1837</Characters>
  <Lines>0</Lines>
  <Paragraphs>0</Paragraphs>
  <TotalTime>0</TotalTime>
  <ScaleCrop>false</ScaleCrop>
  <LinksUpToDate>false</LinksUpToDate>
  <CharactersWithSpaces>1890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2025-07-17T03:37:22Z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93527D60A6C247DCA3BA1443F2DA3974_12</vt:lpwstr>
  </property>
  <property fmtid="{D5CDD505-2E9C-101B-9397-08002B2CF9AE}" pid="4" name="KSOTemplateDocerSaveRecord">
    <vt:lpwstr>eyJoZGlkIjoiNzFmZTUzNTgxYzEzYTRhMWM4ODc2MTE5ZjVmNzIzNDEiLCJ1c2VySWQiOiIxMTQ2NDU0OTA0In0=</vt:lpwstr>
  </property>
</Properties>
</file>