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FD2043">
      <w:pPr>
        <w:pStyle w:val="5"/>
        <w:spacing w:before="0" w:after="0" w:line="240" w:lineRule="auto"/>
        <w:jc w:val="center"/>
        <w:rPr>
          <w:rFonts w:hint="eastAsia" w:ascii="宋体" w:hAnsi="宋体" w:eastAsia="宋体"/>
          <w:sz w:val="32"/>
          <w:szCs w:val="32"/>
          <w:lang w:eastAsia="zh-CN"/>
        </w:rPr>
      </w:pPr>
      <w:bookmarkStart w:id="0" w:name="_Toc280110345"/>
      <w:r>
        <w:rPr>
          <w:rFonts w:hint="eastAsia" w:ascii="宋体" w:hAnsi="宋体" w:eastAsia="宋体"/>
          <w:sz w:val="32"/>
          <w:szCs w:val="32"/>
          <w:lang w:eastAsia="zh-CN"/>
        </w:rPr>
        <w:t>2025年郭杜校区暑期学生公寓粉刷项目</w:t>
      </w:r>
    </w:p>
    <w:p w14:paraId="26EAEC1F">
      <w:pPr>
        <w:pStyle w:val="5"/>
        <w:spacing w:before="0" w:after="0" w:line="240" w:lineRule="auto"/>
        <w:jc w:val="center"/>
        <w:rPr>
          <w:rFonts w:hint="eastAsia" w:ascii="宋体" w:hAnsi="宋体" w:eastAsia="宋体" w:cs="Times New Roman"/>
          <w:b/>
          <w:bCs/>
          <w:kern w:val="2"/>
          <w:sz w:val="32"/>
          <w:szCs w:val="32"/>
          <w:highlight w:val="none"/>
          <w:lang w:val="en-US" w:eastAsia="zh-CN" w:bidi="ar-SA"/>
        </w:rPr>
      </w:pPr>
      <w:r>
        <w:rPr>
          <w:rFonts w:hint="eastAsia" w:ascii="宋体" w:hAnsi="宋体" w:eastAsia="宋体" w:cs="Times New Roman"/>
          <w:b/>
          <w:bCs/>
          <w:kern w:val="2"/>
          <w:sz w:val="32"/>
          <w:szCs w:val="32"/>
          <w:highlight w:val="none"/>
          <w:lang w:val="en-US" w:eastAsia="zh-CN" w:bidi="ar-SA"/>
        </w:rPr>
        <w:t>工程量清单编制说明</w:t>
      </w:r>
      <w:bookmarkEnd w:id="0"/>
    </w:p>
    <w:p w14:paraId="1C861FB1">
      <w:pPr>
        <w:rPr>
          <w:rFonts w:hint="eastAsia"/>
        </w:rPr>
      </w:pPr>
    </w:p>
    <w:p w14:paraId="57098AB0">
      <w:pPr>
        <w:keepNext w:val="0"/>
        <w:keepLines w:val="0"/>
        <w:pageBreakBefore w:val="0"/>
        <w:widowControl w:val="0"/>
        <w:numPr>
          <w:ilvl w:val="0"/>
          <w:numId w:val="1"/>
        </w:numPr>
        <w:kinsoku/>
        <w:wordWrap/>
        <w:overflowPunct/>
        <w:topLinePunct w:val="0"/>
        <w:autoSpaceDE/>
        <w:autoSpaceDN/>
        <w:bidi w:val="0"/>
        <w:adjustRightInd/>
        <w:snapToGrid/>
        <w:ind w:left="0" w:leftChars="0" w:right="-153" w:rightChars="-73" w:firstLine="0" w:firstLineChars="0"/>
        <w:textAlignment w:val="auto"/>
        <w:rPr>
          <w:rFonts w:hint="eastAsia" w:ascii="宋体" w:hAnsi="宋体"/>
          <w:b/>
          <w:color w:val="000000"/>
          <w:sz w:val="28"/>
          <w:szCs w:val="28"/>
        </w:rPr>
      </w:pPr>
      <w:r>
        <w:rPr>
          <w:rFonts w:hint="eastAsia" w:ascii="宋体" w:hAnsi="宋体"/>
          <w:b/>
          <w:color w:val="000000"/>
          <w:sz w:val="28"/>
          <w:szCs w:val="28"/>
        </w:rPr>
        <w:t>工程概况</w:t>
      </w:r>
    </w:p>
    <w:p w14:paraId="673AECAA">
      <w:pPr>
        <w:widowControl/>
        <w:ind w:firstLine="560" w:firstLineChars="200"/>
        <w:jc w:val="left"/>
        <w:rPr>
          <w:rFonts w:hint="eastAsia" w:ascii="宋体" w:hAnsi="宋体" w:cs="宋体"/>
          <w:sz w:val="28"/>
          <w:lang w:val="en-US" w:eastAsia="zh-CN"/>
        </w:rPr>
      </w:pPr>
      <w:r>
        <w:rPr>
          <w:rFonts w:hint="eastAsia" w:ascii="宋体" w:hAnsi="宋体" w:cs="宋体"/>
          <w:sz w:val="28"/>
        </w:rPr>
        <w:t>本工程为</w:t>
      </w:r>
      <w:r>
        <w:rPr>
          <w:rFonts w:hint="eastAsia" w:ascii="宋体" w:hAnsi="宋体" w:cs="宋体"/>
          <w:sz w:val="28"/>
          <w:lang w:eastAsia="zh-CN"/>
        </w:rPr>
        <w:t>2025年郭杜校区暑期学生公寓粉刷项目</w:t>
      </w:r>
      <w:r>
        <w:rPr>
          <w:rFonts w:hint="eastAsia" w:ascii="宋体" w:hAnsi="宋体" w:cs="宋体"/>
          <w:sz w:val="28"/>
        </w:rPr>
        <w:t>，位于</w:t>
      </w:r>
      <w:r>
        <w:rPr>
          <w:rFonts w:hint="eastAsia" w:ascii="宋体" w:hAnsi="宋体" w:cs="宋体"/>
          <w:sz w:val="28"/>
          <w:lang w:val="en-US" w:eastAsia="zh-CN"/>
        </w:rPr>
        <w:t>陕西开放大学郭杜校区</w:t>
      </w:r>
      <w:r>
        <w:rPr>
          <w:rFonts w:hint="eastAsia" w:ascii="宋体" w:hAnsi="宋体" w:eastAsia="宋体" w:cs="宋体"/>
          <w:sz w:val="28"/>
          <w:lang w:eastAsia="zh-CN"/>
        </w:rPr>
        <w:t>。</w:t>
      </w:r>
      <w:r>
        <w:rPr>
          <w:rFonts w:hint="eastAsia" w:ascii="宋体" w:hAnsi="宋体" w:eastAsia="宋体" w:cs="宋体"/>
          <w:sz w:val="28"/>
        </w:rPr>
        <w:t>主要内容：</w:t>
      </w:r>
      <w:r>
        <w:rPr>
          <w:rFonts w:hint="eastAsia" w:ascii="宋体" w:hAnsi="宋体" w:cs="宋体"/>
          <w:sz w:val="28"/>
          <w:lang w:val="en-US" w:eastAsia="zh-CN"/>
        </w:rPr>
        <w:t>墙面翻新粉刷。</w:t>
      </w:r>
    </w:p>
    <w:p w14:paraId="0945887B">
      <w:pPr>
        <w:keepNext w:val="0"/>
        <w:keepLines w:val="0"/>
        <w:pageBreakBefore w:val="0"/>
        <w:widowControl w:val="0"/>
        <w:numPr>
          <w:ilvl w:val="0"/>
          <w:numId w:val="1"/>
        </w:numPr>
        <w:kinsoku/>
        <w:wordWrap/>
        <w:overflowPunct/>
        <w:topLinePunct w:val="0"/>
        <w:autoSpaceDE/>
        <w:autoSpaceDN/>
        <w:bidi w:val="0"/>
        <w:adjustRightInd/>
        <w:snapToGrid/>
        <w:ind w:left="0" w:leftChars="0" w:right="-153" w:rightChars="-73" w:firstLine="0" w:firstLineChars="0"/>
        <w:textAlignment w:val="auto"/>
        <w:rPr>
          <w:rFonts w:hint="eastAsia" w:ascii="宋体" w:hAnsi="宋体"/>
          <w:b/>
          <w:color w:val="000000"/>
          <w:sz w:val="28"/>
          <w:szCs w:val="28"/>
        </w:rPr>
      </w:pPr>
      <w:r>
        <w:rPr>
          <w:rFonts w:hint="eastAsia" w:ascii="宋体" w:hAnsi="宋体"/>
          <w:b/>
          <w:color w:val="000000"/>
          <w:sz w:val="28"/>
          <w:szCs w:val="28"/>
        </w:rPr>
        <w:t>编制范围</w:t>
      </w:r>
    </w:p>
    <w:p w14:paraId="2AB5E1F2">
      <w:pPr>
        <w:rPr>
          <w:rFonts w:hint="eastAsia" w:ascii="宋体" w:hAnsi="宋体"/>
          <w:sz w:val="28"/>
        </w:rPr>
      </w:pPr>
      <w:r>
        <w:rPr>
          <w:rFonts w:hint="eastAsia" w:ascii="宋体" w:hAnsi="宋体"/>
          <w:sz w:val="28"/>
        </w:rPr>
        <w:t xml:space="preserve"> </w:t>
      </w:r>
      <w:r>
        <w:rPr>
          <w:rFonts w:hint="eastAsia" w:ascii="宋体" w:hAnsi="宋体"/>
          <w:sz w:val="28"/>
          <w:lang w:val="en-US" w:eastAsia="zh-CN"/>
        </w:rPr>
        <w:t xml:space="preserve">  </w:t>
      </w:r>
      <w:r>
        <w:rPr>
          <w:rFonts w:hint="eastAsia" w:ascii="宋体" w:hAnsi="宋体"/>
          <w:sz w:val="28"/>
        </w:rPr>
        <w:t>依据建设单位要求</w:t>
      </w:r>
      <w:r>
        <w:rPr>
          <w:rFonts w:hint="eastAsia" w:ascii="宋体" w:hAnsi="宋体"/>
          <w:sz w:val="28"/>
          <w:lang w:eastAsia="zh-CN"/>
        </w:rPr>
        <w:t>2025年郭杜校区暑期学生公寓粉刷项目</w:t>
      </w:r>
      <w:r>
        <w:rPr>
          <w:rFonts w:hint="eastAsia" w:ascii="宋体" w:hAnsi="宋体" w:cs="宋体"/>
          <w:sz w:val="28"/>
          <w:lang w:val="en-US" w:eastAsia="zh-CN"/>
        </w:rPr>
        <w:t>要求的范围</w:t>
      </w:r>
      <w:r>
        <w:rPr>
          <w:rFonts w:hint="eastAsia" w:ascii="宋体" w:hAnsi="宋体"/>
          <w:sz w:val="28"/>
        </w:rPr>
        <w:t>。</w:t>
      </w:r>
    </w:p>
    <w:p w14:paraId="37D66280">
      <w:pPr>
        <w:keepNext w:val="0"/>
        <w:keepLines w:val="0"/>
        <w:pageBreakBefore w:val="0"/>
        <w:widowControl w:val="0"/>
        <w:numPr>
          <w:ilvl w:val="0"/>
          <w:numId w:val="1"/>
        </w:numPr>
        <w:kinsoku/>
        <w:wordWrap/>
        <w:overflowPunct/>
        <w:topLinePunct w:val="0"/>
        <w:autoSpaceDE/>
        <w:autoSpaceDN/>
        <w:bidi w:val="0"/>
        <w:adjustRightInd/>
        <w:snapToGrid/>
        <w:ind w:left="0" w:leftChars="0" w:right="-153" w:rightChars="-73" w:firstLine="0" w:firstLineChars="0"/>
        <w:textAlignment w:val="auto"/>
        <w:rPr>
          <w:rFonts w:hint="eastAsia" w:ascii="宋体" w:hAnsi="宋体"/>
          <w:b/>
          <w:color w:val="000000"/>
          <w:sz w:val="28"/>
          <w:szCs w:val="28"/>
        </w:rPr>
      </w:pPr>
      <w:r>
        <w:rPr>
          <w:rFonts w:hint="eastAsia" w:ascii="宋体" w:hAnsi="宋体"/>
          <w:b/>
          <w:color w:val="000000"/>
          <w:sz w:val="28"/>
          <w:szCs w:val="28"/>
        </w:rPr>
        <w:t>编制依据</w:t>
      </w:r>
    </w:p>
    <w:p w14:paraId="5D815991">
      <w:pPr>
        <w:numPr>
          <w:ilvl w:val="0"/>
          <w:numId w:val="2"/>
        </w:numPr>
        <w:ind w:left="0" w:leftChars="0" w:firstLine="420" w:firstLineChars="0"/>
        <w:rPr>
          <w:rFonts w:hint="eastAsia" w:hAnsi="宋体"/>
          <w:sz w:val="28"/>
          <w:szCs w:val="28"/>
        </w:rPr>
      </w:pPr>
      <w:r>
        <w:rPr>
          <w:rFonts w:hint="eastAsia" w:ascii="宋体" w:hAnsi="宋体" w:cs="宋体"/>
          <w:sz w:val="28"/>
          <w:lang w:val="en-US" w:eastAsia="zh-CN"/>
        </w:rPr>
        <w:t>2025年郭杜校区暑期学生公寓粉刷项目立项申请</w:t>
      </w:r>
      <w:r>
        <w:rPr>
          <w:rFonts w:hint="eastAsia" w:hAnsi="宋体"/>
          <w:sz w:val="28"/>
          <w:szCs w:val="28"/>
        </w:rPr>
        <w:t>；</w:t>
      </w:r>
    </w:p>
    <w:p w14:paraId="00915215">
      <w:pPr>
        <w:numPr>
          <w:ilvl w:val="0"/>
          <w:numId w:val="2"/>
        </w:numPr>
        <w:ind w:left="0" w:leftChars="0" w:firstLine="420" w:firstLineChars="0"/>
        <w:rPr>
          <w:rFonts w:hint="eastAsia" w:ascii="宋体" w:hAnsi="宋体" w:cs="宋体"/>
          <w:sz w:val="28"/>
          <w:szCs w:val="28"/>
        </w:rPr>
      </w:pPr>
      <w:r>
        <w:rPr>
          <w:rFonts w:hint="eastAsia" w:ascii="宋体" w:hAnsi="宋体" w:cs="宋体"/>
          <w:sz w:val="28"/>
          <w:szCs w:val="28"/>
        </w:rPr>
        <w:t>《陕西省建设工程工程量清单计价规则》(2009年)</w:t>
      </w:r>
      <w:r>
        <w:rPr>
          <w:rFonts w:hint="eastAsia" w:ascii="宋体" w:hAnsi="宋体" w:cs="宋体"/>
          <w:sz w:val="28"/>
          <w:szCs w:val="28"/>
          <w:lang w:eastAsia="zh-CN"/>
        </w:rPr>
        <w:t>，</w:t>
      </w:r>
      <w:r>
        <w:rPr>
          <w:rFonts w:hint="eastAsia" w:ascii="宋体" w:hAnsi="宋体" w:cs="宋体"/>
          <w:sz w:val="28"/>
          <w:szCs w:val="28"/>
        </w:rPr>
        <w:t>《陕西省</w:t>
      </w:r>
      <w:r>
        <w:rPr>
          <w:rFonts w:hint="eastAsia" w:ascii="宋体" w:hAnsi="宋体" w:cs="宋体"/>
          <w:sz w:val="28"/>
          <w:szCs w:val="28"/>
          <w:lang w:val="en-US" w:eastAsia="zh-CN"/>
        </w:rPr>
        <w:t>费</w:t>
      </w:r>
      <w:r>
        <w:rPr>
          <w:rFonts w:hint="eastAsia" w:ascii="宋体" w:hAnsi="宋体" w:cs="宋体"/>
          <w:sz w:val="28"/>
          <w:szCs w:val="28"/>
        </w:rPr>
        <w:t>率》（2009）及其他相关的计价依据和办法</w:t>
      </w:r>
      <w:r>
        <w:rPr>
          <w:rFonts w:hint="eastAsia" w:ascii="宋体" w:hAnsi="宋体"/>
          <w:sz w:val="28"/>
        </w:rPr>
        <w:t>；</w:t>
      </w:r>
    </w:p>
    <w:p w14:paraId="6CF66903">
      <w:pPr>
        <w:numPr>
          <w:ilvl w:val="0"/>
          <w:numId w:val="2"/>
        </w:numPr>
        <w:ind w:left="0" w:leftChars="0" w:firstLine="420" w:firstLineChars="0"/>
        <w:rPr>
          <w:rFonts w:hint="eastAsia" w:ascii="宋体" w:hAnsi="宋体" w:cs="宋体"/>
          <w:sz w:val="28"/>
          <w:szCs w:val="28"/>
        </w:rPr>
      </w:pPr>
      <w:r>
        <w:rPr>
          <w:rFonts w:hint="eastAsia" w:ascii="宋体" w:hAnsi="宋体" w:cs="宋体"/>
          <w:sz w:val="28"/>
          <w:szCs w:val="28"/>
        </w:rPr>
        <w:t>与建设工程项目有关的标准、规范、图集、技术资料；</w:t>
      </w:r>
    </w:p>
    <w:p w14:paraId="78B282DE">
      <w:pPr>
        <w:numPr>
          <w:ilvl w:val="0"/>
          <w:numId w:val="2"/>
        </w:numPr>
        <w:ind w:left="0" w:leftChars="0" w:firstLine="420" w:firstLineChars="0"/>
        <w:rPr>
          <w:rFonts w:hint="eastAsia" w:ascii="宋体" w:hAnsi="宋体"/>
          <w:sz w:val="28"/>
        </w:rPr>
      </w:pPr>
      <w:r>
        <w:rPr>
          <w:rFonts w:hint="eastAsia" w:ascii="宋体" w:hAnsi="宋体"/>
          <w:sz w:val="28"/>
        </w:rPr>
        <w:t>安全文明施工费费率执行《关于发布我省落实建筑工人实名制管理计价依据的通知》陕建发〔2019〕1246号；</w:t>
      </w:r>
    </w:p>
    <w:p w14:paraId="730525E8">
      <w:pPr>
        <w:numPr>
          <w:ilvl w:val="0"/>
          <w:numId w:val="2"/>
        </w:numPr>
        <w:ind w:left="0" w:leftChars="0" w:firstLine="420" w:firstLineChars="0"/>
        <w:rPr>
          <w:rFonts w:hint="eastAsia" w:ascii="宋体" w:hAnsi="宋体"/>
          <w:sz w:val="28"/>
        </w:rPr>
      </w:pPr>
      <w:r>
        <w:rPr>
          <w:rFonts w:hint="eastAsia" w:ascii="宋体" w:hAnsi="宋体"/>
          <w:sz w:val="28"/>
        </w:rPr>
        <w:t>建筑安全生产责任险费率执行《陕西省住房和城乡建设厅关于建筑施工安全生产责任保险费用计价的通知》陕建发〔2020〕1097号；</w:t>
      </w:r>
    </w:p>
    <w:p w14:paraId="2DFB93E9">
      <w:pPr>
        <w:numPr>
          <w:ilvl w:val="0"/>
          <w:numId w:val="2"/>
        </w:numPr>
        <w:ind w:left="0" w:leftChars="0" w:firstLine="420" w:firstLineChars="0"/>
        <w:rPr>
          <w:rFonts w:ascii="宋体" w:hAnsi="宋体"/>
          <w:sz w:val="28"/>
        </w:rPr>
      </w:pPr>
      <w:r>
        <w:rPr>
          <w:rFonts w:hint="eastAsia" w:ascii="宋体" w:hAnsi="宋体"/>
          <w:sz w:val="28"/>
        </w:rPr>
        <w:t>税金执行《关于调整我省建设工程计价依据的通知》陕建发〔2019〕45号文；</w:t>
      </w:r>
    </w:p>
    <w:p w14:paraId="0D34C0A4">
      <w:pPr>
        <w:numPr>
          <w:ilvl w:val="0"/>
          <w:numId w:val="2"/>
        </w:numPr>
        <w:ind w:left="0" w:leftChars="0" w:firstLine="420" w:firstLineChars="0"/>
        <w:rPr>
          <w:rFonts w:hint="eastAsia" w:ascii="宋体" w:hAnsi="宋体" w:eastAsia="宋体" w:cs="Times New Roman"/>
          <w:sz w:val="28"/>
        </w:rPr>
      </w:pPr>
      <w:r>
        <w:rPr>
          <w:rFonts w:hint="eastAsia" w:ascii="宋体" w:hAnsi="宋体"/>
          <w:sz w:val="28"/>
          <w:lang w:val="en-US" w:eastAsia="zh-CN"/>
        </w:rPr>
        <w:t>养老保险</w:t>
      </w:r>
      <w:r>
        <w:rPr>
          <w:rFonts w:hint="eastAsia" w:ascii="宋体" w:hAnsi="宋体"/>
          <w:sz w:val="28"/>
        </w:rPr>
        <w:t>执行《</w:t>
      </w:r>
      <w:r>
        <w:rPr>
          <w:rFonts w:hint="eastAsia" w:ascii="宋体" w:hAnsi="宋体" w:eastAsia="宋体" w:cs="Times New Roman"/>
          <w:sz w:val="28"/>
        </w:rPr>
        <w:t>关于全省统一停止收缴建筑业劳保费用的通知</w:t>
      </w:r>
      <w:r>
        <w:rPr>
          <w:rFonts w:hint="eastAsia" w:ascii="宋体" w:hAnsi="宋体"/>
          <w:sz w:val="28"/>
        </w:rPr>
        <w:t>》</w:t>
      </w:r>
      <w:r>
        <w:rPr>
          <w:rFonts w:hint="eastAsia" w:ascii="宋体" w:hAnsi="宋体" w:eastAsia="宋体" w:cs="Times New Roman"/>
          <w:sz w:val="28"/>
        </w:rPr>
        <w:t>陕建发﹝2021﹞1021号</w:t>
      </w:r>
      <w:r>
        <w:rPr>
          <w:rFonts w:hint="eastAsia" w:ascii="宋体" w:hAnsi="宋体" w:cs="Times New Roman"/>
          <w:sz w:val="28"/>
          <w:lang w:eastAsia="zh-CN"/>
        </w:rPr>
        <w:t>；</w:t>
      </w:r>
    </w:p>
    <w:p w14:paraId="7AD2F0EC">
      <w:pPr>
        <w:numPr>
          <w:ilvl w:val="0"/>
          <w:numId w:val="2"/>
        </w:numPr>
        <w:ind w:left="0" w:leftChars="0" w:firstLine="420" w:firstLineChars="0"/>
        <w:rPr>
          <w:rFonts w:hint="eastAsia" w:ascii="宋体" w:hAnsi="宋体" w:cs="宋体"/>
          <w:sz w:val="28"/>
          <w:szCs w:val="28"/>
        </w:rPr>
      </w:pPr>
      <w:r>
        <w:rPr>
          <w:rFonts w:hint="eastAsia" w:ascii="宋体" w:hAnsi="宋体" w:cs="宋体"/>
          <w:sz w:val="28"/>
          <w:szCs w:val="28"/>
        </w:rPr>
        <w:t>其他相关资料</w:t>
      </w:r>
      <w:r>
        <w:rPr>
          <w:rFonts w:hint="eastAsia" w:ascii="宋体" w:hAnsi="宋体"/>
          <w:sz w:val="28"/>
        </w:rPr>
        <w:t>。</w:t>
      </w:r>
    </w:p>
    <w:p w14:paraId="61CCB045">
      <w:pPr>
        <w:keepNext w:val="0"/>
        <w:keepLines w:val="0"/>
        <w:pageBreakBefore w:val="0"/>
        <w:widowControl w:val="0"/>
        <w:numPr>
          <w:ilvl w:val="0"/>
          <w:numId w:val="1"/>
        </w:numPr>
        <w:kinsoku/>
        <w:wordWrap/>
        <w:overflowPunct/>
        <w:topLinePunct w:val="0"/>
        <w:autoSpaceDE/>
        <w:autoSpaceDN/>
        <w:bidi w:val="0"/>
        <w:adjustRightInd/>
        <w:snapToGrid/>
        <w:ind w:left="0" w:leftChars="0" w:right="-153" w:rightChars="-73" w:firstLine="0" w:firstLineChars="0"/>
        <w:textAlignment w:val="auto"/>
        <w:rPr>
          <w:rFonts w:hint="eastAsia" w:ascii="宋体" w:hAnsi="宋体"/>
          <w:b/>
          <w:color w:val="000000"/>
          <w:sz w:val="28"/>
          <w:szCs w:val="28"/>
        </w:rPr>
      </w:pPr>
      <w:r>
        <w:rPr>
          <w:rFonts w:hint="eastAsia" w:ascii="宋体" w:hAnsi="宋体"/>
          <w:b/>
          <w:color w:val="000000"/>
          <w:sz w:val="28"/>
          <w:szCs w:val="28"/>
        </w:rPr>
        <w:t>有关说明</w:t>
      </w:r>
    </w:p>
    <w:p w14:paraId="335A6AE1">
      <w:pPr>
        <w:numPr>
          <w:ilvl w:val="0"/>
          <w:numId w:val="3"/>
        </w:numPr>
        <w:ind w:left="0" w:leftChars="0" w:firstLine="420" w:firstLineChars="0"/>
        <w:rPr>
          <w:rFonts w:hint="eastAsia" w:ascii="宋体" w:hAnsi="宋体" w:eastAsia="宋体" w:cs="Times New Roman"/>
          <w:sz w:val="28"/>
          <w:lang w:eastAsia="zh-CN"/>
        </w:rPr>
      </w:pPr>
      <w:r>
        <w:rPr>
          <w:rFonts w:hint="eastAsia" w:ascii="宋体" w:hAnsi="宋体" w:eastAsia="宋体" w:cs="Times New Roman"/>
          <w:sz w:val="28"/>
        </w:rPr>
        <w:t>编制软件采用广联达云计价平台GCCP6.0，版本号：6.4100.23.1</w:t>
      </w:r>
      <w:r>
        <w:rPr>
          <w:rFonts w:hint="eastAsia" w:ascii="宋体" w:hAnsi="宋体" w:eastAsia="宋体" w:cs="Times New Roman"/>
          <w:sz w:val="28"/>
          <w:lang w:val="en-US" w:eastAsia="zh-CN"/>
        </w:rPr>
        <w:t>2</w:t>
      </w:r>
      <w:r>
        <w:rPr>
          <w:rFonts w:hint="eastAsia" w:ascii="宋体" w:hAnsi="宋体" w:cs="Times New Roman"/>
          <w:sz w:val="28"/>
          <w:lang w:val="en-US" w:eastAsia="zh-CN"/>
        </w:rPr>
        <w:t>2</w:t>
      </w:r>
      <w:r>
        <w:rPr>
          <w:rFonts w:hint="eastAsia" w:ascii="宋体" w:hAnsi="宋体" w:eastAsia="宋体" w:cs="Times New Roman"/>
          <w:sz w:val="28"/>
        </w:rPr>
        <w:t>。</w:t>
      </w:r>
      <w:bookmarkStart w:id="1" w:name="_GoBack"/>
      <w:bookmarkEnd w:id="1"/>
    </w:p>
    <w:p w14:paraId="6AD18540">
      <w:pPr>
        <w:numPr>
          <w:ilvl w:val="0"/>
          <w:numId w:val="0"/>
        </w:numPr>
        <w:ind w:left="420" w:leftChars="0"/>
        <w:rPr>
          <w:rFonts w:hint="eastAsia" w:ascii="宋体" w:hAnsi="宋体" w:eastAsia="宋体" w:cs="Times New Roman"/>
          <w:sz w:val="28"/>
          <w:lang w:eastAsia="zh-CN"/>
        </w:rPr>
      </w:pPr>
    </w:p>
    <w:p w14:paraId="67BDD9F5">
      <w:pPr>
        <w:spacing w:line="240" w:lineRule="auto"/>
        <w:ind w:firstLine="3500" w:firstLineChars="1250"/>
        <w:rPr>
          <w:rFonts w:hint="eastAsia" w:ascii="宋体" w:hAnsi="宋体" w:eastAsia="宋体" w:cs="宋体"/>
          <w:sz w:val="28"/>
          <w:szCs w:val="28"/>
        </w:rPr>
      </w:pPr>
    </w:p>
    <w:p w14:paraId="2E9A6517">
      <w:pPr>
        <w:spacing w:line="240" w:lineRule="auto"/>
        <w:ind w:firstLine="3640" w:firstLineChars="1300"/>
        <w:rPr>
          <w:rFonts w:hint="eastAsia" w:ascii="宋体" w:hAnsi="宋体" w:eastAsia="宋体" w:cs="宋体"/>
          <w:sz w:val="28"/>
          <w:szCs w:val="28"/>
        </w:rPr>
      </w:pPr>
      <w:r>
        <w:rPr>
          <w:rFonts w:hint="eastAsia" w:ascii="宋体" w:hAnsi="宋体" w:eastAsia="宋体" w:cs="宋体"/>
          <w:sz w:val="28"/>
          <w:szCs w:val="28"/>
        </w:rPr>
        <w:t>陕西尚华工程管理咨询有限公司</w:t>
      </w:r>
    </w:p>
    <w:p w14:paraId="2DA61AB1">
      <w:pPr>
        <w:spacing w:line="240" w:lineRule="auto"/>
        <w:ind w:firstLine="4480" w:firstLineChars="1600"/>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202</w:t>
      </w:r>
      <w:r>
        <w:rPr>
          <w:rFonts w:hint="eastAsia" w:ascii="宋体" w:hAnsi="宋体" w:cs="宋体"/>
          <w:sz w:val="28"/>
          <w:szCs w:val="28"/>
          <w:highlight w:val="none"/>
          <w:lang w:val="en-US" w:eastAsia="zh-CN"/>
        </w:rPr>
        <w:t>5</w:t>
      </w:r>
      <w:r>
        <w:rPr>
          <w:rFonts w:hint="eastAsia" w:ascii="宋体" w:hAnsi="宋体" w:eastAsia="宋体" w:cs="宋体"/>
          <w:sz w:val="28"/>
          <w:szCs w:val="28"/>
          <w:highlight w:val="none"/>
        </w:rPr>
        <w:t>年</w:t>
      </w:r>
      <w:r>
        <w:rPr>
          <w:rFonts w:hint="eastAsia" w:ascii="宋体" w:hAnsi="宋体" w:cs="宋体"/>
          <w:sz w:val="28"/>
          <w:szCs w:val="28"/>
          <w:highlight w:val="none"/>
          <w:lang w:val="en-US" w:eastAsia="zh-CN"/>
        </w:rPr>
        <w:t>6</w:t>
      </w:r>
      <w:r>
        <w:rPr>
          <w:rFonts w:hint="eastAsia" w:ascii="宋体" w:hAnsi="宋体" w:eastAsia="宋体" w:cs="宋体"/>
          <w:sz w:val="28"/>
          <w:szCs w:val="28"/>
          <w:highlight w:val="none"/>
        </w:rPr>
        <w:t>月</w:t>
      </w:r>
      <w:r>
        <w:rPr>
          <w:rFonts w:hint="eastAsia" w:ascii="宋体" w:hAnsi="宋体" w:cs="宋体"/>
          <w:sz w:val="28"/>
          <w:szCs w:val="28"/>
          <w:highlight w:val="none"/>
          <w:lang w:val="en-US" w:eastAsia="zh-CN"/>
        </w:rPr>
        <w:t>19</w:t>
      </w:r>
      <w:r>
        <w:rPr>
          <w:rFonts w:hint="eastAsia" w:ascii="宋体" w:hAnsi="宋体" w:eastAsia="宋体" w:cs="宋体"/>
          <w:sz w:val="28"/>
          <w:szCs w:val="28"/>
          <w:highlight w:val="none"/>
        </w:rPr>
        <w:t>日</w:t>
      </w:r>
    </w:p>
    <w:p w14:paraId="54F30CFE">
      <w:pPr>
        <w:numPr>
          <w:ilvl w:val="0"/>
          <w:numId w:val="0"/>
        </w:numPr>
        <w:rPr>
          <w:rFonts w:hint="eastAsia" w:eastAsia="宋体"/>
          <w:lang w:eastAsia="zh-CN"/>
        </w:rPr>
      </w:pPr>
    </w:p>
    <w:sectPr>
      <w:headerReference r:id="rId3" w:type="default"/>
      <w:footerReference r:id="rId4" w:type="default"/>
      <w:pgSz w:w="11907" w:h="16839"/>
      <w:pgMar w:top="1134" w:right="1701" w:bottom="1134" w:left="1701"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E4639">
    <w:pPr>
      <w:pStyle w:val="7"/>
      <w:framePr w:wrap="around" w:vAnchor="text" w:hAnchor="margin" w:xAlign="center" w:y="1"/>
      <w:rPr>
        <w:rStyle w:val="12"/>
      </w:rPr>
    </w:pPr>
    <w:r>
      <w:fldChar w:fldCharType="begin"/>
    </w:r>
    <w:r>
      <w:rPr>
        <w:rStyle w:val="12"/>
      </w:rPr>
      <w:instrText xml:space="preserve">PAGE  </w:instrText>
    </w:r>
    <w:r>
      <w:fldChar w:fldCharType="separate"/>
    </w:r>
    <w:r>
      <w:rPr>
        <w:rStyle w:val="12"/>
      </w:rPr>
      <w:t>4</w:t>
    </w:r>
    <w:r>
      <w:fldChar w:fldCharType="end"/>
    </w:r>
  </w:p>
  <w:p w14:paraId="2AF9372C">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22E5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839CF"/>
    <w:multiLevelType w:val="singleLevel"/>
    <w:tmpl w:val="9B7839CF"/>
    <w:lvl w:ilvl="0" w:tentative="0">
      <w:start w:val="1"/>
      <w:numFmt w:val="chineseCounting"/>
      <w:suff w:val="nothing"/>
      <w:lvlText w:val="%1、"/>
      <w:lvlJc w:val="left"/>
      <w:pPr>
        <w:ind w:left="0" w:firstLine="420"/>
      </w:pPr>
      <w:rPr>
        <w:rFonts w:hint="eastAsia"/>
      </w:rPr>
    </w:lvl>
  </w:abstractNum>
  <w:abstractNum w:abstractNumId="1">
    <w:nsid w:val="0150DB44"/>
    <w:multiLevelType w:val="singleLevel"/>
    <w:tmpl w:val="0150DB44"/>
    <w:lvl w:ilvl="0" w:tentative="0">
      <w:start w:val="1"/>
      <w:numFmt w:val="decimal"/>
      <w:suff w:val="nothing"/>
      <w:lvlText w:val="%1、"/>
      <w:lvlJc w:val="left"/>
      <w:pPr>
        <w:ind w:left="0" w:firstLine="420"/>
      </w:pPr>
      <w:rPr>
        <w:rFonts w:hint="default"/>
      </w:rPr>
    </w:lvl>
  </w:abstractNum>
  <w:abstractNum w:abstractNumId="2">
    <w:nsid w:val="39116E30"/>
    <w:multiLevelType w:val="singleLevel"/>
    <w:tmpl w:val="39116E30"/>
    <w:lvl w:ilvl="0" w:tentative="0">
      <w:start w:val="1"/>
      <w:numFmt w:val="decimal"/>
      <w:suff w:val="nothing"/>
      <w:lvlText w:val="%1、"/>
      <w:lvlJc w:val="left"/>
      <w:pPr>
        <w:ind w:left="0" w:firstLine="42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ZTI5NGY4NGQxMGQzMjk3NTA0NzMwNjYyMWEzMzQifQ=="/>
  </w:docVars>
  <w:rsids>
    <w:rsidRoot w:val="0DA1426D"/>
    <w:rsid w:val="0163090C"/>
    <w:rsid w:val="01B4263C"/>
    <w:rsid w:val="01CB4B89"/>
    <w:rsid w:val="039148DA"/>
    <w:rsid w:val="048B61F0"/>
    <w:rsid w:val="0A937A6D"/>
    <w:rsid w:val="0DA1426D"/>
    <w:rsid w:val="1077526D"/>
    <w:rsid w:val="108160EB"/>
    <w:rsid w:val="11F12F3C"/>
    <w:rsid w:val="1456095A"/>
    <w:rsid w:val="18040A1C"/>
    <w:rsid w:val="1DDD3ED6"/>
    <w:rsid w:val="264E2472"/>
    <w:rsid w:val="2BF84E35"/>
    <w:rsid w:val="2E210F05"/>
    <w:rsid w:val="3490086A"/>
    <w:rsid w:val="36152D3C"/>
    <w:rsid w:val="36D53299"/>
    <w:rsid w:val="3CD86149"/>
    <w:rsid w:val="409B21AC"/>
    <w:rsid w:val="43215F2D"/>
    <w:rsid w:val="4A1E0C4D"/>
    <w:rsid w:val="4BBD0443"/>
    <w:rsid w:val="4BC61899"/>
    <w:rsid w:val="50AD22A3"/>
    <w:rsid w:val="53DE50BB"/>
    <w:rsid w:val="54576B8C"/>
    <w:rsid w:val="593D3BFD"/>
    <w:rsid w:val="5AD34C11"/>
    <w:rsid w:val="69E55F18"/>
    <w:rsid w:val="6CE97CFC"/>
    <w:rsid w:val="6F3068EC"/>
    <w:rsid w:val="721621D8"/>
    <w:rsid w:val="7A9F4E0C"/>
    <w:rsid w:val="7CB40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2"/>
    <w:basedOn w:val="1"/>
    <w:next w:val="1"/>
    <w:autoRedefine/>
    <w:qFormat/>
    <w:uiPriority w:val="0"/>
    <w:pPr>
      <w:keepNext/>
      <w:keepLines/>
      <w:spacing w:before="260" w:beforeLines="0" w:after="260" w:afterLines="0" w:line="413" w:lineRule="auto"/>
      <w:outlineLvl w:val="1"/>
    </w:pPr>
    <w:rPr>
      <w:rFonts w:ascii="Arial" w:hAnsi="Arial" w:eastAsia="黑体"/>
      <w:b/>
      <w:bCs/>
      <w:kern w:val="2"/>
      <w:sz w:val="32"/>
      <w:szCs w:val="32"/>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rPr>
      <w:rFonts w:ascii="Times New Roman" w:hAnsi="Times New Roman" w:eastAsia="宋体" w:cs="Times New Roman"/>
      <w:szCs w:val="24"/>
    </w:rPr>
  </w:style>
  <w:style w:type="paragraph" w:styleId="3">
    <w:name w:val="Body Text"/>
    <w:basedOn w:val="1"/>
    <w:next w:val="2"/>
    <w:unhideWhenUsed/>
    <w:qFormat/>
    <w:uiPriority w:val="99"/>
    <w:pPr>
      <w:spacing w:after="120"/>
    </w:pPr>
    <w:rPr>
      <w:sz w:val="28"/>
      <w:szCs w:val="20"/>
    </w:rPr>
  </w:style>
  <w:style w:type="paragraph" w:styleId="4">
    <w:name w:val="toc 6"/>
    <w:basedOn w:val="1"/>
    <w:next w:val="1"/>
    <w:qFormat/>
    <w:uiPriority w:val="0"/>
    <w:pPr>
      <w:ind w:left="1050"/>
      <w:jc w:val="left"/>
    </w:pPr>
    <w:rPr>
      <w:sz w:val="20"/>
      <w:szCs w:val="20"/>
    </w:rPr>
  </w:style>
  <w:style w:type="paragraph" w:styleId="6">
    <w:name w:val="Plain Text"/>
    <w:basedOn w:val="1"/>
    <w:autoRedefine/>
    <w:qFormat/>
    <w:uiPriority w:val="0"/>
    <w:rPr>
      <w:rFonts w:ascii="宋体" w:hAnsi="Courier New"/>
    </w:rPr>
  </w:style>
  <w:style w:type="paragraph" w:styleId="7">
    <w:name w:val="footer"/>
    <w:basedOn w:val="1"/>
    <w:autoRedefine/>
    <w:qFormat/>
    <w:uiPriority w:val="0"/>
    <w:pPr>
      <w:tabs>
        <w:tab w:val="center" w:pos="4153"/>
        <w:tab w:val="right" w:pos="8306"/>
      </w:tabs>
      <w:snapToGrid w:val="0"/>
      <w:jc w:val="left"/>
    </w:pPr>
    <w:rPr>
      <w:sz w:val="18"/>
      <w:szCs w:val="18"/>
    </w:rPr>
  </w:style>
  <w:style w:type="paragraph" w:styleId="8">
    <w:name w:val="header"/>
    <w:basedOn w:val="1"/>
    <w:autoRedefine/>
    <w:qFormat/>
    <w:uiPriority w:val="0"/>
    <w:pPr>
      <w:pBdr>
        <w:bottom w:val="single" w:color="auto" w:sz="6" w:space="1"/>
      </w:pBdr>
      <w:tabs>
        <w:tab w:val="center" w:pos="4153"/>
        <w:tab w:val="right" w:pos="8306"/>
      </w:tabs>
      <w:snapToGrid w:val="0"/>
      <w:jc w:val="center"/>
    </w:pPr>
    <w:rPr>
      <w:rFonts w:eastAsia="宋体"/>
      <w:kern w:val="2"/>
      <w:sz w:val="18"/>
      <w:szCs w:val="18"/>
      <w:lang w:val="en-US" w:eastAsia="zh-CN" w:bidi="ar-SA"/>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12">
    <w:name w:val="page number"/>
    <w:basedOn w:val="11"/>
    <w:autoRedefine/>
    <w:qFormat/>
    <w:uiPriority w:val="0"/>
  </w:style>
  <w:style w:type="paragraph" w:customStyle="1" w:styleId="13">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483</Words>
  <Characters>535</Characters>
  <Lines>0</Lines>
  <Paragraphs>0</Paragraphs>
  <TotalTime>0</TotalTime>
  <ScaleCrop>false</ScaleCrop>
  <LinksUpToDate>false</LinksUpToDate>
  <CharactersWithSpaces>538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2024-06-19T09:57:00Z</dcterms:created>
  <dc:creator>Book 思议</dc:creator>
  <cp:lastModifiedBy>klq</cp:lastModifiedBy>
  <cp:lastPrinted>2025-03-03T01:04:00Z</cp:lastPrinted>
  <dcterms:modified xsi:type="dcterms:W3CDTF">2025-06-19T07:22:47Z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7336328BFE684FEC93CB45D65CC51645_13</vt:lpwstr>
  </property>
  <property fmtid="{D5CDD505-2E9C-101B-9397-08002B2CF9AE}" pid="4" name="KSOTemplateDocerSaveRecord">
    <vt:lpwstr>eyJoZGlkIjoiZmEwOWI2NjBkNTMzYjRjMGY5MWQzZGZiNzY1ZTkyNWYiLCJ1c2VySWQiOiIyNDc0MjIzMTEifQ==</vt:lpwstr>
  </property>
</Properties>
</file>