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303BC">
      <w:pPr>
        <w:pStyle w:val="4"/>
        <w:jc w:val="center"/>
        <w:rPr>
          <w:rFonts w:hint="default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采购需求</w:t>
      </w:r>
    </w:p>
    <w:p w14:paraId="78C3C7CD">
      <w:pPr>
        <w:pStyle w:val="4"/>
        <w:ind w:firstLine="48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西安美术学院长安校区2025年度消防维保服务项目。长安校区学生宿舍楼建筑面积27440㎡，特教楼建筑面积12984.95㎡，食堂建筑面积18990㎡，运动场及看台建筑面积18900㎡，风雨操场建筑面积12870㎡。合计：91184.95㎡。</w:t>
      </w:r>
    </w:p>
    <w:p w14:paraId="01775F44">
      <w:pPr>
        <w:ind w:firstLine="420" w:firstLineChars="200"/>
      </w:pPr>
      <w:r>
        <w:rPr>
          <w:rFonts w:hint="eastAsia" w:ascii="仿宋" w:hAnsi="仿宋" w:eastAsia="仿宋" w:cs="仿宋"/>
          <w:lang w:val="en-US" w:eastAsia="zh-CN"/>
        </w:rPr>
        <w:t>消防控制室维保单位负责：消防控制室值班、消防设施的维护保养等。协助学院做好消防管理，加强消防制度建设，健全消防档案，实现消防科学化、规范化、专业化管理；在学院消防设施维护、改造中提供技术和人员支持；协助学院做好消防培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3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2025-07-18T02:46:36Z</dcterms:created>
  <dc:creator>1</dc:creator>
  <cp:lastModifiedBy> </cp:lastModifiedBy>
  <dcterms:modified xsi:type="dcterms:W3CDTF">2025-07-18T02:48:22Z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eyJoZGlkIjoiY2Y4M2VhM2YyNmRkMzRiNTA1Zjk0N2Y5MGZjZjgzOGUiLCJ1c2VySWQiOiI2MTYxMzk1OTMifQ==</vt:lpwstr>
  </property>
  <property fmtid="{D5CDD505-2E9C-101B-9397-08002B2CF9AE}" pid="4" name="ICV">
    <vt:lpwstr>DE1CE37E324443498752920568544950_12</vt:lpwstr>
  </property>
</Properties>
</file>