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B3E4B9">
      <w:pPr>
        <w:spacing w:line="460" w:lineRule="exact"/>
        <w:jc w:val="center"/>
        <w:outlineLvl w:val="0"/>
        <w:rPr>
          <w:rFonts w:eastAsia="宋体" w:cs="Times New Roman"/>
          <w:b/>
          <w:sz w:val="36"/>
          <w:szCs w:val="36"/>
          <w:highlight w:val="none"/>
        </w:rPr>
      </w:pPr>
      <w:r>
        <w:rPr>
          <w:rFonts w:eastAsia="宋体" w:cs="Times New Roman"/>
          <w:b/>
          <w:sz w:val="36"/>
          <w:szCs w:val="36"/>
          <w:highlight w:val="none"/>
        </w:rPr>
        <w:t>服务要求及商务要求</w:t>
      </w:r>
    </w:p>
    <w:p w14:paraId="0BA179EA">
      <w:pPr>
        <w:pStyle w:val="3"/>
        <w:spacing w:before="0" w:after="0" w:line="360" w:lineRule="auto"/>
        <w:ind w:firstLine="422" w:firstLineChars="200"/>
        <w:rPr>
          <w:rFonts w:ascii="宋体" w:hAnsi="宋体" w:eastAsia="宋体" w:cs="Times New Roman"/>
          <w:b/>
          <w:bCs/>
          <w:sz w:val="21"/>
          <w:szCs w:val="21"/>
          <w:highlight w:val="none"/>
          <w:lang w:val="en-US" w:eastAsia="zh-CN" w:bidi="ar-SA"/>
        </w:rPr>
      </w:pPr>
      <w:r>
        <w:rPr>
          <w:rFonts w:hint="eastAsia" w:ascii="宋体" w:hAnsi="宋体" w:eastAsia="宋体" w:cs="Times New Roman"/>
          <w:b/>
          <w:bCs/>
          <w:sz w:val="21"/>
          <w:szCs w:val="21"/>
          <w:highlight w:val="none"/>
          <w:lang w:val="en-US" w:eastAsia="zh-CN" w:bidi="ar-SA"/>
        </w:rPr>
        <w:t>1.项目背景</w:t>
      </w:r>
    </w:p>
    <w:p w14:paraId="7867E17E">
      <w:pPr>
        <w:spacing w:line="360" w:lineRule="auto"/>
        <w:ind w:left="481" w:firstLine="420" w:firstLineChars="200"/>
        <w:rPr>
          <w:rFonts w:ascii="宋体" w:hAnsi="宋体" w:eastAsia="宋体" w:cs="Times New Roman"/>
          <w:b w:val="0"/>
          <w:bCs w:val="0"/>
          <w:sz w:val="21"/>
          <w:szCs w:val="21"/>
          <w:highlight w:val="none"/>
          <w:lang w:val="en-US" w:eastAsia="zh-CN" w:bidi="ar-SA"/>
        </w:rPr>
      </w:pPr>
      <w:r>
        <w:rPr>
          <w:rFonts w:hint="eastAsia" w:ascii="宋体" w:hAnsi="宋体" w:eastAsia="宋体" w:cs="Times New Roman"/>
          <w:b w:val="0"/>
          <w:bCs w:val="0"/>
          <w:sz w:val="21"/>
          <w:szCs w:val="21"/>
          <w:highlight w:val="none"/>
          <w:lang w:val="en-US" w:eastAsia="zh-CN" w:bidi="ar-SA"/>
        </w:rPr>
        <w:t>新区国土空间基础信息平台和“一张图”信息实施监督系统要求新城整合自然资源、行政许可、规划核实、批后监管等信息，需不定期提交有关数据，包括用地红线、总平面图、管线数据以及各类行政许可数据，拟在原地理信息系统基础上，整合现有数据库，通过调整技术服务内容，搭建秦汉新城国土空间规划地理信息系统，进行数据整合和信息化管理，对接新区进行数据填报和汇交，服务新城做好信息管理和数据支持</w:t>
      </w:r>
      <w:r>
        <w:rPr>
          <w:rFonts w:ascii="宋体" w:hAnsi="宋体" w:eastAsia="宋体" w:cs="Times New Roman"/>
          <w:b w:val="0"/>
          <w:bCs w:val="0"/>
          <w:sz w:val="21"/>
          <w:szCs w:val="21"/>
          <w:highlight w:val="none"/>
          <w:lang w:val="en-US" w:eastAsia="zh-CN" w:bidi="ar-SA"/>
        </w:rPr>
        <w:t>。</w:t>
      </w:r>
    </w:p>
    <w:p w14:paraId="20034868">
      <w:pPr>
        <w:pStyle w:val="3"/>
        <w:spacing w:before="0" w:after="0" w:line="360" w:lineRule="auto"/>
        <w:ind w:firstLine="422" w:firstLineChars="200"/>
        <w:rPr>
          <w:rFonts w:ascii="宋体" w:hAnsi="宋体" w:eastAsia="宋体" w:cs="Times New Roman"/>
          <w:b/>
          <w:bCs/>
          <w:sz w:val="21"/>
          <w:szCs w:val="21"/>
          <w:highlight w:val="none"/>
          <w:lang w:val="en-US" w:eastAsia="zh-CN" w:bidi="ar-SA"/>
        </w:rPr>
      </w:pPr>
      <w:r>
        <w:rPr>
          <w:rFonts w:hint="eastAsia" w:ascii="宋体" w:hAnsi="宋体" w:eastAsia="宋体" w:cs="Times New Roman"/>
          <w:b/>
          <w:bCs/>
          <w:sz w:val="21"/>
          <w:szCs w:val="21"/>
          <w:highlight w:val="none"/>
          <w:lang w:val="en-US" w:eastAsia="zh-CN" w:bidi="ar-SA"/>
        </w:rPr>
        <w:t>2.运维服务范围和内容</w:t>
      </w:r>
    </w:p>
    <w:p w14:paraId="7AD81D6B">
      <w:pPr>
        <w:spacing w:line="360" w:lineRule="auto"/>
        <w:ind w:left="481" w:firstLine="420" w:firstLineChars="200"/>
        <w:rPr>
          <w:rFonts w:hint="eastAsia" w:ascii="宋体" w:hAnsi="宋体" w:eastAsia="宋体" w:cs="Times New Roman"/>
          <w:b w:val="0"/>
          <w:bCs w:val="0"/>
          <w:sz w:val="21"/>
          <w:szCs w:val="21"/>
          <w:highlight w:val="none"/>
          <w:lang w:val="en-US" w:eastAsia="zh-CN" w:bidi="ar-SA"/>
        </w:rPr>
      </w:pPr>
      <w:r>
        <w:rPr>
          <w:rFonts w:hint="eastAsia" w:ascii="宋体" w:hAnsi="宋体" w:eastAsia="宋体" w:cs="Times New Roman"/>
          <w:b w:val="0"/>
          <w:bCs w:val="0"/>
          <w:sz w:val="21"/>
          <w:szCs w:val="21"/>
          <w:highlight w:val="none"/>
          <w:lang w:val="en-US" w:eastAsia="zh-CN" w:bidi="ar-SA"/>
        </w:rPr>
        <w:t>城市规划信息管理系统技术维护服务包括系统的安装、配置、操作培训、解答操作疑问、系统的定期优化、故障排除、数据维护、配合甲方做日常管理等常规运维工作。</w:t>
      </w:r>
    </w:p>
    <w:p w14:paraId="055DEDDB">
      <w:pPr>
        <w:spacing w:line="360" w:lineRule="auto"/>
        <w:ind w:left="481" w:firstLine="420" w:firstLineChars="200"/>
        <w:rPr>
          <w:rFonts w:hint="eastAsia" w:ascii="宋体" w:hAnsi="宋体" w:eastAsia="宋体" w:cs="Times New Roman"/>
          <w:b w:val="0"/>
          <w:bCs w:val="0"/>
          <w:sz w:val="21"/>
          <w:szCs w:val="21"/>
          <w:highlight w:val="none"/>
          <w:lang w:val="en-US" w:eastAsia="zh-CN" w:bidi="ar-SA"/>
        </w:rPr>
      </w:pPr>
      <w:r>
        <w:rPr>
          <w:rFonts w:hint="eastAsia" w:ascii="宋体" w:hAnsi="宋体" w:eastAsia="宋体" w:cs="Times New Roman"/>
          <w:b w:val="0"/>
          <w:bCs w:val="0"/>
          <w:sz w:val="21"/>
          <w:szCs w:val="21"/>
          <w:highlight w:val="none"/>
          <w:lang w:val="en-US" w:eastAsia="zh-CN" w:bidi="ar-SA"/>
        </w:rPr>
        <w:t>具体的维护内容如下：</w:t>
      </w:r>
    </w:p>
    <w:p w14:paraId="78B9C624">
      <w:pPr>
        <w:spacing w:line="360" w:lineRule="auto"/>
        <w:ind w:left="481" w:firstLine="420" w:firstLineChars="200"/>
        <w:rPr>
          <w:rFonts w:hint="eastAsia" w:ascii="宋体" w:hAnsi="宋体" w:eastAsia="宋体" w:cs="Times New Roman"/>
          <w:b w:val="0"/>
          <w:bCs w:val="0"/>
          <w:sz w:val="21"/>
          <w:szCs w:val="21"/>
          <w:highlight w:val="none"/>
          <w:lang w:val="en-US" w:eastAsia="zh-CN" w:bidi="ar-SA"/>
        </w:rPr>
      </w:pPr>
      <w:r>
        <w:rPr>
          <w:rFonts w:hint="eastAsia" w:ascii="宋体" w:hAnsi="宋体" w:eastAsia="宋体" w:cs="Times New Roman"/>
          <w:b w:val="0"/>
          <w:bCs w:val="0"/>
          <w:sz w:val="21"/>
          <w:szCs w:val="21"/>
          <w:highlight w:val="none"/>
          <w:lang w:val="en-US" w:eastAsia="zh-CN" w:bidi="ar-SA"/>
        </w:rPr>
        <w:t>(1)系统日常运维：保障系统稳定运行，对应用服务器、数据库服务器巡检是否运行正常，在城市规划信息管理系统、相关设备出现问题时，能够及时解决。</w:t>
      </w:r>
    </w:p>
    <w:p w14:paraId="4EF1FA38">
      <w:pPr>
        <w:spacing w:line="360" w:lineRule="auto"/>
        <w:ind w:left="481" w:firstLine="420" w:firstLineChars="200"/>
        <w:rPr>
          <w:rFonts w:hint="eastAsia" w:ascii="宋体" w:hAnsi="宋体" w:eastAsia="宋体" w:cs="Times New Roman"/>
          <w:b w:val="0"/>
          <w:bCs w:val="0"/>
          <w:sz w:val="21"/>
          <w:szCs w:val="21"/>
          <w:highlight w:val="none"/>
          <w:lang w:val="en-US" w:eastAsia="zh-CN" w:bidi="ar-SA"/>
        </w:rPr>
      </w:pPr>
      <w:r>
        <w:rPr>
          <w:rFonts w:hint="eastAsia" w:ascii="宋体" w:hAnsi="宋体" w:eastAsia="宋体" w:cs="Times New Roman"/>
          <w:b w:val="0"/>
          <w:bCs w:val="0"/>
          <w:sz w:val="21"/>
          <w:szCs w:val="21"/>
          <w:highlight w:val="none"/>
          <w:lang w:val="en-US" w:eastAsia="zh-CN" w:bidi="ar-SA"/>
        </w:rPr>
        <w:t>(2)系统安全及保密保证：进行系统安装、网络安全、日常规范管理，承担保密义务，并备份数据库。</w:t>
      </w:r>
    </w:p>
    <w:p w14:paraId="1FF2D6FA">
      <w:pPr>
        <w:spacing w:line="360" w:lineRule="auto"/>
        <w:ind w:left="481" w:firstLine="420" w:firstLineChars="200"/>
        <w:rPr>
          <w:rFonts w:hint="eastAsia" w:ascii="宋体" w:hAnsi="宋体" w:eastAsia="宋体" w:cs="Times New Roman"/>
          <w:b w:val="0"/>
          <w:bCs w:val="0"/>
          <w:sz w:val="21"/>
          <w:szCs w:val="21"/>
          <w:highlight w:val="none"/>
          <w:lang w:val="en-US" w:eastAsia="zh-CN" w:bidi="ar-SA"/>
        </w:rPr>
      </w:pPr>
      <w:r>
        <w:rPr>
          <w:rFonts w:hint="eastAsia" w:ascii="宋体" w:hAnsi="宋体" w:eastAsia="宋体" w:cs="Times New Roman"/>
          <w:b w:val="0"/>
          <w:bCs w:val="0"/>
          <w:sz w:val="21"/>
          <w:szCs w:val="21"/>
          <w:highlight w:val="none"/>
          <w:lang w:val="en-US" w:eastAsia="zh-CN" w:bidi="ar-SA"/>
        </w:rPr>
        <w:t>(3)技术支持：日常功能操作指导，根据需要定期进行系统操作、使用等培训，常见故障排除，系统安装部署等,解决各科室相关工作人员在日常工作中遇到的系统相关问题，辅助业务人员完成数据查询分析。</w:t>
      </w:r>
    </w:p>
    <w:p w14:paraId="48CF6C35">
      <w:pPr>
        <w:spacing w:line="360" w:lineRule="auto"/>
        <w:ind w:left="481" w:firstLine="420" w:firstLineChars="200"/>
        <w:rPr>
          <w:rFonts w:hint="eastAsia" w:ascii="宋体" w:hAnsi="宋体" w:eastAsia="宋体" w:cs="Times New Roman"/>
          <w:b w:val="0"/>
          <w:bCs w:val="0"/>
          <w:sz w:val="21"/>
          <w:szCs w:val="21"/>
          <w:highlight w:val="none"/>
          <w:lang w:val="en-US" w:eastAsia="zh-CN" w:bidi="ar-SA"/>
        </w:rPr>
      </w:pPr>
      <w:r>
        <w:rPr>
          <w:rFonts w:hint="eastAsia" w:ascii="宋体" w:hAnsi="宋体" w:eastAsia="宋体" w:cs="Times New Roman"/>
          <w:b w:val="0"/>
          <w:bCs w:val="0"/>
          <w:sz w:val="21"/>
          <w:szCs w:val="21"/>
          <w:highlight w:val="none"/>
          <w:lang w:val="en-US" w:eastAsia="zh-CN" w:bidi="ar-SA"/>
        </w:rPr>
        <w:t>(4)培训：对新到岗的人员提供安装、配置、系统相关操作说明并进行培训。</w:t>
      </w:r>
    </w:p>
    <w:p w14:paraId="07AB4F65">
      <w:pPr>
        <w:spacing w:line="360" w:lineRule="auto"/>
        <w:ind w:left="481" w:firstLine="420" w:firstLineChars="200"/>
        <w:rPr>
          <w:rFonts w:hint="eastAsia" w:ascii="宋体" w:hAnsi="宋体" w:eastAsia="宋体" w:cs="Times New Roman"/>
          <w:b w:val="0"/>
          <w:bCs w:val="0"/>
          <w:sz w:val="21"/>
          <w:szCs w:val="21"/>
          <w:highlight w:val="none"/>
          <w:lang w:val="en-US" w:eastAsia="zh-CN" w:bidi="ar-SA"/>
        </w:rPr>
      </w:pPr>
      <w:r>
        <w:rPr>
          <w:rFonts w:hint="eastAsia" w:ascii="宋体" w:hAnsi="宋体" w:eastAsia="宋体" w:cs="Times New Roman"/>
          <w:b w:val="0"/>
          <w:bCs w:val="0"/>
          <w:sz w:val="21"/>
          <w:szCs w:val="21"/>
          <w:highlight w:val="none"/>
          <w:lang w:val="en-US" w:eastAsia="zh-CN" w:bidi="ar-SA"/>
        </w:rPr>
        <w:t>(5)制作专题图：根据业务需求，制作影像图及相关规划套合图专题图，初步分析区域整体情况。</w:t>
      </w:r>
    </w:p>
    <w:p w14:paraId="07085C1B">
      <w:pPr>
        <w:spacing w:line="360" w:lineRule="auto"/>
        <w:ind w:left="481" w:firstLine="420" w:firstLineChars="200"/>
        <w:rPr>
          <w:rFonts w:hint="eastAsia" w:ascii="宋体" w:hAnsi="宋体" w:eastAsia="宋体" w:cs="Times New Roman"/>
          <w:b w:val="0"/>
          <w:bCs w:val="0"/>
          <w:sz w:val="21"/>
          <w:szCs w:val="21"/>
          <w:highlight w:val="none"/>
          <w:lang w:val="en-US" w:eastAsia="zh-CN" w:bidi="ar-SA"/>
        </w:rPr>
      </w:pPr>
      <w:r>
        <w:rPr>
          <w:rFonts w:hint="eastAsia" w:ascii="宋体" w:hAnsi="宋体" w:eastAsia="宋体" w:cs="Times New Roman"/>
          <w:b w:val="0"/>
          <w:bCs w:val="0"/>
          <w:sz w:val="21"/>
          <w:szCs w:val="21"/>
          <w:highlight w:val="none"/>
          <w:lang w:val="en-US" w:eastAsia="zh-CN" w:bidi="ar-SA"/>
        </w:rPr>
        <w:t>(6)数据校核：复核总平面方案及建筑设计方案及竣工测量图指标与规划设计条件书、报建指标等，包括经济技术指标、建筑退让及间距、停车位配套、建筑单体等。</w:t>
      </w:r>
    </w:p>
    <w:p w14:paraId="71BE6B4A">
      <w:pPr>
        <w:spacing w:line="360" w:lineRule="auto"/>
        <w:ind w:left="481" w:firstLine="420" w:firstLineChars="200"/>
        <w:rPr>
          <w:rFonts w:hint="eastAsia" w:ascii="宋体" w:hAnsi="宋体" w:eastAsia="宋体" w:cs="Times New Roman"/>
          <w:b w:val="0"/>
          <w:bCs w:val="0"/>
          <w:sz w:val="21"/>
          <w:szCs w:val="21"/>
          <w:highlight w:val="none"/>
          <w:lang w:val="en-US" w:eastAsia="zh-CN" w:bidi="ar-SA"/>
        </w:rPr>
      </w:pPr>
      <w:r>
        <w:rPr>
          <w:rFonts w:hint="eastAsia" w:ascii="宋体" w:hAnsi="宋体" w:eastAsia="宋体" w:cs="Times New Roman"/>
          <w:b w:val="0"/>
          <w:bCs w:val="0"/>
          <w:sz w:val="21"/>
          <w:szCs w:val="21"/>
          <w:highlight w:val="none"/>
          <w:lang w:val="en-US" w:eastAsia="zh-CN" w:bidi="ar-SA"/>
        </w:rPr>
        <w:t>(7)数据维护及汇交：动态调整数据库详规、报批、供地、工程审批等各类数据，整理归档审批资料。根据西咸地理信息中心制定统一的标准和要求，按照汇交数据清单及要求，在规定时间内准确地完成收集、整理、坐标转换、数据分类、格式转换、数据规整、属性完善、台账建设、数据质检，并移交相关资料。</w:t>
      </w:r>
    </w:p>
    <w:p w14:paraId="00591377">
      <w:pPr>
        <w:spacing w:line="360" w:lineRule="auto"/>
        <w:ind w:left="481" w:firstLine="420" w:firstLineChars="200"/>
        <w:rPr>
          <w:rFonts w:ascii="宋体" w:hAnsi="宋体" w:eastAsia="宋体" w:cs="Times New Roman"/>
          <w:b w:val="0"/>
          <w:bCs w:val="0"/>
          <w:sz w:val="21"/>
          <w:szCs w:val="21"/>
          <w:highlight w:val="none"/>
          <w:lang w:val="en-US" w:eastAsia="zh-CN" w:bidi="ar-SA"/>
        </w:rPr>
      </w:pPr>
      <w:r>
        <w:rPr>
          <w:rFonts w:hint="eastAsia" w:ascii="宋体" w:hAnsi="宋体" w:eastAsia="宋体" w:cs="Times New Roman"/>
          <w:b w:val="0"/>
          <w:bCs w:val="0"/>
          <w:sz w:val="21"/>
          <w:szCs w:val="21"/>
          <w:highlight w:val="none"/>
          <w:lang w:val="en-US" w:eastAsia="zh-CN" w:bidi="ar-SA"/>
        </w:rPr>
        <w:t>(8)配合城市规划信息系统其他运维工作的开展。</w:t>
      </w:r>
    </w:p>
    <w:p w14:paraId="145CC392">
      <w:pPr>
        <w:pStyle w:val="3"/>
        <w:spacing w:before="0" w:after="0" w:line="360" w:lineRule="auto"/>
        <w:ind w:firstLine="422" w:firstLineChars="200"/>
        <w:rPr>
          <w:rFonts w:ascii="宋体" w:hAnsi="宋体" w:eastAsia="宋体" w:cs="Times New Roman"/>
          <w:b/>
          <w:bCs/>
          <w:sz w:val="21"/>
          <w:szCs w:val="21"/>
          <w:highlight w:val="none"/>
          <w:lang w:val="en-US" w:eastAsia="zh-CN" w:bidi="ar-SA"/>
        </w:rPr>
      </w:pPr>
      <w:r>
        <w:rPr>
          <w:rFonts w:ascii="宋体" w:hAnsi="宋体" w:eastAsia="宋体" w:cs="Times New Roman"/>
          <w:b/>
          <w:bCs/>
          <w:sz w:val="21"/>
          <w:szCs w:val="21"/>
          <w:highlight w:val="none"/>
          <w:lang w:val="en-US" w:eastAsia="zh-CN" w:bidi="ar-SA"/>
        </w:rPr>
        <w:t>3.</w:t>
      </w:r>
      <w:r>
        <w:rPr>
          <w:rFonts w:hint="eastAsia" w:ascii="宋体" w:hAnsi="宋体" w:eastAsia="宋体" w:cs="Times New Roman"/>
          <w:b/>
          <w:bCs/>
          <w:sz w:val="21"/>
          <w:szCs w:val="21"/>
          <w:highlight w:val="none"/>
          <w:lang w:val="en-US" w:eastAsia="zh-CN" w:bidi="ar-SA"/>
        </w:rPr>
        <w:t>运维服务期限</w:t>
      </w:r>
    </w:p>
    <w:p w14:paraId="4133A6B3">
      <w:pPr>
        <w:spacing w:line="360" w:lineRule="auto"/>
        <w:ind w:left="481" w:firstLine="420" w:firstLineChars="200"/>
        <w:rPr>
          <w:rFonts w:ascii="宋体" w:hAnsi="宋体" w:eastAsia="宋体" w:cs="Times New Roman"/>
          <w:b w:val="0"/>
          <w:bCs w:val="0"/>
          <w:sz w:val="21"/>
          <w:szCs w:val="21"/>
          <w:highlight w:val="none"/>
          <w:lang w:val="en-US" w:eastAsia="zh-CN" w:bidi="ar-SA"/>
        </w:rPr>
      </w:pPr>
      <w:r>
        <w:rPr>
          <w:rFonts w:hint="eastAsia" w:ascii="宋体" w:hAnsi="宋体" w:eastAsia="宋体" w:cs="Times New Roman"/>
          <w:b w:val="0"/>
          <w:bCs w:val="0"/>
          <w:sz w:val="21"/>
          <w:szCs w:val="21"/>
          <w:highlight w:val="none"/>
          <w:lang w:val="en-US" w:eastAsia="zh-CN" w:bidi="ar-SA"/>
        </w:rPr>
        <w:t>服务类型：日常性运维</w:t>
      </w:r>
    </w:p>
    <w:p w14:paraId="0949050F">
      <w:pPr>
        <w:spacing w:line="360" w:lineRule="auto"/>
        <w:ind w:left="481" w:firstLine="420" w:firstLineChars="200"/>
        <w:rPr>
          <w:rFonts w:ascii="宋体" w:hAnsi="宋体" w:eastAsia="宋体" w:cs="Times New Roman"/>
          <w:b w:val="0"/>
          <w:bCs w:val="0"/>
          <w:sz w:val="21"/>
          <w:szCs w:val="21"/>
          <w:highlight w:val="none"/>
          <w:lang w:val="en-US" w:eastAsia="zh-CN" w:bidi="ar-SA"/>
        </w:rPr>
      </w:pPr>
      <w:r>
        <w:rPr>
          <w:rFonts w:hint="eastAsia" w:ascii="宋体" w:hAnsi="宋体" w:eastAsia="宋体" w:cs="Times New Roman"/>
          <w:b w:val="0"/>
          <w:bCs w:val="0"/>
          <w:sz w:val="21"/>
          <w:szCs w:val="21"/>
          <w:highlight w:val="none"/>
          <w:lang w:val="en-US" w:eastAsia="zh-CN" w:bidi="ar-SA"/>
        </w:rPr>
        <w:t>服务期限</w:t>
      </w:r>
      <w:r>
        <w:rPr>
          <w:rFonts w:hint="eastAsia" w:eastAsia="宋体" w:cs="Times New Roman"/>
          <w:b w:val="0"/>
          <w:bCs/>
          <w:sz w:val="21"/>
          <w:szCs w:val="21"/>
          <w:highlight w:val="none"/>
          <w:lang w:val="en-US" w:eastAsia="zh-CN"/>
        </w:rPr>
        <w:t>2年</w:t>
      </w:r>
      <w:r>
        <w:rPr>
          <w:rFonts w:hint="eastAsia" w:ascii="宋体" w:hAnsi="宋体" w:eastAsia="宋体" w:cs="Times New Roman"/>
          <w:b w:val="0"/>
          <w:bCs w:val="0"/>
          <w:sz w:val="21"/>
          <w:szCs w:val="21"/>
          <w:highlight w:val="none"/>
          <w:lang w:val="en-US" w:eastAsia="zh-CN" w:bidi="ar-SA"/>
        </w:rPr>
        <w:t>：</w:t>
      </w:r>
    </w:p>
    <w:p w14:paraId="6F5AE101">
      <w:pPr>
        <w:pStyle w:val="3"/>
        <w:spacing w:before="0" w:after="0" w:line="360" w:lineRule="auto"/>
        <w:ind w:firstLine="422" w:firstLineChars="200"/>
        <w:rPr>
          <w:rFonts w:ascii="宋体" w:hAnsi="宋体" w:eastAsia="宋体" w:cs="Times New Roman"/>
          <w:b/>
          <w:bCs/>
          <w:sz w:val="21"/>
          <w:szCs w:val="21"/>
          <w:highlight w:val="none"/>
          <w:lang w:val="en-US" w:eastAsia="zh-CN" w:bidi="ar-SA"/>
        </w:rPr>
      </w:pPr>
      <w:r>
        <w:rPr>
          <w:rFonts w:ascii="宋体" w:hAnsi="宋体" w:eastAsia="宋体" w:cs="Times New Roman"/>
          <w:b/>
          <w:bCs/>
          <w:sz w:val="21"/>
          <w:szCs w:val="21"/>
          <w:highlight w:val="none"/>
          <w:lang w:val="en-US" w:eastAsia="zh-CN" w:bidi="ar-SA"/>
        </w:rPr>
        <w:t>4.</w:t>
      </w:r>
      <w:r>
        <w:rPr>
          <w:rFonts w:hint="eastAsia" w:ascii="宋体" w:hAnsi="宋体" w:eastAsia="宋体" w:cs="Times New Roman"/>
          <w:b/>
          <w:bCs/>
          <w:sz w:val="21"/>
          <w:szCs w:val="21"/>
          <w:highlight w:val="none"/>
          <w:lang w:val="en-US" w:eastAsia="zh-CN" w:bidi="ar-SA"/>
        </w:rPr>
        <w:t>运维人员要求：</w:t>
      </w:r>
    </w:p>
    <w:p w14:paraId="4D613AEB">
      <w:pPr>
        <w:spacing w:line="360" w:lineRule="auto"/>
        <w:ind w:left="481" w:firstLine="420" w:firstLineChars="200"/>
        <w:rPr>
          <w:rFonts w:ascii="宋体" w:hAnsi="宋体" w:eastAsia="宋体" w:cs="Times New Roman"/>
          <w:b w:val="0"/>
          <w:bCs w:val="0"/>
          <w:sz w:val="21"/>
          <w:szCs w:val="21"/>
          <w:highlight w:val="none"/>
          <w:lang w:val="en-US" w:eastAsia="zh-CN" w:bidi="ar-SA"/>
        </w:rPr>
      </w:pPr>
      <w:r>
        <w:rPr>
          <w:rFonts w:hint="eastAsia" w:ascii="宋体" w:hAnsi="宋体" w:eastAsia="宋体" w:cs="Times New Roman"/>
          <w:b w:val="0"/>
          <w:bCs w:val="0"/>
          <w:sz w:val="21"/>
          <w:szCs w:val="21"/>
          <w:highlight w:val="none"/>
          <w:lang w:val="en-US" w:eastAsia="zh-CN" w:bidi="ar-SA"/>
        </w:rPr>
        <w:t>投标方应承诺满足业主方提供的如下人员配置要求：</w:t>
      </w:r>
    </w:p>
    <w:p w14:paraId="709810E8">
      <w:pPr>
        <w:spacing w:line="360" w:lineRule="auto"/>
        <w:ind w:left="481" w:firstLine="420" w:firstLineChars="200"/>
        <w:rPr>
          <w:rFonts w:ascii="宋体" w:hAnsi="宋体" w:eastAsia="宋体" w:cs="Times New Roman"/>
          <w:b w:val="0"/>
          <w:bCs w:val="0"/>
          <w:sz w:val="21"/>
          <w:szCs w:val="21"/>
          <w:highlight w:val="none"/>
          <w:lang w:val="en-US" w:eastAsia="zh-CN" w:bidi="ar-SA"/>
        </w:rPr>
      </w:pPr>
      <w:r>
        <w:rPr>
          <w:rFonts w:ascii="宋体" w:hAnsi="宋体" w:eastAsia="宋体" w:cs="Times New Roman"/>
          <w:b w:val="0"/>
          <w:bCs w:val="0"/>
          <w:sz w:val="21"/>
          <w:szCs w:val="21"/>
          <w:highlight w:val="none"/>
          <w:lang w:val="en-US" w:eastAsia="zh-CN" w:bidi="ar-SA"/>
        </w:rPr>
        <w:t>(1)至少提供具有</w:t>
      </w:r>
      <w:r>
        <w:rPr>
          <w:rFonts w:hint="eastAsia" w:ascii="宋体" w:hAnsi="宋体" w:eastAsia="宋体" w:cs="Times New Roman"/>
          <w:b w:val="0"/>
          <w:bCs w:val="0"/>
          <w:sz w:val="21"/>
          <w:szCs w:val="21"/>
          <w:highlight w:val="none"/>
          <w:lang w:val="en-US" w:eastAsia="zh-CN" w:bidi="ar-SA"/>
        </w:rPr>
        <w:t>规划</w:t>
      </w:r>
      <w:r>
        <w:rPr>
          <w:rFonts w:ascii="宋体" w:hAnsi="宋体" w:eastAsia="宋体" w:cs="Times New Roman"/>
          <w:b w:val="0"/>
          <w:bCs w:val="0"/>
          <w:sz w:val="21"/>
          <w:szCs w:val="21"/>
          <w:highlight w:val="none"/>
          <w:lang w:val="en-US" w:eastAsia="zh-CN" w:bidi="ar-SA"/>
        </w:rPr>
        <w:t>行业及类似系统运维相关经验的运维工程师1人；</w:t>
      </w:r>
    </w:p>
    <w:p w14:paraId="0F84B079">
      <w:pPr>
        <w:spacing w:line="360" w:lineRule="auto"/>
        <w:ind w:left="481" w:firstLine="420" w:firstLineChars="200"/>
        <w:rPr>
          <w:rFonts w:ascii="宋体" w:hAnsi="宋体" w:eastAsia="宋体" w:cs="Times New Roman"/>
          <w:b w:val="0"/>
          <w:bCs w:val="0"/>
          <w:sz w:val="21"/>
          <w:szCs w:val="21"/>
          <w:highlight w:val="none"/>
          <w:lang w:val="en-US" w:eastAsia="zh-CN" w:bidi="ar-SA"/>
        </w:rPr>
      </w:pPr>
      <w:r>
        <w:rPr>
          <w:rFonts w:ascii="宋体" w:hAnsi="宋体" w:eastAsia="宋体" w:cs="Times New Roman"/>
          <w:b w:val="0"/>
          <w:bCs w:val="0"/>
          <w:sz w:val="21"/>
          <w:szCs w:val="21"/>
          <w:highlight w:val="none"/>
          <w:lang w:val="en-US" w:eastAsia="zh-CN" w:bidi="ar-SA"/>
        </w:rPr>
        <w:t>(2)运维人员能够熟练的运用</w:t>
      </w:r>
      <w:r>
        <w:rPr>
          <w:rFonts w:hint="eastAsia" w:ascii="宋体" w:hAnsi="宋体" w:eastAsia="宋体" w:cs="Times New Roman"/>
          <w:b w:val="0"/>
          <w:bCs w:val="0"/>
          <w:sz w:val="21"/>
          <w:szCs w:val="21"/>
          <w:highlight w:val="none"/>
          <w:lang w:val="en-US" w:eastAsia="zh-CN" w:bidi="ar-SA"/>
        </w:rPr>
        <w:t>规划行业相关软件；</w:t>
      </w:r>
      <w:r>
        <w:rPr>
          <w:rFonts w:ascii="宋体" w:hAnsi="宋体" w:eastAsia="宋体" w:cs="Times New Roman"/>
          <w:b w:val="0"/>
          <w:bCs w:val="0"/>
          <w:sz w:val="21"/>
          <w:szCs w:val="21"/>
          <w:highlight w:val="none"/>
          <w:lang w:val="en-US" w:eastAsia="zh-CN" w:bidi="ar-SA"/>
        </w:rPr>
        <w:t>掌握SQL、db2数据库以及相关工具的使用</w:t>
      </w:r>
      <w:r>
        <w:rPr>
          <w:rFonts w:hint="eastAsia" w:ascii="宋体" w:hAnsi="宋体" w:eastAsia="宋体" w:cs="Times New Roman"/>
          <w:b w:val="0"/>
          <w:bCs w:val="0"/>
          <w:sz w:val="21"/>
          <w:szCs w:val="21"/>
          <w:highlight w:val="none"/>
          <w:lang w:val="en-US" w:eastAsia="zh-CN" w:bidi="ar-SA"/>
        </w:rPr>
        <w:t>；</w:t>
      </w:r>
    </w:p>
    <w:p w14:paraId="1C7FFC7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B53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仿宋_GB2312" w:cs="宋体"/>
      <w:sz w:val="24"/>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cs="Times New Roman"/>
      <w:b/>
      <w:bCs/>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Cambria" w:hAnsi="Cambria" w:eastAsia="宋体" w:cs="Times New Roman"/>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2025-07-23T03:15:26Z</dcterms:created>
  <dc:creator>哈哈</dc:creator>
  <cp:lastModifiedBy>quanquan</cp:lastModifiedBy>
  <dcterms:modified xsi:type="dcterms:W3CDTF">2025-07-23T03:15:32Z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eyJoZGlkIjoiYjk5ODM0YmMxOWJiYWQyNDU4MGIzYWRmYTA0ZmI5NDciLCJ1c2VySWQiOiI2NjA2NTQ0MTkifQ==</vt:lpwstr>
  </property>
  <property fmtid="{D5CDD505-2E9C-101B-9397-08002B2CF9AE}" pid="4" name="ICV">
    <vt:lpwstr>35B964C4A05C42A798C4E98AD377216A_12</vt:lpwstr>
  </property>
</Properties>
</file>