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579"/>
        <w:gridCol w:w="5506"/>
      </w:tblGrid>
      <w:tr w14:paraId="079B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140" w:type="dxa"/>
            <w:gridSpan w:val="3"/>
            <w:tcMar>
              <w:top w:w="0" w:type="dxa"/>
              <w:left w:w="105" w:type="dxa"/>
              <w:bottom w:w="0" w:type="dxa"/>
              <w:right w:w="105" w:type="dxa"/>
            </w:tcMar>
            <w:vAlign w:val="top"/>
          </w:tcPr>
          <w:p w14:paraId="648F5BCA">
            <w:pPr>
              <w:pStyle w:val="4"/>
              <w:jc w:val="center"/>
            </w:pPr>
            <w:r>
              <w:rPr>
                <w:rFonts w:ascii="仿宋_GB2312" w:hAnsi="仿宋_GB2312" w:eastAsia="仿宋_GB2312" w:cs="仿宋_GB2312"/>
                <w:b/>
                <w:sz w:val="21"/>
              </w:rPr>
              <w:t>技术参数</w:t>
            </w:r>
          </w:p>
        </w:tc>
      </w:tr>
      <w:tr w14:paraId="2023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dxa"/>
            <w:tcMar>
              <w:top w:w="0" w:type="dxa"/>
              <w:left w:w="105" w:type="dxa"/>
              <w:bottom w:w="0" w:type="dxa"/>
              <w:right w:w="105" w:type="dxa"/>
            </w:tcMar>
            <w:vAlign w:val="top"/>
          </w:tcPr>
          <w:p w14:paraId="10BE587D">
            <w:pPr>
              <w:pStyle w:val="4"/>
              <w:jc w:val="center"/>
            </w:pPr>
            <w:r>
              <w:rPr>
                <w:rFonts w:ascii="仿宋_GB2312" w:hAnsi="仿宋_GB2312" w:eastAsia="仿宋_GB2312" w:cs="仿宋_GB2312"/>
                <w:b/>
                <w:sz w:val="21"/>
              </w:rPr>
              <w:t>序号</w:t>
            </w:r>
          </w:p>
        </w:tc>
        <w:tc>
          <w:tcPr>
            <w:tcW w:w="1579" w:type="dxa"/>
            <w:tcMar>
              <w:top w:w="0" w:type="dxa"/>
              <w:left w:w="105" w:type="dxa"/>
              <w:bottom w:w="0" w:type="dxa"/>
              <w:right w:w="105" w:type="dxa"/>
            </w:tcMar>
            <w:vAlign w:val="top"/>
          </w:tcPr>
          <w:p w14:paraId="0378F3DA">
            <w:pPr>
              <w:pStyle w:val="4"/>
              <w:jc w:val="center"/>
            </w:pPr>
            <w:r>
              <w:rPr>
                <w:rFonts w:ascii="仿宋_GB2312" w:hAnsi="仿宋_GB2312" w:eastAsia="仿宋_GB2312" w:cs="仿宋_GB2312"/>
                <w:b/>
                <w:sz w:val="21"/>
              </w:rPr>
              <w:t>功能名称</w:t>
            </w:r>
          </w:p>
        </w:tc>
        <w:tc>
          <w:tcPr>
            <w:tcW w:w="5506" w:type="dxa"/>
            <w:tcMar>
              <w:top w:w="0" w:type="dxa"/>
              <w:left w:w="105" w:type="dxa"/>
              <w:bottom w:w="0" w:type="dxa"/>
              <w:right w:w="105" w:type="dxa"/>
            </w:tcMar>
            <w:vAlign w:val="top"/>
          </w:tcPr>
          <w:p w14:paraId="4C5305F3">
            <w:pPr>
              <w:pStyle w:val="4"/>
              <w:jc w:val="center"/>
            </w:pPr>
            <w:r>
              <w:rPr>
                <w:rFonts w:ascii="仿宋_GB2312" w:hAnsi="仿宋_GB2312" w:eastAsia="仿宋_GB2312" w:cs="仿宋_GB2312"/>
                <w:b/>
                <w:sz w:val="21"/>
              </w:rPr>
              <w:t>功能要求</w:t>
            </w:r>
          </w:p>
        </w:tc>
      </w:tr>
      <w:tr w14:paraId="67DC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trPr>
        <w:tc>
          <w:tcPr>
            <w:tcW w:w="1055" w:type="dxa"/>
            <w:tcMar>
              <w:top w:w="0" w:type="dxa"/>
              <w:left w:w="105" w:type="dxa"/>
              <w:bottom w:w="0" w:type="dxa"/>
              <w:right w:w="105" w:type="dxa"/>
            </w:tcMar>
            <w:vAlign w:val="top"/>
          </w:tcPr>
          <w:p w14:paraId="0BDE6CE7">
            <w:pPr>
              <w:pStyle w:val="4"/>
              <w:jc w:val="center"/>
            </w:pPr>
            <w:r>
              <w:rPr>
                <w:rFonts w:ascii="仿宋_GB2312" w:hAnsi="仿宋_GB2312" w:eastAsia="仿宋_GB2312" w:cs="仿宋_GB2312"/>
                <w:sz w:val="21"/>
              </w:rPr>
              <w:t>1</w:t>
            </w:r>
          </w:p>
        </w:tc>
        <w:tc>
          <w:tcPr>
            <w:tcW w:w="1579" w:type="dxa"/>
            <w:tcMar>
              <w:top w:w="0" w:type="dxa"/>
              <w:left w:w="105" w:type="dxa"/>
              <w:bottom w:w="0" w:type="dxa"/>
              <w:right w:w="105" w:type="dxa"/>
            </w:tcMar>
            <w:vAlign w:val="top"/>
          </w:tcPr>
          <w:p w14:paraId="158CA527">
            <w:pPr>
              <w:pStyle w:val="4"/>
              <w:jc w:val="center"/>
            </w:pPr>
            <w:r>
              <w:rPr>
                <w:rFonts w:ascii="仿宋_GB2312" w:hAnsi="仿宋_GB2312" w:eastAsia="仿宋_GB2312" w:cs="仿宋_GB2312"/>
                <w:sz w:val="21"/>
              </w:rPr>
              <w:t>医师档案管理</w:t>
            </w:r>
          </w:p>
        </w:tc>
        <w:tc>
          <w:tcPr>
            <w:tcW w:w="5506" w:type="dxa"/>
            <w:tcMar>
              <w:top w:w="0" w:type="dxa"/>
              <w:left w:w="105" w:type="dxa"/>
              <w:bottom w:w="0" w:type="dxa"/>
              <w:right w:w="105" w:type="dxa"/>
            </w:tcMar>
            <w:vAlign w:val="top"/>
          </w:tcPr>
          <w:p w14:paraId="2752CD5F">
            <w:pPr>
              <w:pStyle w:val="4"/>
              <w:jc w:val="both"/>
            </w:pPr>
            <w:r>
              <w:rPr>
                <w:rFonts w:ascii="仿宋_GB2312" w:hAnsi="仿宋_GB2312" w:eastAsia="仿宋_GB2312" w:cs="仿宋_GB2312"/>
                <w:sz w:val="21"/>
              </w:rPr>
              <w:t>（1）医师档案管理涵盖全院医师基本档案，包括基本信息、获得荣誉情况、培训情况、多点执业、各类证书上传等。新技术申报及新技术获奖情况。</w:t>
            </w:r>
          </w:p>
          <w:p w14:paraId="468029F6">
            <w:pPr>
              <w:pStyle w:val="4"/>
              <w:jc w:val="both"/>
            </w:pPr>
            <w:r>
              <w:rPr>
                <w:rFonts w:ascii="仿宋_GB2312" w:hAnsi="仿宋_GB2312" w:eastAsia="仿宋_GB2312" w:cs="仿宋_GB2312"/>
                <w:sz w:val="21"/>
              </w:rPr>
              <w:t>（2）医师档案管理涵盖各项权限信息，包括药品权限、手术权限、技术权限等。将获得限制类技术资质的信息纳入医师档案库。</w:t>
            </w:r>
          </w:p>
          <w:p w14:paraId="779DDF67">
            <w:pPr>
              <w:pStyle w:val="4"/>
              <w:jc w:val="both"/>
            </w:pPr>
            <w:r>
              <w:rPr>
                <w:rFonts w:ascii="仿宋_GB2312" w:hAnsi="仿宋_GB2312" w:eastAsia="仿宋_GB2312" w:cs="仿宋_GB2312"/>
                <w:sz w:val="21"/>
              </w:rPr>
              <w:t>（3）医师档案管理涵盖医疗执业情况，包括执业奖励、执业违纪等，涉及医疗纠纷例数、违反依法执业次数等。</w:t>
            </w:r>
          </w:p>
          <w:p w14:paraId="2FD83852">
            <w:pPr>
              <w:pStyle w:val="4"/>
              <w:jc w:val="both"/>
            </w:pPr>
            <w:r>
              <w:rPr>
                <w:rFonts w:ascii="仿宋_GB2312" w:hAnsi="仿宋_GB2312" w:eastAsia="仿宋_GB2312" w:cs="仿宋_GB2312"/>
                <w:sz w:val="21"/>
              </w:rPr>
              <w:t>（4）所有医师档案信息实现动态储存和查询功能，可以搜索查看动态变更情况。</w:t>
            </w:r>
          </w:p>
          <w:p w14:paraId="21ECEF78">
            <w:pPr>
              <w:pStyle w:val="4"/>
              <w:jc w:val="both"/>
            </w:pPr>
            <w:r>
              <w:rPr>
                <w:rFonts w:ascii="仿宋_GB2312" w:hAnsi="仿宋_GB2312" w:eastAsia="仿宋_GB2312" w:cs="仿宋_GB2312"/>
                <w:sz w:val="21"/>
              </w:rPr>
              <w:t>（5）可以导入和导出相关信息，以及各类信息的统计功能，有报表。</w:t>
            </w:r>
          </w:p>
          <w:p w14:paraId="26667DB8">
            <w:pPr>
              <w:pStyle w:val="4"/>
              <w:jc w:val="both"/>
            </w:pPr>
            <w:r>
              <w:rPr>
                <w:rFonts w:ascii="仿宋_GB2312" w:hAnsi="仿宋_GB2312" w:eastAsia="仿宋_GB2312" w:cs="仿宋_GB2312"/>
                <w:sz w:val="21"/>
              </w:rPr>
              <w:t>（6）实现医师资质类信息到期提醒功能，资质申请流程状态提示等。</w:t>
            </w:r>
          </w:p>
        </w:tc>
      </w:tr>
      <w:tr w14:paraId="3C41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55" w:type="dxa"/>
            <w:tcMar>
              <w:top w:w="0" w:type="dxa"/>
              <w:left w:w="105" w:type="dxa"/>
              <w:bottom w:w="0" w:type="dxa"/>
              <w:right w:w="105" w:type="dxa"/>
            </w:tcMar>
            <w:vAlign w:val="top"/>
          </w:tcPr>
          <w:p w14:paraId="55B35850">
            <w:pPr>
              <w:pStyle w:val="4"/>
              <w:jc w:val="center"/>
            </w:pPr>
            <w:r>
              <w:rPr>
                <w:rFonts w:ascii="仿宋_GB2312" w:hAnsi="仿宋_GB2312" w:eastAsia="仿宋_GB2312" w:cs="仿宋_GB2312"/>
                <w:sz w:val="21"/>
              </w:rPr>
              <w:t>2</w:t>
            </w:r>
          </w:p>
        </w:tc>
        <w:tc>
          <w:tcPr>
            <w:tcW w:w="1579" w:type="dxa"/>
            <w:tcMar>
              <w:top w:w="0" w:type="dxa"/>
              <w:left w:w="105" w:type="dxa"/>
              <w:bottom w:w="0" w:type="dxa"/>
              <w:right w:w="105" w:type="dxa"/>
            </w:tcMar>
            <w:vAlign w:val="top"/>
          </w:tcPr>
          <w:p w14:paraId="740EFE4C">
            <w:pPr>
              <w:pStyle w:val="4"/>
              <w:jc w:val="center"/>
            </w:pPr>
            <w:r>
              <w:rPr>
                <w:rFonts w:ascii="仿宋_GB2312" w:hAnsi="仿宋_GB2312" w:eastAsia="仿宋_GB2312" w:cs="仿宋_GB2312"/>
                <w:sz w:val="21"/>
              </w:rPr>
              <w:t>处方权审批授权管理</w:t>
            </w:r>
          </w:p>
        </w:tc>
        <w:tc>
          <w:tcPr>
            <w:tcW w:w="5506" w:type="dxa"/>
            <w:tcMar>
              <w:top w:w="0" w:type="dxa"/>
              <w:left w:w="105" w:type="dxa"/>
              <w:bottom w:w="0" w:type="dxa"/>
              <w:right w:w="105" w:type="dxa"/>
            </w:tcMar>
            <w:vAlign w:val="top"/>
          </w:tcPr>
          <w:p w14:paraId="04704DCD">
            <w:pPr>
              <w:pStyle w:val="4"/>
              <w:jc w:val="both"/>
            </w:pPr>
            <w:r>
              <w:rPr>
                <w:rFonts w:ascii="仿宋_GB2312" w:hAnsi="仿宋_GB2312" w:eastAsia="仿宋_GB2312" w:cs="仿宋_GB2312"/>
                <w:sz w:val="21"/>
              </w:rPr>
              <w:t>（1）处方权涵盖普通药物、抗菌药物、麻醉药品及精神药品、医疗用毒性药品、抗肿瘤药物、激素类药物、中成药及中药饮片等，实现分类别药物权限审批授权管理。</w:t>
            </w:r>
          </w:p>
          <w:p w14:paraId="2CBABB24">
            <w:pPr>
              <w:pStyle w:val="4"/>
              <w:jc w:val="both"/>
            </w:pPr>
            <w:r>
              <w:rPr>
                <w:rFonts w:ascii="仿宋_GB2312" w:hAnsi="仿宋_GB2312" w:eastAsia="仿宋_GB2312" w:cs="仿宋_GB2312"/>
                <w:sz w:val="21"/>
              </w:rPr>
              <w:t>（2）实现对全院医师处方权审批授权全流程管理。</w:t>
            </w:r>
          </w:p>
          <w:p w14:paraId="1BCE0EF2">
            <w:pPr>
              <w:pStyle w:val="4"/>
              <w:jc w:val="both"/>
            </w:pPr>
            <w:r>
              <w:rPr>
                <w:rFonts w:ascii="仿宋_GB2312" w:hAnsi="仿宋_GB2312" w:eastAsia="仿宋_GB2312" w:cs="仿宋_GB2312"/>
                <w:sz w:val="21"/>
              </w:rPr>
              <w:t>（3）实现对全院医师处方权审批授权动态管理，包括定期评价与再授权过程。</w:t>
            </w:r>
          </w:p>
          <w:p w14:paraId="0EF47FF8">
            <w:pPr>
              <w:pStyle w:val="4"/>
              <w:jc w:val="both"/>
            </w:pPr>
            <w:r>
              <w:rPr>
                <w:rFonts w:ascii="仿宋_GB2312" w:hAnsi="仿宋_GB2312" w:eastAsia="仿宋_GB2312" w:cs="仿宋_GB2312"/>
                <w:sz w:val="21"/>
              </w:rPr>
              <w:t>（4）实现医师处方权申请表单，申请时医师可填写基本信息（包括姓名、性别、科室、工号、身份证号、执业证号等）、申请权限信息（处方权类型）、相关佐证材料（包括医师资格证、执业证、职称证等）上传、部门审批等内容。同时实现佐证材料与基本信息中相应信息的符合程度审核，并提示不符合，无法提交功能（例：基本信息中填写执业证号为61235，但佐证材料上的执业证号为61234，提示信息填写有误，无法提交）。</w:t>
            </w:r>
          </w:p>
          <w:p w14:paraId="083DEFF3">
            <w:pPr>
              <w:pStyle w:val="4"/>
              <w:jc w:val="both"/>
            </w:pPr>
            <w:r>
              <w:rPr>
                <w:rFonts w:ascii="仿宋_GB2312" w:hAnsi="仿宋_GB2312" w:eastAsia="仿宋_GB2312" w:cs="仿宋_GB2312"/>
                <w:sz w:val="21"/>
              </w:rPr>
              <w:t>（5）实现医师处方权申请提交后流程自动送达至相关审核人员，并有督促提醒功能。</w:t>
            </w:r>
          </w:p>
          <w:p w14:paraId="28533D01">
            <w:pPr>
              <w:pStyle w:val="4"/>
              <w:jc w:val="both"/>
            </w:pPr>
            <w:r>
              <w:rPr>
                <w:rFonts w:ascii="仿宋_GB2312" w:hAnsi="仿宋_GB2312" w:eastAsia="仿宋_GB2312" w:cs="仿宋_GB2312"/>
                <w:sz w:val="21"/>
              </w:rPr>
              <w:t>（6）有处方权限考试功能，并且将考试结果关联至处方权申请表中。</w:t>
            </w:r>
          </w:p>
          <w:p w14:paraId="74B42249">
            <w:pPr>
              <w:pStyle w:val="4"/>
              <w:jc w:val="both"/>
            </w:pPr>
            <w:r>
              <w:rPr>
                <w:rFonts w:ascii="仿宋_GB2312" w:hAnsi="仿宋_GB2312" w:eastAsia="仿宋_GB2312" w:cs="仿宋_GB2312"/>
                <w:sz w:val="21"/>
              </w:rPr>
              <w:t>（7）实现医师处方权审批后，关联至HIS系统可开通或限制医师处方权，限制后医师无法越级开出相应处方。且住院处方权与门诊处方权权限分开。</w:t>
            </w:r>
          </w:p>
          <w:p w14:paraId="08C60288">
            <w:pPr>
              <w:pStyle w:val="4"/>
              <w:jc w:val="both"/>
            </w:pPr>
            <w:r>
              <w:rPr>
                <w:rFonts w:ascii="仿宋_GB2312" w:hAnsi="仿宋_GB2312" w:eastAsia="仿宋_GB2312" w:cs="仿宋_GB2312"/>
                <w:sz w:val="21"/>
              </w:rPr>
              <w:t>（8）实现医师处方权通过后，在处方权申请表中的医师签名可以上传至HIS系统中。</w:t>
            </w:r>
          </w:p>
          <w:p w14:paraId="01524114">
            <w:pPr>
              <w:pStyle w:val="4"/>
              <w:jc w:val="both"/>
            </w:pPr>
            <w:r>
              <w:rPr>
                <w:rFonts w:ascii="仿宋_GB2312" w:hAnsi="仿宋_GB2312" w:eastAsia="仿宋_GB2312" w:cs="仿宋_GB2312"/>
                <w:sz w:val="21"/>
              </w:rPr>
              <w:t>（9）实现医师处方权申请流程查看、个人申请信息查看等功能。</w:t>
            </w:r>
          </w:p>
          <w:p w14:paraId="724BB754">
            <w:pPr>
              <w:pStyle w:val="4"/>
              <w:jc w:val="both"/>
            </w:pPr>
            <w:r>
              <w:rPr>
                <w:rFonts w:ascii="仿宋_GB2312" w:hAnsi="仿宋_GB2312" w:eastAsia="仿宋_GB2312" w:cs="仿宋_GB2312"/>
                <w:sz w:val="21"/>
              </w:rPr>
              <w:t>（10）实现医师处方权审批情况、医师处方权获取情况统计功能，有报表。能打印及预览医师个人申请的处方权审批表。</w:t>
            </w:r>
          </w:p>
          <w:p w14:paraId="5F1F079D">
            <w:pPr>
              <w:pStyle w:val="4"/>
              <w:jc w:val="both"/>
            </w:pPr>
            <w:r>
              <w:rPr>
                <w:rFonts w:ascii="仿宋_GB2312" w:hAnsi="仿宋_GB2312" w:eastAsia="仿宋_GB2312" w:cs="仿宋_GB2312"/>
                <w:sz w:val="21"/>
              </w:rPr>
              <w:t>（11）实现每次医师处方权申请能查询到记录，以及职能部门审批过程，动态的记录。</w:t>
            </w:r>
          </w:p>
        </w:tc>
      </w:tr>
      <w:tr w14:paraId="251E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055" w:type="dxa"/>
            <w:tcMar>
              <w:top w:w="0" w:type="dxa"/>
              <w:left w:w="105" w:type="dxa"/>
              <w:bottom w:w="0" w:type="dxa"/>
              <w:right w:w="105" w:type="dxa"/>
            </w:tcMar>
            <w:vAlign w:val="top"/>
          </w:tcPr>
          <w:p w14:paraId="391B3D5F">
            <w:pPr>
              <w:pStyle w:val="4"/>
              <w:jc w:val="center"/>
            </w:pPr>
            <w:r>
              <w:rPr>
                <w:rFonts w:ascii="仿宋_GB2312" w:hAnsi="仿宋_GB2312" w:eastAsia="仿宋_GB2312" w:cs="仿宋_GB2312"/>
                <w:sz w:val="21"/>
              </w:rPr>
              <w:t>3</w:t>
            </w:r>
          </w:p>
        </w:tc>
        <w:tc>
          <w:tcPr>
            <w:tcW w:w="1579" w:type="dxa"/>
            <w:tcMar>
              <w:top w:w="0" w:type="dxa"/>
              <w:left w:w="105" w:type="dxa"/>
              <w:bottom w:w="0" w:type="dxa"/>
              <w:right w:w="105" w:type="dxa"/>
            </w:tcMar>
            <w:vAlign w:val="top"/>
          </w:tcPr>
          <w:p w14:paraId="77E460A3">
            <w:pPr>
              <w:pStyle w:val="4"/>
              <w:jc w:val="center"/>
            </w:pPr>
            <w:r>
              <w:rPr>
                <w:rFonts w:ascii="仿宋_GB2312" w:hAnsi="仿宋_GB2312" w:eastAsia="仿宋_GB2312" w:cs="仿宋_GB2312"/>
                <w:sz w:val="21"/>
              </w:rPr>
              <w:t>放射审批授权管理</w:t>
            </w:r>
          </w:p>
        </w:tc>
        <w:tc>
          <w:tcPr>
            <w:tcW w:w="5506" w:type="dxa"/>
            <w:tcMar>
              <w:top w:w="0" w:type="dxa"/>
              <w:left w:w="105" w:type="dxa"/>
              <w:bottom w:w="0" w:type="dxa"/>
              <w:right w:w="105" w:type="dxa"/>
            </w:tcMar>
            <w:vAlign w:val="top"/>
          </w:tcPr>
          <w:p w14:paraId="7BBE5303">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lang w:eastAsia="zh-CN"/>
              </w:rPr>
              <w:t>）</w:t>
            </w:r>
            <w:r>
              <w:rPr>
                <w:rFonts w:ascii="仿宋_GB2312" w:hAnsi="仿宋_GB2312" w:eastAsia="仿宋_GB2312" w:cs="仿宋_GB2312"/>
                <w:sz w:val="21"/>
              </w:rPr>
              <w:t>实现放射人员档案，包括培训、个人剂量监测、体检情况及放射证件情况。</w:t>
            </w:r>
          </w:p>
          <w:p w14:paraId="22340365">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lang w:eastAsia="zh-CN"/>
              </w:rPr>
              <w:t>）</w:t>
            </w:r>
            <w:r>
              <w:rPr>
                <w:rFonts w:ascii="仿宋_GB2312" w:hAnsi="仿宋_GB2312" w:eastAsia="仿宋_GB2312" w:cs="仿宋_GB2312"/>
                <w:sz w:val="21"/>
              </w:rPr>
              <w:t>实现放射人员审批授权，同处方权，有申请表及考核，有签名，可查看流程、实现信息统计。</w:t>
            </w:r>
          </w:p>
          <w:p w14:paraId="6BF0DD3D">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lang w:eastAsia="zh-CN"/>
              </w:rPr>
              <w:t>）</w:t>
            </w:r>
            <w:r>
              <w:rPr>
                <w:rFonts w:ascii="仿宋_GB2312" w:hAnsi="仿宋_GB2312" w:eastAsia="仿宋_GB2312" w:cs="仿宋_GB2312"/>
                <w:sz w:val="21"/>
              </w:rPr>
              <w:t>实现放射人员动态评估，和医院系统关联，了解是否有放射诊疗不规范情况，动态授权，能查到动态授权记录。</w:t>
            </w:r>
          </w:p>
        </w:tc>
      </w:tr>
      <w:tr w14:paraId="1886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055" w:type="dxa"/>
            <w:tcMar>
              <w:top w:w="0" w:type="dxa"/>
              <w:left w:w="105" w:type="dxa"/>
              <w:bottom w:w="0" w:type="dxa"/>
              <w:right w:w="105" w:type="dxa"/>
            </w:tcMar>
            <w:vAlign w:val="top"/>
          </w:tcPr>
          <w:p w14:paraId="077F334E">
            <w:pPr>
              <w:pStyle w:val="4"/>
              <w:jc w:val="center"/>
            </w:pPr>
            <w:r>
              <w:rPr>
                <w:rFonts w:ascii="仿宋_GB2312" w:hAnsi="仿宋_GB2312" w:eastAsia="仿宋_GB2312" w:cs="仿宋_GB2312"/>
                <w:sz w:val="21"/>
              </w:rPr>
              <w:t>4</w:t>
            </w:r>
          </w:p>
        </w:tc>
        <w:tc>
          <w:tcPr>
            <w:tcW w:w="1579" w:type="dxa"/>
            <w:tcMar>
              <w:top w:w="0" w:type="dxa"/>
              <w:left w:w="105" w:type="dxa"/>
              <w:bottom w:w="0" w:type="dxa"/>
              <w:right w:w="105" w:type="dxa"/>
            </w:tcMar>
            <w:vAlign w:val="top"/>
          </w:tcPr>
          <w:p w14:paraId="14C6E95A">
            <w:pPr>
              <w:pStyle w:val="4"/>
              <w:jc w:val="center"/>
            </w:pPr>
            <w:r>
              <w:rPr>
                <w:rFonts w:ascii="仿宋_GB2312" w:hAnsi="仿宋_GB2312" w:eastAsia="仿宋_GB2312" w:cs="仿宋_GB2312"/>
                <w:sz w:val="21"/>
              </w:rPr>
              <w:t>新技术新项目管理</w:t>
            </w:r>
          </w:p>
        </w:tc>
        <w:tc>
          <w:tcPr>
            <w:tcW w:w="5506" w:type="dxa"/>
            <w:tcMar>
              <w:top w:w="0" w:type="dxa"/>
              <w:left w:w="105" w:type="dxa"/>
              <w:bottom w:w="0" w:type="dxa"/>
              <w:right w:w="105" w:type="dxa"/>
            </w:tcMar>
            <w:vAlign w:val="top"/>
          </w:tcPr>
          <w:p w14:paraId="5ABA4540">
            <w:pPr>
              <w:pStyle w:val="4"/>
              <w:jc w:val="both"/>
            </w:pPr>
            <w:r>
              <w:rPr>
                <w:rFonts w:ascii="仿宋_GB2312" w:hAnsi="仿宋_GB2312" w:eastAsia="仿宋_GB2312" w:cs="仿宋_GB2312"/>
                <w:sz w:val="21"/>
              </w:rPr>
              <w:t>需要包含资料库、项目申请、审核审批、评价监测、统计分析、转常规审批等模块。具体功能要求：</w:t>
            </w:r>
          </w:p>
          <w:p w14:paraId="67915B33">
            <w:pPr>
              <w:pStyle w:val="4"/>
              <w:jc w:val="both"/>
            </w:pPr>
            <w:r>
              <w:rPr>
                <w:rFonts w:ascii="仿宋_GB2312" w:hAnsi="仿宋_GB2312" w:eastAsia="仿宋_GB2312" w:cs="仿宋_GB2312"/>
                <w:sz w:val="21"/>
              </w:rPr>
              <w:t>（1）资料库：包括制度公示，既往批准开展项目清单、获奖项目清单、申报资料等。</w:t>
            </w:r>
          </w:p>
          <w:p w14:paraId="5ED7C1D2">
            <w:pPr>
              <w:pStyle w:val="4"/>
              <w:jc w:val="both"/>
            </w:pPr>
            <w:r>
              <w:rPr>
                <w:rFonts w:ascii="仿宋_GB2312" w:hAnsi="仿宋_GB2312" w:eastAsia="仿宋_GB2312" w:cs="仿宋_GB2312"/>
                <w:sz w:val="21"/>
              </w:rPr>
              <w:t>（2）项目申请：建立申请表单，能自动上传项目组人员基础信息。</w:t>
            </w:r>
          </w:p>
          <w:p w14:paraId="45AFD5DD">
            <w:pPr>
              <w:pStyle w:val="4"/>
              <w:jc w:val="both"/>
            </w:pPr>
            <w:r>
              <w:rPr>
                <w:rFonts w:ascii="仿宋_GB2312" w:hAnsi="仿宋_GB2312" w:eastAsia="仿宋_GB2312" w:cs="仿宋_GB2312"/>
                <w:sz w:val="21"/>
              </w:rPr>
              <w:t>（3）审核审批：按照医院制度流程，在不同审批环节将审批表发送给相应审核人员。在院技术管理委员会、伦理委员会等审批环节能够实现设置通过数量等审批规则。同时审批流程要实现申请人撤销、修改、管理员退回或终止等功能。</w:t>
            </w:r>
          </w:p>
          <w:p w14:paraId="29F4F542">
            <w:pPr>
              <w:pStyle w:val="4"/>
              <w:jc w:val="both"/>
            </w:pPr>
            <w:r>
              <w:rPr>
                <w:rFonts w:ascii="仿宋_GB2312" w:hAnsi="仿宋_GB2312" w:eastAsia="仿宋_GB2312" w:cs="仿宋_GB2312"/>
                <w:sz w:val="21"/>
              </w:rPr>
              <w:t>（4）评价监测：实现新技术新项目开展情况动态评估，和医院系统关联，抓取患者基本信息、诊断、技术施行日期、并发症、不良事件、患者治疗结局等开展效果。</w:t>
            </w:r>
          </w:p>
          <w:p w14:paraId="4E5FFC0E">
            <w:pPr>
              <w:pStyle w:val="4"/>
              <w:jc w:val="both"/>
            </w:pPr>
            <w:r>
              <w:rPr>
                <w:rFonts w:ascii="仿宋_GB2312" w:hAnsi="仿宋_GB2312" w:eastAsia="仿宋_GB2312" w:cs="仿宋_GB2312"/>
                <w:sz w:val="21"/>
              </w:rPr>
              <w:t>（5）统计分析：统计所有项目开展例数并能自动生成技术开展情况分析图标，内容包含开展数量、同比、环比、趋势、并发症及不良事件发生情况等。</w:t>
            </w:r>
          </w:p>
          <w:p w14:paraId="06926B0B">
            <w:pPr>
              <w:pStyle w:val="4"/>
              <w:jc w:val="both"/>
            </w:pPr>
            <w:r>
              <w:rPr>
                <w:rFonts w:ascii="仿宋_GB2312" w:hAnsi="仿宋_GB2312" w:eastAsia="仿宋_GB2312" w:cs="仿宋_GB2312"/>
                <w:sz w:val="21"/>
              </w:rPr>
              <w:t>（6）转常规审批：实现项目负责人或职能部门管理员发起转常规流程，按照医院制度流程发送给相应审核人员。</w:t>
            </w:r>
          </w:p>
        </w:tc>
      </w:tr>
      <w:tr w14:paraId="4518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55" w:type="dxa"/>
            <w:tcMar>
              <w:top w:w="0" w:type="dxa"/>
              <w:left w:w="105" w:type="dxa"/>
              <w:bottom w:w="0" w:type="dxa"/>
              <w:right w:w="105" w:type="dxa"/>
            </w:tcMar>
            <w:vAlign w:val="top"/>
          </w:tcPr>
          <w:p w14:paraId="30A60397">
            <w:pPr>
              <w:pStyle w:val="4"/>
              <w:jc w:val="center"/>
            </w:pPr>
            <w:r>
              <w:rPr>
                <w:rFonts w:ascii="仿宋_GB2312" w:hAnsi="仿宋_GB2312" w:eastAsia="仿宋_GB2312" w:cs="仿宋_GB2312"/>
                <w:sz w:val="21"/>
              </w:rPr>
              <w:t>5</w:t>
            </w:r>
          </w:p>
        </w:tc>
        <w:tc>
          <w:tcPr>
            <w:tcW w:w="1579" w:type="dxa"/>
            <w:tcMar>
              <w:top w:w="0" w:type="dxa"/>
              <w:left w:w="105" w:type="dxa"/>
              <w:bottom w:w="0" w:type="dxa"/>
              <w:right w:w="105" w:type="dxa"/>
            </w:tcMar>
            <w:vAlign w:val="top"/>
          </w:tcPr>
          <w:p w14:paraId="16079F48">
            <w:pPr>
              <w:pStyle w:val="4"/>
              <w:jc w:val="center"/>
            </w:pPr>
            <w:r>
              <w:rPr>
                <w:rFonts w:ascii="仿宋_GB2312" w:hAnsi="仿宋_GB2312" w:eastAsia="仿宋_GB2312" w:cs="仿宋_GB2312"/>
                <w:sz w:val="21"/>
              </w:rPr>
              <w:t>限制类技术管理系统</w:t>
            </w:r>
          </w:p>
        </w:tc>
        <w:tc>
          <w:tcPr>
            <w:tcW w:w="5506" w:type="dxa"/>
            <w:tcMar>
              <w:top w:w="0" w:type="dxa"/>
              <w:left w:w="105" w:type="dxa"/>
              <w:bottom w:w="0" w:type="dxa"/>
              <w:right w:w="105" w:type="dxa"/>
            </w:tcMar>
            <w:vAlign w:val="top"/>
          </w:tcPr>
          <w:p w14:paraId="13F3C94E">
            <w:pPr>
              <w:pStyle w:val="4"/>
              <w:jc w:val="both"/>
            </w:pPr>
            <w:r>
              <w:rPr>
                <w:rFonts w:ascii="仿宋_GB2312" w:hAnsi="仿宋_GB2312" w:eastAsia="仿宋_GB2312" w:cs="仿宋_GB2312"/>
                <w:sz w:val="21"/>
              </w:rPr>
              <w:t>需要包含资料库、项目申请、审核审批、评价监测、统计分析、人员资质审批等模块。具体功能要求：</w:t>
            </w:r>
          </w:p>
          <w:p w14:paraId="17B435E1">
            <w:pPr>
              <w:pStyle w:val="4"/>
              <w:jc w:val="both"/>
            </w:pPr>
            <w:r>
              <w:rPr>
                <w:rFonts w:ascii="仿宋_GB2312" w:hAnsi="仿宋_GB2312" w:eastAsia="仿宋_GB2312" w:cs="仿宋_GB2312"/>
                <w:sz w:val="21"/>
              </w:rPr>
              <w:t>（1）资料库：包括制度公示，开展项目清单、国家及省级规范等。</w:t>
            </w:r>
          </w:p>
          <w:p w14:paraId="1B4CFBFF">
            <w:pPr>
              <w:pStyle w:val="4"/>
              <w:jc w:val="both"/>
            </w:pPr>
            <w:r>
              <w:rPr>
                <w:rFonts w:ascii="仿宋_GB2312" w:hAnsi="仿宋_GB2312" w:eastAsia="仿宋_GB2312" w:cs="仿宋_GB2312"/>
                <w:sz w:val="21"/>
              </w:rPr>
              <w:t>（2）项目申请：建立申请表单，能自动上传项目组人员基础信息。</w:t>
            </w:r>
          </w:p>
          <w:p w14:paraId="157E949C">
            <w:pPr>
              <w:pStyle w:val="4"/>
              <w:jc w:val="both"/>
            </w:pPr>
            <w:r>
              <w:rPr>
                <w:rFonts w:ascii="仿宋_GB2312" w:hAnsi="仿宋_GB2312" w:eastAsia="仿宋_GB2312" w:cs="仿宋_GB2312"/>
                <w:sz w:val="21"/>
              </w:rPr>
              <w:t>（3）审核审批：按照医院制度流程，在不同审批环节将审批表发送给相应审核人员。在院技术管理委员会、伦理委员会等审批环节能够实现设置通过数量等审批规则。同时审批流程要实现申请人撤销、修改、管理员退回或终止等功能。</w:t>
            </w:r>
          </w:p>
          <w:p w14:paraId="4BBDFCF9">
            <w:pPr>
              <w:pStyle w:val="4"/>
              <w:jc w:val="both"/>
            </w:pPr>
            <w:r>
              <w:rPr>
                <w:rFonts w:ascii="仿宋_GB2312" w:hAnsi="仿宋_GB2312" w:eastAsia="仿宋_GB2312" w:cs="仿宋_GB2312"/>
                <w:sz w:val="21"/>
              </w:rPr>
              <w:t>（4）评价监测：实现技术开展情况动态评估，和医院系统关联，抓取患者基本信息、诊断、技术施行日期、并发症、不良事件、患者治疗结局等开展效果。</w:t>
            </w:r>
          </w:p>
          <w:p w14:paraId="3B8FF7A9">
            <w:pPr>
              <w:pStyle w:val="4"/>
              <w:jc w:val="both"/>
            </w:pPr>
            <w:r>
              <w:rPr>
                <w:rFonts w:ascii="仿宋_GB2312" w:hAnsi="仿宋_GB2312" w:eastAsia="仿宋_GB2312" w:cs="仿宋_GB2312"/>
                <w:sz w:val="21"/>
              </w:rPr>
              <w:t>（5）统计分析：统计所有技术开展例数并能自动生成技术开展情况分析图标，内容包含开展数量、同比、环比、趋势、并发症及不良事件发生情况等。</w:t>
            </w:r>
          </w:p>
          <w:p w14:paraId="4FC3A6AC">
            <w:pPr>
              <w:pStyle w:val="4"/>
              <w:jc w:val="both"/>
            </w:pPr>
            <w:r>
              <w:rPr>
                <w:rFonts w:ascii="仿宋_GB2312" w:hAnsi="仿宋_GB2312" w:eastAsia="仿宋_GB2312" w:cs="仿宋_GB2312"/>
                <w:sz w:val="21"/>
              </w:rPr>
              <w:t>（6）人员资质审批：建立资质审批表，按照医院流程发送给相应审核人员。</w:t>
            </w:r>
          </w:p>
        </w:tc>
      </w:tr>
      <w:tr w14:paraId="078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55" w:type="dxa"/>
            <w:tcMar>
              <w:top w:w="0" w:type="dxa"/>
              <w:left w:w="105" w:type="dxa"/>
              <w:bottom w:w="0" w:type="dxa"/>
              <w:right w:w="105" w:type="dxa"/>
            </w:tcMar>
            <w:vAlign w:val="top"/>
          </w:tcPr>
          <w:p w14:paraId="3992E7B5">
            <w:pPr>
              <w:pStyle w:val="4"/>
              <w:jc w:val="center"/>
            </w:pPr>
            <w:r>
              <w:rPr>
                <w:rFonts w:ascii="仿宋_GB2312" w:hAnsi="仿宋_GB2312" w:eastAsia="仿宋_GB2312" w:cs="仿宋_GB2312"/>
                <w:sz w:val="21"/>
              </w:rPr>
              <w:t>6</w:t>
            </w:r>
          </w:p>
        </w:tc>
        <w:tc>
          <w:tcPr>
            <w:tcW w:w="1579" w:type="dxa"/>
            <w:tcMar>
              <w:top w:w="0" w:type="dxa"/>
              <w:left w:w="105" w:type="dxa"/>
              <w:bottom w:w="0" w:type="dxa"/>
              <w:right w:w="105" w:type="dxa"/>
            </w:tcMar>
            <w:vAlign w:val="top"/>
          </w:tcPr>
          <w:p w14:paraId="5CE6A7A5">
            <w:pPr>
              <w:pStyle w:val="4"/>
              <w:jc w:val="center"/>
            </w:pPr>
            <w:r>
              <w:rPr>
                <w:rFonts w:ascii="仿宋_GB2312" w:hAnsi="仿宋_GB2312" w:eastAsia="仿宋_GB2312" w:cs="仿宋_GB2312"/>
                <w:sz w:val="21"/>
              </w:rPr>
              <w:t>手术资质管理</w:t>
            </w:r>
          </w:p>
        </w:tc>
        <w:tc>
          <w:tcPr>
            <w:tcW w:w="5506" w:type="dxa"/>
            <w:tcMar>
              <w:top w:w="0" w:type="dxa"/>
              <w:left w:w="105" w:type="dxa"/>
              <w:bottom w:w="0" w:type="dxa"/>
              <w:right w:w="105" w:type="dxa"/>
            </w:tcMar>
            <w:vAlign w:val="top"/>
          </w:tcPr>
          <w:p w14:paraId="0D366198">
            <w:pPr>
              <w:pStyle w:val="4"/>
              <w:jc w:val="both"/>
            </w:pPr>
            <w:r>
              <w:rPr>
                <w:rFonts w:ascii="仿宋_GB2312" w:hAnsi="仿宋_GB2312" w:eastAsia="仿宋_GB2312" w:cs="仿宋_GB2312"/>
                <w:sz w:val="21"/>
              </w:rPr>
              <w:t>（1）支持维护、修改、更新手术目录，每次手术目录的更改都留有相应的操作记录。</w:t>
            </w:r>
          </w:p>
          <w:p w14:paraId="0964C90C">
            <w:pPr>
              <w:pStyle w:val="4"/>
              <w:jc w:val="both"/>
            </w:pPr>
            <w:r>
              <w:rPr>
                <w:rFonts w:ascii="仿宋_GB2312" w:hAnsi="仿宋_GB2312" w:eastAsia="仿宋_GB2312" w:cs="仿宋_GB2312"/>
                <w:sz w:val="21"/>
              </w:rPr>
              <w:t>（2）支持管理院内所有的手术权限，可对已授权的手术权限进行暂停、取消等操作；对接病案系统后获得包括该手术权限申请人作为主刀和一助开展该手术的例数信息。</w:t>
            </w:r>
          </w:p>
          <w:p w14:paraId="502DF148">
            <w:pPr>
              <w:pStyle w:val="4"/>
              <w:jc w:val="both"/>
            </w:pPr>
            <w:r>
              <w:rPr>
                <w:rFonts w:ascii="仿宋_GB2312" w:hAnsi="仿宋_GB2312" w:eastAsia="仿宋_GB2312" w:cs="仿宋_GB2312"/>
                <w:sz w:val="21"/>
              </w:rPr>
              <w:t>（3）支持医师按手术级别申请手术权限，要求手术权限申请具体到手术级别和手术名称。</w:t>
            </w:r>
          </w:p>
          <w:p w14:paraId="3A72F8D1">
            <w:pPr>
              <w:pStyle w:val="4"/>
              <w:jc w:val="both"/>
            </w:pPr>
            <w:r>
              <w:rPr>
                <w:rFonts w:ascii="仿宋_GB2312" w:hAnsi="仿宋_GB2312" w:eastAsia="仿宋_GB2312" w:cs="仿宋_GB2312"/>
                <w:sz w:val="21"/>
              </w:rPr>
              <w:t>（4）支持实现对全院医师手术审批授权全流程管理，按照医院制度流程，实现手术审批不同环节的相应人员审批。审批流程可实现撤销、修改、退回或终止等功能。</w:t>
            </w:r>
          </w:p>
          <w:p w14:paraId="4E4EE3BA">
            <w:pPr>
              <w:pStyle w:val="4"/>
              <w:jc w:val="both"/>
            </w:pPr>
            <w:r>
              <w:rPr>
                <w:rFonts w:ascii="仿宋_GB2312" w:hAnsi="仿宋_GB2312" w:eastAsia="仿宋_GB2312" w:cs="仿宋_GB2312"/>
                <w:sz w:val="21"/>
              </w:rPr>
              <w:t>（5）支持多维度（手术医师、医务部）查看查询手术医师手术开展情况及已具备的手术权限，显示手术授权审批的时间记录；</w:t>
            </w:r>
          </w:p>
          <w:p w14:paraId="6AB76805">
            <w:pPr>
              <w:pStyle w:val="4"/>
              <w:jc w:val="both"/>
            </w:pPr>
            <w:r>
              <w:rPr>
                <w:rFonts w:ascii="仿宋_GB2312" w:hAnsi="仿宋_GB2312" w:eastAsia="仿宋_GB2312" w:cs="仿宋_GB2312"/>
                <w:sz w:val="21"/>
              </w:rPr>
              <w:t>（6）支持对手术医师不同级别手术能力的定期评价与动态授权，实现查看手术违规记录、动态更新手术医师的手术权限。</w:t>
            </w:r>
          </w:p>
          <w:p w14:paraId="003FC1DE">
            <w:pPr>
              <w:pStyle w:val="4"/>
              <w:jc w:val="both"/>
            </w:pPr>
            <w:r>
              <w:rPr>
                <w:rFonts w:ascii="仿宋_GB2312" w:hAnsi="仿宋_GB2312" w:eastAsia="仿宋_GB2312" w:cs="仿宋_GB2312"/>
                <w:sz w:val="21"/>
              </w:rPr>
              <w:t>（7）支持手术权限与HIS系统关联，医生不能超权限开展未经授权的手术。</w:t>
            </w:r>
          </w:p>
          <w:p w14:paraId="3A01E66B">
            <w:pPr>
              <w:pStyle w:val="4"/>
              <w:jc w:val="both"/>
            </w:pPr>
            <w:r>
              <w:rPr>
                <w:rFonts w:ascii="仿宋_GB2312" w:hAnsi="仿宋_GB2312" w:eastAsia="仿宋_GB2312" w:cs="仿宋_GB2312"/>
                <w:sz w:val="21"/>
              </w:rPr>
              <w:t>（8）支持统计手术医师各项手术能力的评价，能自动生成手术开展情况分析图标。</w:t>
            </w:r>
          </w:p>
          <w:p w14:paraId="22B0FCC6">
            <w:pPr>
              <w:pStyle w:val="4"/>
              <w:jc w:val="both"/>
            </w:pPr>
            <w:r>
              <w:rPr>
                <w:rFonts w:ascii="仿宋_GB2312" w:hAnsi="仿宋_GB2312" w:eastAsia="仿宋_GB2312" w:cs="仿宋_GB2312"/>
                <w:sz w:val="21"/>
              </w:rPr>
              <w:t>（9）支持提示医生对符合非计划二次手术患者进行按照医院管理流程进行审批上报。</w:t>
            </w:r>
          </w:p>
        </w:tc>
      </w:tr>
      <w:tr w14:paraId="3804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3" w:hRule="atLeast"/>
        </w:trPr>
        <w:tc>
          <w:tcPr>
            <w:tcW w:w="1055" w:type="dxa"/>
            <w:tcMar>
              <w:top w:w="0" w:type="dxa"/>
              <w:left w:w="105" w:type="dxa"/>
              <w:bottom w:w="0" w:type="dxa"/>
              <w:right w:w="105" w:type="dxa"/>
            </w:tcMar>
            <w:vAlign w:val="top"/>
          </w:tcPr>
          <w:p w14:paraId="6F7B4195">
            <w:pPr>
              <w:pStyle w:val="4"/>
              <w:jc w:val="center"/>
            </w:pPr>
            <w:r>
              <w:rPr>
                <w:rFonts w:ascii="仿宋_GB2312" w:hAnsi="仿宋_GB2312" w:eastAsia="仿宋_GB2312" w:cs="仿宋_GB2312"/>
                <w:sz w:val="21"/>
              </w:rPr>
              <w:t>7</w:t>
            </w:r>
          </w:p>
        </w:tc>
        <w:tc>
          <w:tcPr>
            <w:tcW w:w="1579" w:type="dxa"/>
            <w:tcMar>
              <w:top w:w="0" w:type="dxa"/>
              <w:left w:w="105" w:type="dxa"/>
              <w:bottom w:w="0" w:type="dxa"/>
              <w:right w:w="105" w:type="dxa"/>
            </w:tcMar>
            <w:vAlign w:val="top"/>
          </w:tcPr>
          <w:p w14:paraId="4358458C">
            <w:pPr>
              <w:pStyle w:val="4"/>
              <w:jc w:val="center"/>
            </w:pPr>
            <w:r>
              <w:rPr>
                <w:rFonts w:ascii="仿宋_GB2312" w:hAnsi="仿宋_GB2312" w:eastAsia="仿宋_GB2312" w:cs="仿宋_GB2312"/>
                <w:sz w:val="21"/>
              </w:rPr>
              <w:t>会诊管理</w:t>
            </w:r>
          </w:p>
        </w:tc>
        <w:tc>
          <w:tcPr>
            <w:tcW w:w="5506" w:type="dxa"/>
            <w:tcMar>
              <w:top w:w="0" w:type="dxa"/>
              <w:left w:w="105" w:type="dxa"/>
              <w:bottom w:w="0" w:type="dxa"/>
              <w:right w:w="105" w:type="dxa"/>
            </w:tcMar>
            <w:vAlign w:val="top"/>
          </w:tcPr>
          <w:p w14:paraId="2B0BF51C">
            <w:pPr>
              <w:pStyle w:val="4"/>
              <w:jc w:val="both"/>
            </w:pPr>
            <w:r>
              <w:rPr>
                <w:rFonts w:ascii="仿宋_GB2312" w:hAnsi="仿宋_GB2312" w:eastAsia="仿宋_GB2312" w:cs="仿宋_GB2312"/>
                <w:sz w:val="21"/>
              </w:rPr>
              <w:t>（1）会诊管理模块应包含普通会诊、急诊会、邀请院外会诊、门诊多学科会诊、住院多学科会诊。</w:t>
            </w:r>
          </w:p>
          <w:p w14:paraId="495AFE5F">
            <w:pPr>
              <w:pStyle w:val="4"/>
              <w:jc w:val="both"/>
            </w:pPr>
            <w:r>
              <w:rPr>
                <w:rFonts w:ascii="仿宋_GB2312" w:hAnsi="仿宋_GB2312" w:eastAsia="仿宋_GB2312" w:cs="仿宋_GB2312"/>
                <w:sz w:val="21"/>
              </w:rPr>
              <w:t>（2）支持会诊审批，临床医师发起，科主任审核，职能管理部门审批，根据医院实际工作可增加或减少审批节点，支持多人审评。</w:t>
            </w:r>
          </w:p>
          <w:p w14:paraId="3942DF33">
            <w:pPr>
              <w:pStyle w:val="4"/>
              <w:jc w:val="both"/>
            </w:pPr>
            <w:r>
              <w:rPr>
                <w:rFonts w:ascii="仿宋_GB2312" w:hAnsi="仿宋_GB2312" w:eastAsia="仿宋_GB2312" w:cs="仿宋_GB2312"/>
                <w:sz w:val="21"/>
              </w:rPr>
              <w:t>（3）会诊管理系统与HIS对接，发起会诊时可自动生成患者基本信息、病历摘要等，会诊申请单应包含申请时间、拟会诊时间、会诊地点、邀请会诊医院/科室/专家/人员等。</w:t>
            </w:r>
          </w:p>
          <w:p w14:paraId="125AD300">
            <w:pPr>
              <w:pStyle w:val="4"/>
              <w:jc w:val="both"/>
            </w:pPr>
            <w:r>
              <w:rPr>
                <w:rFonts w:ascii="仿宋_GB2312" w:hAnsi="仿宋_GB2312" w:eastAsia="仿宋_GB2312" w:cs="仿宋_GB2312"/>
                <w:sz w:val="21"/>
              </w:rPr>
              <w:t>（4）具有会诊提醒功能，通过会诊系统、短信等方式对会诊审批人员、被邀请人员进行提醒。</w:t>
            </w:r>
          </w:p>
          <w:p w14:paraId="3870CE0C">
            <w:pPr>
              <w:pStyle w:val="4"/>
              <w:jc w:val="both"/>
            </w:pPr>
            <w:r>
              <w:rPr>
                <w:rFonts w:ascii="仿宋_GB2312" w:hAnsi="仿宋_GB2312" w:eastAsia="仿宋_GB2312" w:cs="仿宋_GB2312"/>
                <w:sz w:val="21"/>
              </w:rPr>
              <w:t>（5）支持会诊专家库人员管理（含本院/外院），会诊人员排班。</w:t>
            </w:r>
          </w:p>
          <w:p w14:paraId="352B66E1">
            <w:pPr>
              <w:pStyle w:val="4"/>
              <w:jc w:val="both"/>
            </w:pPr>
            <w:r>
              <w:rPr>
                <w:rFonts w:ascii="仿宋_GB2312" w:hAnsi="仿宋_GB2312" w:eastAsia="仿宋_GB2312" w:cs="仿宋_GB2312"/>
                <w:sz w:val="21"/>
              </w:rPr>
              <w:t>（6）被邀请科室/专家可查看会诊患者就诊记录、检验检查结果、病程记录、手术记录等。</w:t>
            </w:r>
          </w:p>
          <w:p w14:paraId="4D8427F8">
            <w:pPr>
              <w:pStyle w:val="4"/>
              <w:jc w:val="both"/>
            </w:pPr>
            <w:r>
              <w:rPr>
                <w:rFonts w:ascii="仿宋_GB2312" w:hAnsi="仿宋_GB2312" w:eastAsia="仿宋_GB2312" w:cs="仿宋_GB2312"/>
                <w:sz w:val="21"/>
              </w:rPr>
              <w:t>（7）支持会诊意见书写、记录，多学科会诊支持各专家分别书写提交会诊意见，会诊申请人可进行归纳总结书写记录，会诊意见可同步至病历。书写会诊意见支持电子签名。</w:t>
            </w:r>
          </w:p>
          <w:p w14:paraId="519600B8">
            <w:pPr>
              <w:pStyle w:val="4"/>
              <w:jc w:val="both"/>
            </w:pPr>
            <w:r>
              <w:rPr>
                <w:rFonts w:ascii="仿宋_GB2312" w:hAnsi="仿宋_GB2312" w:eastAsia="仿宋_GB2312" w:cs="仿宋_GB2312"/>
                <w:sz w:val="21"/>
              </w:rPr>
              <w:t>（8）支持记录会诊申请时间、审批时间、会诊人员到达时间、会诊结束时间，会诊结束可生成报告，支持打印。</w:t>
            </w:r>
          </w:p>
          <w:p w14:paraId="29449B35">
            <w:pPr>
              <w:pStyle w:val="4"/>
              <w:jc w:val="both"/>
            </w:pPr>
            <w:r>
              <w:rPr>
                <w:rFonts w:ascii="仿宋_GB2312" w:hAnsi="仿宋_GB2312" w:eastAsia="仿宋_GB2312" w:cs="仿宋_GB2312"/>
                <w:sz w:val="21"/>
              </w:rPr>
              <w:t>（9）可按会诊类型、申请科室、被邀请科室/专家等进行统计分析。</w:t>
            </w:r>
          </w:p>
          <w:p w14:paraId="3CE2DBDF">
            <w:pPr>
              <w:pStyle w:val="4"/>
              <w:jc w:val="both"/>
            </w:pPr>
            <w:r>
              <w:rPr>
                <w:rFonts w:ascii="仿宋_GB2312" w:hAnsi="仿宋_GB2312" w:eastAsia="仿宋_GB2312" w:cs="仿宋_GB2312"/>
                <w:sz w:val="21"/>
              </w:rPr>
              <w:t>（10）支持会诊评价反馈，对组织会诊科室、参加会诊人员进行评价反馈。</w:t>
            </w:r>
          </w:p>
          <w:p w14:paraId="506004B3">
            <w:pPr>
              <w:pStyle w:val="4"/>
              <w:jc w:val="both"/>
            </w:pPr>
            <w:r>
              <w:rPr>
                <w:rFonts w:ascii="仿宋_GB2312" w:hAnsi="仿宋_GB2312" w:eastAsia="仿宋_GB2312" w:cs="仿宋_GB2312"/>
                <w:sz w:val="21"/>
              </w:rPr>
              <w:t>（11）可抓取科室、人员记录工作量，与绩效考核系统对接，实现绩效发放。</w:t>
            </w:r>
          </w:p>
        </w:tc>
      </w:tr>
      <w:tr w14:paraId="69B6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dxa"/>
            <w:tcMar>
              <w:top w:w="0" w:type="dxa"/>
              <w:left w:w="105" w:type="dxa"/>
              <w:bottom w:w="0" w:type="dxa"/>
              <w:right w:w="105" w:type="dxa"/>
            </w:tcMar>
            <w:vAlign w:val="top"/>
          </w:tcPr>
          <w:p w14:paraId="058C9C6A">
            <w:pPr>
              <w:pStyle w:val="4"/>
              <w:jc w:val="center"/>
            </w:pPr>
            <w:r>
              <w:rPr>
                <w:rFonts w:ascii="仿宋_GB2312" w:hAnsi="仿宋_GB2312" w:eastAsia="仿宋_GB2312" w:cs="仿宋_GB2312"/>
                <w:sz w:val="21"/>
              </w:rPr>
              <w:t>8</w:t>
            </w:r>
          </w:p>
        </w:tc>
        <w:tc>
          <w:tcPr>
            <w:tcW w:w="1579" w:type="dxa"/>
            <w:tcMar>
              <w:top w:w="0" w:type="dxa"/>
              <w:left w:w="105" w:type="dxa"/>
              <w:bottom w:w="0" w:type="dxa"/>
              <w:right w:w="105" w:type="dxa"/>
            </w:tcMar>
            <w:vAlign w:val="top"/>
          </w:tcPr>
          <w:p w14:paraId="1973BA87">
            <w:pPr>
              <w:pStyle w:val="4"/>
              <w:jc w:val="center"/>
            </w:pPr>
            <w:r>
              <w:rPr>
                <w:rFonts w:ascii="仿宋_GB2312" w:hAnsi="仿宋_GB2312" w:eastAsia="仿宋_GB2312" w:cs="仿宋_GB2312"/>
                <w:sz w:val="21"/>
              </w:rPr>
              <w:t>排班管理</w:t>
            </w:r>
          </w:p>
        </w:tc>
        <w:tc>
          <w:tcPr>
            <w:tcW w:w="5506" w:type="dxa"/>
            <w:tcMar>
              <w:top w:w="0" w:type="dxa"/>
              <w:left w:w="105" w:type="dxa"/>
              <w:bottom w:w="0" w:type="dxa"/>
              <w:right w:w="105" w:type="dxa"/>
            </w:tcMar>
            <w:vAlign w:val="top"/>
          </w:tcPr>
          <w:p w14:paraId="11184A2F">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lang w:eastAsia="zh-CN"/>
              </w:rPr>
              <w:t>）</w:t>
            </w:r>
            <w:r>
              <w:rPr>
                <w:rFonts w:ascii="仿宋_GB2312" w:hAnsi="仿宋_GB2312" w:eastAsia="仿宋_GB2312" w:cs="仿宋_GB2312"/>
                <w:sz w:val="21"/>
              </w:rPr>
              <w:t>根据科室需求可设置不同排班模板。</w:t>
            </w:r>
          </w:p>
          <w:p w14:paraId="136E9384">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lang w:eastAsia="zh-CN"/>
              </w:rPr>
              <w:t>）</w:t>
            </w:r>
            <w:r>
              <w:rPr>
                <w:rFonts w:ascii="仿宋_GB2312" w:hAnsi="仿宋_GB2312" w:eastAsia="仿宋_GB2312" w:cs="仿宋_GB2312"/>
                <w:sz w:val="21"/>
              </w:rPr>
              <w:t>支持对值班人员的限定。</w:t>
            </w:r>
          </w:p>
          <w:p w14:paraId="7A588E39">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lang w:eastAsia="zh-CN"/>
              </w:rPr>
              <w:t>）</w:t>
            </w:r>
            <w:r>
              <w:rPr>
                <w:rFonts w:ascii="仿宋_GB2312" w:hAnsi="仿宋_GB2312" w:eastAsia="仿宋_GB2312" w:cs="仿宋_GB2312"/>
                <w:sz w:val="21"/>
              </w:rPr>
              <w:t>支持排班的审核、调整报备。</w:t>
            </w:r>
          </w:p>
          <w:p w14:paraId="5234BA9F">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4</w:t>
            </w:r>
            <w:r>
              <w:rPr>
                <w:rFonts w:hint="eastAsia" w:ascii="仿宋_GB2312" w:hAnsi="仿宋_GB2312" w:eastAsia="仿宋_GB2312" w:cs="仿宋_GB2312"/>
                <w:sz w:val="21"/>
                <w:lang w:eastAsia="zh-CN"/>
              </w:rPr>
              <w:t>）</w:t>
            </w:r>
            <w:r>
              <w:rPr>
                <w:rFonts w:ascii="仿宋_GB2312" w:hAnsi="仿宋_GB2312" w:eastAsia="仿宋_GB2312" w:cs="仿宋_GB2312"/>
                <w:sz w:val="21"/>
              </w:rPr>
              <w:t>可导出、导入排班，统计个人值班数。</w:t>
            </w:r>
          </w:p>
        </w:tc>
      </w:tr>
      <w:tr w14:paraId="0F20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1055" w:type="dxa"/>
            <w:tcMar>
              <w:top w:w="0" w:type="dxa"/>
              <w:left w:w="105" w:type="dxa"/>
              <w:bottom w:w="0" w:type="dxa"/>
              <w:right w:w="105" w:type="dxa"/>
            </w:tcMar>
            <w:vAlign w:val="top"/>
          </w:tcPr>
          <w:p w14:paraId="0FE882F9">
            <w:pPr>
              <w:pStyle w:val="4"/>
              <w:jc w:val="center"/>
            </w:pPr>
            <w:r>
              <w:rPr>
                <w:rFonts w:ascii="仿宋_GB2312" w:hAnsi="仿宋_GB2312" w:eastAsia="仿宋_GB2312" w:cs="仿宋_GB2312"/>
                <w:sz w:val="21"/>
              </w:rPr>
              <w:t>9</w:t>
            </w:r>
          </w:p>
        </w:tc>
        <w:tc>
          <w:tcPr>
            <w:tcW w:w="1579" w:type="dxa"/>
            <w:tcMar>
              <w:top w:w="0" w:type="dxa"/>
              <w:left w:w="105" w:type="dxa"/>
              <w:bottom w:w="0" w:type="dxa"/>
              <w:right w:w="105" w:type="dxa"/>
            </w:tcMar>
            <w:vAlign w:val="top"/>
          </w:tcPr>
          <w:p w14:paraId="58018E3D">
            <w:pPr>
              <w:pStyle w:val="4"/>
              <w:jc w:val="center"/>
            </w:pPr>
            <w:r>
              <w:rPr>
                <w:rFonts w:ascii="仿宋_GB2312" w:hAnsi="仿宋_GB2312" w:eastAsia="仿宋_GB2312" w:cs="仿宋_GB2312"/>
                <w:sz w:val="21"/>
              </w:rPr>
              <w:t>医疗投诉（纠纷）管理</w:t>
            </w:r>
          </w:p>
        </w:tc>
        <w:tc>
          <w:tcPr>
            <w:tcW w:w="5506" w:type="dxa"/>
            <w:tcMar>
              <w:top w:w="0" w:type="dxa"/>
              <w:left w:w="105" w:type="dxa"/>
              <w:bottom w:w="0" w:type="dxa"/>
              <w:right w:w="105" w:type="dxa"/>
            </w:tcMar>
            <w:vAlign w:val="top"/>
          </w:tcPr>
          <w:p w14:paraId="3E0F9F95">
            <w:pPr>
              <w:pStyle w:val="4"/>
              <w:jc w:val="both"/>
            </w:pPr>
            <w:r>
              <w:rPr>
                <w:rFonts w:ascii="仿宋_GB2312" w:hAnsi="仿宋_GB2312" w:eastAsia="仿宋_GB2312" w:cs="仿宋_GB2312"/>
                <w:sz w:val="21"/>
              </w:rPr>
              <w:t>（1）投诉案件登记管理：支持电话、现场、上级、各科室转办等多方式登记功能。</w:t>
            </w:r>
          </w:p>
          <w:p w14:paraId="0E20C3C4">
            <w:pPr>
              <w:pStyle w:val="4"/>
              <w:jc w:val="both"/>
            </w:pPr>
            <w:r>
              <w:rPr>
                <w:rFonts w:ascii="仿宋_GB2312" w:hAnsi="仿宋_GB2312" w:eastAsia="仿宋_GB2312" w:cs="仿宋_GB2312"/>
                <w:sz w:val="21"/>
              </w:rPr>
              <w:t>（2）院内调查管理：投诉分发到各相关科室进行调查，多科室协同调查处理，处理要求留痕且可自动生成处理过程（包括科室及投诉科工作人员），纠纷处理过程各阶段消息提醒</w:t>
            </w:r>
          </w:p>
          <w:p w14:paraId="77D3D6DC">
            <w:pPr>
              <w:pStyle w:val="4"/>
              <w:jc w:val="both"/>
            </w:pPr>
            <w:r>
              <w:rPr>
                <w:rFonts w:ascii="仿宋_GB2312" w:hAnsi="仿宋_GB2312" w:eastAsia="仿宋_GB2312" w:cs="仿宋_GB2312"/>
                <w:sz w:val="21"/>
              </w:rPr>
              <w:t>（3）第三方介入管理：医调委、法院诉讼、上级部门、司法（医疗事故）鉴定管理等管理。</w:t>
            </w:r>
          </w:p>
          <w:p w14:paraId="70100CEF">
            <w:pPr>
              <w:pStyle w:val="4"/>
              <w:jc w:val="both"/>
            </w:pPr>
            <w:r>
              <w:rPr>
                <w:rFonts w:ascii="仿宋_GB2312" w:hAnsi="仿宋_GB2312" w:eastAsia="仿宋_GB2312" w:cs="仿宋_GB2312"/>
                <w:sz w:val="21"/>
              </w:rPr>
              <w:t>（4）病案或实物封存管理：病案封存，包含复制件封存及原件封存/电子封存和实物封存，要求和病案室系统进行对接，实现科室查看及登记功能。</w:t>
            </w:r>
          </w:p>
          <w:p w14:paraId="36C54D2D">
            <w:pPr>
              <w:pStyle w:val="4"/>
              <w:jc w:val="both"/>
            </w:pPr>
            <w:r>
              <w:rPr>
                <w:rFonts w:ascii="仿宋_GB2312" w:hAnsi="仿宋_GB2312" w:eastAsia="仿宋_GB2312" w:cs="仿宋_GB2312"/>
                <w:sz w:val="21"/>
              </w:rPr>
              <w:t>（5）医疗投诉（纠纷）统计分析、原因分析：多种数据维度的统计分析，包括案件统计、赔付统计、原因统计分析、科室投诉纠纷量对比、投诉纠纷数据历史变化趋势、司法诉讼量统计等，实现月度分析、季度分析、年度分析，时间可选择。</w:t>
            </w:r>
          </w:p>
          <w:p w14:paraId="40EC0487">
            <w:pPr>
              <w:pStyle w:val="4"/>
              <w:jc w:val="both"/>
            </w:pPr>
            <w:r>
              <w:rPr>
                <w:rFonts w:ascii="仿宋_GB2312" w:hAnsi="仿宋_GB2312" w:eastAsia="仿宋_GB2312" w:cs="仿宋_GB2312"/>
                <w:sz w:val="21"/>
              </w:rPr>
              <w:t>（6）投诉判定管理：支持医务对投诉案件的有效性进行判定与分类，可划分为有效投诉与无效投诉两类。</w:t>
            </w:r>
          </w:p>
          <w:p w14:paraId="00F05BFC">
            <w:pPr>
              <w:pStyle w:val="4"/>
              <w:jc w:val="both"/>
            </w:pPr>
            <w:r>
              <w:rPr>
                <w:rFonts w:ascii="仿宋_GB2312" w:hAnsi="仿宋_GB2312" w:eastAsia="仿宋_GB2312" w:cs="仿宋_GB2312"/>
                <w:sz w:val="21"/>
              </w:rPr>
              <w:t>（7）纠赔付管理：纠纷赔付过程、赔付金额申请审批管理、转账后通知管理。</w:t>
            </w:r>
          </w:p>
          <w:p w14:paraId="7DCB3FE6">
            <w:pPr>
              <w:pStyle w:val="4"/>
              <w:jc w:val="both"/>
            </w:pPr>
            <w:r>
              <w:rPr>
                <w:rFonts w:ascii="仿宋_GB2312" w:hAnsi="仿宋_GB2312" w:eastAsia="仿宋_GB2312" w:cs="仿宋_GB2312"/>
                <w:sz w:val="21"/>
              </w:rPr>
              <w:t>（8）医疗纠纷归档管理：案件归档处理，案件下载管理，可自动生成目录。</w:t>
            </w:r>
          </w:p>
          <w:p w14:paraId="4278E268">
            <w:pPr>
              <w:pStyle w:val="4"/>
              <w:jc w:val="both"/>
            </w:pPr>
            <w:r>
              <w:rPr>
                <w:rFonts w:ascii="仿宋_GB2312" w:hAnsi="仿宋_GB2312" w:eastAsia="仿宋_GB2312" w:cs="仿宋_GB2312"/>
                <w:sz w:val="21"/>
              </w:rPr>
              <w:t>（9）整改管理：科室整改计划、整改过程、整改效果管理。</w:t>
            </w:r>
          </w:p>
          <w:p w14:paraId="44876975">
            <w:pPr>
              <w:pStyle w:val="4"/>
              <w:jc w:val="both"/>
            </w:pPr>
            <w:r>
              <w:rPr>
                <w:rFonts w:ascii="仿宋_GB2312" w:hAnsi="仿宋_GB2312" w:eastAsia="仿宋_GB2312" w:cs="仿宋_GB2312"/>
                <w:sz w:val="21"/>
              </w:rPr>
              <w:t>（10）风险人员管理：风险人员（黑名单）人员管理。</w:t>
            </w:r>
          </w:p>
          <w:p w14:paraId="2BD3B766">
            <w:pPr>
              <w:pStyle w:val="4"/>
              <w:jc w:val="both"/>
            </w:pPr>
            <w:r>
              <w:rPr>
                <w:rFonts w:ascii="仿宋_GB2312" w:hAnsi="仿宋_GB2312" w:eastAsia="仿宋_GB2312" w:cs="仿宋_GB2312"/>
                <w:sz w:val="21"/>
              </w:rPr>
              <w:t>（11）重复投诉提醒：对于发生重复投诉的患者，可定义标签，在再入院时进行预警，提醒医务处及相关部门重点关注，避免发生类似纠纷事件。</w:t>
            </w:r>
          </w:p>
        </w:tc>
      </w:tr>
      <w:tr w14:paraId="3D68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dxa"/>
            <w:tcMar>
              <w:top w:w="0" w:type="dxa"/>
              <w:left w:w="105" w:type="dxa"/>
              <w:bottom w:w="0" w:type="dxa"/>
              <w:right w:w="105" w:type="dxa"/>
            </w:tcMar>
            <w:vAlign w:val="top"/>
          </w:tcPr>
          <w:p w14:paraId="418C48BB">
            <w:pPr>
              <w:pStyle w:val="4"/>
              <w:jc w:val="center"/>
            </w:pPr>
            <w:r>
              <w:rPr>
                <w:rFonts w:ascii="仿宋_GB2312" w:hAnsi="仿宋_GB2312" w:eastAsia="仿宋_GB2312" w:cs="仿宋_GB2312"/>
                <w:sz w:val="21"/>
              </w:rPr>
              <w:t>10</w:t>
            </w:r>
          </w:p>
        </w:tc>
        <w:tc>
          <w:tcPr>
            <w:tcW w:w="1579" w:type="dxa"/>
            <w:tcMar>
              <w:top w:w="0" w:type="dxa"/>
              <w:left w:w="105" w:type="dxa"/>
              <w:bottom w:w="0" w:type="dxa"/>
              <w:right w:w="105" w:type="dxa"/>
            </w:tcMar>
            <w:vAlign w:val="top"/>
          </w:tcPr>
          <w:p w14:paraId="1F0A3A7F">
            <w:pPr>
              <w:pStyle w:val="4"/>
              <w:jc w:val="center"/>
            </w:pPr>
            <w:r>
              <w:rPr>
                <w:rFonts w:ascii="仿宋_GB2312" w:hAnsi="仿宋_GB2312" w:eastAsia="仿宋_GB2312" w:cs="仿宋_GB2312"/>
                <w:sz w:val="21"/>
              </w:rPr>
              <w:t>医疗人员下乡管理</w:t>
            </w:r>
          </w:p>
        </w:tc>
        <w:tc>
          <w:tcPr>
            <w:tcW w:w="5506" w:type="dxa"/>
            <w:tcMar>
              <w:top w:w="0" w:type="dxa"/>
              <w:left w:w="105" w:type="dxa"/>
              <w:bottom w:w="0" w:type="dxa"/>
              <w:right w:w="105" w:type="dxa"/>
            </w:tcMar>
            <w:vAlign w:val="top"/>
          </w:tcPr>
          <w:p w14:paraId="5A5D2033">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lang w:eastAsia="zh-CN"/>
              </w:rPr>
              <w:t>）</w:t>
            </w:r>
            <w:r>
              <w:rPr>
                <w:rFonts w:ascii="仿宋_GB2312" w:hAnsi="仿宋_GB2312" w:eastAsia="仿宋_GB2312" w:cs="仿宋_GB2312"/>
                <w:sz w:val="21"/>
              </w:rPr>
              <w:t>医务人员可通过系统内置表单引擎在线检索并填写《下乡申请表》，提交后需经科室主任通过数字签名知情同意。申请表自动进入待办任务队列，主任通过登录系统进行在线审批，审批通过后系统通过推送通知至科室管理员终端。</w:t>
            </w:r>
          </w:p>
          <w:p w14:paraId="2E2326CB">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lang w:eastAsia="zh-CN"/>
              </w:rPr>
              <w:t>）</w:t>
            </w:r>
            <w:r>
              <w:rPr>
                <w:rFonts w:ascii="仿宋_GB2312" w:hAnsi="仿宋_GB2312" w:eastAsia="仿宋_GB2312" w:cs="仿宋_GB2312"/>
                <w:sz w:val="21"/>
              </w:rPr>
              <w:t>支持移动客户端应用程序（Android/iOS）下载与安装，后台管理系统实现下乡人员动态权限管理列表的创建与维护。不同管理员可通过管理控制台实时执行各自负责下乡人员信息的增删操作，实现账号唯一性绑定，确保仅授权人员在移动端可访问下乡管理页面。</w:t>
            </w:r>
          </w:p>
          <w:p w14:paraId="09D30C02">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lang w:eastAsia="zh-CN"/>
              </w:rPr>
              <w:t>）</w:t>
            </w:r>
            <w:r>
              <w:rPr>
                <w:rFonts w:ascii="仿宋_GB2312" w:hAnsi="仿宋_GB2312" w:eastAsia="仿宋_GB2312" w:cs="仿宋_GB2312"/>
                <w:sz w:val="21"/>
              </w:rPr>
              <w:t>移动端集成GPS定位服务与生物特征识别技术（如人脸识别/指纹认证），自动校验打卡位置是否位于预设下乡区域实现异地实名制打卡，规避代打卡风险。系统自动按月度和下乡帮扶单位生成考勤报表，管理端支持可视化查询和PDF批量下载。</w:t>
            </w:r>
          </w:p>
          <w:p w14:paraId="7178B688">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4</w:t>
            </w:r>
            <w:r>
              <w:rPr>
                <w:rFonts w:hint="eastAsia" w:ascii="仿宋_GB2312" w:hAnsi="仿宋_GB2312" w:eastAsia="仿宋_GB2312" w:cs="仿宋_GB2312"/>
                <w:sz w:val="21"/>
                <w:lang w:eastAsia="zh-CN"/>
              </w:rPr>
              <w:t>）</w:t>
            </w:r>
            <w:r>
              <w:rPr>
                <w:rFonts w:ascii="仿宋_GB2312" w:hAnsi="仿宋_GB2312" w:eastAsia="仿宋_GB2312" w:cs="仿宋_GB2312"/>
                <w:sz w:val="21"/>
              </w:rPr>
              <w:t>移动端支持PDF住宿发票上传至云端存储，管理端实现PDF归档文件的批量下载。</w:t>
            </w:r>
          </w:p>
          <w:p w14:paraId="458FEB2B">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5</w:t>
            </w:r>
            <w:r>
              <w:rPr>
                <w:rFonts w:hint="eastAsia" w:ascii="仿宋_GB2312" w:hAnsi="仿宋_GB2312" w:eastAsia="仿宋_GB2312" w:cs="仿宋_GB2312"/>
                <w:sz w:val="21"/>
                <w:lang w:eastAsia="zh-CN"/>
              </w:rPr>
              <w:t>）</w:t>
            </w:r>
            <w:r>
              <w:rPr>
                <w:rFonts w:ascii="仿宋_GB2312" w:hAnsi="仿宋_GB2312" w:eastAsia="仿宋_GB2312" w:cs="仿宋_GB2312"/>
                <w:sz w:val="21"/>
              </w:rPr>
              <w:t>移动端支持车票付款记录的多张截图（不限数量）上传，管理端支持分类查看与自动化Word汇总文档合成以及批量文件下载。</w:t>
            </w:r>
          </w:p>
          <w:p w14:paraId="52708C62">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6</w:t>
            </w:r>
            <w:r>
              <w:rPr>
                <w:rFonts w:hint="eastAsia" w:ascii="仿宋_GB2312" w:hAnsi="仿宋_GB2312" w:eastAsia="仿宋_GB2312" w:cs="仿宋_GB2312"/>
                <w:sz w:val="21"/>
                <w:lang w:eastAsia="zh-CN"/>
              </w:rPr>
              <w:t>）</w:t>
            </w:r>
            <w:r>
              <w:rPr>
                <w:rFonts w:ascii="仿宋_GB2312" w:hAnsi="仿宋_GB2312" w:eastAsia="仿宋_GB2312" w:cs="仿宋_GB2312"/>
                <w:sz w:val="21"/>
              </w:rPr>
              <w:t>移动端提供结构化表单录入界面，支持下乡工作量每人按日填报，工作量内容填写分为“必填”与“非必填”，月底生成每位医务人员在对方帮扶单位的工作量汇总表，并实现管理端批量文件下载。此外，“必填”项之一的佐证图片支持云端永久存储，支持管理端和授权人员多次查看和批量下载。</w:t>
            </w:r>
          </w:p>
          <w:p w14:paraId="4D638F17">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7</w:t>
            </w:r>
            <w:r>
              <w:rPr>
                <w:rFonts w:hint="eastAsia" w:ascii="仿宋_GB2312" w:hAnsi="仿宋_GB2312" w:eastAsia="仿宋_GB2312" w:cs="仿宋_GB2312"/>
                <w:sz w:val="21"/>
                <w:lang w:eastAsia="zh-CN"/>
              </w:rPr>
              <w:t>）</w:t>
            </w:r>
            <w:r>
              <w:rPr>
                <w:rFonts w:ascii="仿宋_GB2312" w:hAnsi="仿宋_GB2312" w:eastAsia="仿宋_GB2312" w:cs="仿宋_GB2312"/>
                <w:sz w:val="21"/>
              </w:rPr>
              <w:t>系统集成消息推送服务，在每月报销周期内触发每位下乡医务人员移动端的每日弹窗提醒直至完成上传，涵盖打卡、票据上传、工作量填报等任务节点。管理端能实时记录每位医务人员上报资料后的处理进度（如“已办/未读/暂存代办”）。</w:t>
            </w:r>
          </w:p>
        </w:tc>
      </w:tr>
      <w:tr w14:paraId="5106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55" w:type="dxa"/>
            <w:tcMar>
              <w:top w:w="0" w:type="dxa"/>
              <w:left w:w="105" w:type="dxa"/>
              <w:bottom w:w="0" w:type="dxa"/>
              <w:right w:w="105" w:type="dxa"/>
            </w:tcMar>
            <w:vAlign w:val="top"/>
          </w:tcPr>
          <w:p w14:paraId="3973694B">
            <w:pPr>
              <w:pStyle w:val="4"/>
              <w:jc w:val="center"/>
            </w:pPr>
            <w:r>
              <w:rPr>
                <w:rFonts w:ascii="仿宋_GB2312" w:hAnsi="仿宋_GB2312" w:eastAsia="仿宋_GB2312" w:cs="仿宋_GB2312"/>
                <w:sz w:val="21"/>
              </w:rPr>
              <w:t>11</w:t>
            </w:r>
          </w:p>
        </w:tc>
        <w:tc>
          <w:tcPr>
            <w:tcW w:w="1579" w:type="dxa"/>
            <w:tcMar>
              <w:top w:w="0" w:type="dxa"/>
              <w:left w:w="105" w:type="dxa"/>
              <w:bottom w:w="0" w:type="dxa"/>
              <w:right w:w="105" w:type="dxa"/>
            </w:tcMar>
            <w:vAlign w:val="top"/>
          </w:tcPr>
          <w:p w14:paraId="796AEEA8">
            <w:pPr>
              <w:pStyle w:val="4"/>
              <w:jc w:val="center"/>
            </w:pPr>
            <w:r>
              <w:rPr>
                <w:rFonts w:ascii="仿宋_GB2312" w:hAnsi="仿宋_GB2312" w:eastAsia="仿宋_GB2312" w:cs="仿宋_GB2312"/>
                <w:sz w:val="21"/>
              </w:rPr>
              <w:t>医疗风险预警</w:t>
            </w:r>
          </w:p>
        </w:tc>
        <w:tc>
          <w:tcPr>
            <w:tcW w:w="5506" w:type="dxa"/>
            <w:tcMar>
              <w:top w:w="0" w:type="dxa"/>
              <w:left w:w="105" w:type="dxa"/>
              <w:bottom w:w="0" w:type="dxa"/>
              <w:right w:w="105" w:type="dxa"/>
            </w:tcMar>
            <w:vAlign w:val="top"/>
          </w:tcPr>
          <w:p w14:paraId="5CC47A97">
            <w:pPr>
              <w:pStyle w:val="4"/>
              <w:jc w:val="both"/>
            </w:pPr>
            <w:r>
              <w:rPr>
                <w:rFonts w:ascii="仿宋_GB2312" w:hAnsi="仿宋_GB2312" w:eastAsia="仿宋_GB2312" w:cs="仿宋_GB2312"/>
                <w:sz w:val="21"/>
              </w:rPr>
              <w:t>一、预警管理</w:t>
            </w:r>
          </w:p>
          <w:p w14:paraId="5FD271B2">
            <w:pPr>
              <w:pStyle w:val="4"/>
              <w:jc w:val="both"/>
            </w:pPr>
            <w:r>
              <w:rPr>
                <w:rFonts w:ascii="仿宋_GB2312" w:hAnsi="仿宋_GB2312" w:eastAsia="仿宋_GB2312" w:cs="仿宋_GB2312"/>
                <w:sz w:val="21"/>
              </w:rPr>
              <w:t>1.支持自定义预警级别，支持颜色标识与阈值配置。</w:t>
            </w:r>
          </w:p>
          <w:p w14:paraId="0678C1EC">
            <w:pPr>
              <w:pStyle w:val="4"/>
              <w:jc w:val="both"/>
            </w:pPr>
            <w:r>
              <w:rPr>
                <w:rFonts w:ascii="仿宋_GB2312" w:hAnsi="仿宋_GB2312" w:eastAsia="仿宋_GB2312" w:cs="仿宋_GB2312"/>
                <w:sz w:val="21"/>
              </w:rPr>
              <w:t>2.支持根据风险性质、危害程度、可控性、影响范围、配置权重与分值等对预警参数动态调整。</w:t>
            </w:r>
          </w:p>
          <w:p w14:paraId="1F881250">
            <w:pPr>
              <w:pStyle w:val="4"/>
              <w:jc w:val="both"/>
            </w:pPr>
            <w:r>
              <w:rPr>
                <w:rFonts w:ascii="仿宋_GB2312" w:hAnsi="仿宋_GB2312" w:eastAsia="仿宋_GB2312" w:cs="仿宋_GB2312"/>
                <w:sz w:val="21"/>
              </w:rPr>
              <w:t>3.支持对风险评估模型反馈的特殊关注患者（如在院投诉、投诉再入院患者、短期再入院、特殊疾病等）在科室首页展示，展示内容包括床位号、病人姓名、命中指标等。</w:t>
            </w:r>
          </w:p>
          <w:p w14:paraId="20CF66F5">
            <w:pPr>
              <w:pStyle w:val="4"/>
              <w:jc w:val="both"/>
            </w:pPr>
            <w:r>
              <w:rPr>
                <w:rFonts w:ascii="仿宋_GB2312" w:hAnsi="仿宋_GB2312" w:eastAsia="仿宋_GB2312" w:cs="仿宋_GB2312"/>
                <w:sz w:val="21"/>
              </w:rPr>
              <w:t>4.预警级别与电子病历系统关联，自动标记高风险患者。</w:t>
            </w:r>
          </w:p>
          <w:p w14:paraId="7220CD0A">
            <w:pPr>
              <w:pStyle w:val="4"/>
              <w:jc w:val="both"/>
            </w:pPr>
            <w:r>
              <w:rPr>
                <w:rFonts w:ascii="仿宋_GB2312" w:hAnsi="仿宋_GB2312" w:eastAsia="仿宋_GB2312" w:cs="仿宋_GB2312"/>
                <w:sz w:val="21"/>
              </w:rPr>
              <w:t>二、预警通知</w:t>
            </w:r>
          </w:p>
          <w:p w14:paraId="7BFE3875">
            <w:pPr>
              <w:pStyle w:val="4"/>
              <w:jc w:val="both"/>
            </w:pPr>
            <w:r>
              <w:rPr>
                <w:rFonts w:ascii="仿宋_GB2312" w:hAnsi="仿宋_GB2312" w:eastAsia="仿宋_GB2312" w:cs="仿宋_GB2312"/>
                <w:sz w:val="21"/>
              </w:rPr>
              <w:t>1.支持多端实时推送：短信、PC端弹窗、手机APP通知，支持按科室/角色设置接收规则。</w:t>
            </w:r>
          </w:p>
          <w:p w14:paraId="26FBD4AC">
            <w:pPr>
              <w:pStyle w:val="4"/>
              <w:jc w:val="both"/>
            </w:pPr>
            <w:r>
              <w:rPr>
                <w:rFonts w:ascii="仿宋_GB2312" w:hAnsi="仿宋_GB2312" w:eastAsia="仿宋_GB2312" w:cs="仿宋_GB2312"/>
                <w:sz w:val="21"/>
              </w:rPr>
              <w:t>2.支持通知模板自定义，支持添加处理建议、紧急联系人等信息。</w:t>
            </w:r>
          </w:p>
          <w:p w14:paraId="3A9510C4">
            <w:pPr>
              <w:pStyle w:val="4"/>
              <w:jc w:val="both"/>
            </w:pPr>
            <w:r>
              <w:rPr>
                <w:rFonts w:ascii="仿宋_GB2312" w:hAnsi="仿宋_GB2312" w:eastAsia="仿宋_GB2312" w:cs="仿宋_GB2312"/>
                <w:sz w:val="21"/>
              </w:rPr>
              <w:t>3.支持AI自主学习优化，根据历史处理反馈动态调整推送优先级。</w:t>
            </w:r>
          </w:p>
          <w:p w14:paraId="301B8D6D">
            <w:pPr>
              <w:pStyle w:val="4"/>
              <w:jc w:val="both"/>
            </w:pPr>
            <w:r>
              <w:rPr>
                <w:rFonts w:ascii="仿宋_GB2312" w:hAnsi="仿宋_GB2312" w:eastAsia="仿宋_GB2312" w:cs="仿宋_GB2312"/>
                <w:sz w:val="21"/>
              </w:rPr>
              <w:t>4.支持预警通知以Excel表格形式导出。</w:t>
            </w:r>
          </w:p>
          <w:p w14:paraId="4F1DAB6E">
            <w:pPr>
              <w:pStyle w:val="4"/>
              <w:jc w:val="both"/>
            </w:pPr>
            <w:r>
              <w:rPr>
                <w:rFonts w:ascii="仿宋_GB2312" w:hAnsi="仿宋_GB2312" w:eastAsia="仿宋_GB2312" w:cs="仿宋_GB2312"/>
                <w:sz w:val="21"/>
              </w:rPr>
              <w:t>三、预警信息查询</w:t>
            </w:r>
          </w:p>
          <w:p w14:paraId="7564A64F">
            <w:pPr>
              <w:pStyle w:val="4"/>
              <w:jc w:val="both"/>
            </w:pPr>
            <w:r>
              <w:rPr>
                <w:rFonts w:ascii="仿宋_GB2312" w:hAnsi="仿宋_GB2312" w:eastAsia="仿宋_GB2312" w:cs="仿宋_GB2312"/>
                <w:sz w:val="21"/>
              </w:rPr>
              <w:t>1.支持按患者姓名、性别、入院时间、住院号、科室、预警级别、时间范围等自定义组合查询预警信息，支持以Excel表格形式导出。</w:t>
            </w:r>
          </w:p>
          <w:p w14:paraId="3236BE18">
            <w:pPr>
              <w:pStyle w:val="4"/>
              <w:jc w:val="both"/>
            </w:pPr>
            <w:r>
              <w:rPr>
                <w:rFonts w:ascii="仿宋_GB2312" w:hAnsi="仿宋_GB2312" w:eastAsia="仿宋_GB2312" w:cs="仿宋_GB2312"/>
                <w:sz w:val="21"/>
              </w:rPr>
              <w:t>2.支持全院/科室预警人次、级别分布的统计，统计图表自动生成。</w:t>
            </w:r>
          </w:p>
          <w:p w14:paraId="5D3B774B">
            <w:pPr>
              <w:pStyle w:val="4"/>
              <w:jc w:val="both"/>
            </w:pPr>
            <w:r>
              <w:rPr>
                <w:rFonts w:ascii="仿宋_GB2312" w:hAnsi="仿宋_GB2312" w:eastAsia="仿宋_GB2312" w:cs="仿宋_GB2312"/>
                <w:sz w:val="21"/>
              </w:rPr>
              <w:t>3.支持预警响应时效统计（平均处理时长、超时预警比例等）。</w:t>
            </w:r>
          </w:p>
          <w:p w14:paraId="75B94929">
            <w:pPr>
              <w:pStyle w:val="4"/>
              <w:jc w:val="both"/>
            </w:pPr>
            <w:r>
              <w:rPr>
                <w:rFonts w:ascii="仿宋_GB2312" w:hAnsi="仿宋_GB2312" w:eastAsia="仿宋_GB2312" w:cs="仿宋_GB2312"/>
                <w:sz w:val="21"/>
              </w:rPr>
              <w:t>4.数据追溯：支持查看历史预警记录及关联处理日志。</w:t>
            </w:r>
          </w:p>
          <w:p w14:paraId="350CC52A">
            <w:pPr>
              <w:pStyle w:val="4"/>
              <w:jc w:val="both"/>
            </w:pPr>
            <w:r>
              <w:rPr>
                <w:rFonts w:ascii="仿宋_GB2312" w:hAnsi="仿宋_GB2312" w:eastAsia="仿宋_GB2312" w:cs="仿宋_GB2312"/>
                <w:sz w:val="21"/>
              </w:rPr>
              <w:t>四、实时监控与展示</w:t>
            </w:r>
          </w:p>
          <w:p w14:paraId="140BE914">
            <w:pPr>
              <w:pStyle w:val="4"/>
              <w:jc w:val="both"/>
            </w:pPr>
            <w:r>
              <w:rPr>
                <w:rFonts w:ascii="仿宋_GB2312" w:hAnsi="仿宋_GB2312" w:eastAsia="仿宋_GB2312" w:cs="仿宋_GB2312"/>
                <w:b/>
                <w:sz w:val="21"/>
              </w:rPr>
              <w:t>（一）实时看板</w:t>
            </w:r>
          </w:p>
          <w:p w14:paraId="29B816A4">
            <w:pPr>
              <w:pStyle w:val="4"/>
              <w:ind w:firstLine="420"/>
              <w:jc w:val="both"/>
            </w:pPr>
            <w:r>
              <w:rPr>
                <w:rFonts w:ascii="仿宋_GB2312" w:hAnsi="仿宋_GB2312" w:eastAsia="仿宋_GB2312" w:cs="仿宋_GB2312"/>
                <w:sz w:val="21"/>
              </w:rPr>
              <w:t>1.首页展示全院当日预警总人数、各科室预警人数热力图。</w:t>
            </w:r>
          </w:p>
          <w:p w14:paraId="7443EAB7">
            <w:pPr>
              <w:pStyle w:val="4"/>
              <w:ind w:firstLine="420"/>
              <w:jc w:val="both"/>
            </w:pPr>
            <w:r>
              <w:rPr>
                <w:rFonts w:ascii="仿宋_GB2312" w:hAnsi="仿宋_GB2312" w:eastAsia="仿宋_GB2312" w:cs="仿宋_GB2312"/>
                <w:sz w:val="21"/>
              </w:rPr>
              <w:t>2.显示全院预警科室排名、风控点类型分布。</w:t>
            </w:r>
          </w:p>
          <w:p w14:paraId="149B68FC">
            <w:pPr>
              <w:pStyle w:val="4"/>
              <w:ind w:firstLine="420"/>
              <w:jc w:val="both"/>
            </w:pPr>
            <w:r>
              <w:rPr>
                <w:rFonts w:ascii="仿宋_GB2312" w:hAnsi="仿宋_GB2312" w:eastAsia="仿宋_GB2312" w:cs="仿宋_GB2312"/>
                <w:sz w:val="21"/>
              </w:rPr>
              <w:t>3.支持自定义显示预警趋势图，支持与去年同期对比。</w:t>
            </w:r>
          </w:p>
          <w:p w14:paraId="097A594B">
            <w:pPr>
              <w:pStyle w:val="4"/>
              <w:ind w:firstLine="420"/>
              <w:jc w:val="both"/>
            </w:pPr>
            <w:r>
              <w:rPr>
                <w:rFonts w:ascii="仿宋_GB2312" w:hAnsi="仿宋_GB2312" w:eastAsia="仿宋_GB2312" w:cs="仿宋_GB2312"/>
                <w:sz w:val="21"/>
              </w:rPr>
              <w:t>4.首页显示预警列表，按级别、科室分类，展示患者姓名、住院号、床位号、预警分数，并支持一键跳转患者风控画像。</w:t>
            </w:r>
          </w:p>
          <w:p w14:paraId="7E5D4006">
            <w:pPr>
              <w:pStyle w:val="4"/>
              <w:ind w:firstLine="420"/>
              <w:jc w:val="both"/>
            </w:pPr>
            <w:r>
              <w:rPr>
                <w:rFonts w:ascii="仿宋_GB2312" w:hAnsi="仿宋_GB2312" w:eastAsia="仿宋_GB2312" w:cs="仿宋_GB2312"/>
                <w:sz w:val="21"/>
              </w:rPr>
              <w:t>5.支持显示告病危/重患者科室占比、死亡患者回溯分析（时间轴视图）。</w:t>
            </w:r>
          </w:p>
          <w:p w14:paraId="679F55A9">
            <w:pPr>
              <w:pStyle w:val="4"/>
              <w:jc w:val="both"/>
            </w:pPr>
            <w:r>
              <w:rPr>
                <w:rFonts w:ascii="仿宋_GB2312" w:hAnsi="仿宋_GB2312" w:eastAsia="仿宋_GB2312" w:cs="仿宋_GB2312"/>
                <w:b/>
                <w:sz w:val="21"/>
              </w:rPr>
              <w:t>（二）预警事件追踪</w:t>
            </w:r>
          </w:p>
          <w:p w14:paraId="6BC03556">
            <w:pPr>
              <w:pStyle w:val="4"/>
              <w:ind w:firstLine="420"/>
              <w:jc w:val="both"/>
            </w:pPr>
            <w:r>
              <w:rPr>
                <w:rFonts w:ascii="仿宋_GB2312" w:hAnsi="仿宋_GB2312" w:eastAsia="仿宋_GB2312" w:cs="仿宋_GB2312"/>
                <w:sz w:val="21"/>
              </w:rPr>
              <w:t>1.支持展示预警触发时间、处理人、处理方案、反馈记录、最终评价。</w:t>
            </w:r>
          </w:p>
          <w:p w14:paraId="595C4254">
            <w:pPr>
              <w:pStyle w:val="4"/>
              <w:ind w:firstLine="420"/>
              <w:jc w:val="both"/>
            </w:pPr>
            <w:r>
              <w:rPr>
                <w:rFonts w:ascii="仿宋_GB2312" w:hAnsi="仿宋_GB2312" w:eastAsia="仿宋_GB2312" w:cs="仿宋_GB2312"/>
                <w:sz w:val="21"/>
              </w:rPr>
              <w:t>2.支持按“未处理/处理中/已闭环”状态筛选。</w:t>
            </w:r>
          </w:p>
          <w:p w14:paraId="28DE9816">
            <w:pPr>
              <w:pStyle w:val="4"/>
              <w:ind w:firstLine="420"/>
              <w:jc w:val="both"/>
            </w:pPr>
            <w:r>
              <w:rPr>
                <w:rFonts w:ascii="仿宋_GB2312" w:hAnsi="仿宋_GB2312" w:eastAsia="仿宋_GB2312" w:cs="仿宋_GB2312"/>
                <w:sz w:val="21"/>
              </w:rPr>
              <w:t>3.事件详情支持Excel/PDF导出，含操作日志。</w:t>
            </w:r>
          </w:p>
          <w:p w14:paraId="280A38BB">
            <w:pPr>
              <w:pStyle w:val="4"/>
              <w:jc w:val="both"/>
            </w:pPr>
            <w:r>
              <w:rPr>
                <w:rFonts w:hint="eastAsia" w:ascii="仿宋_GB2312" w:hAnsi="仿宋_GB2312" w:eastAsia="仿宋_GB2312" w:cs="仿宋_GB2312"/>
                <w:sz w:val="21"/>
                <w:lang w:val="en-US" w:eastAsia="zh-CN"/>
              </w:rPr>
              <w:t>五</w:t>
            </w:r>
            <w:r>
              <w:rPr>
                <w:rFonts w:ascii="仿宋_GB2312" w:hAnsi="仿宋_GB2312" w:eastAsia="仿宋_GB2312" w:cs="仿宋_GB2312"/>
                <w:sz w:val="21"/>
              </w:rPr>
              <w:t>、风险干预</w:t>
            </w:r>
          </w:p>
          <w:p w14:paraId="62BDBD9F">
            <w:pPr>
              <w:pStyle w:val="4"/>
              <w:jc w:val="both"/>
            </w:pPr>
            <w:r>
              <w:rPr>
                <w:rFonts w:ascii="仿宋_GB2312" w:hAnsi="仿宋_GB2312" w:eastAsia="仿宋_GB2312" w:cs="仿宋_GB2312"/>
                <w:b/>
                <w:sz w:val="21"/>
              </w:rPr>
              <w:t>（一）预警闭环管理</w:t>
            </w:r>
          </w:p>
          <w:p w14:paraId="6A2D49EC">
            <w:pPr>
              <w:pStyle w:val="4"/>
              <w:ind w:firstLine="420"/>
              <w:jc w:val="both"/>
            </w:pPr>
            <w:r>
              <w:rPr>
                <w:rFonts w:ascii="仿宋_GB2312" w:hAnsi="仿宋_GB2312" w:eastAsia="仿宋_GB2312" w:cs="仿宋_GB2312"/>
                <w:sz w:val="21"/>
              </w:rPr>
              <w:t>1.支持分级推送，根据事件级别向对应的部门及人员进行预警消息推送。超时预警自动升级，触发二次提醒。</w:t>
            </w:r>
          </w:p>
          <w:p w14:paraId="119BDB42">
            <w:pPr>
              <w:pStyle w:val="4"/>
              <w:ind w:firstLine="420"/>
              <w:jc w:val="both"/>
            </w:pPr>
            <w:r>
              <w:rPr>
                <w:rFonts w:ascii="仿宋_GB2312" w:hAnsi="仿宋_GB2312" w:eastAsia="仿宋_GB2312" w:cs="仿宋_GB2312"/>
                <w:sz w:val="21"/>
              </w:rPr>
              <w:t>2.预设干预方案库：用药调整、会诊申请、手术预案等。</w:t>
            </w:r>
          </w:p>
          <w:p w14:paraId="2A357C94">
            <w:pPr>
              <w:pStyle w:val="4"/>
              <w:ind w:firstLine="420"/>
              <w:jc w:val="both"/>
            </w:pPr>
            <w:r>
              <w:rPr>
                <w:rFonts w:ascii="仿宋_GB2312" w:hAnsi="仿宋_GB2312" w:eastAsia="仿宋_GB2312" w:cs="仿宋_GB2312"/>
                <w:sz w:val="21"/>
              </w:rPr>
              <w:t>3.临床医生在线提交处理记录（文字+附件），支持语音输入。</w:t>
            </w:r>
          </w:p>
          <w:p w14:paraId="4D494CF3">
            <w:pPr>
              <w:pStyle w:val="4"/>
              <w:ind w:firstLine="420"/>
              <w:jc w:val="both"/>
            </w:pPr>
            <w:r>
              <w:rPr>
                <w:rFonts w:ascii="仿宋_GB2312" w:hAnsi="仿宋_GB2312" w:eastAsia="仿宋_GB2312" w:cs="仿宋_GB2312"/>
                <w:sz w:val="21"/>
              </w:rPr>
              <w:t>4.职能部门审核后生成闭环报告，自动归档至患者病历。</w:t>
            </w:r>
          </w:p>
          <w:p w14:paraId="67C827B0">
            <w:pPr>
              <w:pStyle w:val="4"/>
              <w:jc w:val="both"/>
            </w:pPr>
            <w:r>
              <w:rPr>
                <w:rFonts w:ascii="仿宋_GB2312" w:hAnsi="仿宋_GB2312" w:eastAsia="仿宋_GB2312" w:cs="仿宋_GB2312"/>
                <w:b/>
                <w:sz w:val="21"/>
              </w:rPr>
              <w:t>（二）处理记录与公告</w:t>
            </w:r>
          </w:p>
          <w:p w14:paraId="135E3CE6">
            <w:pPr>
              <w:pStyle w:val="4"/>
              <w:ind w:firstLine="420"/>
              <w:jc w:val="both"/>
            </w:pPr>
            <w:r>
              <w:rPr>
                <w:rFonts w:ascii="仿宋_GB2312" w:hAnsi="仿宋_GB2312" w:eastAsia="仿宋_GB2312" w:cs="仿宋_GB2312"/>
                <w:sz w:val="21"/>
              </w:rPr>
              <w:t>1.支持处理记录查询，按科室、处理人、时间范围等条件检索查询，并支持导出为Excel。</w:t>
            </w:r>
          </w:p>
          <w:p w14:paraId="2A244733">
            <w:pPr>
              <w:pStyle w:val="4"/>
              <w:ind w:firstLine="420"/>
              <w:jc w:val="both"/>
            </w:pPr>
            <w:r>
              <w:rPr>
                <w:rFonts w:ascii="仿宋_GB2312" w:hAnsi="仿宋_GB2312" w:eastAsia="仿宋_GB2312" w:cs="仿宋_GB2312"/>
                <w:sz w:val="21"/>
              </w:rPr>
              <w:t>2.支持职能部门发布、删除、修改全院风险预警公告（可添加附件；上传文件资料支持多种格式文件），医务人员可查询或下载，支持阅读统计。</w:t>
            </w:r>
          </w:p>
          <w:p w14:paraId="772563FB">
            <w:pPr>
              <w:pStyle w:val="4"/>
              <w:jc w:val="both"/>
            </w:pPr>
            <w:r>
              <w:rPr>
                <w:rFonts w:hint="eastAsia" w:ascii="仿宋_GB2312" w:hAnsi="仿宋_GB2312" w:eastAsia="仿宋_GB2312" w:cs="仿宋_GB2312"/>
                <w:sz w:val="21"/>
                <w:lang w:val="en-US" w:eastAsia="zh-CN"/>
              </w:rPr>
              <w:t>六</w:t>
            </w:r>
            <w:r>
              <w:rPr>
                <w:rFonts w:ascii="仿宋_GB2312" w:hAnsi="仿宋_GB2312" w:eastAsia="仿宋_GB2312" w:cs="仿宋_GB2312"/>
                <w:sz w:val="21"/>
              </w:rPr>
              <w:t>、系统管理</w:t>
            </w:r>
          </w:p>
          <w:p w14:paraId="50F091AB">
            <w:pPr>
              <w:pStyle w:val="4"/>
              <w:jc w:val="both"/>
            </w:pPr>
            <w:r>
              <w:rPr>
                <w:rFonts w:ascii="仿宋_GB2312" w:hAnsi="仿宋_GB2312" w:eastAsia="仿宋_GB2312" w:cs="仿宋_GB2312"/>
                <w:b/>
                <w:sz w:val="21"/>
              </w:rPr>
              <w:t>（一）指标库与规则库</w:t>
            </w:r>
          </w:p>
          <w:p w14:paraId="3FFB8F86">
            <w:pPr>
              <w:pStyle w:val="4"/>
              <w:ind w:firstLine="420"/>
              <w:jc w:val="both"/>
            </w:pPr>
            <w:r>
              <w:rPr>
                <w:rFonts w:ascii="仿宋_GB2312" w:hAnsi="仿宋_GB2312" w:eastAsia="仿宋_GB2312" w:cs="仿宋_GB2312"/>
                <w:sz w:val="21"/>
              </w:rPr>
              <w:t>1.预警指标库支持基于医、护、技、药等维度的八大指标体系建设体系化风险指标库，支持自定义扩展。</w:t>
            </w:r>
          </w:p>
          <w:p w14:paraId="06308928">
            <w:pPr>
              <w:pStyle w:val="4"/>
              <w:ind w:firstLine="420"/>
              <w:jc w:val="both"/>
            </w:pPr>
            <w:r>
              <w:rPr>
                <w:rFonts w:ascii="仿宋_GB2312" w:hAnsi="仿宋_GB2312" w:eastAsia="仿宋_GB2312" w:cs="仿宋_GB2312"/>
                <w:sz w:val="21"/>
              </w:rPr>
              <w:t>2.支持主观性指标配置。</w:t>
            </w:r>
          </w:p>
          <w:p w14:paraId="2306B950">
            <w:pPr>
              <w:pStyle w:val="4"/>
              <w:ind w:firstLine="420"/>
              <w:jc w:val="both"/>
            </w:pPr>
            <w:r>
              <w:rPr>
                <w:rFonts w:ascii="仿宋_GB2312" w:hAnsi="仿宋_GB2312" w:eastAsia="仿宋_GB2312" w:cs="仿宋_GB2312"/>
                <w:sz w:val="21"/>
              </w:rPr>
              <w:t>3.支持系统建设风险模型规则库，将患者风险预警指标生成不同预测规则，做不同模型的底层积累，并阶段性迭代。</w:t>
            </w:r>
          </w:p>
          <w:p w14:paraId="6F2DCA21">
            <w:pPr>
              <w:pStyle w:val="4"/>
              <w:jc w:val="both"/>
            </w:pPr>
            <w:r>
              <w:rPr>
                <w:rFonts w:ascii="仿宋_GB2312" w:hAnsi="仿宋_GB2312" w:eastAsia="仿宋_GB2312" w:cs="仿宋_GB2312"/>
                <w:b/>
                <w:sz w:val="21"/>
              </w:rPr>
              <w:t>（二）风险模型与AI</w:t>
            </w:r>
          </w:p>
          <w:p w14:paraId="5077CADD">
            <w:pPr>
              <w:pStyle w:val="4"/>
              <w:ind w:firstLine="420"/>
              <w:jc w:val="both"/>
            </w:pPr>
            <w:r>
              <w:rPr>
                <w:rFonts w:ascii="仿宋_GB2312" w:hAnsi="仿宋_GB2312" w:eastAsia="仿宋_GB2312" w:cs="仿宋_GB2312"/>
                <w:sz w:val="21"/>
              </w:rPr>
              <w:t>1.动态评估模型：基于机器学习实时计算患者风险分数。</w:t>
            </w:r>
          </w:p>
          <w:p w14:paraId="0613412F">
            <w:pPr>
              <w:pStyle w:val="4"/>
              <w:ind w:firstLine="420"/>
              <w:jc w:val="both"/>
            </w:pPr>
            <w:r>
              <w:rPr>
                <w:rFonts w:ascii="仿宋_GB2312" w:hAnsi="仿宋_GB2312" w:eastAsia="仿宋_GB2312" w:cs="仿宋_GB2312"/>
                <w:sz w:val="21"/>
              </w:rPr>
              <w:t>2.模型可解释性：展示关键指标贡献度。</w:t>
            </w:r>
          </w:p>
          <w:p w14:paraId="76311032">
            <w:pPr>
              <w:pStyle w:val="4"/>
              <w:ind w:firstLine="420"/>
              <w:jc w:val="both"/>
            </w:pPr>
            <w:r>
              <w:rPr>
                <w:rFonts w:ascii="仿宋_GB2312" w:hAnsi="仿宋_GB2312" w:eastAsia="仿宋_GB2312" w:cs="仿宋_GB2312"/>
                <w:sz w:val="21"/>
              </w:rPr>
              <w:t>3.AI增强功能：自然语言处理（NLP）解析病历文本，自动提取潜在风险点。</w:t>
            </w:r>
          </w:p>
          <w:p w14:paraId="05C8BBB8">
            <w:pPr>
              <w:pStyle w:val="4"/>
              <w:jc w:val="both"/>
            </w:pPr>
            <w:r>
              <w:rPr>
                <w:rFonts w:ascii="仿宋_GB2312" w:hAnsi="仿宋_GB2312" w:eastAsia="仿宋_GB2312" w:cs="仿宋_GB2312"/>
                <w:b/>
                <w:sz w:val="21"/>
              </w:rPr>
              <w:t>（三）系统配置与安全</w:t>
            </w:r>
          </w:p>
          <w:p w14:paraId="5A3C9AD4">
            <w:pPr>
              <w:pStyle w:val="4"/>
              <w:ind w:firstLine="420"/>
              <w:jc w:val="both"/>
            </w:pPr>
            <w:r>
              <w:rPr>
                <w:rFonts w:ascii="仿宋_GB2312" w:hAnsi="仿宋_GB2312" w:eastAsia="仿宋_GB2312" w:cs="仿宋_GB2312"/>
                <w:sz w:val="21"/>
              </w:rPr>
              <w:t>1.精细化权限分配，支持由管理员账号进行统一授权管理，添加、删除用户使用平台的权限，根据用户科室、角色设置用户数据权限等级。</w:t>
            </w:r>
          </w:p>
          <w:p w14:paraId="0730FCF2">
            <w:pPr>
              <w:pStyle w:val="4"/>
              <w:ind w:firstLine="420"/>
              <w:jc w:val="both"/>
            </w:pPr>
            <w:r>
              <w:rPr>
                <w:rFonts w:ascii="仿宋_GB2312" w:hAnsi="仿宋_GB2312" w:eastAsia="仿宋_GB2312" w:cs="仿宋_GB2312"/>
                <w:sz w:val="21"/>
              </w:rPr>
              <w:t>2.支持查看平台用户操作日志，包括：操作内容、操作时间、是否操作成功、登录IP等，支持异常行为告警。</w:t>
            </w:r>
          </w:p>
          <w:p w14:paraId="75F83A51">
            <w:pPr>
              <w:pStyle w:val="4"/>
              <w:ind w:firstLine="420"/>
              <w:jc w:val="both"/>
            </w:pPr>
            <w:r>
              <w:rPr>
                <w:rFonts w:ascii="仿宋_GB2312" w:hAnsi="仿宋_GB2312" w:eastAsia="仿宋_GB2312" w:cs="仿宋_GB2312"/>
                <w:sz w:val="21"/>
              </w:rPr>
              <w:t>3.系统兼容性：支持与HIS、LIS、PACS系统数据对接，实时同步患者信息。</w:t>
            </w:r>
          </w:p>
        </w:tc>
      </w:tr>
      <w:tr w14:paraId="47AF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 w:type="dxa"/>
            <w:tcMar>
              <w:top w:w="0" w:type="dxa"/>
              <w:left w:w="105" w:type="dxa"/>
              <w:bottom w:w="0" w:type="dxa"/>
              <w:right w:w="105" w:type="dxa"/>
            </w:tcMar>
            <w:vAlign w:val="top"/>
          </w:tcPr>
          <w:p w14:paraId="0B2E2ADF">
            <w:pPr>
              <w:pStyle w:val="4"/>
              <w:jc w:val="center"/>
            </w:pPr>
            <w:r>
              <w:rPr>
                <w:rFonts w:ascii="仿宋_GB2312" w:hAnsi="仿宋_GB2312" w:eastAsia="仿宋_GB2312" w:cs="仿宋_GB2312"/>
                <w:sz w:val="21"/>
              </w:rPr>
              <w:t>12</w:t>
            </w:r>
          </w:p>
        </w:tc>
        <w:tc>
          <w:tcPr>
            <w:tcW w:w="1579" w:type="dxa"/>
            <w:tcMar>
              <w:top w:w="0" w:type="dxa"/>
              <w:left w:w="105" w:type="dxa"/>
              <w:bottom w:w="0" w:type="dxa"/>
              <w:right w:w="105" w:type="dxa"/>
            </w:tcMar>
            <w:vAlign w:val="top"/>
          </w:tcPr>
          <w:p w14:paraId="2399E801">
            <w:pPr>
              <w:pStyle w:val="4"/>
              <w:jc w:val="center"/>
            </w:pPr>
            <w:r>
              <w:rPr>
                <w:rFonts w:ascii="仿宋_GB2312" w:hAnsi="仿宋_GB2312" w:eastAsia="仿宋_GB2312" w:cs="仿宋_GB2312"/>
                <w:sz w:val="21"/>
              </w:rPr>
              <w:t>医疗质量安全核心制度落实情况监测</w:t>
            </w:r>
          </w:p>
        </w:tc>
        <w:tc>
          <w:tcPr>
            <w:tcW w:w="5506" w:type="dxa"/>
            <w:tcMar>
              <w:top w:w="0" w:type="dxa"/>
              <w:left w:w="105" w:type="dxa"/>
              <w:bottom w:w="0" w:type="dxa"/>
              <w:right w:w="105" w:type="dxa"/>
            </w:tcMar>
            <w:vAlign w:val="top"/>
          </w:tcPr>
          <w:p w14:paraId="27792669">
            <w:pPr>
              <w:pStyle w:val="4"/>
              <w:jc w:val="both"/>
            </w:pPr>
            <w:r>
              <w:rPr>
                <w:rFonts w:ascii="仿宋_GB2312" w:hAnsi="仿宋_GB2312" w:eastAsia="仿宋_GB2312" w:cs="仿宋_GB2312"/>
                <w:sz w:val="21"/>
              </w:rPr>
              <w:t>（1）患者入院48 小时内转科的比例；（2）患者入院8 小时内查房率；（3）上级医师查房记录规范率；（4）住院患者非计划手术率；（5）急会诊及时到位率；（6）急会诊有效率；（7）普通会诊及时完成率；（8）普通会诊有效率；（9）手术患者特级护理/一级护理出院率；（10）四级手术患者手术当日床旁交接班占比；（11）非计划再次住院/手术患者疑难病例讨论完成率；（12）非计划再次住院/手术患者疑难病例讨论记录完整率；（13）高额异常费用患者进行疑难病例讨论的占比；（14）急危重症患者抢救成功率；（15）术前讨论完成率；（16）术者参加术前讨论率；（17）术前讨论计划手术一致率；（18）实际手术术者与计划手术术者一致率；（19）死亡病例讨论5日完成率；（20）医务部门组织讨论的死亡病例与发生纠纷的死亡病例比值；（21）科主任主持死亡病例讨论率；（22）死亡患者病案上传率；（23）长期医嘱当日终止率；（24）手术医师手术时间重合率；（25）麻醉医师手术时间重合率；（26）四级手术与三级手术并发症发生率比；（27）四级手术与三级手术患者死亡率比；（28）四级手术术前多学科讨论完成率；（29）三、四级手术实际开展率；（30）新技术新项目留存转化率；（31）危急值报告时间；（32）住院患者危急值当日及时处置率；（33）特殊使用级抗菌药物使用会诊率；（34）临床用血后评估记录率；（35）术中自体血回输率。</w:t>
            </w:r>
            <w:r>
              <w:rPr>
                <w:rFonts w:ascii="仿宋_GB2312" w:hAnsi="仿宋_GB2312" w:eastAsia="仿宋_GB2312" w:cs="仿宋_GB2312"/>
                <w:b/>
                <w:sz w:val="21"/>
              </w:rPr>
              <w:t>（注：具体内容详见国家卫生健康委官网：发布《医疗质量安全核心制度落实情况监测指标（2025 年版）》）</w:t>
            </w:r>
          </w:p>
        </w:tc>
      </w:tr>
      <w:tr w14:paraId="257B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55" w:type="dxa"/>
            <w:tcMar>
              <w:top w:w="0" w:type="dxa"/>
              <w:left w:w="105" w:type="dxa"/>
              <w:bottom w:w="0" w:type="dxa"/>
              <w:right w:w="105" w:type="dxa"/>
            </w:tcMar>
            <w:vAlign w:val="top"/>
          </w:tcPr>
          <w:p w14:paraId="7034990B">
            <w:pPr>
              <w:pStyle w:val="4"/>
              <w:jc w:val="center"/>
            </w:pPr>
            <w:r>
              <w:rPr>
                <w:rFonts w:ascii="仿宋_GB2312" w:hAnsi="仿宋_GB2312" w:eastAsia="仿宋_GB2312" w:cs="仿宋_GB2312"/>
                <w:sz w:val="21"/>
              </w:rPr>
              <w:t>13</w:t>
            </w:r>
          </w:p>
        </w:tc>
        <w:tc>
          <w:tcPr>
            <w:tcW w:w="1579" w:type="dxa"/>
            <w:tcMar>
              <w:top w:w="0" w:type="dxa"/>
              <w:left w:w="105" w:type="dxa"/>
              <w:bottom w:w="0" w:type="dxa"/>
              <w:right w:w="105" w:type="dxa"/>
            </w:tcMar>
            <w:vAlign w:val="top"/>
          </w:tcPr>
          <w:p w14:paraId="1790F6B5">
            <w:pPr>
              <w:pStyle w:val="4"/>
              <w:jc w:val="center"/>
            </w:pPr>
            <w:r>
              <w:rPr>
                <w:rFonts w:ascii="仿宋_GB2312" w:hAnsi="仿宋_GB2312" w:eastAsia="仿宋_GB2312" w:cs="仿宋_GB2312"/>
                <w:sz w:val="21"/>
              </w:rPr>
              <w:t>其他</w:t>
            </w:r>
          </w:p>
        </w:tc>
        <w:tc>
          <w:tcPr>
            <w:tcW w:w="5506" w:type="dxa"/>
            <w:tcMar>
              <w:top w:w="0" w:type="dxa"/>
              <w:left w:w="105" w:type="dxa"/>
              <w:bottom w:w="0" w:type="dxa"/>
              <w:right w:w="105" w:type="dxa"/>
            </w:tcMar>
            <w:vAlign w:val="top"/>
          </w:tcPr>
          <w:p w14:paraId="67900E55">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lang w:eastAsia="zh-CN"/>
              </w:rPr>
              <w:t>）</w:t>
            </w:r>
            <w:r>
              <w:rPr>
                <w:rFonts w:ascii="仿宋_GB2312" w:hAnsi="仿宋_GB2312" w:eastAsia="仿宋_GB2312" w:cs="仿宋_GB2312"/>
                <w:sz w:val="21"/>
              </w:rPr>
              <w:t>以上功能涉及审批流程要求支持PC端和移动端。</w:t>
            </w:r>
          </w:p>
          <w:p w14:paraId="702544CC">
            <w:pPr>
              <w:pStyle w:val="4"/>
              <w:numPr>
                <w:ilvl w:val="0"/>
                <w:numId w:val="0"/>
              </w:numPr>
              <w:jc w:val="both"/>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lang w:eastAsia="zh-CN"/>
              </w:rPr>
              <w:t>）</w:t>
            </w:r>
            <w:r>
              <w:rPr>
                <w:rFonts w:ascii="仿宋_GB2312" w:hAnsi="仿宋_GB2312" w:eastAsia="仿宋_GB2312" w:cs="仿宋_GB2312"/>
                <w:sz w:val="21"/>
              </w:rPr>
              <w:t>可以实现中、省各级各类卫生政策/标准等查询浏览。</w:t>
            </w:r>
          </w:p>
        </w:tc>
      </w:tr>
      <w:tr w14:paraId="6749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55" w:type="dxa"/>
            <w:tcMar>
              <w:top w:w="0" w:type="dxa"/>
              <w:left w:w="105" w:type="dxa"/>
              <w:bottom w:w="0" w:type="dxa"/>
              <w:right w:w="105" w:type="dxa"/>
            </w:tcMar>
            <w:vAlign w:val="top"/>
          </w:tcPr>
          <w:p w14:paraId="0549321C">
            <w:pPr>
              <w:pStyle w:val="4"/>
              <w:jc w:val="center"/>
            </w:pPr>
            <w:r>
              <w:rPr>
                <w:rFonts w:ascii="仿宋_GB2312" w:hAnsi="仿宋_GB2312" w:eastAsia="仿宋_GB2312" w:cs="仿宋_GB2312"/>
                <w:sz w:val="21"/>
              </w:rPr>
              <w:t>14</w:t>
            </w:r>
          </w:p>
        </w:tc>
        <w:tc>
          <w:tcPr>
            <w:tcW w:w="1579" w:type="dxa"/>
            <w:tcMar>
              <w:top w:w="0" w:type="dxa"/>
              <w:left w:w="105" w:type="dxa"/>
              <w:bottom w:w="0" w:type="dxa"/>
              <w:right w:w="105" w:type="dxa"/>
            </w:tcMar>
            <w:vAlign w:val="top"/>
          </w:tcPr>
          <w:p w14:paraId="32B728CC">
            <w:pPr>
              <w:pStyle w:val="4"/>
              <w:jc w:val="both"/>
            </w:pPr>
            <w:r>
              <w:rPr>
                <w:rFonts w:ascii="仿宋_GB2312" w:hAnsi="仿宋_GB2312" w:eastAsia="仿宋_GB2312" w:cs="仿宋_GB2312"/>
                <w:sz w:val="21"/>
              </w:rPr>
              <w:t>技术要求前须知</w:t>
            </w:r>
          </w:p>
          <w:p w14:paraId="1CE28CCF">
            <w:pPr>
              <w:pStyle w:val="4"/>
              <w:jc w:val="both"/>
            </w:pPr>
          </w:p>
        </w:tc>
        <w:tc>
          <w:tcPr>
            <w:tcW w:w="5506" w:type="dxa"/>
            <w:tcMar>
              <w:top w:w="0" w:type="dxa"/>
              <w:left w:w="105" w:type="dxa"/>
              <w:bottom w:w="0" w:type="dxa"/>
              <w:right w:w="105" w:type="dxa"/>
            </w:tcMar>
            <w:vAlign w:val="top"/>
          </w:tcPr>
          <w:p w14:paraId="3A04FAF4">
            <w:pPr>
              <w:pStyle w:val="4"/>
              <w:jc w:val="both"/>
            </w:pPr>
            <w:r>
              <w:rPr>
                <w:rFonts w:ascii="仿宋_GB2312" w:hAnsi="仿宋_GB2312" w:eastAsia="仿宋_GB2312" w:cs="仿宋_GB2312"/>
                <w:sz w:val="21"/>
              </w:rPr>
              <w:t>1.投标人所投产品须满足但不局限于以下规范要求：</w:t>
            </w:r>
          </w:p>
          <w:p w14:paraId="2CE6E1E1">
            <w:pPr>
              <w:pStyle w:val="4"/>
              <w:jc w:val="both"/>
            </w:pPr>
            <w:r>
              <w:rPr>
                <w:rFonts w:ascii="仿宋_GB2312" w:hAnsi="仿宋_GB2312" w:eastAsia="仿宋_GB2312" w:cs="仿宋_GB2312"/>
                <w:sz w:val="21"/>
              </w:rPr>
              <w:t>（1）满足及遵循《全国医院信息化建设标准与规范（试行）》（2018年版）相关要求。</w:t>
            </w:r>
          </w:p>
          <w:p w14:paraId="78B7867A">
            <w:pPr>
              <w:pStyle w:val="4"/>
              <w:jc w:val="both"/>
            </w:pPr>
            <w:r>
              <w:rPr>
                <w:rFonts w:ascii="仿宋_GB2312" w:hAnsi="仿宋_GB2312" w:eastAsia="仿宋_GB2312" w:cs="仿宋_GB2312"/>
                <w:sz w:val="21"/>
              </w:rPr>
              <w:t>（2）满足及遵循《智慧医疗分级评价方法及标准》（2025年版）6级标准相关要求。</w:t>
            </w:r>
          </w:p>
          <w:p w14:paraId="73DA459B">
            <w:pPr>
              <w:pStyle w:val="4"/>
              <w:jc w:val="both"/>
            </w:pPr>
            <w:r>
              <w:rPr>
                <w:rFonts w:ascii="仿宋_GB2312" w:hAnsi="仿宋_GB2312" w:eastAsia="仿宋_GB2312" w:cs="仿宋_GB2312"/>
                <w:sz w:val="21"/>
              </w:rPr>
              <w:t>（3）满足及遵循《国家医疗健康信息医院信息互联互通标准化成熟度测评方案》（2020年版）五级乙等相关要求。</w:t>
            </w:r>
          </w:p>
          <w:p w14:paraId="5A21B073">
            <w:pPr>
              <w:pStyle w:val="4"/>
              <w:jc w:val="both"/>
            </w:pPr>
            <w:r>
              <w:rPr>
                <w:rFonts w:ascii="仿宋_GB2312" w:hAnsi="仿宋_GB2312" w:eastAsia="仿宋_GB2312" w:cs="仿宋_GB2312"/>
                <w:sz w:val="21"/>
              </w:rPr>
              <w:t>（4）满足及遵循《医院智慧服务分级评估标准体系（试行）》（最新版）四级相关要求。</w:t>
            </w:r>
          </w:p>
          <w:p w14:paraId="6751A4BC">
            <w:pPr>
              <w:pStyle w:val="4"/>
              <w:jc w:val="both"/>
            </w:pPr>
            <w:r>
              <w:rPr>
                <w:rFonts w:ascii="仿宋_GB2312" w:hAnsi="仿宋_GB2312" w:eastAsia="仿宋_GB2312" w:cs="仿宋_GB2312"/>
                <w:sz w:val="21"/>
              </w:rPr>
              <w:t>（5）满足及遵循《医院智慧管理分级评估标准体系（试行）》三级相关要求。</w:t>
            </w:r>
          </w:p>
          <w:p w14:paraId="07391580">
            <w:pPr>
              <w:pStyle w:val="4"/>
              <w:jc w:val="both"/>
            </w:pPr>
            <w:r>
              <w:rPr>
                <w:rFonts w:ascii="仿宋_GB2312" w:hAnsi="仿宋_GB2312" w:eastAsia="仿宋_GB2312" w:cs="仿宋_GB2312"/>
                <w:sz w:val="21"/>
              </w:rPr>
              <w:t>（6）满足及遵循《国务院办公厅关于推动公立医院高质量发展的意见》</w:t>
            </w:r>
          </w:p>
          <w:p w14:paraId="6315F3F3">
            <w:pPr>
              <w:pStyle w:val="4"/>
              <w:jc w:val="both"/>
            </w:pPr>
            <w:r>
              <w:rPr>
                <w:rFonts w:ascii="仿宋_GB2312" w:hAnsi="仿宋_GB2312" w:eastAsia="仿宋_GB2312" w:cs="仿宋_GB2312"/>
                <w:sz w:val="21"/>
              </w:rPr>
              <w:t>（7）满足及遵循《国家三级公立医院绩效考核操作手册》（2020版）相关条款。</w:t>
            </w:r>
          </w:p>
          <w:p w14:paraId="756D0CBB">
            <w:pPr>
              <w:pStyle w:val="4"/>
              <w:jc w:val="both"/>
            </w:pPr>
            <w:r>
              <w:rPr>
                <w:rFonts w:ascii="仿宋_GB2312" w:hAnsi="仿宋_GB2312" w:eastAsia="仿宋_GB2312" w:cs="仿宋_GB2312"/>
                <w:sz w:val="21"/>
              </w:rPr>
              <w:t>（8）满足及遵循国家卫健委关于进一步改善医疗服务行动计划相关要求。</w:t>
            </w:r>
          </w:p>
          <w:p w14:paraId="46395CEB">
            <w:pPr>
              <w:pStyle w:val="4"/>
              <w:jc w:val="both"/>
            </w:pPr>
            <w:r>
              <w:rPr>
                <w:rFonts w:ascii="仿宋_GB2312" w:hAnsi="仿宋_GB2312" w:eastAsia="仿宋_GB2312" w:cs="仿宋_GB2312"/>
                <w:sz w:val="21"/>
              </w:rPr>
              <w:t>（9）满足及遵循《三级医院评审标准实施细则》和《三级妇幼保健院评审标准实施细则》要求。</w:t>
            </w:r>
          </w:p>
          <w:p w14:paraId="48AB11BF">
            <w:pPr>
              <w:pStyle w:val="4"/>
              <w:jc w:val="both"/>
            </w:pPr>
            <w:r>
              <w:rPr>
                <w:rFonts w:ascii="仿宋_GB2312" w:hAnsi="仿宋_GB2312" w:eastAsia="仿宋_GB2312" w:cs="仿宋_GB2312"/>
                <w:sz w:val="21"/>
              </w:rPr>
              <w:t>（10）满足及遵循《陕西省智慧医院建设细则》（2024年版）相关要求。</w:t>
            </w:r>
          </w:p>
          <w:p w14:paraId="44BDCB9B">
            <w:pPr>
              <w:pStyle w:val="4"/>
              <w:jc w:val="both"/>
            </w:pPr>
            <w:r>
              <w:rPr>
                <w:rFonts w:ascii="仿宋_GB2312" w:hAnsi="仿宋_GB2312" w:eastAsia="仿宋_GB2312" w:cs="仿宋_GB2312"/>
                <w:sz w:val="21"/>
              </w:rPr>
              <w:t>2.投标人须保证采购人在使用该货物或其任何一部分时，不受第三方侵权指控，同时不得向第三方泄露采购人提供的任何技术文件和相关信息等。</w:t>
            </w:r>
          </w:p>
          <w:p w14:paraId="5FD7AC53">
            <w:pPr>
              <w:pStyle w:val="4"/>
              <w:jc w:val="both"/>
            </w:pPr>
            <w:r>
              <w:rPr>
                <w:rFonts w:ascii="仿宋_GB2312" w:hAnsi="仿宋_GB2312" w:eastAsia="仿宋_GB2312" w:cs="仿宋_GB2312"/>
                <w:sz w:val="21"/>
              </w:rPr>
              <w:t>3.★投标人所投产品必须为最新版本，且必须不低于已通过互联互通四甲、电子病历5级案例应用功能，并且承诺在项目实施过程中无条件满足符合中、省的技术类标准和业务规范变化的需求修改，非增加子系统或功能类的个性化需求，中标人须一并满足。</w:t>
            </w:r>
          </w:p>
          <w:p w14:paraId="2BCB0414">
            <w:pPr>
              <w:pStyle w:val="4"/>
              <w:jc w:val="both"/>
            </w:pPr>
            <w:r>
              <w:rPr>
                <w:rFonts w:ascii="仿宋_GB2312" w:hAnsi="仿宋_GB2312" w:eastAsia="仿宋_GB2312" w:cs="仿宋_GB2312"/>
                <w:sz w:val="21"/>
              </w:rPr>
              <w:t>4.投标人所投产品必须包含原厂商授权的知识库并在上线前提供原厂商的授权许可使用证明文件。</w:t>
            </w:r>
          </w:p>
          <w:p w14:paraId="2FF73008">
            <w:pPr>
              <w:pStyle w:val="4"/>
              <w:jc w:val="both"/>
            </w:pPr>
            <w:r>
              <w:rPr>
                <w:rFonts w:ascii="仿宋_GB2312" w:hAnsi="仿宋_GB2312" w:eastAsia="仿宋_GB2312" w:cs="仿宋_GB2312"/>
                <w:sz w:val="21"/>
              </w:rPr>
              <w:t>5.系统接口：投标报价中需包含本次采购系统与集成平台、系统与电子病历以及系统与数据中心等双方所有接口费用。</w:t>
            </w:r>
          </w:p>
          <w:p w14:paraId="723E641A">
            <w:pPr>
              <w:pStyle w:val="4"/>
              <w:jc w:val="both"/>
            </w:pPr>
            <w:r>
              <w:rPr>
                <w:rFonts w:ascii="仿宋_GB2312" w:hAnsi="仿宋_GB2312" w:eastAsia="仿宋_GB2312" w:cs="仿宋_GB2312"/>
                <w:sz w:val="21"/>
              </w:rPr>
              <w:t>6.★投标人所投产品必须满足上述规范要求。</w:t>
            </w:r>
          </w:p>
          <w:p w14:paraId="75BB9999">
            <w:pPr>
              <w:pStyle w:val="4"/>
              <w:jc w:val="both"/>
            </w:pPr>
            <w:r>
              <w:rPr>
                <w:rFonts w:ascii="仿宋_GB2312" w:hAnsi="仿宋_GB2312" w:eastAsia="仿宋_GB2312" w:cs="仿宋_GB2312"/>
                <w:sz w:val="21"/>
              </w:rPr>
              <w:t>7.★投标人所投产品必须响应招标文件项目采购需求，存在响应不全的情况，将被视为未实质性满足招标文件要求作无效标处理。</w:t>
            </w:r>
          </w:p>
          <w:p w14:paraId="2ACAE3B8">
            <w:pPr>
              <w:pStyle w:val="4"/>
              <w:jc w:val="both"/>
            </w:pPr>
            <w:r>
              <w:rPr>
                <w:rFonts w:ascii="仿宋_GB2312" w:hAnsi="仿宋_GB2312" w:eastAsia="仿宋_GB2312" w:cs="仿宋_GB2312"/>
                <w:sz w:val="21"/>
              </w:rPr>
              <w:t>8.投标人所投产品在实施过程中不能满足采购需求的，采购人有权要求投标人更换能够满足采购需求的产品。</w:t>
            </w:r>
          </w:p>
        </w:tc>
      </w:tr>
      <w:tr w14:paraId="5E20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055" w:type="dxa"/>
            <w:tcMar>
              <w:top w:w="0" w:type="dxa"/>
              <w:left w:w="105" w:type="dxa"/>
              <w:bottom w:w="0" w:type="dxa"/>
              <w:right w:w="105" w:type="dxa"/>
            </w:tcMar>
            <w:vAlign w:val="top"/>
          </w:tcPr>
          <w:p w14:paraId="7815DE4D">
            <w:pPr>
              <w:pStyle w:val="4"/>
              <w:jc w:val="center"/>
            </w:pPr>
            <w:bookmarkStart w:id="0" w:name="_GoBack" w:colFirst="0" w:colLast="2"/>
            <w:r>
              <w:rPr>
                <w:rFonts w:ascii="仿宋_GB2312" w:hAnsi="仿宋_GB2312" w:eastAsia="仿宋_GB2312" w:cs="仿宋_GB2312"/>
                <w:sz w:val="21"/>
              </w:rPr>
              <w:t>15</w:t>
            </w:r>
          </w:p>
        </w:tc>
        <w:tc>
          <w:tcPr>
            <w:tcW w:w="1579" w:type="dxa"/>
            <w:tcMar>
              <w:top w:w="0" w:type="dxa"/>
              <w:left w:w="105" w:type="dxa"/>
              <w:bottom w:w="0" w:type="dxa"/>
              <w:right w:w="105" w:type="dxa"/>
            </w:tcMar>
            <w:vAlign w:val="top"/>
          </w:tcPr>
          <w:p w14:paraId="4C1BA64F">
            <w:pPr>
              <w:pStyle w:val="4"/>
              <w:jc w:val="center"/>
            </w:pPr>
            <w:r>
              <w:rPr>
                <w:rFonts w:ascii="仿宋_GB2312" w:hAnsi="仿宋_GB2312" w:eastAsia="仿宋_GB2312" w:cs="仿宋_GB2312"/>
                <w:sz w:val="21"/>
              </w:rPr>
              <w:t>其他要求</w:t>
            </w:r>
          </w:p>
          <w:p w14:paraId="050743A0">
            <w:pPr>
              <w:pStyle w:val="4"/>
              <w:jc w:val="center"/>
            </w:pPr>
          </w:p>
        </w:tc>
        <w:tc>
          <w:tcPr>
            <w:tcW w:w="5506" w:type="dxa"/>
            <w:tcMar>
              <w:top w:w="0" w:type="dxa"/>
              <w:left w:w="105" w:type="dxa"/>
              <w:bottom w:w="0" w:type="dxa"/>
              <w:right w:w="105" w:type="dxa"/>
            </w:tcMar>
            <w:vAlign w:val="top"/>
          </w:tcPr>
          <w:p w14:paraId="2C71B470">
            <w:pPr>
              <w:pStyle w:val="4"/>
              <w:numPr>
                <w:ilvl w:val="0"/>
                <w:numId w:val="0"/>
              </w:numPr>
              <w:jc w:val="both"/>
            </w:pPr>
            <w:r>
              <w:rPr>
                <w:rFonts w:hint="eastAsia" w:ascii="仿宋_GB2312" w:hAnsi="仿宋_GB2312" w:eastAsia="仿宋_GB2312" w:cs="仿宋_GB2312"/>
                <w:sz w:val="21"/>
                <w:lang w:val="en-US" w:eastAsia="zh-CN"/>
              </w:rPr>
              <w:t>1.</w:t>
            </w:r>
            <w:r>
              <w:rPr>
                <w:rFonts w:ascii="仿宋_GB2312" w:hAnsi="仿宋_GB2312" w:eastAsia="仿宋_GB2312" w:cs="仿宋_GB2312"/>
                <w:sz w:val="21"/>
              </w:rPr>
              <w:t>实施范围：本项目所有招标采购内容，需覆盖采购人同一法人下的所有院区中所有涉及的业务科室，并且不限制终端使用数量。</w:t>
            </w:r>
          </w:p>
          <w:p w14:paraId="5354B85C">
            <w:pPr>
              <w:pStyle w:val="4"/>
              <w:numPr>
                <w:ilvl w:val="0"/>
                <w:numId w:val="0"/>
              </w:numPr>
              <w:jc w:val="both"/>
            </w:pPr>
            <w:r>
              <w:rPr>
                <w:rFonts w:hint="eastAsia" w:ascii="仿宋_GB2312" w:hAnsi="仿宋_GB2312" w:eastAsia="仿宋_GB2312" w:cs="仿宋_GB2312"/>
                <w:sz w:val="21"/>
                <w:lang w:val="en-US" w:eastAsia="zh-CN"/>
              </w:rPr>
              <w:t>2.</w:t>
            </w:r>
            <w:r>
              <w:rPr>
                <w:rFonts w:ascii="仿宋_GB2312" w:hAnsi="仿宋_GB2312" w:eastAsia="仿宋_GB2312" w:cs="仿宋_GB2312"/>
                <w:sz w:val="21"/>
              </w:rPr>
              <w:t>实施方案：投标人针对本项目情况制定科学、合理可行的实施方案，包括但不限于实施方案的科学性、合理性、规范性和可操作性，包括软件开发、安装调试、测试、试运行、调优等内容，以及组织机构、工作时间进度表、工作程序和步骤、管理和协调方法、关键步骤的思路和要点等；现场实施人员配置不少于两人，并对任务角色进行明确，经过双方确认后方可开工。</w:t>
            </w:r>
          </w:p>
          <w:p w14:paraId="00A60977">
            <w:pPr>
              <w:pStyle w:val="4"/>
              <w:jc w:val="both"/>
            </w:pPr>
            <w:r>
              <w:rPr>
                <w:rFonts w:ascii="仿宋_GB2312" w:hAnsi="仿宋_GB2312" w:eastAsia="仿宋_GB2312" w:cs="仿宋_GB2312"/>
                <w:sz w:val="21"/>
              </w:rPr>
              <w:t>3.实施情况</w:t>
            </w:r>
          </w:p>
          <w:p w14:paraId="03C7FDC3">
            <w:pPr>
              <w:pStyle w:val="4"/>
              <w:jc w:val="both"/>
            </w:pPr>
            <w:r>
              <w:rPr>
                <w:rFonts w:ascii="仿宋_GB2312" w:hAnsi="仿宋_GB2312" w:eastAsia="仿宋_GB2312" w:cs="仿宋_GB2312"/>
                <w:sz w:val="21"/>
              </w:rPr>
              <w:t>（1）中标人需配合采购人完成规范要求的评估工作，包括：协助评价/测评/评估标准的解读、数据填报、实证/文审材料准备、现场迎评以及评审后功能整改等技术支持。</w:t>
            </w:r>
          </w:p>
          <w:p w14:paraId="44E4071E">
            <w:pPr>
              <w:pStyle w:val="4"/>
              <w:jc w:val="both"/>
            </w:pPr>
            <w:r>
              <w:rPr>
                <w:rFonts w:ascii="仿宋_GB2312" w:hAnsi="仿宋_GB2312" w:eastAsia="仿宋_GB2312" w:cs="仿宋_GB2312"/>
                <w:sz w:val="21"/>
              </w:rPr>
              <w:t>注：投标报价需包含上述咨询、技术支持涉及的相关费用。</w:t>
            </w:r>
          </w:p>
          <w:p w14:paraId="3B3ADD8A">
            <w:pPr>
              <w:pStyle w:val="4"/>
              <w:jc w:val="both"/>
            </w:pPr>
            <w:r>
              <w:rPr>
                <w:rFonts w:ascii="仿宋_GB2312" w:hAnsi="仿宋_GB2312" w:eastAsia="仿宋_GB2312" w:cs="仿宋_GB2312"/>
                <w:sz w:val="21"/>
              </w:rPr>
              <w:t>（2）中标人需提供和协助采购人通过信息安全等级保护测评工作，等保测评涉及的本次采购软件系统的改造、升级费用一并包含在本次报价中。</w:t>
            </w:r>
          </w:p>
          <w:p w14:paraId="2A0FBD7B">
            <w:pPr>
              <w:pStyle w:val="4"/>
              <w:jc w:val="both"/>
            </w:pPr>
            <w:r>
              <w:rPr>
                <w:rFonts w:ascii="仿宋_GB2312" w:hAnsi="仿宋_GB2312" w:eastAsia="仿宋_GB2312" w:cs="仿宋_GB2312"/>
                <w:sz w:val="21"/>
              </w:rPr>
              <w:t>（3）中标人必须为后续的新增功能接口的开发提供统一、规范、友好的接口开发机制。</w:t>
            </w:r>
          </w:p>
          <w:p w14:paraId="191E3AD7">
            <w:pPr>
              <w:pStyle w:val="4"/>
              <w:jc w:val="both"/>
            </w:pPr>
            <w:r>
              <w:rPr>
                <w:rFonts w:ascii="仿宋_GB2312" w:hAnsi="仿宋_GB2312" w:eastAsia="仿宋_GB2312" w:cs="仿宋_GB2312"/>
                <w:sz w:val="21"/>
              </w:rPr>
              <w:t>（4）一经确定的项目组成员在实施过程中如因中标人单方面需更换，须提供书面说明，经采购人同意后方可进行调换，项目实施过程中，中标人按照项目所处阶段按需委派相应数量的专业工程师参与项目实施，采购人保留要求和建议的权利。</w:t>
            </w:r>
          </w:p>
          <w:p w14:paraId="13DB836A">
            <w:pPr>
              <w:pStyle w:val="4"/>
              <w:jc w:val="both"/>
            </w:pPr>
            <w:r>
              <w:rPr>
                <w:rFonts w:ascii="仿宋_GB2312" w:hAnsi="仿宋_GB2312" w:eastAsia="仿宋_GB2312" w:cs="仿宋_GB2312"/>
                <w:sz w:val="21"/>
              </w:rPr>
              <w:t>（5）中标人对实施团队的管理应充分尊重采购人对实施团队的评价和考核。如果不满足采购人的要求，采购人有权提出更换实施经理在内的人员。</w:t>
            </w:r>
          </w:p>
          <w:p w14:paraId="7C702242">
            <w:pPr>
              <w:pStyle w:val="4"/>
              <w:jc w:val="both"/>
            </w:pPr>
            <w:r>
              <w:rPr>
                <w:rFonts w:ascii="仿宋_GB2312" w:hAnsi="仿宋_GB2312" w:eastAsia="仿宋_GB2312" w:cs="仿宋_GB2312"/>
                <w:sz w:val="21"/>
              </w:rPr>
              <w:t>4.培训</w:t>
            </w:r>
          </w:p>
          <w:p w14:paraId="48ED58D7">
            <w:pPr>
              <w:pStyle w:val="4"/>
              <w:jc w:val="both"/>
            </w:pPr>
            <w:r>
              <w:rPr>
                <w:rFonts w:ascii="仿宋_GB2312" w:hAnsi="仿宋_GB2312" w:eastAsia="仿宋_GB2312" w:cs="仿宋_GB2312"/>
                <w:sz w:val="21"/>
              </w:rPr>
              <w:t>（1）中标人需提供完整的培训方案，培训的内容、次数和方式由采购人提出，采购人负责提供培训场地、培训电脑和培训人员的召集，中标人负责培训环境的搭建、培训文档的准备、培训的实施等。</w:t>
            </w:r>
          </w:p>
          <w:p w14:paraId="1C2021B4">
            <w:pPr>
              <w:pStyle w:val="4"/>
              <w:jc w:val="both"/>
            </w:pPr>
            <w:r>
              <w:rPr>
                <w:rFonts w:ascii="仿宋_GB2312" w:hAnsi="仿宋_GB2312" w:eastAsia="仿宋_GB2312" w:cs="仿宋_GB2312"/>
                <w:sz w:val="21"/>
              </w:rPr>
              <w:t>（2）培训内容：</w:t>
            </w:r>
          </w:p>
          <w:p w14:paraId="0DC09C6E">
            <w:pPr>
              <w:pStyle w:val="4"/>
              <w:jc w:val="both"/>
            </w:pPr>
            <w:r>
              <w:rPr>
                <w:rFonts w:ascii="仿宋_GB2312" w:hAnsi="仿宋_GB2312" w:eastAsia="仿宋_GB2312" w:cs="仿宋_GB2312"/>
                <w:sz w:val="21"/>
              </w:rPr>
              <w:t>1）系统软件的用户使用培训，应用软件操作培训；</w:t>
            </w:r>
          </w:p>
          <w:p w14:paraId="5FA4BDD3">
            <w:pPr>
              <w:pStyle w:val="4"/>
              <w:jc w:val="both"/>
            </w:pPr>
            <w:r>
              <w:rPr>
                <w:rFonts w:ascii="仿宋_GB2312" w:hAnsi="仿宋_GB2312" w:eastAsia="仿宋_GB2312" w:cs="仿宋_GB2312"/>
                <w:sz w:val="21"/>
              </w:rPr>
              <w:t>2）系统管理培训、采购人技术人员维护培训；</w:t>
            </w:r>
          </w:p>
          <w:p w14:paraId="33754B60">
            <w:pPr>
              <w:pStyle w:val="4"/>
              <w:jc w:val="both"/>
            </w:pPr>
            <w:r>
              <w:rPr>
                <w:rFonts w:ascii="仿宋_GB2312" w:hAnsi="仿宋_GB2312" w:eastAsia="仿宋_GB2312" w:cs="仿宋_GB2312"/>
                <w:sz w:val="21"/>
              </w:rPr>
              <w:t>3）应用软件操作疑难问题解答。</w:t>
            </w:r>
          </w:p>
          <w:p w14:paraId="244C494A">
            <w:pPr>
              <w:pStyle w:val="4"/>
              <w:jc w:val="both"/>
            </w:pPr>
            <w:r>
              <w:rPr>
                <w:rFonts w:ascii="仿宋_GB2312" w:hAnsi="仿宋_GB2312" w:eastAsia="仿宋_GB2312" w:cs="仿宋_GB2312"/>
                <w:sz w:val="21"/>
              </w:rPr>
              <w:t>5.实施团队人数要求：</w:t>
            </w:r>
          </w:p>
          <w:p w14:paraId="6BCFB4CF">
            <w:pPr>
              <w:pStyle w:val="4"/>
              <w:jc w:val="both"/>
            </w:pPr>
            <w:r>
              <w:rPr>
                <w:rFonts w:ascii="仿宋_GB2312" w:hAnsi="仿宋_GB2312" w:eastAsia="仿宋_GB2312" w:cs="仿宋_GB2312"/>
                <w:sz w:val="21"/>
              </w:rPr>
              <w:t>（1）需要本项目实施项目经理（具有一定的项目管理经验）；</w:t>
            </w:r>
          </w:p>
          <w:p w14:paraId="6E15029D">
            <w:pPr>
              <w:pStyle w:val="4"/>
              <w:jc w:val="both"/>
            </w:pPr>
            <w:r>
              <w:rPr>
                <w:rFonts w:ascii="仿宋_GB2312" w:hAnsi="仿宋_GB2312" w:eastAsia="仿宋_GB2312" w:cs="仿宋_GB2312"/>
                <w:sz w:val="21"/>
              </w:rPr>
              <w:t>（2）需具有信息系统项目管理师(PHP或软考的信息系统管理师)1人、系统分析师1人、系统架构师1人、信息安全工程师1人（提供实施团队人员名单和资格证书复印件并加盖公章。）</w:t>
            </w:r>
          </w:p>
        </w:tc>
      </w:tr>
      <w:bookmarkEnd w:id="0"/>
    </w:tbl>
    <w:p w14:paraId="6B4D98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D5554"/>
    <w:rsid w:val="0C7D5554"/>
    <w:rsid w:val="25D0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7837</Words>
  <Characters>8022</Characters>
  <Lines>0</Lines>
  <Paragraphs>0</Paragraphs>
  <TotalTime>16</TotalTime>
  <ScaleCrop>false</ScaleCrop>
  <LinksUpToDate>false</LinksUpToDate>
  <CharactersWithSpaces>8025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2025-07-24T10:28:00Z</dcterms:created>
  <dc:creator>上官官官</dc:creator>
  <cp:lastModifiedBy>Administrator</cp:lastModifiedBy>
  <dcterms:modified xsi:type="dcterms:W3CDTF">2025-07-24T10:53:48Z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90006F93E8094778B70B39199C4ABA37_11</vt:lpwstr>
  </property>
  <property fmtid="{D5CDD505-2E9C-101B-9397-08002B2CF9AE}" pid="4" name="KSOTemplateDocerSaveRecord">
    <vt:lpwstr>eyJoZGlkIjoiOTY5YmFkYTQzZmM2YTM4YzY5OGY2NmUwNDVjNjg5ZmYifQ==</vt:lpwstr>
  </property>
</Properties>
</file>