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228F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一、技术、服务标准和要求：</w:t>
      </w:r>
    </w:p>
    <w:p w14:paraId="55E9199E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采购包1：</w:t>
      </w:r>
    </w:p>
    <w:p w14:paraId="43E8266F">
      <w:pPr>
        <w:pStyle w:val="22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标的名称：</w:t>
      </w:r>
      <w:r>
        <w:rPr>
          <w:rFonts w:hint="eastAsia" w:ascii="仿宋" w:hAnsi="仿宋" w:eastAsia="仿宋" w:cs="仿宋"/>
          <w:highlight w:val="none"/>
          <w:lang w:eastAsia="zh-CN"/>
        </w:rPr>
        <w:t>食堂工程改造项目</w:t>
      </w:r>
    </w:p>
    <w:tbl>
      <w:tblPr>
        <w:tblStyle w:val="16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83"/>
        <w:gridCol w:w="7207"/>
      </w:tblGrid>
      <w:tr w14:paraId="04E24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9" w:type="pct"/>
          </w:tcPr>
          <w:p w14:paraId="1BDFA1F5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401" w:type="pct"/>
          </w:tcPr>
          <w:p w14:paraId="78A1A6D4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参数性质</w:t>
            </w:r>
          </w:p>
        </w:tc>
        <w:tc>
          <w:tcPr>
            <w:tcW w:w="4228" w:type="pct"/>
          </w:tcPr>
          <w:p w14:paraId="73C4527E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 技术参数与性能指标</w:t>
            </w:r>
          </w:p>
        </w:tc>
      </w:tr>
      <w:tr w14:paraId="54CCF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 w14:paraId="36B83145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401" w:type="pct"/>
          </w:tcPr>
          <w:p w14:paraId="0C68DFEA">
            <w:pPr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228" w:type="pct"/>
          </w:tcPr>
          <w:p w14:paraId="771EE4BC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highlight w:val="none"/>
              </w:rPr>
              <w:t>一、概况及实施范围</w:t>
            </w:r>
          </w:p>
          <w:p w14:paraId="1CB7BE01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1、实施地点：甲方指定地点；</w:t>
            </w:r>
          </w:p>
          <w:p w14:paraId="7258C922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2、工期：20天</w:t>
            </w:r>
          </w:p>
          <w:p w14:paraId="6B308F73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3、质保期：1年</w:t>
            </w:r>
          </w:p>
          <w:p w14:paraId="72853DB5">
            <w:pPr>
              <w:pStyle w:val="22"/>
              <w:jc w:val="both"/>
              <w:rPr>
                <w:rFonts w:hint="eastAsia" w:ascii="仿宋" w:hAnsi="仿宋" w:eastAsia="仿宋" w:cs="仿宋"/>
                <w:b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highlight w:val="none"/>
              </w:rPr>
              <w:t>二、工程量清单</w:t>
            </w:r>
            <w:r>
              <w:rPr>
                <w:rFonts w:hint="eastAsia" w:ascii="仿宋" w:hAnsi="仿宋" w:eastAsia="仿宋" w:cs="仿宋"/>
                <w:b/>
                <w:sz w:val="21"/>
                <w:highlight w:val="none"/>
                <w:lang w:eastAsia="zh-CN"/>
              </w:rPr>
              <w:t>另附</w:t>
            </w:r>
          </w:p>
        </w:tc>
      </w:tr>
    </w:tbl>
    <w:p w14:paraId="4A8234F2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二、供应商针对本项目的施工，必须达到国家及行业现行技术规范标准，符合国家及行业验收合格标准：</w:t>
      </w:r>
      <w:bookmarkStart w:id="0" w:name="_GoBack"/>
      <w:bookmarkEnd w:id="0"/>
    </w:p>
    <w:p w14:paraId="085D3E79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采购包1：</w:t>
      </w:r>
    </w:p>
    <w:p w14:paraId="249960C7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必须达到国家及行业现行技术规范标准，符合国家及行业验收合格标准</w:t>
      </w:r>
    </w:p>
    <w:p w14:paraId="10C8C784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三、针对本项目的其他技术服务要求：</w:t>
      </w:r>
    </w:p>
    <w:p w14:paraId="72CB4460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必须达到国家及行业现行技术规范标准，符合国家及行业验收合格标准</w:t>
      </w:r>
    </w:p>
    <w:p w14:paraId="3ABCFB95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四、工程量清单（详见附件）</w:t>
      </w:r>
    </w:p>
    <w:p w14:paraId="7FDF586C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09E8A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011161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4914E4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8B71D59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snapToGrid w:val="0"/>
      <w:spacing w:line="240" w:lineRule="auto"/>
      <w:jc w:val="left"/>
      <w:textAlignment w:val="auto"/>
    </w:pPr>
    <w:rPr>
      <w:rFonts w:ascii="Calibri" w:hAnsi="Calibri" w:eastAsia="宋体" w:cs="Times New Roman"/>
      <w:snapToGrid/>
      <w:kern w:val="2"/>
      <w:sz w:val="18"/>
      <w:szCs w:val="18"/>
      <w:lang w:eastAsia="zh-CN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4">
    <w:name w:val="Body Text"/>
    <w:basedOn w:val="1"/>
    <w:qFormat/>
    <w:uiPriority w:val="0"/>
    <w:pPr>
      <w:spacing w:after="120" w:afterLines="0" w:afterAutospacing="0"/>
    </w:pPr>
  </w:style>
  <w:style w:type="paragraph" w:styleId="15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8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9">
    <w:name w:val="标题 3 Char"/>
    <w:basedOn w:val="17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7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1">
    <w:name w:val="标题 4 Char"/>
    <w:basedOn w:val="17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2025-07-25T09:17:40Z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