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844CF">
      <w:pPr>
        <w:pStyle w:val="8"/>
        <w:snapToGrid w:val="0"/>
        <w:rPr>
          <w:rFonts w:ascii="宋体" w:hAnsi="宋体" w:cs="宋体"/>
          <w:color w:val="auto"/>
          <w:highlight w:val="none"/>
        </w:rPr>
      </w:pPr>
    </w:p>
    <w:p w14:paraId="0FE49165">
      <w:pPr>
        <w:rPr>
          <w:rFonts w:ascii="宋体" w:hAnsi="宋体" w:cs="宋体"/>
          <w:color w:val="auto"/>
          <w:highlight w:val="none"/>
        </w:rPr>
      </w:pPr>
    </w:p>
    <w:p w14:paraId="4EAA7B26">
      <w:pPr>
        <w:snapToGrid w:val="0"/>
        <w:jc w:val="center"/>
        <w:rPr>
          <w:rFonts w:hint="eastAsia" w:ascii="宋体" w:hAnsi="宋体" w:cs="宋体"/>
          <w:b/>
          <w:color w:val="auto"/>
          <w:kern w:val="21"/>
          <w:sz w:val="70"/>
          <w:szCs w:val="70"/>
          <w:highlight w:val="none"/>
        </w:rPr>
      </w:pPr>
    </w:p>
    <w:p w14:paraId="19330656">
      <w:pPr>
        <w:snapToGrid w:val="0"/>
        <w:jc w:val="center"/>
        <w:rPr>
          <w:rFonts w:hint="eastAsia" w:ascii="宋体" w:hAnsi="宋体" w:cs="宋体"/>
          <w:b/>
          <w:color w:val="auto"/>
          <w:kern w:val="21"/>
          <w:sz w:val="70"/>
          <w:szCs w:val="70"/>
          <w:highlight w:val="none"/>
        </w:rPr>
      </w:pPr>
      <w:r>
        <w:rPr>
          <w:rFonts w:hint="eastAsia" w:ascii="宋体" w:hAnsi="宋体" w:cs="宋体"/>
          <w:b/>
          <w:color w:val="auto"/>
          <w:kern w:val="21"/>
          <w:sz w:val="70"/>
          <w:szCs w:val="70"/>
          <w:highlight w:val="none"/>
        </w:rPr>
        <w:t>卫星便携站采购项目(二次)</w:t>
      </w:r>
    </w:p>
    <w:p w14:paraId="5586DDE5">
      <w:pPr>
        <w:snapToGrid w:val="0"/>
        <w:spacing w:line="360" w:lineRule="auto"/>
        <w:jc w:val="center"/>
        <w:rPr>
          <w:rFonts w:ascii="宋体" w:hAnsi="宋体" w:cs="宋体"/>
          <w:b/>
          <w:color w:val="auto"/>
          <w:kern w:val="21"/>
          <w:sz w:val="44"/>
          <w:szCs w:val="44"/>
          <w:highlight w:val="none"/>
        </w:rPr>
      </w:pPr>
    </w:p>
    <w:p w14:paraId="31FB6D10">
      <w:pPr>
        <w:pStyle w:val="3"/>
        <w:snapToGrid w:val="0"/>
        <w:rPr>
          <w:rFonts w:ascii="宋体" w:hAnsi="宋体" w:cs="宋体"/>
          <w:color w:val="auto"/>
          <w:highlight w:val="none"/>
        </w:rPr>
      </w:pPr>
    </w:p>
    <w:p w14:paraId="1593D49C">
      <w:pPr>
        <w:pStyle w:val="3"/>
        <w:jc w:val="both"/>
        <w:rPr>
          <w:rFonts w:ascii="宋体" w:hAnsi="宋体" w:cs="宋体"/>
          <w:color w:val="auto"/>
          <w:highlight w:val="none"/>
        </w:rPr>
      </w:pPr>
    </w:p>
    <w:p w14:paraId="63501752">
      <w:pPr>
        <w:pStyle w:val="3"/>
        <w:jc w:val="both"/>
        <w:rPr>
          <w:rFonts w:ascii="宋体" w:hAnsi="宋体" w:cs="宋体"/>
          <w:color w:val="auto"/>
          <w:highlight w:val="none"/>
        </w:rPr>
      </w:pPr>
    </w:p>
    <w:p w14:paraId="129B9CE7">
      <w:pPr>
        <w:snapToGrid w:val="0"/>
        <w:jc w:val="center"/>
        <w:rPr>
          <w:rFonts w:ascii="宋体" w:hAnsi="宋体" w:cs="宋体"/>
          <w:b/>
          <w:color w:val="auto"/>
          <w:kern w:val="21"/>
          <w:sz w:val="70"/>
          <w:szCs w:val="70"/>
          <w:highlight w:val="none"/>
        </w:rPr>
      </w:pPr>
      <w:r>
        <w:rPr>
          <w:rFonts w:hint="eastAsia" w:ascii="宋体" w:hAnsi="宋体" w:cs="宋体"/>
          <w:b/>
          <w:color w:val="auto"/>
          <w:kern w:val="21"/>
          <w:sz w:val="70"/>
          <w:szCs w:val="70"/>
          <w:highlight w:val="none"/>
        </w:rPr>
        <w:t>招 标 文 件</w:t>
      </w:r>
    </w:p>
    <w:p w14:paraId="76DF03E9">
      <w:pPr>
        <w:snapToGrid w:val="0"/>
        <w:jc w:val="center"/>
        <w:rPr>
          <w:rFonts w:ascii="宋体" w:hAnsi="宋体" w:cs="宋体"/>
          <w:b/>
          <w:color w:val="auto"/>
          <w:kern w:val="21"/>
          <w:sz w:val="70"/>
          <w:szCs w:val="70"/>
          <w:highlight w:val="none"/>
        </w:rPr>
      </w:pPr>
    </w:p>
    <w:p w14:paraId="64A5F21C">
      <w:pPr>
        <w:snapToGrid w:val="0"/>
        <w:jc w:val="center"/>
        <w:rPr>
          <w:rFonts w:ascii="宋体" w:hAnsi="宋体" w:cs="宋体"/>
          <w:b/>
          <w:color w:val="auto"/>
          <w:kern w:val="21"/>
          <w:sz w:val="30"/>
          <w:szCs w:val="30"/>
          <w:highlight w:val="none"/>
        </w:rPr>
      </w:pPr>
    </w:p>
    <w:p w14:paraId="314EB11B">
      <w:pPr>
        <w:pStyle w:val="3"/>
        <w:snapToGrid w:val="0"/>
        <w:rPr>
          <w:rFonts w:hint="eastAsia" w:ascii="宋体" w:hAnsi="宋体" w:eastAsia="宋体" w:cs="宋体"/>
          <w:color w:val="auto"/>
          <w:kern w:val="21"/>
          <w:sz w:val="30"/>
          <w:szCs w:val="30"/>
          <w:highlight w:val="none"/>
          <w:lang w:val="en-US" w:eastAsia="zh-CN"/>
        </w:rPr>
      </w:pPr>
      <w:bookmarkStart w:id="0" w:name="_Toc16910"/>
      <w:r>
        <w:rPr>
          <w:rFonts w:hint="eastAsia" w:ascii="宋体" w:hAnsi="宋体" w:cs="宋体"/>
          <w:color w:val="auto"/>
          <w:kern w:val="21"/>
          <w:sz w:val="30"/>
          <w:szCs w:val="30"/>
          <w:highlight w:val="none"/>
        </w:rPr>
        <w:t>项目编号：</w:t>
      </w:r>
      <w:bookmarkEnd w:id="0"/>
      <w:r>
        <w:rPr>
          <w:rFonts w:hint="eastAsia" w:ascii="宋体" w:hAnsi="宋体" w:cs="宋体"/>
          <w:color w:val="auto"/>
          <w:kern w:val="21"/>
          <w:sz w:val="30"/>
          <w:szCs w:val="30"/>
          <w:highlight w:val="none"/>
        </w:rPr>
        <w:t>ZC-省本级-2025-002.1B1</w:t>
      </w:r>
    </w:p>
    <w:p w14:paraId="13B03816">
      <w:pPr>
        <w:rPr>
          <w:rFonts w:ascii="宋体" w:hAnsi="宋体" w:cs="宋体"/>
          <w:color w:val="auto"/>
          <w:highlight w:val="none"/>
        </w:rPr>
      </w:pPr>
    </w:p>
    <w:p w14:paraId="6A646C25">
      <w:pPr>
        <w:pStyle w:val="8"/>
        <w:ind w:left="0" w:leftChars="0"/>
        <w:rPr>
          <w:rFonts w:ascii="宋体" w:hAnsi="宋体" w:cs="宋体"/>
          <w:color w:val="auto"/>
          <w:sz w:val="20"/>
          <w:highlight w:val="none"/>
        </w:rPr>
      </w:pPr>
    </w:p>
    <w:p w14:paraId="2995C493">
      <w:pPr>
        <w:rPr>
          <w:rFonts w:ascii="宋体" w:hAnsi="宋体" w:cs="宋体"/>
          <w:color w:val="auto"/>
          <w:sz w:val="20"/>
          <w:highlight w:val="none"/>
        </w:rPr>
      </w:pPr>
    </w:p>
    <w:p w14:paraId="71A2FBEA">
      <w:pPr>
        <w:rPr>
          <w:rFonts w:ascii="宋体" w:hAnsi="宋体" w:cs="宋体"/>
          <w:color w:val="auto"/>
          <w:highlight w:val="none"/>
        </w:rPr>
      </w:pPr>
    </w:p>
    <w:p w14:paraId="14A728E9">
      <w:pPr>
        <w:rPr>
          <w:rFonts w:ascii="宋体" w:hAnsi="宋体" w:cs="宋体"/>
          <w:color w:val="auto"/>
          <w:highlight w:val="none"/>
        </w:rPr>
      </w:pPr>
    </w:p>
    <w:p w14:paraId="6BD93182">
      <w:pPr>
        <w:pStyle w:val="8"/>
        <w:rPr>
          <w:rFonts w:ascii="宋体" w:hAnsi="宋体" w:cs="宋体"/>
          <w:color w:val="auto"/>
          <w:highlight w:val="none"/>
        </w:rPr>
      </w:pPr>
    </w:p>
    <w:p w14:paraId="064D3148">
      <w:pPr>
        <w:snapToGrid w:val="0"/>
        <w:rPr>
          <w:rFonts w:ascii="宋体" w:hAnsi="宋体" w:cs="宋体"/>
          <w:color w:val="auto"/>
          <w:sz w:val="20"/>
          <w:highlight w:val="none"/>
        </w:rPr>
      </w:pPr>
    </w:p>
    <w:p w14:paraId="5A683DBE">
      <w:pPr>
        <w:snapToGrid w:val="0"/>
        <w:spacing w:line="900" w:lineRule="exact"/>
        <w:ind w:firstLine="2108" w:firstLineChars="7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采   购   人：陕西省公安厅交通警察总队</w:t>
      </w:r>
    </w:p>
    <w:p w14:paraId="6C1590C4">
      <w:pPr>
        <w:snapToGrid w:val="0"/>
        <w:spacing w:line="900" w:lineRule="exact"/>
        <w:ind w:firstLine="2108" w:firstLineChars="700"/>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采购代理机构：陕西政采通招标有限公司</w:t>
      </w:r>
    </w:p>
    <w:p w14:paraId="125F9AE1">
      <w:pPr>
        <w:snapToGrid w:val="0"/>
        <w:spacing w:line="900" w:lineRule="exact"/>
        <w:jc w:val="center"/>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t>二〇二五年</w:t>
      </w:r>
      <w:r>
        <w:rPr>
          <w:rFonts w:hint="eastAsia" w:ascii="宋体" w:hAnsi="宋体" w:cs="宋体"/>
          <w:b/>
          <w:color w:val="auto"/>
          <w:kern w:val="21"/>
          <w:sz w:val="30"/>
          <w:szCs w:val="30"/>
          <w:highlight w:val="none"/>
          <w:lang w:val="en-US" w:eastAsia="zh-CN"/>
        </w:rPr>
        <w:t>七</w:t>
      </w:r>
      <w:r>
        <w:rPr>
          <w:rFonts w:hint="eastAsia" w:ascii="宋体" w:hAnsi="宋体" w:cs="宋体"/>
          <w:b/>
          <w:color w:val="auto"/>
          <w:kern w:val="21"/>
          <w:sz w:val="30"/>
          <w:szCs w:val="30"/>
          <w:highlight w:val="none"/>
        </w:rPr>
        <w:t>月</w:t>
      </w:r>
    </w:p>
    <w:p w14:paraId="78C55DF6">
      <w:pPr>
        <w:rPr>
          <w:rFonts w:ascii="宋体" w:hAnsi="宋体" w:cs="宋体"/>
          <w:b/>
          <w:color w:val="auto"/>
          <w:kern w:val="21"/>
          <w:sz w:val="30"/>
          <w:szCs w:val="30"/>
          <w:highlight w:val="none"/>
        </w:rPr>
      </w:pPr>
      <w:r>
        <w:rPr>
          <w:rFonts w:hint="eastAsia" w:ascii="宋体" w:hAnsi="宋体" w:cs="宋体"/>
          <w:b/>
          <w:color w:val="auto"/>
          <w:kern w:val="21"/>
          <w:sz w:val="30"/>
          <w:szCs w:val="30"/>
          <w:highlight w:val="none"/>
        </w:rPr>
        <w:br w:type="page"/>
      </w:r>
    </w:p>
    <w:sdt>
      <w:sdtPr>
        <w:rPr>
          <w:rFonts w:ascii="宋体" w:hAnsi="宋体" w:eastAsia="仿宋_GB2312"/>
          <w:color w:val="auto"/>
          <w:sz w:val="31"/>
          <w:highlight w:val="none"/>
        </w:rPr>
        <w:id w:val="147473391"/>
        <w15:color w:val="DBDBDB"/>
        <w:docPartObj>
          <w:docPartGallery w:val="Table of Contents"/>
          <w:docPartUnique/>
        </w:docPartObj>
      </w:sdtPr>
      <w:sdtEndPr>
        <w:rPr>
          <w:rFonts w:hint="eastAsia" w:ascii="宋体" w:hAnsi="宋体" w:eastAsia="仿宋_GB2312" w:cs="宋体"/>
          <w:color w:val="auto"/>
          <w:sz w:val="31"/>
          <w:szCs w:val="32"/>
          <w:highlight w:val="none"/>
        </w:rPr>
      </w:sdtEndPr>
      <w:sdtContent>
        <w:p w14:paraId="46B2975C">
          <w:pPr>
            <w:spacing w:line="240" w:lineRule="auto"/>
            <w:jc w:val="center"/>
            <w:rPr>
              <w:color w:val="auto"/>
              <w:sz w:val="28"/>
              <w:szCs w:val="28"/>
              <w:highlight w:val="none"/>
            </w:rPr>
          </w:pPr>
          <w:r>
            <w:rPr>
              <w:rFonts w:ascii="宋体" w:hAnsi="宋体"/>
              <w:color w:val="auto"/>
              <w:sz w:val="28"/>
              <w:szCs w:val="28"/>
              <w:highlight w:val="none"/>
            </w:rPr>
            <w:t>目录</w:t>
          </w:r>
        </w:p>
        <w:p w14:paraId="4C657AF7">
          <w:pPr>
            <w:pStyle w:val="21"/>
            <w:tabs>
              <w:tab w:val="right" w:leader="dot" w:pos="9740"/>
            </w:tabs>
            <w:spacing w:line="480" w:lineRule="auto"/>
            <w:rPr>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"1-2" \h \u </w:instrText>
          </w:r>
          <w:r>
            <w:rPr>
              <w:rFonts w:hint="eastAsia" w:ascii="宋体" w:hAnsi="宋体" w:cs="宋体"/>
              <w:b/>
              <w:color w:val="auto"/>
              <w:sz w:val="28"/>
              <w:szCs w:val="28"/>
              <w:highlight w:val="none"/>
            </w:rPr>
            <w:fldChar w:fldCharType="separate"/>
          </w:r>
        </w:p>
        <w:p w14:paraId="6C2B27B3">
          <w:pPr>
            <w:pStyle w:val="19"/>
            <w:tabs>
              <w:tab w:val="right" w:leader="dot" w:pos="974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"_Toc25668" </w:instrText>
          </w:r>
          <w:r>
            <w:rPr>
              <w:color w:val="auto"/>
              <w:highlight w:val="none"/>
            </w:rPr>
            <w:fldChar w:fldCharType="separate"/>
          </w:r>
          <w:r>
            <w:rPr>
              <w:rFonts w:hint="eastAsia" w:ascii="宋体" w:hAnsi="宋体" w:cs="宋体"/>
              <w:color w:val="auto"/>
              <w:sz w:val="28"/>
              <w:szCs w:val="28"/>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_Toc25668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E9EF34A">
          <w:pPr>
            <w:pStyle w:val="19"/>
            <w:tabs>
              <w:tab w:val="right" w:leader="dot" w:pos="974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"_Toc30946" </w:instrText>
          </w:r>
          <w:r>
            <w:rPr>
              <w:color w:val="auto"/>
              <w:highlight w:val="none"/>
            </w:rPr>
            <w:fldChar w:fldCharType="separate"/>
          </w:r>
          <w:r>
            <w:rPr>
              <w:rFonts w:hint="eastAsia" w:ascii="宋体" w:hAnsi="宋体" w:cs="宋体"/>
              <w:bCs/>
              <w:color w:val="auto"/>
              <w:sz w:val="28"/>
              <w:szCs w:val="28"/>
              <w:highlight w:val="none"/>
            </w:rPr>
            <w:t xml:space="preserve">第二部分 </w:t>
          </w:r>
          <w:r>
            <w:rPr>
              <w:rFonts w:hint="eastAsia" w:ascii="宋体" w:hAnsi="宋体" w:cs="宋体"/>
              <w:color w:val="auto"/>
              <w:sz w:val="28"/>
              <w:szCs w:val="28"/>
              <w:highlight w:val="none"/>
            </w:rPr>
            <w:t>供应商</w:t>
          </w:r>
          <w:r>
            <w:rPr>
              <w:rFonts w:hint="eastAsia" w:ascii="宋体" w:hAnsi="宋体" w:cs="宋体"/>
              <w:bCs/>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_Toc30946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42E84210">
          <w:pPr>
            <w:pStyle w:val="19"/>
            <w:tabs>
              <w:tab w:val="right" w:leader="dot" w:pos="974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"_Toc9256" </w:instrText>
          </w:r>
          <w:r>
            <w:rPr>
              <w:color w:val="auto"/>
              <w:highlight w:val="none"/>
            </w:rPr>
            <w:fldChar w:fldCharType="separate"/>
          </w:r>
          <w:r>
            <w:rPr>
              <w:rFonts w:hint="eastAsia" w:ascii="宋体" w:hAnsi="宋体" w:cs="宋体"/>
              <w:color w:val="auto"/>
              <w:sz w:val="28"/>
              <w:szCs w:val="28"/>
              <w:highlight w:val="none"/>
            </w:rPr>
            <w:t>第三部分 采购清单</w:t>
          </w:r>
          <w:r>
            <w:rPr>
              <w:rFonts w:hint="eastAsia" w:ascii="宋体" w:hAnsi="宋体" w:cs="宋体"/>
              <w:color w:val="auto"/>
              <w:sz w:val="28"/>
              <w:szCs w:val="28"/>
              <w:highlight w:val="none"/>
              <w:lang w:val="zh-CN"/>
            </w:rPr>
            <w:t>及商务要求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_Toc9256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633B3408">
          <w:pPr>
            <w:pStyle w:val="19"/>
            <w:tabs>
              <w:tab w:val="right" w:leader="dot" w:pos="974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"_Toc5812" </w:instrText>
          </w:r>
          <w:r>
            <w:rPr>
              <w:color w:val="auto"/>
              <w:highlight w:val="none"/>
            </w:rPr>
            <w:fldChar w:fldCharType="separate"/>
          </w:r>
          <w:r>
            <w:rPr>
              <w:rFonts w:hint="eastAsia" w:ascii="宋体" w:hAnsi="宋体" w:cs="宋体"/>
              <w:color w:val="auto"/>
              <w:kern w:val="44"/>
              <w:sz w:val="28"/>
              <w:szCs w:val="28"/>
              <w:highlight w:val="none"/>
              <w:lang w:val="zh-CN"/>
            </w:rPr>
            <w:t>第</w:t>
          </w:r>
          <w:r>
            <w:rPr>
              <w:rFonts w:hint="eastAsia" w:ascii="宋体" w:hAnsi="宋体" w:cs="宋体"/>
              <w:color w:val="auto"/>
              <w:kern w:val="44"/>
              <w:sz w:val="28"/>
              <w:szCs w:val="28"/>
              <w:highlight w:val="none"/>
            </w:rPr>
            <w:t>四</w:t>
          </w:r>
          <w:r>
            <w:rPr>
              <w:rFonts w:hint="eastAsia" w:ascii="宋体" w:hAnsi="宋体" w:cs="宋体"/>
              <w:color w:val="auto"/>
              <w:kern w:val="44"/>
              <w:sz w:val="28"/>
              <w:szCs w:val="28"/>
              <w:highlight w:val="none"/>
              <w:lang w:val="zh-CN"/>
            </w:rPr>
            <w:t>部分</w:t>
          </w:r>
          <w:r>
            <w:rPr>
              <w:rFonts w:hint="eastAsia" w:ascii="宋体" w:hAnsi="宋体" w:cs="宋体"/>
              <w:color w:val="auto"/>
              <w:kern w:val="44"/>
              <w:sz w:val="28"/>
              <w:szCs w:val="28"/>
              <w:highlight w:val="none"/>
            </w:rPr>
            <w:t xml:space="preserve"> </w:t>
          </w:r>
          <w:r>
            <w:rPr>
              <w:rFonts w:hint="eastAsia" w:ascii="宋体" w:hAnsi="宋体" w:cs="宋体"/>
              <w:color w:val="auto"/>
              <w:sz w:val="28"/>
              <w:szCs w:val="28"/>
              <w:highlight w:val="none"/>
              <w:lang w:val="zh-CN"/>
            </w:rPr>
            <w:t>政府采购合同（格式）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_Toc5812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14:paraId="7147F709">
          <w:pPr>
            <w:pStyle w:val="19"/>
            <w:tabs>
              <w:tab w:val="right" w:leader="dot" w:pos="974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"_Toc31676" </w:instrText>
          </w:r>
          <w:r>
            <w:rPr>
              <w:color w:val="auto"/>
              <w:highlight w:val="none"/>
            </w:rPr>
            <w:fldChar w:fldCharType="separate"/>
          </w:r>
          <w:r>
            <w:rPr>
              <w:rFonts w:hint="eastAsia" w:ascii="宋体" w:hAnsi="宋体" w:cs="宋体"/>
              <w:color w:val="auto"/>
              <w:kern w:val="44"/>
              <w:sz w:val="28"/>
              <w:szCs w:val="28"/>
              <w:highlight w:val="none"/>
            </w:rPr>
            <w:t>第五部分</w:t>
          </w:r>
          <w:r>
            <w:rPr>
              <w:rFonts w:hint="eastAsia" w:ascii="宋体" w:hAnsi="宋体" w:cs="宋体"/>
              <w:color w:val="auto"/>
              <w:sz w:val="28"/>
              <w:szCs w:val="28"/>
              <w:highlight w:val="none"/>
              <w:lang w:val="zh-CN"/>
            </w:rPr>
            <w:t xml:space="preserve">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_Toc31676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70DD1631">
          <w:pPr>
            <w:pStyle w:val="21"/>
            <w:tabs>
              <w:tab w:val="right" w:leader="dot" w:pos="9740"/>
            </w:tabs>
            <w:spacing w:line="480" w:lineRule="auto"/>
            <w:rPr>
              <w:color w:val="auto"/>
              <w:sz w:val="28"/>
              <w:szCs w:val="28"/>
              <w:highlight w:val="none"/>
            </w:rPr>
          </w:pPr>
        </w:p>
        <w:p w14:paraId="6CA954CD">
          <w:pPr>
            <w:pStyle w:val="12"/>
            <w:spacing w:line="480" w:lineRule="auto"/>
            <w:rPr>
              <w:rFonts w:ascii="宋体" w:hAnsi="宋体" w:eastAsia="宋体" w:cs="宋体"/>
              <w:color w:val="auto"/>
              <w:szCs w:val="32"/>
              <w:highlight w:val="none"/>
            </w:rPr>
          </w:pPr>
          <w:r>
            <w:rPr>
              <w:rFonts w:hint="eastAsia" w:ascii="宋体" w:hAnsi="宋体" w:eastAsia="宋体" w:cs="宋体"/>
              <w:color w:val="auto"/>
              <w:sz w:val="28"/>
              <w:szCs w:val="28"/>
              <w:highlight w:val="none"/>
            </w:rPr>
            <w:fldChar w:fldCharType="end"/>
          </w:r>
        </w:p>
      </w:sdtContent>
    </w:sdt>
    <w:p w14:paraId="3727382E">
      <w:pPr>
        <w:spacing w:line="480" w:lineRule="auto"/>
        <w:rPr>
          <w:color w:val="auto"/>
          <w:highlight w:val="none"/>
        </w:rPr>
      </w:pPr>
    </w:p>
    <w:p w14:paraId="76A3125A">
      <w:pPr>
        <w:pStyle w:val="12"/>
        <w:spacing w:line="480" w:lineRule="auto"/>
        <w:rPr>
          <w:rFonts w:ascii="宋体" w:hAnsi="宋体" w:eastAsia="宋体" w:cs="宋体"/>
          <w:b/>
          <w:color w:val="auto"/>
          <w:sz w:val="32"/>
          <w:szCs w:val="32"/>
          <w:highlight w:val="none"/>
        </w:rPr>
      </w:pPr>
    </w:p>
    <w:p w14:paraId="6903F822">
      <w:pPr>
        <w:pStyle w:val="12"/>
        <w:rPr>
          <w:rFonts w:ascii="宋体" w:hAnsi="宋体" w:eastAsia="宋体" w:cs="宋体"/>
          <w:b/>
          <w:color w:val="auto"/>
          <w:sz w:val="32"/>
          <w:szCs w:val="32"/>
          <w:highlight w:val="none"/>
        </w:rPr>
      </w:pPr>
    </w:p>
    <w:p w14:paraId="585330DA">
      <w:pPr>
        <w:pStyle w:val="12"/>
        <w:rPr>
          <w:rFonts w:ascii="宋体" w:hAnsi="宋体" w:eastAsia="宋体" w:cs="宋体"/>
          <w:b/>
          <w:color w:val="auto"/>
          <w:sz w:val="32"/>
          <w:szCs w:val="32"/>
          <w:highlight w:val="none"/>
        </w:rPr>
      </w:pPr>
    </w:p>
    <w:p w14:paraId="0A8608BE">
      <w:pPr>
        <w:pStyle w:val="12"/>
        <w:rPr>
          <w:rFonts w:ascii="宋体" w:hAnsi="宋体" w:eastAsia="宋体" w:cs="宋体"/>
          <w:b/>
          <w:color w:val="auto"/>
          <w:sz w:val="32"/>
          <w:szCs w:val="32"/>
          <w:highlight w:val="none"/>
        </w:rPr>
      </w:pPr>
    </w:p>
    <w:p w14:paraId="530A29EE">
      <w:pPr>
        <w:pStyle w:val="12"/>
        <w:rPr>
          <w:rFonts w:ascii="宋体" w:hAnsi="宋体" w:eastAsia="宋体" w:cs="宋体"/>
          <w:b/>
          <w:color w:val="auto"/>
          <w:sz w:val="32"/>
          <w:szCs w:val="32"/>
          <w:highlight w:val="none"/>
        </w:rPr>
      </w:pPr>
    </w:p>
    <w:p w14:paraId="47F75F2F">
      <w:pPr>
        <w:pStyle w:val="12"/>
        <w:rPr>
          <w:rFonts w:ascii="宋体" w:hAnsi="宋体" w:eastAsia="宋体" w:cs="宋体"/>
          <w:b/>
          <w:color w:val="auto"/>
          <w:sz w:val="32"/>
          <w:szCs w:val="32"/>
          <w:highlight w:val="none"/>
        </w:rPr>
      </w:pPr>
    </w:p>
    <w:p w14:paraId="780B721A">
      <w:pPr>
        <w:pStyle w:val="12"/>
        <w:rPr>
          <w:rFonts w:ascii="宋体" w:hAnsi="宋体" w:eastAsia="宋体" w:cs="宋体"/>
          <w:b/>
          <w:color w:val="auto"/>
          <w:sz w:val="32"/>
          <w:szCs w:val="32"/>
          <w:highlight w:val="none"/>
        </w:rPr>
      </w:pPr>
    </w:p>
    <w:p w14:paraId="6A253C17">
      <w:pPr>
        <w:snapToGrid w:val="0"/>
        <w:rPr>
          <w:rFonts w:ascii="宋体" w:hAnsi="宋体" w:cs="宋体"/>
          <w:b/>
          <w:color w:val="auto"/>
          <w:sz w:val="32"/>
          <w:szCs w:val="32"/>
          <w:highlight w:val="none"/>
        </w:rPr>
      </w:pPr>
    </w:p>
    <w:p w14:paraId="317F26E2">
      <w:pPr>
        <w:pStyle w:val="17"/>
        <w:rPr>
          <w:rFonts w:ascii="宋体" w:hAnsi="宋体" w:cs="宋体"/>
          <w:color w:val="auto"/>
          <w:highlight w:val="none"/>
        </w:rPr>
      </w:pPr>
    </w:p>
    <w:p w14:paraId="76036E7C">
      <w:pPr>
        <w:pStyle w:val="2"/>
        <w:snapToGrid w:val="0"/>
        <w:rPr>
          <w:rFonts w:ascii="宋体" w:hAnsi="宋体" w:cs="宋体"/>
          <w:color w:val="auto"/>
          <w:highlight w:val="none"/>
        </w:rPr>
        <w:sectPr>
          <w:headerReference r:id="rId5" w:type="default"/>
          <w:footerReference r:id="rId6" w:type="default"/>
          <w:pgSz w:w="11906" w:h="16838"/>
          <w:pgMar w:top="1440" w:right="1083" w:bottom="1440" w:left="1083" w:header="850" w:footer="992" w:gutter="0"/>
          <w:pgNumType w:start="1"/>
          <w:cols w:space="0" w:num="1"/>
          <w:docGrid w:linePitch="312" w:charSpace="0"/>
        </w:sectPr>
      </w:pPr>
    </w:p>
    <w:p w14:paraId="7CB288B3">
      <w:pPr>
        <w:pStyle w:val="2"/>
        <w:snapToGrid w:val="0"/>
        <w:rPr>
          <w:rFonts w:ascii="宋体" w:hAnsi="宋体" w:cs="宋体"/>
          <w:color w:val="auto"/>
          <w:sz w:val="28"/>
          <w:szCs w:val="28"/>
          <w:highlight w:val="none"/>
        </w:rPr>
      </w:pPr>
      <w:bookmarkStart w:id="1" w:name="_Toc25668"/>
      <w:bookmarkStart w:id="2" w:name="_Toc32649"/>
      <w:r>
        <w:rPr>
          <w:rFonts w:hint="eastAsia" w:ascii="宋体" w:hAnsi="宋体" w:cs="宋体"/>
          <w:color w:val="auto"/>
          <w:sz w:val="32"/>
          <w:szCs w:val="32"/>
          <w:highlight w:val="none"/>
        </w:rPr>
        <w:t xml:space="preserve">第一部分 </w:t>
      </w:r>
      <w:bookmarkStart w:id="3" w:name="_Toc7956"/>
      <w:bookmarkStart w:id="4" w:name="_Toc19841"/>
      <w:bookmarkStart w:id="5" w:name="_Toc27734"/>
      <w:r>
        <w:rPr>
          <w:rFonts w:hint="eastAsia" w:ascii="宋体" w:hAnsi="宋体" w:cs="宋体"/>
          <w:color w:val="auto"/>
          <w:sz w:val="32"/>
          <w:szCs w:val="32"/>
          <w:highlight w:val="none"/>
        </w:rPr>
        <w:t>招标公告</w:t>
      </w:r>
      <w:bookmarkEnd w:id="1"/>
      <w:bookmarkEnd w:id="2"/>
    </w:p>
    <w:p w14:paraId="04EAD5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项目概况</w:t>
      </w:r>
    </w:p>
    <w:p w14:paraId="1583F2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卫星便携站采购项目(二次)</w:t>
      </w:r>
      <w:r>
        <w:rPr>
          <w:rFonts w:hint="eastAsia"/>
          <w:color w:val="auto"/>
          <w:sz w:val="21"/>
          <w:szCs w:val="21"/>
          <w:highlight w:val="none"/>
        </w:rPr>
        <w:t>招标项目的潜在投标人应在西安高新区丈八一路绿地蓝海大厦22楼12212获取招标文件，并于 2025年07月23日 14时00分 （北京时间）前递交投标文件。</w:t>
      </w:r>
    </w:p>
    <w:p w14:paraId="7C4A23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一、项目基本情况</w:t>
      </w:r>
    </w:p>
    <w:p w14:paraId="771A3A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项目编号：ZC-省本级-2025-002.1B1</w:t>
      </w:r>
    </w:p>
    <w:p w14:paraId="63D7AC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项目名称：卫星便携站采购项目(二次)</w:t>
      </w:r>
    </w:p>
    <w:p w14:paraId="1BC0C0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采购方式：公开招标</w:t>
      </w:r>
    </w:p>
    <w:p w14:paraId="3869E3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预算金额：420,000.00元</w:t>
      </w:r>
    </w:p>
    <w:p w14:paraId="5DB283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采购需求：</w:t>
      </w:r>
    </w:p>
    <w:p w14:paraId="53BDFD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合同包1(卫星便携站采购项目):</w:t>
      </w:r>
    </w:p>
    <w:p w14:paraId="77F39D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合同包预算金额：420,000.00元</w:t>
      </w:r>
    </w:p>
    <w:p w14:paraId="50401D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合同包最高限价：420,000.00元</w:t>
      </w:r>
    </w:p>
    <w:tbl>
      <w:tblPr>
        <w:tblStyle w:val="24"/>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7"/>
        <w:gridCol w:w="1888"/>
        <w:gridCol w:w="1888"/>
        <w:gridCol w:w="778"/>
        <w:gridCol w:w="1410"/>
        <w:gridCol w:w="1137"/>
        <w:gridCol w:w="1138"/>
      </w:tblGrid>
      <w:tr w14:paraId="4BDA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1" w:hRule="atLeast"/>
          <w:tblHeader/>
        </w:trPr>
        <w:tc>
          <w:tcPr>
            <w:tcW w:w="60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BA60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品目号</w:t>
            </w:r>
          </w:p>
        </w:tc>
        <w:tc>
          <w:tcPr>
            <w:tcW w:w="196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31990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品目名称</w:t>
            </w:r>
          </w:p>
        </w:tc>
        <w:tc>
          <w:tcPr>
            <w:tcW w:w="196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C49A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采购标的</w:t>
            </w:r>
          </w:p>
        </w:tc>
        <w:tc>
          <w:tcPr>
            <w:tcW w:w="78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CEDC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数量（单位）</w:t>
            </w:r>
          </w:p>
        </w:tc>
        <w:tc>
          <w:tcPr>
            <w:tcW w:w="140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A537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技术规格、参数及要求</w:t>
            </w:r>
          </w:p>
        </w:tc>
        <w:tc>
          <w:tcPr>
            <w:tcW w:w="105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1EE8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品目预算(元)</w:t>
            </w:r>
          </w:p>
        </w:tc>
        <w:tc>
          <w:tcPr>
            <w:tcW w:w="105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A95C9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最高限价(元)</w:t>
            </w:r>
          </w:p>
        </w:tc>
      </w:tr>
      <w:tr w14:paraId="4538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480E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547C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其他信息安全设备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52E1D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卫星便携站</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6EC7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8EF7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4ECC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420,000.00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7366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1"/>
                <w:szCs w:val="21"/>
                <w:highlight w:val="none"/>
              </w:rPr>
            </w:pPr>
            <w:r>
              <w:rPr>
                <w:color w:val="auto"/>
                <w:sz w:val="21"/>
                <w:szCs w:val="21"/>
                <w:highlight w:val="none"/>
                <w:lang w:val="en-US" w:eastAsia="zh-CN"/>
              </w:rPr>
              <w:t>420,000.00</w:t>
            </w:r>
          </w:p>
        </w:tc>
      </w:tr>
    </w:tbl>
    <w:p w14:paraId="48CEC2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本合同包不接受联合体投标</w:t>
      </w:r>
    </w:p>
    <w:p w14:paraId="224438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合同履行期限：自合同签订后30日内供货安装调试完毕。</w:t>
      </w:r>
    </w:p>
    <w:p w14:paraId="4F6D1F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二、申请人的资格要求：</w:t>
      </w:r>
    </w:p>
    <w:p w14:paraId="47D029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1.满足《中华人民共和国政府采购法》第二十二条规定;</w:t>
      </w:r>
    </w:p>
    <w:p w14:paraId="2529CB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2.落实政府采购政策需满足的资格要求：</w:t>
      </w:r>
    </w:p>
    <w:p w14:paraId="1918D5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合同包1(卫星便携站采购项目)落实政府采购政策需满足的资格要求如下:</w:t>
      </w:r>
    </w:p>
    <w:p w14:paraId="4A4663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市场监管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关于进一步加强政府绿色采购有关问题的通知》（陕财办采〔2021〕29号）；13）《陕西省财政厅陕西省工业和信息化厅关于运用政府采购政策支持首台（套）及创新产品有关事项的通知》（陕财办采﹝2021﹞17号）；14）财办库〔2020〕123关于印发《商品包装政府采购需求标准（试行）》、《快递包装政府采购需求标准（试行）》的通知；15）政府采购扶持不发达地区和少数民族地区的政策；16）其他需要落实的政府采购政策。</w:t>
      </w:r>
    </w:p>
    <w:p w14:paraId="5044E6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3.本项目的特定资格要求：</w:t>
      </w:r>
    </w:p>
    <w:p w14:paraId="169803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合同包1(卫星便携站采购项目)特定资格要求如下:</w:t>
      </w:r>
    </w:p>
    <w:p w14:paraId="1B864B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r>
        <w:rPr>
          <w:rFonts w:hint="eastAsia"/>
          <w:color w:val="auto"/>
          <w:sz w:val="21"/>
          <w:szCs w:val="21"/>
          <w:highlight w:val="none"/>
        </w:rPr>
        <w:br w:type="textWrapping"/>
      </w:r>
      <w:r>
        <w:rPr>
          <w:rFonts w:hint="eastAsia"/>
          <w:color w:val="auto"/>
          <w:sz w:val="21"/>
          <w:szCs w:val="21"/>
          <w:highlight w:val="none"/>
        </w:rPr>
        <w:t>    2）财务状况报表：提供2023年度或2024年度经审计的财务报告，或开标前六个月内银行出具的资信证明或信用担保机构出具的投标担保函（以上三种形式的资料提供任何一种即可）；其他组织和自然人提供银行出具的资信证明或财务报表；</w:t>
      </w:r>
      <w:r>
        <w:rPr>
          <w:rFonts w:hint="eastAsia"/>
          <w:color w:val="auto"/>
          <w:sz w:val="21"/>
          <w:szCs w:val="21"/>
          <w:highlight w:val="none"/>
        </w:rPr>
        <w:br w:type="textWrapping"/>
      </w:r>
      <w:r>
        <w:rPr>
          <w:rFonts w:hint="eastAsia"/>
          <w:color w:val="auto"/>
          <w:sz w:val="21"/>
          <w:szCs w:val="21"/>
          <w:highlight w:val="none"/>
        </w:rPr>
        <w:t>   3）税收缴纳证明：提供供应商2024年至今任意一个月已缴纳的完税凭证或税务机关开具的完税证明（任意税种），依法免税的单位应提供相关证明材料；</w:t>
      </w:r>
      <w:r>
        <w:rPr>
          <w:rFonts w:hint="eastAsia"/>
          <w:color w:val="auto"/>
          <w:sz w:val="21"/>
          <w:szCs w:val="21"/>
          <w:highlight w:val="none"/>
        </w:rPr>
        <w:br w:type="textWrapping"/>
      </w:r>
      <w:r>
        <w:rPr>
          <w:rFonts w:hint="eastAsia"/>
          <w:color w:val="auto"/>
          <w:sz w:val="21"/>
          <w:szCs w:val="21"/>
          <w:highlight w:val="none"/>
        </w:rPr>
        <w:t>    4）社会保障资金缴纳证明：提供供应商2024年至今任意一个月的社会保障资金缴存单据或社保机构开具的社会保险参保缴费情况证明。依法不需要缴纳社会保障资金的供应商应提供相关证明文件；</w:t>
      </w:r>
      <w:r>
        <w:rPr>
          <w:rFonts w:hint="eastAsia"/>
          <w:color w:val="auto"/>
          <w:sz w:val="21"/>
          <w:szCs w:val="21"/>
          <w:highlight w:val="none"/>
        </w:rPr>
        <w:br w:type="textWrapping"/>
      </w:r>
      <w:r>
        <w:rPr>
          <w:rFonts w:hint="eastAsia"/>
          <w:color w:val="auto"/>
          <w:sz w:val="21"/>
          <w:szCs w:val="21"/>
          <w:highlight w:val="none"/>
        </w:rPr>
        <w:t>    5）提供具有履行本合同所必需的设备和专业技术能力的声明；</w:t>
      </w:r>
      <w:r>
        <w:rPr>
          <w:rFonts w:hint="eastAsia"/>
          <w:color w:val="auto"/>
          <w:sz w:val="21"/>
          <w:szCs w:val="21"/>
          <w:highlight w:val="none"/>
        </w:rPr>
        <w:br w:type="textWrapping"/>
      </w:r>
      <w:r>
        <w:rPr>
          <w:rFonts w:hint="eastAsia"/>
          <w:color w:val="auto"/>
          <w:sz w:val="21"/>
          <w:szCs w:val="21"/>
          <w:highlight w:val="none"/>
        </w:rPr>
        <w:t>    6）出具参加政府采购活动前3年内在经营活动中没有重大违法记录的书面声明；</w:t>
      </w:r>
      <w:r>
        <w:rPr>
          <w:rFonts w:hint="eastAsia"/>
          <w:color w:val="auto"/>
          <w:sz w:val="21"/>
          <w:szCs w:val="21"/>
          <w:highlight w:val="none"/>
        </w:rPr>
        <w:br w:type="textWrapping"/>
      </w:r>
      <w:r>
        <w:rPr>
          <w:rFonts w:hint="eastAsia"/>
          <w:color w:val="auto"/>
          <w:sz w:val="21"/>
          <w:szCs w:val="21"/>
          <w:highlight w:val="none"/>
        </w:rPr>
        <w:t>    7）法定代表人授权书及被授权人身份证(法定代表人直接参加投标，须提交其身份证原件、复印件及法定代表人身份证明)；</w:t>
      </w:r>
      <w:r>
        <w:rPr>
          <w:rFonts w:hint="eastAsia"/>
          <w:color w:val="auto"/>
          <w:sz w:val="21"/>
          <w:szCs w:val="21"/>
          <w:highlight w:val="none"/>
        </w:rPr>
        <w:br w:type="textWrapping"/>
      </w:r>
      <w:r>
        <w:rPr>
          <w:rFonts w:hint="eastAsia"/>
          <w:color w:val="auto"/>
          <w:sz w:val="21"/>
          <w:szCs w:val="21"/>
          <w:highlight w:val="none"/>
        </w:rPr>
        <w:t>    8）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r>
        <w:rPr>
          <w:rFonts w:hint="eastAsia"/>
          <w:color w:val="auto"/>
          <w:sz w:val="21"/>
          <w:szCs w:val="21"/>
          <w:highlight w:val="none"/>
        </w:rPr>
        <w:br w:type="textWrapping"/>
      </w:r>
      <w:r>
        <w:rPr>
          <w:rFonts w:hint="eastAsia"/>
          <w:color w:val="auto"/>
          <w:sz w:val="21"/>
          <w:szCs w:val="21"/>
          <w:highlight w:val="none"/>
        </w:rPr>
        <w:t>    9）本项目不接受联合体投标。</w:t>
      </w:r>
    </w:p>
    <w:p w14:paraId="30D5D1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三、获取招标文件</w:t>
      </w:r>
    </w:p>
    <w:p w14:paraId="5F45BE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时间： 2025年07月03日 至 2025年07月09日 ，每天上午 09:00:00 至 12:00:00 ，下午 14:00:00 至 17:00:00 （北京时间）</w:t>
      </w:r>
    </w:p>
    <w:p w14:paraId="0CE8C0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途径：西安高新区丈八一路绿地蓝海大厦22楼12212</w:t>
      </w:r>
    </w:p>
    <w:p w14:paraId="59EBB4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方式：现场获取</w:t>
      </w:r>
    </w:p>
    <w:p w14:paraId="01684B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售价： 500元</w:t>
      </w:r>
    </w:p>
    <w:p w14:paraId="0CEC32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四、提交投标文件截止时间、开标时间和地点</w:t>
      </w:r>
    </w:p>
    <w:p w14:paraId="262E57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时间： 2025年07月23日 14时00分00秒 （北京时间）</w:t>
      </w:r>
    </w:p>
    <w:p w14:paraId="5A3CF6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提交投标文件地点：西安高新区丈八一路绿地蓝海大厦22楼12212（会议室）</w:t>
      </w:r>
    </w:p>
    <w:p w14:paraId="5ABFEE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开标地点：西安高新区丈八一路绿地蓝海大厦22楼12212（会议室）</w:t>
      </w:r>
    </w:p>
    <w:p w14:paraId="6194C3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五、公告期限</w:t>
      </w:r>
    </w:p>
    <w:p w14:paraId="6216B8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自本公告发布之日起5个工作日。</w:t>
      </w:r>
    </w:p>
    <w:p w14:paraId="7CEEA8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六、其他补充事宜</w:t>
      </w:r>
    </w:p>
    <w:p w14:paraId="2CB56B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招标文件谢绝邮寄，售后不退。供应商获取招标文件时请携带单位介绍信原件、经办人身份证原件及加盖公章的复印件一套。</w:t>
      </w:r>
    </w:p>
    <w:p w14:paraId="4E91DE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七、对本次招标提出询问，请按以下方式联系。</w:t>
      </w:r>
    </w:p>
    <w:p w14:paraId="732DC0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1.采购人信息</w:t>
      </w:r>
    </w:p>
    <w:p w14:paraId="1032E6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名称：陕西省公安厅交通警察总队</w:t>
      </w:r>
    </w:p>
    <w:p w14:paraId="471927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地址：西安市未央路120号</w:t>
      </w:r>
    </w:p>
    <w:p w14:paraId="2BCAB2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联系方式：13032995253</w:t>
      </w:r>
    </w:p>
    <w:p w14:paraId="3B470E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2.采购代理机构信息</w:t>
      </w:r>
    </w:p>
    <w:p w14:paraId="439FCC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名称：陕西政采通招标有限公司</w:t>
      </w:r>
    </w:p>
    <w:p w14:paraId="536447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地址：西安高新区丈八一路绿地蓝海大厦22楼12212</w:t>
      </w:r>
    </w:p>
    <w:p w14:paraId="3F8D7F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联系方式：13992856016</w:t>
      </w:r>
    </w:p>
    <w:p w14:paraId="332B49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color w:val="auto"/>
          <w:sz w:val="21"/>
          <w:szCs w:val="21"/>
          <w:highlight w:val="none"/>
        </w:rPr>
        <w:t>3.项目联系方式</w:t>
      </w:r>
    </w:p>
    <w:p w14:paraId="39F32B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项目联系人：赵工</w:t>
      </w:r>
    </w:p>
    <w:p w14:paraId="1FB8F4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sz w:val="21"/>
          <w:szCs w:val="21"/>
          <w:highlight w:val="none"/>
        </w:rPr>
      </w:pPr>
      <w:r>
        <w:rPr>
          <w:rFonts w:hint="eastAsia"/>
          <w:color w:val="auto"/>
          <w:sz w:val="21"/>
          <w:szCs w:val="21"/>
          <w:highlight w:val="none"/>
        </w:rPr>
        <w:t>电话：13992856016</w:t>
      </w:r>
    </w:p>
    <w:p w14:paraId="7CD8442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color w:val="auto"/>
          <w:sz w:val="21"/>
          <w:szCs w:val="21"/>
          <w:highlight w:val="none"/>
        </w:rPr>
      </w:pPr>
      <w:r>
        <w:rPr>
          <w:rFonts w:hint="eastAsia"/>
          <w:color w:val="auto"/>
          <w:sz w:val="21"/>
          <w:szCs w:val="21"/>
          <w:highlight w:val="none"/>
        </w:rPr>
        <w:t>陕西政采通招标有限公司</w:t>
      </w:r>
    </w:p>
    <w:p w14:paraId="7017D83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color w:val="auto"/>
          <w:sz w:val="21"/>
          <w:szCs w:val="21"/>
          <w:highlight w:val="none"/>
        </w:rPr>
      </w:pPr>
      <w:r>
        <w:rPr>
          <w:rFonts w:hint="eastAsia"/>
          <w:color w:val="auto"/>
          <w:sz w:val="21"/>
          <w:szCs w:val="21"/>
          <w:highlight w:val="none"/>
        </w:rPr>
        <w:t>2025年07月02日</w:t>
      </w:r>
    </w:p>
    <w:p w14:paraId="5F6A263B">
      <w:pPr>
        <w:spacing w:line="360" w:lineRule="auto"/>
        <w:ind w:firstLine="420" w:firstLineChars="200"/>
        <w:jc w:val="right"/>
        <w:rPr>
          <w:rFonts w:ascii="宋体" w:hAnsi="宋体" w:cs="宋体"/>
          <w:color w:val="auto"/>
          <w:szCs w:val="21"/>
          <w:highlight w:val="none"/>
        </w:rPr>
      </w:pPr>
    </w:p>
    <w:p w14:paraId="7EE9F4F2">
      <w:pPr>
        <w:spacing w:line="360" w:lineRule="auto"/>
        <w:ind w:firstLine="420" w:firstLineChars="200"/>
        <w:jc w:val="right"/>
        <w:rPr>
          <w:rFonts w:ascii="宋体" w:hAnsi="宋体" w:cs="宋体"/>
          <w:color w:val="auto"/>
          <w:szCs w:val="21"/>
          <w:highlight w:val="none"/>
        </w:rPr>
      </w:pPr>
    </w:p>
    <w:p w14:paraId="007E3057">
      <w:pPr>
        <w:rPr>
          <w:rFonts w:ascii="宋体" w:hAnsi="宋体" w:cs="宋体"/>
          <w:color w:val="auto"/>
          <w:highlight w:val="none"/>
        </w:rPr>
      </w:pPr>
    </w:p>
    <w:p w14:paraId="04111B54">
      <w:pPr>
        <w:pStyle w:val="2"/>
        <w:snapToGrid w:val="0"/>
        <w:rPr>
          <w:rFonts w:ascii="宋体" w:hAnsi="宋体" w:cs="宋体"/>
          <w:bCs/>
          <w:color w:val="auto"/>
          <w:sz w:val="20"/>
          <w:highlight w:val="none"/>
        </w:rPr>
      </w:pPr>
      <w:bookmarkStart w:id="6" w:name="_Toc10296"/>
      <w:bookmarkStart w:id="7" w:name="_Toc30946"/>
      <w:r>
        <w:rPr>
          <w:rFonts w:hint="eastAsia" w:ascii="宋体" w:hAnsi="宋体" w:cs="宋体"/>
          <w:bCs/>
          <w:color w:val="auto"/>
          <w:sz w:val="32"/>
          <w:szCs w:val="32"/>
          <w:highlight w:val="none"/>
        </w:rPr>
        <w:t xml:space="preserve">第二部分 </w:t>
      </w:r>
      <w:r>
        <w:rPr>
          <w:rFonts w:hint="eastAsia" w:ascii="宋体" w:hAnsi="宋体" w:cs="宋体"/>
          <w:color w:val="auto"/>
          <w:sz w:val="32"/>
          <w:szCs w:val="32"/>
          <w:highlight w:val="none"/>
        </w:rPr>
        <w:t>供应商</w:t>
      </w:r>
      <w:r>
        <w:rPr>
          <w:rFonts w:hint="eastAsia" w:ascii="宋体" w:hAnsi="宋体" w:cs="宋体"/>
          <w:bCs/>
          <w:color w:val="auto"/>
          <w:sz w:val="32"/>
          <w:szCs w:val="32"/>
          <w:highlight w:val="none"/>
        </w:rPr>
        <w:t>须知</w:t>
      </w:r>
      <w:bookmarkEnd w:id="3"/>
      <w:bookmarkEnd w:id="4"/>
      <w:bookmarkEnd w:id="5"/>
      <w:bookmarkEnd w:id="6"/>
      <w:bookmarkEnd w:id="7"/>
    </w:p>
    <w:p w14:paraId="1F520EF4">
      <w:pPr>
        <w:pStyle w:val="3"/>
        <w:snapToGrid w:val="0"/>
        <w:spacing w:line="380" w:lineRule="exact"/>
        <w:rPr>
          <w:rFonts w:ascii="宋体" w:hAnsi="宋体" w:cs="宋体"/>
          <w:color w:val="auto"/>
          <w:kern w:val="21"/>
          <w:sz w:val="28"/>
          <w:szCs w:val="28"/>
          <w:highlight w:val="none"/>
        </w:rPr>
      </w:pPr>
      <w:bookmarkStart w:id="8" w:name="_Toc449368374"/>
      <w:bookmarkStart w:id="9" w:name="_Toc450138939"/>
      <w:bookmarkStart w:id="10" w:name="_Toc23476"/>
      <w:bookmarkStart w:id="11" w:name="_Toc10880"/>
      <w:r>
        <w:rPr>
          <w:rFonts w:hint="eastAsia" w:ascii="宋体" w:hAnsi="宋体" w:cs="宋体"/>
          <w:color w:val="auto"/>
          <w:kern w:val="21"/>
          <w:sz w:val="28"/>
          <w:szCs w:val="28"/>
          <w:highlight w:val="none"/>
        </w:rPr>
        <w:t>一、</w:t>
      </w:r>
      <w:r>
        <w:rPr>
          <w:rFonts w:hint="eastAsia" w:ascii="宋体" w:hAnsi="宋体" w:cs="宋体"/>
          <w:color w:val="auto"/>
          <w:sz w:val="28"/>
          <w:szCs w:val="28"/>
          <w:highlight w:val="none"/>
        </w:rPr>
        <w:t>供应商</w:t>
      </w:r>
      <w:r>
        <w:rPr>
          <w:rFonts w:hint="eastAsia" w:ascii="宋体" w:hAnsi="宋体" w:cs="宋体"/>
          <w:color w:val="auto"/>
          <w:kern w:val="21"/>
          <w:sz w:val="28"/>
          <w:szCs w:val="28"/>
          <w:highlight w:val="none"/>
        </w:rPr>
        <w:t>须知前附表</w:t>
      </w:r>
      <w:bookmarkEnd w:id="8"/>
      <w:bookmarkEnd w:id="9"/>
      <w:bookmarkEnd w:id="10"/>
      <w:bookmarkEnd w:id="11"/>
    </w:p>
    <w:tbl>
      <w:tblPr>
        <w:tblStyle w:val="2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783"/>
        <w:gridCol w:w="7604"/>
      </w:tblGrid>
      <w:tr w14:paraId="6E58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71" w:type="dxa"/>
            <w:vAlign w:val="center"/>
          </w:tcPr>
          <w:p w14:paraId="2A1476C6">
            <w:pPr>
              <w:pStyle w:val="14"/>
              <w:snapToGrid w:val="0"/>
              <w:spacing w:line="460" w:lineRule="exact"/>
              <w:textAlignment w:val="baseline"/>
              <w:rPr>
                <w:rFonts w:hAnsi="宋体" w:cs="宋体"/>
                <w:color w:val="auto"/>
                <w:kern w:val="21"/>
                <w:szCs w:val="21"/>
                <w:highlight w:val="none"/>
              </w:rPr>
            </w:pPr>
            <w:r>
              <w:rPr>
                <w:rFonts w:hint="eastAsia" w:hAnsi="宋体" w:cs="宋体"/>
                <w:color w:val="auto"/>
                <w:kern w:val="21"/>
                <w:szCs w:val="21"/>
                <w:highlight w:val="none"/>
              </w:rPr>
              <w:t>序号</w:t>
            </w:r>
          </w:p>
        </w:tc>
        <w:tc>
          <w:tcPr>
            <w:tcW w:w="1783" w:type="dxa"/>
            <w:vAlign w:val="center"/>
          </w:tcPr>
          <w:p w14:paraId="6E1D5318">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内容</w:t>
            </w:r>
          </w:p>
        </w:tc>
        <w:tc>
          <w:tcPr>
            <w:tcW w:w="7604" w:type="dxa"/>
            <w:vAlign w:val="center"/>
          </w:tcPr>
          <w:p w14:paraId="7609BB03">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说明与要求</w:t>
            </w:r>
          </w:p>
        </w:tc>
      </w:tr>
      <w:tr w14:paraId="1A74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1" w:type="dxa"/>
            <w:vAlign w:val="center"/>
          </w:tcPr>
          <w:p w14:paraId="4C3ED158">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1</w:t>
            </w:r>
          </w:p>
        </w:tc>
        <w:tc>
          <w:tcPr>
            <w:tcW w:w="1783" w:type="dxa"/>
            <w:vAlign w:val="center"/>
          </w:tcPr>
          <w:p w14:paraId="20F1EAD2">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项目名称</w:t>
            </w:r>
          </w:p>
        </w:tc>
        <w:tc>
          <w:tcPr>
            <w:tcW w:w="7604" w:type="dxa"/>
            <w:vAlign w:val="center"/>
          </w:tcPr>
          <w:p w14:paraId="7BCA498F">
            <w:pPr>
              <w:pStyle w:val="14"/>
              <w:snapToGrid w:val="0"/>
              <w:spacing w:line="460" w:lineRule="exact"/>
              <w:jc w:val="left"/>
              <w:textAlignment w:val="baseline"/>
              <w:rPr>
                <w:rFonts w:hint="eastAsia" w:hAnsi="宋体" w:eastAsia="宋体" w:cs="宋体"/>
                <w:color w:val="auto"/>
                <w:kern w:val="21"/>
                <w:szCs w:val="21"/>
                <w:highlight w:val="none"/>
                <w:lang w:val="en-US" w:eastAsia="zh-CN"/>
              </w:rPr>
            </w:pPr>
            <w:r>
              <w:rPr>
                <w:rFonts w:hint="eastAsia"/>
                <w:color w:val="auto"/>
                <w:sz w:val="21"/>
                <w:szCs w:val="21"/>
                <w:highlight w:val="none"/>
              </w:rPr>
              <w:t>卫星便携站采购项目(二次)</w:t>
            </w:r>
          </w:p>
        </w:tc>
      </w:tr>
      <w:tr w14:paraId="3FDB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71" w:type="dxa"/>
            <w:vAlign w:val="center"/>
          </w:tcPr>
          <w:p w14:paraId="14A3A547">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2</w:t>
            </w:r>
          </w:p>
        </w:tc>
        <w:tc>
          <w:tcPr>
            <w:tcW w:w="1783" w:type="dxa"/>
            <w:vAlign w:val="center"/>
          </w:tcPr>
          <w:p w14:paraId="65085B86">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项目编号</w:t>
            </w:r>
          </w:p>
        </w:tc>
        <w:tc>
          <w:tcPr>
            <w:tcW w:w="7604" w:type="dxa"/>
            <w:vAlign w:val="center"/>
          </w:tcPr>
          <w:p w14:paraId="0CAC0F81">
            <w:pPr>
              <w:pStyle w:val="14"/>
              <w:snapToGrid w:val="0"/>
              <w:spacing w:line="460" w:lineRule="exact"/>
              <w:jc w:val="left"/>
              <w:textAlignment w:val="baseline"/>
              <w:rPr>
                <w:rFonts w:hint="eastAsia" w:hAnsi="宋体" w:eastAsia="宋体" w:cs="宋体"/>
                <w:color w:val="auto"/>
                <w:kern w:val="21"/>
                <w:szCs w:val="21"/>
                <w:highlight w:val="none"/>
                <w:lang w:eastAsia="zh-CN"/>
              </w:rPr>
            </w:pPr>
            <w:r>
              <w:rPr>
                <w:rFonts w:hint="eastAsia"/>
                <w:color w:val="auto"/>
                <w:sz w:val="21"/>
                <w:szCs w:val="21"/>
                <w:highlight w:val="none"/>
              </w:rPr>
              <w:t>ZC-省本级-2025-002.1B1</w:t>
            </w:r>
          </w:p>
        </w:tc>
      </w:tr>
      <w:tr w14:paraId="657A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71" w:type="dxa"/>
            <w:vAlign w:val="center"/>
          </w:tcPr>
          <w:p w14:paraId="6448110F">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3</w:t>
            </w:r>
          </w:p>
        </w:tc>
        <w:tc>
          <w:tcPr>
            <w:tcW w:w="1783" w:type="dxa"/>
            <w:vAlign w:val="center"/>
          </w:tcPr>
          <w:p w14:paraId="3BC347DD">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采购人</w:t>
            </w:r>
          </w:p>
        </w:tc>
        <w:tc>
          <w:tcPr>
            <w:tcW w:w="7604" w:type="dxa"/>
            <w:vAlign w:val="center"/>
          </w:tcPr>
          <w:p w14:paraId="4DA8B3D7">
            <w:pPr>
              <w:pStyle w:val="14"/>
              <w:snapToGrid w:val="0"/>
              <w:spacing w:line="460" w:lineRule="exact"/>
              <w:jc w:val="left"/>
              <w:textAlignment w:val="baseline"/>
              <w:rPr>
                <w:rFonts w:hAnsi="宋体" w:cs="宋体"/>
                <w:color w:val="auto"/>
                <w:kern w:val="21"/>
                <w:szCs w:val="21"/>
                <w:highlight w:val="none"/>
              </w:rPr>
            </w:pPr>
            <w:r>
              <w:rPr>
                <w:rFonts w:hint="eastAsia" w:hAnsi="宋体" w:cs="宋体"/>
                <w:color w:val="auto"/>
                <w:kern w:val="21"/>
                <w:szCs w:val="21"/>
                <w:highlight w:val="none"/>
              </w:rPr>
              <w:t>采购人信息：</w:t>
            </w:r>
            <w:r>
              <w:rPr>
                <w:rFonts w:hint="eastAsia"/>
                <w:color w:val="auto"/>
                <w:highlight w:val="none"/>
              </w:rPr>
              <w:t>陕西省公安厅交通警察总队</w:t>
            </w:r>
          </w:p>
          <w:p w14:paraId="5C080EAE">
            <w:pPr>
              <w:pStyle w:val="14"/>
              <w:snapToGrid w:val="0"/>
              <w:spacing w:line="460" w:lineRule="exact"/>
              <w:jc w:val="left"/>
              <w:textAlignment w:val="baseline"/>
              <w:rPr>
                <w:rFonts w:hAnsi="宋体" w:cs="宋体"/>
                <w:color w:val="auto"/>
                <w:kern w:val="21"/>
                <w:szCs w:val="21"/>
                <w:highlight w:val="none"/>
              </w:rPr>
            </w:pPr>
            <w:r>
              <w:rPr>
                <w:rFonts w:hint="eastAsia" w:hAnsi="宋体" w:cs="宋体"/>
                <w:color w:val="auto"/>
                <w:kern w:val="21"/>
                <w:szCs w:val="21"/>
                <w:highlight w:val="none"/>
              </w:rPr>
              <w:t>联系地址：陕西省西安市雁塔区长安南路123号</w:t>
            </w:r>
          </w:p>
          <w:p w14:paraId="3C27FF4E">
            <w:pPr>
              <w:pStyle w:val="14"/>
              <w:snapToGrid w:val="0"/>
              <w:spacing w:line="460" w:lineRule="exact"/>
              <w:jc w:val="left"/>
              <w:textAlignment w:val="baseline"/>
              <w:rPr>
                <w:rFonts w:hAnsi="宋体" w:cs="宋体"/>
                <w:color w:val="auto"/>
                <w:kern w:val="21"/>
                <w:szCs w:val="21"/>
                <w:highlight w:val="none"/>
              </w:rPr>
            </w:pPr>
            <w:r>
              <w:rPr>
                <w:rFonts w:hint="eastAsia" w:hAnsi="宋体" w:cs="宋体"/>
                <w:color w:val="auto"/>
                <w:kern w:val="21"/>
                <w:szCs w:val="21"/>
                <w:highlight w:val="none"/>
              </w:rPr>
              <w:t>联系电话：029-87680153</w:t>
            </w:r>
          </w:p>
        </w:tc>
      </w:tr>
      <w:tr w14:paraId="1EDE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71" w:type="dxa"/>
            <w:vAlign w:val="center"/>
          </w:tcPr>
          <w:p w14:paraId="1971DC8D">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4</w:t>
            </w:r>
          </w:p>
        </w:tc>
        <w:tc>
          <w:tcPr>
            <w:tcW w:w="1783" w:type="dxa"/>
            <w:vAlign w:val="center"/>
          </w:tcPr>
          <w:p w14:paraId="4026C8B7">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采购代理机构</w:t>
            </w:r>
          </w:p>
        </w:tc>
        <w:tc>
          <w:tcPr>
            <w:tcW w:w="7604" w:type="dxa"/>
            <w:vAlign w:val="center"/>
          </w:tcPr>
          <w:p w14:paraId="2AEEF6DD">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采购代理机构：陕西政采通招标有限公司</w:t>
            </w:r>
          </w:p>
          <w:p w14:paraId="2C8142B8">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地址：西安高新区丈八一路绿地蓝海大厦22楼12212</w:t>
            </w:r>
          </w:p>
          <w:p w14:paraId="75E95CCA">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联系人：赵工</w:t>
            </w:r>
          </w:p>
          <w:p w14:paraId="1499AA52">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电话：13992856016</w:t>
            </w:r>
          </w:p>
          <w:p w14:paraId="6627C5DB">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电子邮件：/</w:t>
            </w:r>
          </w:p>
        </w:tc>
      </w:tr>
      <w:tr w14:paraId="47FC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1" w:type="dxa"/>
            <w:vAlign w:val="center"/>
          </w:tcPr>
          <w:p w14:paraId="532F53A4">
            <w:pPr>
              <w:snapToGrid w:val="0"/>
              <w:spacing w:line="460" w:lineRule="exact"/>
              <w:jc w:val="center"/>
              <w:rPr>
                <w:rFonts w:ascii="宋体" w:hAnsi="宋体" w:cs="宋体"/>
                <w:color w:val="auto"/>
                <w:kern w:val="21"/>
                <w:szCs w:val="21"/>
                <w:highlight w:val="none"/>
              </w:rPr>
            </w:pPr>
            <w:r>
              <w:rPr>
                <w:rFonts w:hint="eastAsia" w:ascii="宋体" w:hAnsi="宋体" w:cs="宋体"/>
                <w:color w:val="auto"/>
                <w:szCs w:val="21"/>
                <w:highlight w:val="none"/>
                <w:lang w:val="zh-CN"/>
              </w:rPr>
              <w:t>5</w:t>
            </w:r>
          </w:p>
        </w:tc>
        <w:tc>
          <w:tcPr>
            <w:tcW w:w="1783" w:type="dxa"/>
            <w:vAlign w:val="center"/>
          </w:tcPr>
          <w:p w14:paraId="59A8A9C5">
            <w:pPr>
              <w:snapToGrid w:val="0"/>
              <w:spacing w:line="460" w:lineRule="exact"/>
              <w:jc w:val="center"/>
              <w:rPr>
                <w:rFonts w:ascii="宋体" w:hAnsi="宋体" w:cs="宋体"/>
                <w:color w:val="auto"/>
                <w:kern w:val="21"/>
                <w:szCs w:val="21"/>
                <w:highlight w:val="none"/>
              </w:rPr>
            </w:pPr>
            <w:r>
              <w:rPr>
                <w:rFonts w:hint="eastAsia" w:ascii="宋体" w:hAnsi="宋体" w:cs="宋体"/>
                <w:color w:val="auto"/>
                <w:szCs w:val="21"/>
                <w:highlight w:val="none"/>
                <w:lang w:val="zh-CN"/>
              </w:rPr>
              <w:t>资金来源</w:t>
            </w:r>
          </w:p>
        </w:tc>
        <w:tc>
          <w:tcPr>
            <w:tcW w:w="7604" w:type="dxa"/>
            <w:vAlign w:val="center"/>
          </w:tcPr>
          <w:p w14:paraId="3685D9B0">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财政资金</w:t>
            </w:r>
          </w:p>
        </w:tc>
      </w:tr>
      <w:tr w14:paraId="7D19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14:paraId="4E92037A">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6</w:t>
            </w:r>
          </w:p>
        </w:tc>
        <w:tc>
          <w:tcPr>
            <w:tcW w:w="1783" w:type="dxa"/>
            <w:vAlign w:val="center"/>
          </w:tcPr>
          <w:p w14:paraId="529C4B37">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lang w:val="zh-CN"/>
              </w:rPr>
              <w:t>采购预算金额</w:t>
            </w:r>
          </w:p>
        </w:tc>
        <w:tc>
          <w:tcPr>
            <w:tcW w:w="7604" w:type="dxa"/>
            <w:vAlign w:val="center"/>
          </w:tcPr>
          <w:p w14:paraId="50FE6C66">
            <w:pPr>
              <w:snapToGrid w:val="0"/>
              <w:spacing w:line="460" w:lineRule="exact"/>
              <w:rPr>
                <w:rFonts w:ascii="宋体" w:hAnsi="宋体" w:cs="宋体"/>
                <w:color w:val="auto"/>
                <w:szCs w:val="21"/>
                <w:highlight w:val="none"/>
                <w:lang w:val="zh-CN"/>
              </w:rPr>
            </w:pPr>
            <w:r>
              <w:rPr>
                <w:rFonts w:hint="eastAsia" w:ascii="宋体" w:hAnsi="宋体" w:cs="宋体"/>
                <w:color w:val="auto"/>
                <w:szCs w:val="21"/>
                <w:highlight w:val="none"/>
                <w:lang w:val="zh-CN"/>
              </w:rPr>
              <w:t>采购预算金额：</w:t>
            </w:r>
            <w:r>
              <w:rPr>
                <w:rFonts w:hint="eastAsia" w:ascii="宋体" w:hAnsi="宋体" w:cs="宋体"/>
                <w:color w:val="auto"/>
                <w:szCs w:val="21"/>
                <w:highlight w:val="none"/>
              </w:rPr>
              <w:t>420</w:t>
            </w:r>
            <w:r>
              <w:rPr>
                <w:rFonts w:hint="eastAsia" w:ascii="宋体" w:hAnsi="宋体" w:cs="宋体"/>
                <w:color w:val="auto"/>
                <w:szCs w:val="21"/>
                <w:highlight w:val="none"/>
                <w:lang w:val="zh-CN"/>
              </w:rPr>
              <w:t>000.00元</w:t>
            </w:r>
          </w:p>
          <w:p w14:paraId="4B9162B7">
            <w:pPr>
              <w:snapToGrid w:val="0"/>
              <w:spacing w:line="460" w:lineRule="exact"/>
              <w:rPr>
                <w:rFonts w:ascii="宋体" w:hAnsi="宋体" w:cs="宋体"/>
                <w:color w:val="auto"/>
                <w:szCs w:val="21"/>
                <w:highlight w:val="none"/>
                <w:lang w:val="zh-CN"/>
              </w:rPr>
            </w:pPr>
            <w:r>
              <w:rPr>
                <w:rFonts w:hint="eastAsia" w:ascii="宋体" w:hAnsi="宋体" w:cs="宋体"/>
                <w:color w:val="auto"/>
                <w:szCs w:val="21"/>
                <w:highlight w:val="none"/>
                <w:lang w:val="zh-CN"/>
              </w:rPr>
              <w:t>采购最高限价：</w:t>
            </w:r>
            <w:r>
              <w:rPr>
                <w:rFonts w:hint="eastAsia" w:ascii="宋体" w:hAnsi="宋体" w:cs="宋体"/>
                <w:color w:val="auto"/>
                <w:szCs w:val="21"/>
                <w:highlight w:val="none"/>
              </w:rPr>
              <w:t>420</w:t>
            </w:r>
            <w:r>
              <w:rPr>
                <w:rFonts w:hint="eastAsia" w:ascii="宋体" w:hAnsi="宋体" w:cs="宋体"/>
                <w:color w:val="auto"/>
                <w:szCs w:val="21"/>
                <w:highlight w:val="none"/>
                <w:lang w:val="zh-CN"/>
              </w:rPr>
              <w:t>000.00元</w:t>
            </w:r>
          </w:p>
          <w:p w14:paraId="2384E245">
            <w:pPr>
              <w:snapToGrid w:val="0"/>
              <w:spacing w:line="460" w:lineRule="exact"/>
              <w:rPr>
                <w:rFonts w:ascii="宋体" w:hAnsi="宋体" w:cs="宋体"/>
                <w:color w:val="auto"/>
                <w:highlight w:val="none"/>
              </w:rPr>
            </w:pPr>
            <w:r>
              <w:rPr>
                <w:rFonts w:hint="eastAsia" w:ascii="宋体" w:hAnsi="宋体" w:cs="宋体"/>
                <w:color w:val="auto"/>
                <w:szCs w:val="21"/>
                <w:highlight w:val="none"/>
              </w:rPr>
              <w:t>大写：肆拾贰万元整；小写：420</w:t>
            </w:r>
            <w:r>
              <w:rPr>
                <w:rFonts w:hint="eastAsia" w:ascii="宋体" w:hAnsi="宋体" w:cs="宋体"/>
                <w:color w:val="auto"/>
                <w:szCs w:val="21"/>
                <w:highlight w:val="none"/>
                <w:lang w:val="zh-CN"/>
              </w:rPr>
              <w:t>000.00元</w:t>
            </w:r>
            <w:r>
              <w:rPr>
                <w:rFonts w:hint="eastAsia" w:ascii="宋体" w:hAnsi="宋体" w:cs="宋体"/>
                <w:color w:val="auto"/>
                <w:szCs w:val="21"/>
                <w:highlight w:val="none"/>
              </w:rPr>
              <w:t>。</w:t>
            </w:r>
          </w:p>
          <w:p w14:paraId="3BE93819">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(注：供应商报价大于最高限价，作为不实质性响应招标文件，均为无效报价，按无效标处理)</w:t>
            </w:r>
          </w:p>
        </w:tc>
      </w:tr>
      <w:tr w14:paraId="5951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1" w:type="dxa"/>
            <w:vAlign w:val="center"/>
          </w:tcPr>
          <w:p w14:paraId="685BD279">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7</w:t>
            </w:r>
          </w:p>
        </w:tc>
        <w:tc>
          <w:tcPr>
            <w:tcW w:w="1783" w:type="dxa"/>
            <w:vAlign w:val="center"/>
          </w:tcPr>
          <w:p w14:paraId="25A64F64">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投标有效期</w:t>
            </w:r>
          </w:p>
        </w:tc>
        <w:tc>
          <w:tcPr>
            <w:tcW w:w="7604" w:type="dxa"/>
            <w:vAlign w:val="center"/>
          </w:tcPr>
          <w:p w14:paraId="78406439">
            <w:pPr>
              <w:pStyle w:val="14"/>
              <w:snapToGrid w:val="0"/>
              <w:spacing w:line="460" w:lineRule="exact"/>
              <w:textAlignment w:val="baseline"/>
              <w:rPr>
                <w:rFonts w:hAnsi="宋体" w:cs="宋体"/>
                <w:color w:val="auto"/>
                <w:kern w:val="21"/>
                <w:szCs w:val="21"/>
                <w:highlight w:val="none"/>
              </w:rPr>
            </w:pPr>
            <w:r>
              <w:rPr>
                <w:rFonts w:hint="eastAsia" w:hAnsi="宋体" w:cs="宋体"/>
                <w:color w:val="auto"/>
                <w:kern w:val="21"/>
                <w:szCs w:val="21"/>
                <w:highlight w:val="none"/>
              </w:rPr>
              <w:t>投标截止之日起90天内保持有效（日历天数）</w:t>
            </w:r>
          </w:p>
        </w:tc>
      </w:tr>
      <w:tr w14:paraId="5545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71" w:type="dxa"/>
            <w:vAlign w:val="center"/>
          </w:tcPr>
          <w:p w14:paraId="3640129D">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8</w:t>
            </w:r>
          </w:p>
        </w:tc>
        <w:tc>
          <w:tcPr>
            <w:tcW w:w="1783" w:type="dxa"/>
            <w:vAlign w:val="center"/>
          </w:tcPr>
          <w:p w14:paraId="5316ED59">
            <w:pPr>
              <w:pStyle w:val="14"/>
              <w:snapToGrid w:val="0"/>
              <w:spacing w:line="460" w:lineRule="exact"/>
              <w:jc w:val="center"/>
              <w:textAlignment w:val="baseline"/>
              <w:rPr>
                <w:rFonts w:hAnsi="宋体" w:cs="宋体"/>
                <w:color w:val="auto"/>
                <w:szCs w:val="21"/>
                <w:highlight w:val="none"/>
              </w:rPr>
            </w:pPr>
            <w:r>
              <w:rPr>
                <w:rFonts w:hint="eastAsia" w:hAnsi="宋体" w:cs="宋体"/>
                <w:color w:val="auto"/>
                <w:szCs w:val="21"/>
                <w:highlight w:val="none"/>
              </w:rPr>
              <w:t>供货期、质保期及质量要求</w:t>
            </w:r>
          </w:p>
        </w:tc>
        <w:tc>
          <w:tcPr>
            <w:tcW w:w="7604" w:type="dxa"/>
            <w:vAlign w:val="center"/>
          </w:tcPr>
          <w:p w14:paraId="319C40C8">
            <w:pPr>
              <w:pStyle w:val="14"/>
              <w:snapToGrid w:val="0"/>
              <w:spacing w:line="460" w:lineRule="exact"/>
              <w:textAlignment w:val="baseline"/>
              <w:rPr>
                <w:rFonts w:hAnsi="宋体" w:cs="宋体"/>
                <w:color w:val="auto"/>
                <w:szCs w:val="21"/>
                <w:highlight w:val="none"/>
              </w:rPr>
            </w:pPr>
            <w:r>
              <w:rPr>
                <w:rFonts w:hint="eastAsia" w:hAnsi="宋体" w:cs="宋体"/>
                <w:color w:val="auto"/>
                <w:szCs w:val="21"/>
                <w:highlight w:val="none"/>
              </w:rPr>
              <w:t>供货期</w:t>
            </w:r>
            <w:r>
              <w:rPr>
                <w:rFonts w:hint="eastAsia" w:hAnsi="宋体" w:cs="宋体"/>
                <w:color w:val="auto"/>
                <w:szCs w:val="21"/>
                <w:highlight w:val="none"/>
                <w:lang w:val="zh-CN"/>
              </w:rPr>
              <w:t>：</w:t>
            </w:r>
            <w:r>
              <w:rPr>
                <w:rFonts w:hint="eastAsia" w:hAnsi="宋体" w:cs="宋体"/>
                <w:color w:val="auto"/>
                <w:szCs w:val="21"/>
                <w:highlight w:val="none"/>
              </w:rPr>
              <w:t>30日历天</w:t>
            </w:r>
          </w:p>
          <w:p w14:paraId="526DFD24">
            <w:pPr>
              <w:pStyle w:val="14"/>
              <w:snapToGrid w:val="0"/>
              <w:spacing w:line="460" w:lineRule="exact"/>
              <w:textAlignment w:val="baseline"/>
              <w:rPr>
                <w:rFonts w:hAnsi="宋体" w:cs="宋体"/>
                <w:color w:val="auto"/>
                <w:szCs w:val="21"/>
                <w:highlight w:val="none"/>
              </w:rPr>
            </w:pPr>
            <w:r>
              <w:rPr>
                <w:rFonts w:hint="eastAsia" w:hAnsi="宋体" w:cs="宋体"/>
                <w:color w:val="auto"/>
                <w:szCs w:val="21"/>
                <w:highlight w:val="none"/>
              </w:rPr>
              <w:t>质保期：按照国家三包政策执行，质保一年</w:t>
            </w:r>
          </w:p>
          <w:p w14:paraId="609528AA">
            <w:pPr>
              <w:pStyle w:val="14"/>
              <w:snapToGrid w:val="0"/>
              <w:spacing w:line="460" w:lineRule="exact"/>
              <w:textAlignment w:val="baseline"/>
              <w:rPr>
                <w:rFonts w:hAnsi="宋体" w:cs="宋体"/>
                <w:color w:val="auto"/>
                <w:szCs w:val="21"/>
                <w:highlight w:val="none"/>
              </w:rPr>
            </w:pPr>
            <w:r>
              <w:rPr>
                <w:rFonts w:hint="eastAsia" w:hAnsi="宋体" w:cs="宋体"/>
                <w:color w:val="auto"/>
                <w:szCs w:val="21"/>
                <w:highlight w:val="none"/>
              </w:rPr>
              <w:t>质量要求：合格</w:t>
            </w:r>
          </w:p>
        </w:tc>
      </w:tr>
      <w:tr w14:paraId="718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71" w:type="dxa"/>
            <w:vAlign w:val="center"/>
          </w:tcPr>
          <w:p w14:paraId="777E864A">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9</w:t>
            </w:r>
          </w:p>
        </w:tc>
        <w:tc>
          <w:tcPr>
            <w:tcW w:w="1783" w:type="dxa"/>
            <w:vAlign w:val="center"/>
          </w:tcPr>
          <w:p w14:paraId="4BF2BD38">
            <w:pPr>
              <w:pStyle w:val="14"/>
              <w:snapToGrid w:val="0"/>
              <w:spacing w:line="460" w:lineRule="exact"/>
              <w:jc w:val="center"/>
              <w:textAlignment w:val="baseline"/>
              <w:rPr>
                <w:rFonts w:hAnsi="宋体" w:cs="宋体"/>
                <w:color w:val="auto"/>
                <w:szCs w:val="21"/>
                <w:highlight w:val="none"/>
              </w:rPr>
            </w:pPr>
            <w:r>
              <w:rPr>
                <w:rFonts w:hint="eastAsia" w:hAnsi="宋体" w:cs="宋体"/>
                <w:color w:val="auto"/>
                <w:kern w:val="21"/>
                <w:szCs w:val="21"/>
                <w:highlight w:val="none"/>
              </w:rPr>
              <w:t>供应商资质及信誉能力</w:t>
            </w:r>
          </w:p>
        </w:tc>
        <w:tc>
          <w:tcPr>
            <w:tcW w:w="7604" w:type="dxa"/>
            <w:vAlign w:val="center"/>
          </w:tcPr>
          <w:p w14:paraId="3A51DC65">
            <w:pPr>
              <w:spacing w:line="360" w:lineRule="auto"/>
              <w:rPr>
                <w:rFonts w:ascii="宋体" w:hAnsi="宋体" w:cs="宋体"/>
                <w:color w:val="auto"/>
                <w:kern w:val="21"/>
                <w:szCs w:val="21"/>
                <w:highlight w:val="none"/>
              </w:rPr>
            </w:pPr>
            <w:r>
              <w:rPr>
                <w:rFonts w:hint="eastAsia" w:ascii="宋体" w:hAnsi="宋体" w:cs="宋体"/>
                <w:color w:val="auto"/>
                <w:kern w:val="21"/>
                <w:szCs w:val="21"/>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财务状况报表：提供2023年度或2024年度经审计的财务报告，或开标前六个月内银行出具的资信证明或信用担保机构出具的投标担保函（以上三种形式的资料提供任何一种即可）；其他组织和自然人提供银行出具的资信证明或财务报表；3）税收缴纳证明：提供供应商2024年至今任意一个月已缴纳的完税凭证或税务机关开具的完税证明（任意税种），依法免税的单位应提供相关证明材料；4）社会保障资金缴纳证明：提供供应商2024年至今任意一个月的社会保障资金缴存单据或社保机构开具的社会保险参保缴费情况证明。依法不需要缴纳社会保障资金的供应商应提供相关证明文件；5）提供具有履行本合同所必需的设备和专业技术能力的声明；6）出具参加政府采购活动前3年内在经营活动中没有重大违法记录的书面声明；7）法定代表人授权书及被授权人身份证(法定代表人直接参加投标，须提交其身份证原件、复印件及法定代表人身份证明)；8）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9）本项目不接受联合体投标。</w:t>
            </w:r>
          </w:p>
        </w:tc>
      </w:tr>
      <w:tr w14:paraId="1CD7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1" w:type="dxa"/>
            <w:vAlign w:val="center"/>
          </w:tcPr>
          <w:p w14:paraId="77463385">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10</w:t>
            </w:r>
          </w:p>
        </w:tc>
        <w:tc>
          <w:tcPr>
            <w:tcW w:w="1783" w:type="dxa"/>
            <w:vAlign w:val="center"/>
          </w:tcPr>
          <w:p w14:paraId="5B335A65">
            <w:pPr>
              <w:pStyle w:val="14"/>
              <w:snapToGrid w:val="0"/>
              <w:spacing w:line="460" w:lineRule="exact"/>
              <w:jc w:val="center"/>
              <w:textAlignment w:val="baseline"/>
              <w:rPr>
                <w:rFonts w:hAnsi="宋体" w:cs="宋体"/>
                <w:color w:val="auto"/>
                <w:kern w:val="21"/>
                <w:szCs w:val="21"/>
                <w:highlight w:val="none"/>
              </w:rPr>
            </w:pPr>
            <w:r>
              <w:rPr>
                <w:rFonts w:hint="eastAsia" w:hAnsi="宋体" w:cs="宋体"/>
                <w:color w:val="auto"/>
                <w:kern w:val="21"/>
                <w:szCs w:val="21"/>
                <w:highlight w:val="none"/>
              </w:rPr>
              <w:t>投标保证金</w:t>
            </w:r>
          </w:p>
        </w:tc>
        <w:tc>
          <w:tcPr>
            <w:tcW w:w="7604" w:type="dxa"/>
          </w:tcPr>
          <w:p w14:paraId="5C1FAFE1">
            <w:pPr>
              <w:spacing w:line="360" w:lineRule="auto"/>
              <w:rPr>
                <w:rFonts w:ascii="宋体" w:hAnsi="宋体" w:cs="宋体"/>
                <w:color w:val="auto"/>
                <w:kern w:val="2"/>
                <w:sz w:val="22"/>
                <w:szCs w:val="22"/>
                <w:highlight w:val="none"/>
              </w:rPr>
            </w:pPr>
            <w:r>
              <w:rPr>
                <w:rFonts w:hint="eastAsia" w:ascii="宋体" w:hAnsi="宋体" w:cs="宋体"/>
                <w:color w:val="auto"/>
                <w:kern w:val="2"/>
                <w:sz w:val="22"/>
                <w:szCs w:val="22"/>
                <w:highlight w:val="none"/>
              </w:rPr>
              <w:t>供应商须向采购代理机构递交人民币捌仟元整（小写：人民币8000.00元）的投标保证金,在投标文件截止递交时间前到账。在规定时间未到账的，其投标按无效文件处理。投标文件内应附保证金转账凭证复印件或扫描件或银行保函复印件或扫描件或专业担保公司担保函复印件或扫描件。</w:t>
            </w:r>
          </w:p>
          <w:p w14:paraId="46AB26C0">
            <w:pPr>
              <w:spacing w:line="360" w:lineRule="auto"/>
              <w:rPr>
                <w:rFonts w:ascii="宋体" w:hAnsi="宋体" w:cs="宋体"/>
                <w:color w:val="auto"/>
                <w:kern w:val="2"/>
                <w:sz w:val="22"/>
                <w:szCs w:val="22"/>
                <w:highlight w:val="none"/>
              </w:rPr>
            </w:pPr>
            <w:r>
              <w:rPr>
                <w:rFonts w:hint="eastAsia" w:ascii="宋体" w:hAnsi="宋体" w:cs="宋体"/>
                <w:color w:val="auto"/>
                <w:kern w:val="2"/>
                <w:sz w:val="22"/>
                <w:szCs w:val="22"/>
                <w:highlight w:val="none"/>
              </w:rPr>
              <w:t>代理机构开户名称：陕西政采通招标有限公司</w:t>
            </w:r>
          </w:p>
          <w:p w14:paraId="2EFA6FB0">
            <w:pPr>
              <w:spacing w:line="360" w:lineRule="auto"/>
              <w:rPr>
                <w:rFonts w:ascii="宋体" w:hAnsi="宋体" w:cs="宋体"/>
                <w:color w:val="auto"/>
                <w:kern w:val="2"/>
                <w:sz w:val="22"/>
                <w:szCs w:val="22"/>
                <w:highlight w:val="none"/>
              </w:rPr>
            </w:pPr>
            <w:r>
              <w:rPr>
                <w:rFonts w:hint="eastAsia" w:ascii="宋体" w:hAnsi="宋体" w:cs="宋体"/>
                <w:color w:val="auto"/>
                <w:kern w:val="2"/>
                <w:sz w:val="22"/>
                <w:szCs w:val="22"/>
                <w:highlight w:val="none"/>
              </w:rPr>
              <w:t>开户行名称：兴业银行股份有限公司西安分行营业部</w:t>
            </w:r>
          </w:p>
          <w:p w14:paraId="589B87E8">
            <w:pPr>
              <w:spacing w:line="360" w:lineRule="auto"/>
              <w:rPr>
                <w:rFonts w:ascii="宋体" w:hAnsi="宋体" w:cs="宋体"/>
                <w:color w:val="auto"/>
                <w:kern w:val="2"/>
                <w:sz w:val="22"/>
                <w:szCs w:val="22"/>
                <w:highlight w:val="none"/>
              </w:rPr>
            </w:pPr>
            <w:r>
              <w:rPr>
                <w:rFonts w:hint="eastAsia" w:ascii="宋体" w:hAnsi="宋体" w:cs="宋体"/>
                <w:color w:val="auto"/>
                <w:kern w:val="2"/>
                <w:sz w:val="22"/>
                <w:szCs w:val="22"/>
                <w:highlight w:val="none"/>
              </w:rPr>
              <w:t>账号：456010100101076827</w:t>
            </w:r>
          </w:p>
          <w:p w14:paraId="61B9A85F">
            <w:pPr>
              <w:spacing w:line="360" w:lineRule="auto"/>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val="zh-CN"/>
              </w:rPr>
              <w:t>转账附言：</w:t>
            </w:r>
            <w:r>
              <w:rPr>
                <w:rFonts w:hint="eastAsia"/>
                <w:color w:val="auto"/>
                <w:sz w:val="21"/>
                <w:szCs w:val="21"/>
                <w:highlight w:val="none"/>
              </w:rPr>
              <w:t>ZC-省本级-2025-002.1B1</w:t>
            </w:r>
          </w:p>
          <w:p w14:paraId="2A7D1D3A">
            <w:pPr>
              <w:spacing w:line="360" w:lineRule="auto"/>
              <w:rPr>
                <w:rFonts w:ascii="宋体" w:hAnsi="宋体" w:cs="宋体"/>
                <w:color w:val="auto"/>
                <w:szCs w:val="21"/>
                <w:highlight w:val="none"/>
              </w:rPr>
            </w:pPr>
            <w:r>
              <w:rPr>
                <w:rFonts w:ascii="宋体" w:hAnsi="宋体" w:cs="宋体"/>
                <w:color w:val="auto"/>
                <w:kern w:val="2"/>
                <w:sz w:val="22"/>
                <w:szCs w:val="22"/>
                <w:highlight w:val="none"/>
              </w:rPr>
              <w:t>交付形式：支票、汇票、本票或者金融机构、担保机构出具的保函等非现金形式交纳。</w:t>
            </w:r>
          </w:p>
        </w:tc>
      </w:tr>
      <w:tr w14:paraId="44B4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71" w:type="dxa"/>
            <w:vAlign w:val="center"/>
          </w:tcPr>
          <w:p w14:paraId="027F9F2F">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11</w:t>
            </w:r>
          </w:p>
        </w:tc>
        <w:tc>
          <w:tcPr>
            <w:tcW w:w="1783" w:type="dxa"/>
            <w:vAlign w:val="center"/>
          </w:tcPr>
          <w:p w14:paraId="750A7050">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lang w:val="zh-CN"/>
              </w:rPr>
              <w:t>投标文件</w:t>
            </w:r>
            <w:r>
              <w:rPr>
                <w:rFonts w:hint="eastAsia" w:ascii="宋体" w:hAnsi="宋体" w:cs="宋体"/>
                <w:color w:val="auto"/>
                <w:kern w:val="21"/>
                <w:szCs w:val="21"/>
                <w:highlight w:val="none"/>
              </w:rPr>
              <w:t>装订及</w:t>
            </w:r>
            <w:r>
              <w:rPr>
                <w:rFonts w:hint="eastAsia" w:ascii="宋体" w:hAnsi="宋体" w:cs="宋体"/>
                <w:color w:val="auto"/>
                <w:kern w:val="21"/>
                <w:szCs w:val="21"/>
                <w:highlight w:val="none"/>
                <w:lang w:val="zh-CN"/>
              </w:rPr>
              <w:t>份数要求</w:t>
            </w:r>
          </w:p>
        </w:tc>
        <w:tc>
          <w:tcPr>
            <w:tcW w:w="7604" w:type="dxa"/>
            <w:vAlign w:val="center"/>
          </w:tcPr>
          <w:p w14:paraId="2C83ADA5">
            <w:pPr>
              <w:snapToGrid w:val="0"/>
              <w:spacing w:line="460" w:lineRule="exact"/>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投标文件正本及各副本分别装订成册（不得采用活页，采用胶装方式装订，</w:t>
            </w:r>
            <w:r>
              <w:rPr>
                <w:rFonts w:hint="eastAsia" w:ascii="宋体" w:hAnsi="宋体" w:cs="宋体"/>
                <w:color w:val="auto"/>
                <w:szCs w:val="21"/>
                <w:highlight w:val="none"/>
              </w:rPr>
              <w:t>投标文件由技术部分、商务部分组成的文件，不需要分别装订</w:t>
            </w:r>
            <w:r>
              <w:rPr>
                <w:rFonts w:hint="eastAsia" w:ascii="宋体" w:hAnsi="宋体" w:cs="宋体"/>
                <w:color w:val="auto"/>
                <w:kern w:val="21"/>
                <w:szCs w:val="21"/>
                <w:highlight w:val="none"/>
                <w:lang w:val="zh-CN"/>
              </w:rPr>
              <w:t>），正本壹份，副本贰份，</w:t>
            </w:r>
            <w:r>
              <w:rPr>
                <w:rFonts w:hint="eastAsia" w:ascii="宋体" w:hAnsi="宋体" w:cs="宋体"/>
                <w:color w:val="auto"/>
                <w:kern w:val="21"/>
                <w:szCs w:val="21"/>
                <w:highlight w:val="none"/>
              </w:rPr>
              <w:t>电子文件叁份(U盘3个)</w:t>
            </w:r>
            <w:r>
              <w:rPr>
                <w:rFonts w:hint="eastAsia" w:ascii="宋体" w:hAnsi="宋体" w:cs="宋体"/>
                <w:color w:val="auto"/>
                <w:kern w:val="21"/>
                <w:szCs w:val="21"/>
                <w:highlight w:val="none"/>
                <w:lang w:val="zh-CN"/>
              </w:rPr>
              <w:t>。</w:t>
            </w:r>
          </w:p>
          <w:p w14:paraId="52A951CE">
            <w:pPr>
              <w:snapToGrid w:val="0"/>
              <w:spacing w:line="460" w:lineRule="exact"/>
              <w:rPr>
                <w:rFonts w:ascii="宋体" w:hAnsi="宋体" w:cs="宋体"/>
                <w:color w:val="auto"/>
                <w:kern w:val="21"/>
                <w:szCs w:val="21"/>
                <w:highlight w:val="none"/>
              </w:rPr>
            </w:pPr>
            <w:r>
              <w:rPr>
                <w:rFonts w:hint="eastAsia" w:ascii="宋体" w:hAnsi="宋体" w:cs="宋体"/>
                <w:b/>
                <w:bCs/>
                <w:color w:val="auto"/>
                <w:kern w:val="21"/>
                <w:szCs w:val="21"/>
                <w:highlight w:val="none"/>
              </w:rPr>
              <w:t>注：</w:t>
            </w:r>
            <w:r>
              <w:rPr>
                <w:rFonts w:hint="eastAsia" w:ascii="宋体" w:hAnsi="宋体" w:cs="宋体"/>
                <w:b/>
                <w:bCs/>
                <w:color w:val="auto"/>
                <w:szCs w:val="21"/>
                <w:highlight w:val="none"/>
              </w:rPr>
              <w:t>电子文件包含：word版投标文件资料。</w:t>
            </w:r>
          </w:p>
        </w:tc>
      </w:tr>
      <w:tr w14:paraId="04ED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571" w:type="dxa"/>
            <w:vAlign w:val="center"/>
          </w:tcPr>
          <w:p w14:paraId="505DB544">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12</w:t>
            </w:r>
          </w:p>
        </w:tc>
        <w:tc>
          <w:tcPr>
            <w:tcW w:w="1783" w:type="dxa"/>
            <w:vAlign w:val="center"/>
          </w:tcPr>
          <w:p w14:paraId="35FFD283">
            <w:pPr>
              <w:snapToGrid w:val="0"/>
              <w:spacing w:line="460" w:lineRule="exact"/>
              <w:jc w:val="center"/>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投标文件</w:t>
            </w:r>
          </w:p>
          <w:p w14:paraId="323BB924">
            <w:pPr>
              <w:snapToGrid w:val="0"/>
              <w:spacing w:line="460" w:lineRule="exact"/>
              <w:jc w:val="center"/>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密封与标识</w:t>
            </w:r>
          </w:p>
        </w:tc>
        <w:tc>
          <w:tcPr>
            <w:tcW w:w="7604" w:type="dxa"/>
            <w:vAlign w:val="center"/>
          </w:tcPr>
          <w:p w14:paraId="383A73D8">
            <w:pPr>
              <w:snapToGrid w:val="0"/>
              <w:spacing w:line="460" w:lineRule="exact"/>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所有密封包装均应符合以下要求：</w:t>
            </w:r>
          </w:p>
          <w:p w14:paraId="357AF02C">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lang w:val="zh-CN"/>
              </w:rPr>
              <w:t>（</w:t>
            </w:r>
            <w:r>
              <w:rPr>
                <w:rFonts w:hint="eastAsia" w:ascii="宋体" w:hAnsi="宋体" w:cs="宋体"/>
                <w:color w:val="auto"/>
                <w:kern w:val="21"/>
                <w:szCs w:val="21"/>
                <w:highlight w:val="none"/>
              </w:rPr>
              <w:t>1</w:t>
            </w:r>
            <w:r>
              <w:rPr>
                <w:rFonts w:hint="eastAsia" w:ascii="宋体" w:hAnsi="宋体" w:cs="宋体"/>
                <w:color w:val="auto"/>
                <w:kern w:val="21"/>
                <w:szCs w:val="21"/>
                <w:highlight w:val="none"/>
                <w:lang w:val="zh-CN"/>
              </w:rPr>
              <w:t>）</w:t>
            </w:r>
            <w:r>
              <w:rPr>
                <w:rFonts w:hint="eastAsia" w:ascii="宋体" w:hAnsi="宋体" w:cs="宋体"/>
                <w:color w:val="auto"/>
                <w:kern w:val="21"/>
                <w:szCs w:val="21"/>
                <w:highlight w:val="none"/>
              </w:rPr>
              <w:t>封套上注明</w:t>
            </w:r>
            <w:r>
              <w:rPr>
                <w:rFonts w:hint="eastAsia" w:ascii="宋体" w:hAnsi="宋体" w:cs="宋体"/>
                <w:color w:val="auto"/>
                <w:kern w:val="21"/>
                <w:szCs w:val="21"/>
                <w:highlight w:val="none"/>
                <w:lang w:val="zh-CN"/>
              </w:rPr>
              <w:t>项目名称、项目编号、</w:t>
            </w:r>
            <w:r>
              <w:rPr>
                <w:rFonts w:hint="eastAsia" w:ascii="宋体" w:hAnsi="宋体" w:cs="宋体"/>
                <w:color w:val="auto"/>
                <w:kern w:val="21"/>
                <w:szCs w:val="21"/>
                <w:highlight w:val="none"/>
              </w:rPr>
              <w:t>供应商</w:t>
            </w:r>
            <w:r>
              <w:rPr>
                <w:rFonts w:hint="eastAsia" w:ascii="宋体" w:hAnsi="宋体" w:cs="宋体"/>
                <w:color w:val="auto"/>
                <w:kern w:val="21"/>
                <w:szCs w:val="21"/>
                <w:highlight w:val="none"/>
                <w:lang w:val="zh-CN"/>
              </w:rPr>
              <w:t>名称、法定代表人或委托代理人签字或盖章，并加盖单位公章、合同</w:t>
            </w:r>
            <w:r>
              <w:rPr>
                <w:rFonts w:hint="eastAsia" w:ascii="宋体" w:hAnsi="宋体" w:cs="宋体"/>
                <w:color w:val="auto"/>
                <w:kern w:val="21"/>
                <w:szCs w:val="21"/>
                <w:highlight w:val="none"/>
              </w:rPr>
              <w:t>包号</w:t>
            </w:r>
            <w:r>
              <w:rPr>
                <w:rFonts w:hint="eastAsia" w:ascii="宋体" w:hAnsi="宋体" w:cs="宋体"/>
                <w:color w:val="auto"/>
                <w:kern w:val="21"/>
                <w:szCs w:val="21"/>
                <w:highlight w:val="none"/>
                <w:lang w:val="zh-CN"/>
              </w:rPr>
              <w:t>（如有）、地址、年月日、“正本”或“副本”、</w:t>
            </w:r>
            <w:r>
              <w:rPr>
                <w:rFonts w:hint="eastAsia" w:ascii="宋体" w:hAnsi="宋体" w:cs="宋体"/>
                <w:color w:val="auto"/>
                <w:kern w:val="21"/>
                <w:szCs w:val="21"/>
                <w:highlight w:val="none"/>
              </w:rPr>
              <w:t>“于  年  月  日    前不得开启”字样。</w:t>
            </w:r>
          </w:p>
          <w:p w14:paraId="485CA57F">
            <w:pPr>
              <w:snapToGrid w:val="0"/>
              <w:spacing w:line="460" w:lineRule="exact"/>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w:t>
            </w:r>
            <w:r>
              <w:rPr>
                <w:rFonts w:hint="eastAsia" w:ascii="宋体" w:hAnsi="宋体" w:cs="宋体"/>
                <w:color w:val="auto"/>
                <w:kern w:val="21"/>
                <w:szCs w:val="21"/>
                <w:highlight w:val="none"/>
              </w:rPr>
              <w:t>2</w:t>
            </w:r>
            <w:r>
              <w:rPr>
                <w:rFonts w:hint="eastAsia" w:ascii="宋体" w:hAnsi="宋体" w:cs="宋体"/>
                <w:color w:val="auto"/>
                <w:kern w:val="21"/>
                <w:szCs w:val="21"/>
                <w:highlight w:val="none"/>
                <w:lang w:val="zh-CN"/>
              </w:rPr>
              <w:t>）</w:t>
            </w:r>
            <w:r>
              <w:rPr>
                <w:rFonts w:hint="eastAsia" w:ascii="宋体" w:hAnsi="宋体" w:cs="宋体"/>
                <w:color w:val="auto"/>
                <w:kern w:val="21"/>
                <w:szCs w:val="21"/>
                <w:highlight w:val="none"/>
              </w:rPr>
              <w:t>投标文件密封要求：电子文件密封在投标文件正本内，正本、副本分开密封。</w:t>
            </w:r>
          </w:p>
          <w:p w14:paraId="2545C6FD">
            <w:pPr>
              <w:snapToGrid w:val="0"/>
              <w:spacing w:line="460" w:lineRule="exact"/>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（3）供应商应按照招标文件“第六部分 投标文件格式”中指明的要求进行签署、盖章。</w:t>
            </w:r>
          </w:p>
          <w:p w14:paraId="00EFA730">
            <w:pPr>
              <w:snapToGrid w:val="0"/>
              <w:spacing w:line="460" w:lineRule="exact"/>
              <w:rPr>
                <w:rFonts w:ascii="宋体" w:hAnsi="宋体" w:cs="宋体"/>
                <w:b/>
                <w:bCs/>
                <w:color w:val="auto"/>
                <w:kern w:val="21"/>
                <w:szCs w:val="21"/>
                <w:highlight w:val="none"/>
              </w:rPr>
            </w:pPr>
            <w:r>
              <w:rPr>
                <w:rFonts w:hint="eastAsia" w:ascii="宋体" w:hAnsi="宋体" w:cs="宋体"/>
                <w:color w:val="auto"/>
                <w:kern w:val="21"/>
                <w:szCs w:val="21"/>
                <w:highlight w:val="none"/>
                <w:lang w:val="zh-CN"/>
              </w:rPr>
              <w:t>注：投标文件如果未按上述规定密封和加写标记，采购代理机构将拒绝接收。</w:t>
            </w:r>
          </w:p>
        </w:tc>
      </w:tr>
      <w:tr w14:paraId="0C3E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1" w:type="dxa"/>
            <w:vAlign w:val="center"/>
          </w:tcPr>
          <w:p w14:paraId="29B98A0B">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13</w:t>
            </w:r>
          </w:p>
        </w:tc>
        <w:tc>
          <w:tcPr>
            <w:tcW w:w="1783" w:type="dxa"/>
            <w:vAlign w:val="center"/>
          </w:tcPr>
          <w:p w14:paraId="4DF19342">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投标时</w:t>
            </w:r>
          </w:p>
          <w:p w14:paraId="47AB1B90">
            <w:pPr>
              <w:snapToGrid w:val="0"/>
              <w:spacing w:line="460" w:lineRule="exact"/>
              <w:jc w:val="center"/>
              <w:rPr>
                <w:rFonts w:ascii="宋体" w:hAnsi="宋体" w:cs="宋体"/>
                <w:color w:val="auto"/>
                <w:kern w:val="21"/>
                <w:szCs w:val="21"/>
                <w:highlight w:val="none"/>
                <w:lang w:val="zh-CN"/>
              </w:rPr>
            </w:pPr>
            <w:r>
              <w:rPr>
                <w:rFonts w:hint="eastAsia" w:ascii="宋体" w:hAnsi="宋体" w:cs="宋体"/>
                <w:color w:val="auto"/>
                <w:kern w:val="21"/>
                <w:szCs w:val="21"/>
                <w:highlight w:val="none"/>
              </w:rPr>
              <w:t>携带的资料</w:t>
            </w:r>
          </w:p>
        </w:tc>
        <w:tc>
          <w:tcPr>
            <w:tcW w:w="7604" w:type="dxa"/>
          </w:tcPr>
          <w:p w14:paraId="0A4D3789">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财务状况报表：提供2023年度或2024年度经审计的财务报告，或开标前六个月内银行出具的资信证明或信用担保机构出具的投标担保函（以上三种形式的资料提供任何一种即可）；其他组织和自然人提供银行出具的资信证明或财务报表；3）税收缴纳证明：提供供应商2024年至今任意一个月已缴纳的完税凭证或税务机关开具的完税证明（任意税种），依法免税的单位应提供相关证明材料；4）社会保障资金缴纳证明：提供供应商2024年至今任意一个月的社会保障资金缴存单据或社保机构开具的社会保险参保缴费情况证明。依法不需要缴纳社会保障资金的供应商应提供相关证明文件；5）提供具有履行本合同所必需的设备和专业技术能力的声明；6）出具参加政府采购活动前3年内在经营活动中没有重大违法记录的书面声明；7）法定代表人授权书及被授权人身份证(法定代表人直接参加投标，须提交其身份证原件、复印件及法定代表人身份证明)；8）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9）本项目不接受联合体投标。</w:t>
            </w:r>
          </w:p>
          <w:p w14:paraId="4F583C8A">
            <w:pPr>
              <w:snapToGrid w:val="0"/>
              <w:spacing w:line="460" w:lineRule="exact"/>
              <w:rPr>
                <w:rFonts w:ascii="宋体" w:hAnsi="宋体" w:cs="宋体"/>
                <w:b/>
                <w:bCs/>
                <w:color w:val="auto"/>
                <w:kern w:val="21"/>
                <w:szCs w:val="21"/>
                <w:highlight w:val="none"/>
              </w:rPr>
            </w:pPr>
            <w:r>
              <w:rPr>
                <w:rFonts w:hint="eastAsia" w:ascii="宋体" w:hAnsi="宋体" w:cs="宋体"/>
                <w:b/>
                <w:bCs/>
                <w:color w:val="auto"/>
                <w:kern w:val="21"/>
                <w:szCs w:val="21"/>
                <w:highlight w:val="none"/>
                <w:lang w:val="zh-CN"/>
              </w:rPr>
              <w:t>注：</w:t>
            </w:r>
            <w:r>
              <w:rPr>
                <w:rFonts w:hint="eastAsia" w:ascii="宋体" w:hAnsi="宋体" w:cs="宋体"/>
                <w:b/>
                <w:bCs/>
                <w:color w:val="auto"/>
                <w:kern w:val="21"/>
                <w:szCs w:val="21"/>
                <w:highlight w:val="none"/>
              </w:rPr>
              <w:t>1）供应商如提供资信证明的，若银行开具的资信证明文本中有再次复印无效等字样，请将资信证明原件放入投标文件正本中；</w:t>
            </w:r>
          </w:p>
          <w:p w14:paraId="071755B3">
            <w:pPr>
              <w:snapToGrid w:val="0"/>
              <w:spacing w:line="460" w:lineRule="exact"/>
              <w:rPr>
                <w:rFonts w:ascii="宋体" w:hAnsi="宋体" w:cs="宋体"/>
                <w:b/>
                <w:bCs/>
                <w:color w:val="auto"/>
                <w:kern w:val="21"/>
                <w:szCs w:val="21"/>
                <w:highlight w:val="none"/>
                <w:lang w:val="zh-CN"/>
              </w:rPr>
            </w:pPr>
            <w:r>
              <w:rPr>
                <w:rFonts w:hint="eastAsia" w:ascii="宋体" w:hAnsi="宋体" w:cs="宋体"/>
                <w:b/>
                <w:bCs/>
                <w:color w:val="auto"/>
                <w:kern w:val="21"/>
                <w:szCs w:val="21"/>
                <w:highlight w:val="none"/>
              </w:rPr>
              <w:t>2）</w:t>
            </w:r>
            <w:r>
              <w:rPr>
                <w:rFonts w:hint="eastAsia" w:ascii="宋体" w:hAnsi="宋体" w:cs="宋体"/>
                <w:b/>
                <w:bCs/>
                <w:color w:val="auto"/>
                <w:kern w:val="21"/>
                <w:szCs w:val="21"/>
                <w:highlight w:val="none"/>
                <w:lang w:val="zh-CN"/>
              </w:rPr>
              <w:t>其中，第1至</w:t>
            </w:r>
            <w:r>
              <w:rPr>
                <w:rFonts w:hint="eastAsia" w:ascii="宋体" w:hAnsi="宋体" w:cs="宋体"/>
                <w:b/>
                <w:bCs/>
                <w:color w:val="auto"/>
                <w:kern w:val="21"/>
                <w:szCs w:val="21"/>
                <w:highlight w:val="none"/>
              </w:rPr>
              <w:t>9</w:t>
            </w:r>
            <w:r>
              <w:rPr>
                <w:rFonts w:hint="eastAsia" w:ascii="宋体" w:hAnsi="宋体" w:cs="宋体"/>
                <w:b/>
                <w:bCs/>
                <w:color w:val="auto"/>
                <w:kern w:val="21"/>
                <w:szCs w:val="21"/>
                <w:highlight w:val="none"/>
                <w:lang w:val="zh-CN"/>
              </w:rPr>
              <w:t>项在开标现场由采购人查验。</w:t>
            </w:r>
          </w:p>
          <w:p w14:paraId="253F6628">
            <w:pPr>
              <w:snapToGrid w:val="0"/>
              <w:spacing w:line="460" w:lineRule="exact"/>
              <w:rPr>
                <w:rFonts w:ascii="宋体" w:hAnsi="宋体" w:cs="宋体"/>
                <w:color w:val="auto"/>
                <w:szCs w:val="21"/>
                <w:highlight w:val="none"/>
                <w:lang w:val="zh-CN"/>
              </w:rPr>
            </w:pPr>
            <w:r>
              <w:rPr>
                <w:rFonts w:hint="eastAsia" w:ascii="宋体" w:hAnsi="宋体" w:cs="宋体"/>
                <w:b/>
                <w:bCs/>
                <w:color w:val="auto"/>
                <w:kern w:val="21"/>
                <w:szCs w:val="21"/>
                <w:highlight w:val="none"/>
                <w:lang w:val="zh-CN"/>
              </w:rPr>
              <w:t>以上资料原件或复印件如未携带或缺项，则按无效标处理。</w:t>
            </w:r>
          </w:p>
        </w:tc>
      </w:tr>
      <w:tr w14:paraId="6C8E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1" w:type="dxa"/>
            <w:vAlign w:val="center"/>
          </w:tcPr>
          <w:p w14:paraId="61529C20">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14</w:t>
            </w:r>
          </w:p>
        </w:tc>
        <w:tc>
          <w:tcPr>
            <w:tcW w:w="1783" w:type="dxa"/>
            <w:vAlign w:val="center"/>
          </w:tcPr>
          <w:p w14:paraId="393C6578">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联合体投标</w:t>
            </w:r>
          </w:p>
        </w:tc>
        <w:tc>
          <w:tcPr>
            <w:tcW w:w="7604" w:type="dxa"/>
            <w:vAlign w:val="center"/>
          </w:tcPr>
          <w:p w14:paraId="5D0D915F">
            <w:pPr>
              <w:snapToGrid w:val="0"/>
              <w:spacing w:line="460" w:lineRule="exact"/>
              <w:jc w:val="left"/>
              <w:rPr>
                <w:rFonts w:ascii="宋体" w:hAnsi="宋体" w:cs="宋体"/>
                <w:color w:val="auto"/>
                <w:kern w:val="21"/>
                <w:szCs w:val="21"/>
                <w:highlight w:val="none"/>
                <w:lang w:val="zh-CN"/>
              </w:rPr>
            </w:pPr>
            <w:r>
              <w:rPr>
                <w:rFonts w:hint="eastAsia" w:ascii="宋体" w:hAnsi="宋体" w:cs="宋体"/>
                <w:color w:val="auto"/>
                <w:kern w:val="21"/>
                <w:szCs w:val="21"/>
                <w:highlight w:val="none"/>
              </w:rPr>
              <w:t>不接受</w:t>
            </w:r>
          </w:p>
        </w:tc>
      </w:tr>
      <w:tr w14:paraId="38A5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1" w:type="dxa"/>
            <w:vAlign w:val="center"/>
          </w:tcPr>
          <w:p w14:paraId="3DAC7110">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15</w:t>
            </w:r>
          </w:p>
        </w:tc>
        <w:tc>
          <w:tcPr>
            <w:tcW w:w="1783" w:type="dxa"/>
            <w:vAlign w:val="center"/>
          </w:tcPr>
          <w:p w14:paraId="1B7A5173">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踏勘现场</w:t>
            </w:r>
          </w:p>
        </w:tc>
        <w:tc>
          <w:tcPr>
            <w:tcW w:w="7604" w:type="dxa"/>
            <w:vAlign w:val="center"/>
          </w:tcPr>
          <w:p w14:paraId="3E936C10">
            <w:pPr>
              <w:snapToGrid w:val="0"/>
              <w:spacing w:line="460" w:lineRule="exact"/>
              <w:jc w:val="left"/>
              <w:rPr>
                <w:rFonts w:ascii="宋体" w:hAnsi="宋体" w:cs="宋体"/>
                <w:color w:val="auto"/>
                <w:kern w:val="21"/>
                <w:szCs w:val="21"/>
                <w:highlight w:val="none"/>
                <w:lang w:val="zh-CN"/>
              </w:rPr>
            </w:pPr>
            <w:r>
              <w:rPr>
                <w:rFonts w:hint="eastAsia" w:ascii="宋体" w:hAnsi="宋体" w:cs="宋体"/>
                <w:color w:val="auto"/>
                <w:kern w:val="21"/>
                <w:szCs w:val="21"/>
                <w:highlight w:val="none"/>
              </w:rPr>
              <w:t>不组织</w:t>
            </w:r>
          </w:p>
        </w:tc>
      </w:tr>
      <w:tr w14:paraId="64FF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1" w:type="dxa"/>
            <w:vAlign w:val="center"/>
          </w:tcPr>
          <w:p w14:paraId="402C3FD7">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16</w:t>
            </w:r>
          </w:p>
        </w:tc>
        <w:tc>
          <w:tcPr>
            <w:tcW w:w="1783" w:type="dxa"/>
            <w:vAlign w:val="center"/>
          </w:tcPr>
          <w:p w14:paraId="7C99EBA6">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分包</w:t>
            </w:r>
          </w:p>
        </w:tc>
        <w:tc>
          <w:tcPr>
            <w:tcW w:w="7604" w:type="dxa"/>
            <w:vAlign w:val="center"/>
          </w:tcPr>
          <w:p w14:paraId="37F249A0">
            <w:pPr>
              <w:snapToGrid w:val="0"/>
              <w:spacing w:line="460" w:lineRule="exact"/>
              <w:jc w:val="left"/>
              <w:rPr>
                <w:rFonts w:ascii="宋体" w:hAnsi="宋体" w:cs="宋体"/>
                <w:color w:val="auto"/>
                <w:kern w:val="21"/>
                <w:szCs w:val="21"/>
                <w:highlight w:val="none"/>
                <w:lang w:val="zh-CN"/>
              </w:rPr>
            </w:pPr>
            <w:r>
              <w:rPr>
                <w:rFonts w:hint="eastAsia" w:ascii="宋体" w:hAnsi="宋体" w:cs="宋体"/>
                <w:color w:val="auto"/>
                <w:kern w:val="21"/>
                <w:szCs w:val="21"/>
                <w:highlight w:val="none"/>
              </w:rPr>
              <w:t>不允许分包</w:t>
            </w:r>
          </w:p>
        </w:tc>
      </w:tr>
      <w:tr w14:paraId="76CF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1" w:type="dxa"/>
            <w:vAlign w:val="center"/>
          </w:tcPr>
          <w:p w14:paraId="2F10FAED">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17</w:t>
            </w:r>
          </w:p>
        </w:tc>
        <w:tc>
          <w:tcPr>
            <w:tcW w:w="1783" w:type="dxa"/>
            <w:vAlign w:val="center"/>
          </w:tcPr>
          <w:p w14:paraId="3977284B">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偏离</w:t>
            </w:r>
          </w:p>
        </w:tc>
        <w:tc>
          <w:tcPr>
            <w:tcW w:w="7604" w:type="dxa"/>
            <w:vAlign w:val="center"/>
          </w:tcPr>
          <w:p w14:paraId="2B51A90D">
            <w:pPr>
              <w:snapToGrid w:val="0"/>
              <w:spacing w:line="460" w:lineRule="exact"/>
              <w:jc w:val="left"/>
              <w:rPr>
                <w:rFonts w:ascii="宋体" w:hAnsi="宋体" w:cs="宋体"/>
                <w:color w:val="auto"/>
                <w:kern w:val="21"/>
                <w:szCs w:val="21"/>
                <w:highlight w:val="none"/>
              </w:rPr>
            </w:pPr>
            <w:r>
              <w:rPr>
                <w:rFonts w:hint="eastAsia" w:ascii="宋体" w:hAnsi="宋体" w:cs="宋体"/>
                <w:color w:val="auto"/>
                <w:kern w:val="21"/>
                <w:szCs w:val="21"/>
                <w:highlight w:val="none"/>
              </w:rPr>
              <w:t>不允许，必须全面符合并响应招标文件要求</w:t>
            </w:r>
          </w:p>
        </w:tc>
      </w:tr>
      <w:tr w14:paraId="5EDB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14:paraId="055CB69C">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18</w:t>
            </w:r>
          </w:p>
        </w:tc>
        <w:tc>
          <w:tcPr>
            <w:tcW w:w="1783" w:type="dxa"/>
            <w:vAlign w:val="center"/>
          </w:tcPr>
          <w:p w14:paraId="50D63226">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投标文件截止递交时间、地点</w:t>
            </w:r>
          </w:p>
        </w:tc>
        <w:tc>
          <w:tcPr>
            <w:tcW w:w="7604" w:type="dxa"/>
            <w:vAlign w:val="center"/>
          </w:tcPr>
          <w:p w14:paraId="444EAD7A">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投标文件截止递交时间：2025年</w:t>
            </w:r>
            <w:r>
              <w:rPr>
                <w:rFonts w:hint="eastAsia" w:ascii="宋体" w:hAnsi="宋体" w:cs="宋体"/>
                <w:color w:val="auto"/>
                <w:kern w:val="21"/>
                <w:szCs w:val="21"/>
                <w:highlight w:val="none"/>
                <w:lang w:val="en-US" w:eastAsia="zh-CN"/>
              </w:rPr>
              <w:t>07</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23</w:t>
            </w:r>
            <w:r>
              <w:rPr>
                <w:rFonts w:hint="eastAsia" w:ascii="宋体" w:hAnsi="宋体" w:cs="宋体"/>
                <w:color w:val="auto"/>
                <w:kern w:val="21"/>
                <w:szCs w:val="21"/>
                <w:highlight w:val="none"/>
              </w:rPr>
              <w:t>日14:00</w:t>
            </w:r>
          </w:p>
          <w:p w14:paraId="1961FAB6">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地点：</w:t>
            </w:r>
            <w:r>
              <w:rPr>
                <w:rFonts w:hint="eastAsia" w:ascii="宋体" w:hAnsi="宋体" w:cs="宋体"/>
                <w:color w:val="auto"/>
                <w:highlight w:val="none"/>
              </w:rPr>
              <w:t>西安高新区丈八一路绿地蓝海大厦22楼12212 （会议室）</w:t>
            </w:r>
          </w:p>
        </w:tc>
      </w:tr>
      <w:tr w14:paraId="0846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352089B9">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19</w:t>
            </w:r>
          </w:p>
        </w:tc>
        <w:tc>
          <w:tcPr>
            <w:tcW w:w="1783" w:type="dxa"/>
            <w:vAlign w:val="center"/>
          </w:tcPr>
          <w:p w14:paraId="3C504A2F">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开标时间、地点</w:t>
            </w:r>
          </w:p>
        </w:tc>
        <w:tc>
          <w:tcPr>
            <w:tcW w:w="7604" w:type="dxa"/>
            <w:vAlign w:val="center"/>
          </w:tcPr>
          <w:p w14:paraId="6F3ACDF4">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开标时间：</w:t>
            </w:r>
            <w:r>
              <w:rPr>
                <w:rFonts w:hint="eastAsia" w:ascii="宋体" w:hAnsi="宋体" w:cs="宋体"/>
                <w:color w:val="auto"/>
                <w:kern w:val="21"/>
                <w:szCs w:val="21"/>
                <w:highlight w:val="none"/>
              </w:rPr>
              <w:t>2025年</w:t>
            </w:r>
            <w:r>
              <w:rPr>
                <w:rFonts w:hint="eastAsia" w:ascii="宋体" w:hAnsi="宋体" w:cs="宋体"/>
                <w:color w:val="auto"/>
                <w:kern w:val="21"/>
                <w:szCs w:val="21"/>
                <w:highlight w:val="none"/>
                <w:lang w:val="en-US" w:eastAsia="zh-CN"/>
              </w:rPr>
              <w:t>07</w:t>
            </w:r>
            <w:r>
              <w:rPr>
                <w:rFonts w:hint="eastAsia" w:ascii="宋体" w:hAnsi="宋体" w:cs="宋体"/>
                <w:color w:val="auto"/>
                <w:kern w:val="21"/>
                <w:szCs w:val="21"/>
                <w:highlight w:val="none"/>
              </w:rPr>
              <w:t>月</w:t>
            </w:r>
            <w:r>
              <w:rPr>
                <w:rFonts w:hint="eastAsia" w:ascii="宋体" w:hAnsi="宋体" w:cs="宋体"/>
                <w:color w:val="auto"/>
                <w:kern w:val="21"/>
                <w:szCs w:val="21"/>
                <w:highlight w:val="none"/>
                <w:lang w:val="en-US" w:eastAsia="zh-CN"/>
              </w:rPr>
              <w:t>23</w:t>
            </w:r>
            <w:r>
              <w:rPr>
                <w:rFonts w:hint="eastAsia" w:ascii="宋体" w:hAnsi="宋体" w:cs="宋体"/>
                <w:color w:val="auto"/>
                <w:kern w:val="21"/>
                <w:szCs w:val="21"/>
                <w:highlight w:val="none"/>
              </w:rPr>
              <w:t>日14:00</w:t>
            </w:r>
          </w:p>
          <w:p w14:paraId="3DFC0486">
            <w:pPr>
              <w:tabs>
                <w:tab w:val="left" w:pos="404"/>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开标地点：</w:t>
            </w:r>
            <w:r>
              <w:rPr>
                <w:rFonts w:hint="eastAsia" w:ascii="宋体" w:hAnsi="宋体" w:cs="宋体"/>
                <w:color w:val="auto"/>
                <w:highlight w:val="none"/>
              </w:rPr>
              <w:t>西安高新区丈八一路绿地蓝海大厦22楼12212 （会议室）</w:t>
            </w:r>
          </w:p>
        </w:tc>
      </w:tr>
      <w:tr w14:paraId="1BE6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71" w:type="dxa"/>
            <w:vAlign w:val="center"/>
          </w:tcPr>
          <w:p w14:paraId="0E9D613C">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20</w:t>
            </w:r>
          </w:p>
        </w:tc>
        <w:tc>
          <w:tcPr>
            <w:tcW w:w="1783" w:type="dxa"/>
            <w:vAlign w:val="center"/>
          </w:tcPr>
          <w:p w14:paraId="46A7EE6C">
            <w:pPr>
              <w:snapToGrid w:val="0"/>
              <w:spacing w:line="240" w:lineRule="auto"/>
              <w:jc w:val="center"/>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开标流程及</w:t>
            </w:r>
          </w:p>
          <w:p w14:paraId="337284D8">
            <w:pPr>
              <w:snapToGrid w:val="0"/>
              <w:spacing w:line="240" w:lineRule="auto"/>
              <w:jc w:val="center"/>
              <w:rPr>
                <w:rFonts w:ascii="宋体" w:hAnsi="宋体" w:cs="宋体"/>
                <w:color w:val="auto"/>
                <w:kern w:val="21"/>
                <w:szCs w:val="21"/>
                <w:highlight w:val="none"/>
              </w:rPr>
            </w:pPr>
            <w:r>
              <w:rPr>
                <w:rFonts w:hint="eastAsia" w:ascii="宋体" w:hAnsi="宋体" w:cs="宋体"/>
                <w:color w:val="auto"/>
                <w:kern w:val="21"/>
                <w:szCs w:val="21"/>
                <w:highlight w:val="none"/>
                <w:lang w:val="zh-CN"/>
              </w:rPr>
              <w:t>评审办法和标准</w:t>
            </w:r>
          </w:p>
        </w:tc>
        <w:tc>
          <w:tcPr>
            <w:tcW w:w="7604" w:type="dxa"/>
            <w:vAlign w:val="center"/>
          </w:tcPr>
          <w:p w14:paraId="4B5F239E">
            <w:pPr>
              <w:snapToGrid w:val="0"/>
              <w:spacing w:line="240" w:lineRule="auto"/>
              <w:rPr>
                <w:rFonts w:ascii="宋体" w:hAnsi="宋体" w:cs="宋体"/>
                <w:color w:val="auto"/>
                <w:kern w:val="21"/>
                <w:szCs w:val="21"/>
                <w:highlight w:val="none"/>
              </w:rPr>
            </w:pPr>
            <w:r>
              <w:rPr>
                <w:rFonts w:hint="eastAsia" w:ascii="宋体" w:hAnsi="宋体" w:cs="宋体"/>
                <w:color w:val="auto"/>
                <w:kern w:val="21"/>
                <w:szCs w:val="21"/>
                <w:highlight w:val="none"/>
              </w:rPr>
              <w:t>综合评分法，详见第二部分（十三）评标办法和评标标准。</w:t>
            </w:r>
          </w:p>
        </w:tc>
      </w:tr>
      <w:tr w14:paraId="675D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71" w:type="dxa"/>
            <w:vAlign w:val="center"/>
          </w:tcPr>
          <w:p w14:paraId="694DAE95">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21</w:t>
            </w:r>
          </w:p>
        </w:tc>
        <w:tc>
          <w:tcPr>
            <w:tcW w:w="1783" w:type="dxa"/>
            <w:vAlign w:val="center"/>
          </w:tcPr>
          <w:p w14:paraId="642F799F">
            <w:pPr>
              <w:snapToGrid w:val="0"/>
              <w:spacing w:line="460" w:lineRule="exact"/>
              <w:jc w:val="center"/>
              <w:rPr>
                <w:rFonts w:ascii="宋体" w:hAnsi="宋体" w:cs="宋体"/>
                <w:color w:val="auto"/>
                <w:kern w:val="21"/>
                <w:szCs w:val="21"/>
                <w:highlight w:val="none"/>
                <w:lang w:val="zh-CN"/>
              </w:rPr>
            </w:pPr>
            <w:r>
              <w:rPr>
                <w:rFonts w:hint="eastAsia" w:ascii="宋体" w:hAnsi="宋体" w:cs="宋体"/>
                <w:color w:val="auto"/>
                <w:kern w:val="21"/>
                <w:szCs w:val="21"/>
                <w:highlight w:val="none"/>
              </w:rPr>
              <w:t>合同签订地点</w:t>
            </w:r>
          </w:p>
        </w:tc>
        <w:tc>
          <w:tcPr>
            <w:tcW w:w="7604" w:type="dxa"/>
            <w:vAlign w:val="center"/>
          </w:tcPr>
          <w:p w14:paraId="0C59AD65">
            <w:pPr>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采购人与中标单位自行约定。</w:t>
            </w:r>
          </w:p>
        </w:tc>
      </w:tr>
      <w:tr w14:paraId="4275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571" w:type="dxa"/>
            <w:vAlign w:val="center"/>
          </w:tcPr>
          <w:p w14:paraId="0FC27A0C">
            <w:pPr>
              <w:snapToGrid w:val="0"/>
              <w:spacing w:line="460" w:lineRule="exact"/>
              <w:jc w:val="center"/>
              <w:rPr>
                <w:rFonts w:ascii="宋体" w:hAnsi="宋体" w:cs="宋体"/>
                <w:b/>
                <w:bCs/>
                <w:color w:val="auto"/>
                <w:kern w:val="21"/>
                <w:szCs w:val="21"/>
                <w:highlight w:val="none"/>
              </w:rPr>
            </w:pPr>
            <w:r>
              <w:rPr>
                <w:rFonts w:hint="eastAsia" w:ascii="宋体" w:hAnsi="宋体" w:cs="宋体"/>
                <w:b/>
                <w:bCs/>
                <w:color w:val="auto"/>
                <w:kern w:val="21"/>
                <w:szCs w:val="21"/>
                <w:highlight w:val="none"/>
              </w:rPr>
              <w:t>22</w:t>
            </w:r>
          </w:p>
        </w:tc>
        <w:tc>
          <w:tcPr>
            <w:tcW w:w="1783" w:type="dxa"/>
            <w:vAlign w:val="center"/>
          </w:tcPr>
          <w:p w14:paraId="32D0D5CF">
            <w:pPr>
              <w:spacing w:line="360" w:lineRule="auto"/>
              <w:jc w:val="center"/>
              <w:rPr>
                <w:rFonts w:ascii="宋体" w:hAnsi="宋体" w:cs="宋体"/>
                <w:color w:val="auto"/>
                <w:kern w:val="21"/>
                <w:szCs w:val="21"/>
                <w:highlight w:val="none"/>
              </w:rPr>
            </w:pPr>
            <w:r>
              <w:rPr>
                <w:rFonts w:hint="eastAsia" w:ascii="宋体" w:hAnsi="宋体" w:cs="宋体"/>
                <w:color w:val="auto"/>
                <w:kern w:val="2"/>
                <w:szCs w:val="21"/>
                <w:highlight w:val="none"/>
              </w:rPr>
              <w:t>项目性质</w:t>
            </w:r>
          </w:p>
        </w:tc>
        <w:tc>
          <w:tcPr>
            <w:tcW w:w="7604" w:type="dxa"/>
            <w:vAlign w:val="center"/>
          </w:tcPr>
          <w:p w14:paraId="10A72990">
            <w:pPr>
              <w:spacing w:line="360" w:lineRule="auto"/>
              <w:rPr>
                <w:rFonts w:ascii="宋体" w:hAnsi="宋体" w:cs="宋体"/>
                <w:b/>
                <w:bCs/>
                <w:color w:val="auto"/>
                <w:kern w:val="2"/>
                <w:szCs w:val="21"/>
                <w:highlight w:val="none"/>
              </w:rPr>
            </w:pPr>
            <w:r>
              <w:rPr>
                <w:rFonts w:hint="eastAsia" w:ascii="宋体" w:hAnsi="宋体" w:cs="宋体"/>
                <w:b/>
                <w:bCs/>
                <w:color w:val="auto"/>
                <w:kern w:val="2"/>
                <w:szCs w:val="21"/>
                <w:highlight w:val="none"/>
              </w:rPr>
              <w:t>☑非专门面向中小企业采购</w:t>
            </w:r>
          </w:p>
          <w:p w14:paraId="77F23819">
            <w:pPr>
              <w:spacing w:line="360" w:lineRule="auto"/>
              <w:rPr>
                <w:rFonts w:ascii="宋体" w:hAnsi="宋体" w:cs="宋体"/>
                <w:b/>
                <w:bCs/>
                <w:color w:val="auto"/>
                <w:kern w:val="2"/>
                <w:szCs w:val="21"/>
                <w:highlight w:val="none"/>
              </w:rPr>
            </w:pPr>
            <w:r>
              <w:rPr>
                <w:rFonts w:hint="eastAsia" w:ascii="宋体" w:hAnsi="宋体" w:cs="宋体"/>
                <w:b/>
                <w:bCs/>
                <w:color w:val="auto"/>
                <w:kern w:val="2"/>
                <w:szCs w:val="21"/>
                <w:highlight w:val="none"/>
              </w:rPr>
              <w:t>对符合《政府采购促进中小企业发展管理办法》(财库{2020}46号)规定的小微企业(监狱企业视同小型、微型企业)的报价给予</w:t>
            </w:r>
            <w:r>
              <w:rPr>
                <w:rFonts w:hint="eastAsia" w:ascii="宋体" w:hAnsi="宋体" w:cs="宋体"/>
                <w:b/>
                <w:bCs/>
                <w:color w:val="auto"/>
                <w:kern w:val="2"/>
                <w:szCs w:val="21"/>
                <w:highlight w:val="none"/>
                <w:u w:val="single"/>
              </w:rPr>
              <w:t xml:space="preserve"> 10 </w:t>
            </w:r>
            <w:r>
              <w:rPr>
                <w:rFonts w:hint="eastAsia" w:ascii="宋体" w:hAnsi="宋体" w:cs="宋体"/>
                <w:b/>
                <w:bCs/>
                <w:color w:val="auto"/>
                <w:kern w:val="2"/>
                <w:szCs w:val="21"/>
                <w:highlight w:val="none"/>
              </w:rPr>
              <w:t>％ 的扣除,用扣除后的价格参加评审。</w:t>
            </w:r>
          </w:p>
          <w:p w14:paraId="225F1F87">
            <w:pPr>
              <w:spacing w:line="360" w:lineRule="auto"/>
              <w:jc w:val="left"/>
              <w:rPr>
                <w:rFonts w:ascii="宋体" w:hAnsi="宋体" w:cs="宋体"/>
                <w:b/>
                <w:bCs/>
                <w:color w:val="auto"/>
                <w:kern w:val="2"/>
                <w:szCs w:val="21"/>
                <w:highlight w:val="none"/>
              </w:rPr>
            </w:pPr>
            <w:r>
              <w:rPr>
                <w:rFonts w:hint="eastAsia" w:ascii="宋体" w:hAnsi="宋体" w:cs="宋体"/>
                <w:b/>
                <w:bCs/>
                <w:color w:val="auto"/>
                <w:kern w:val="2"/>
                <w:szCs w:val="21"/>
                <w:highlight w:val="none"/>
              </w:rPr>
              <w:t>根据《政府采购促进中小企业发展暂行办法》，投标人提供的《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36494F0B">
            <w:pPr>
              <w:spacing w:line="360" w:lineRule="auto"/>
              <w:jc w:val="left"/>
              <w:rPr>
                <w:rFonts w:ascii="宋体" w:hAnsi="宋体" w:cs="宋体"/>
                <w:color w:val="auto"/>
                <w:kern w:val="2"/>
                <w:szCs w:val="21"/>
                <w:highlight w:val="none"/>
              </w:rPr>
            </w:pPr>
            <w:r>
              <w:rPr>
                <w:rFonts w:hint="eastAsia" w:ascii="宋体" w:hAnsi="宋体" w:cs="宋体"/>
                <w:color w:val="auto"/>
                <w:kern w:val="2"/>
                <w:szCs w:val="21"/>
                <w:highlight w:val="none"/>
              </w:rPr>
              <w:t>□专门面向中小企业采购</w:t>
            </w:r>
          </w:p>
          <w:p w14:paraId="356A1A09">
            <w:pPr>
              <w:spacing w:line="360" w:lineRule="auto"/>
              <w:jc w:val="left"/>
              <w:rPr>
                <w:rFonts w:ascii="宋体" w:hAnsi="宋体" w:cs="宋体"/>
                <w:b/>
                <w:bCs/>
                <w:color w:val="auto"/>
                <w:szCs w:val="21"/>
                <w:highlight w:val="none"/>
              </w:rPr>
            </w:pPr>
            <w:r>
              <w:rPr>
                <w:rFonts w:hint="eastAsia" w:ascii="宋体" w:hAnsi="宋体" w:cs="宋体"/>
                <w:color w:val="auto"/>
                <w:kern w:val="2"/>
                <w:szCs w:val="21"/>
                <w:highlight w:val="none"/>
              </w:rPr>
              <w:t>仅允许中小企业或小型、微型企业参与投标。</w:t>
            </w:r>
          </w:p>
        </w:tc>
      </w:tr>
      <w:tr w14:paraId="79D9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345D8B17">
            <w:pPr>
              <w:snapToGrid w:val="0"/>
              <w:spacing w:line="460" w:lineRule="exact"/>
              <w:jc w:val="center"/>
              <w:rPr>
                <w:rFonts w:ascii="宋体" w:hAnsi="宋体" w:cs="宋体"/>
                <w:color w:val="auto"/>
                <w:kern w:val="21"/>
                <w:szCs w:val="21"/>
                <w:highlight w:val="none"/>
              </w:rPr>
            </w:pPr>
            <w:r>
              <w:rPr>
                <w:rFonts w:hint="eastAsia" w:ascii="宋体" w:hAnsi="宋体" w:cs="宋体"/>
                <w:b/>
                <w:bCs/>
                <w:color w:val="auto"/>
                <w:kern w:val="21"/>
                <w:szCs w:val="21"/>
                <w:highlight w:val="none"/>
              </w:rPr>
              <w:t>22</w:t>
            </w:r>
          </w:p>
        </w:tc>
        <w:tc>
          <w:tcPr>
            <w:tcW w:w="1783" w:type="dxa"/>
            <w:vAlign w:val="center"/>
          </w:tcPr>
          <w:p w14:paraId="03ADB6AB">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招标代理服务费</w:t>
            </w:r>
          </w:p>
          <w:p w14:paraId="3A457246">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（中标服务费）</w:t>
            </w:r>
          </w:p>
        </w:tc>
        <w:tc>
          <w:tcPr>
            <w:tcW w:w="7604" w:type="dxa"/>
            <w:vAlign w:val="center"/>
          </w:tcPr>
          <w:p w14:paraId="153DAB18">
            <w:pPr>
              <w:snapToGrid w:val="0"/>
              <w:spacing w:line="460" w:lineRule="exact"/>
              <w:rPr>
                <w:rFonts w:ascii="宋体" w:hAnsi="宋体" w:cs="宋体"/>
                <w:color w:val="auto"/>
                <w:kern w:val="21"/>
                <w:szCs w:val="21"/>
                <w:highlight w:val="none"/>
              </w:rPr>
            </w:pPr>
            <w:r>
              <w:rPr>
                <w:rFonts w:hint="eastAsia" w:ascii="宋体" w:hAnsi="宋体" w:cs="宋体"/>
                <w:b/>
                <w:bCs/>
                <w:color w:val="auto"/>
                <w:kern w:val="21"/>
                <w:szCs w:val="21"/>
                <w:highlight w:val="none"/>
              </w:rPr>
              <w:t>按照“国家计委关于印发《招标代理服务费管理暂行办法的通知》（计价格[2002]1980号）”规定收费标准收取。 结算时以项目成交价为基数，按照合同签订收取比例计算招标代理服务费。代理服务费由成交单位领取成交通知书前以转账或现金形式一次性付清。</w:t>
            </w:r>
          </w:p>
        </w:tc>
      </w:tr>
      <w:tr w14:paraId="7B65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14:paraId="2511CD6A">
            <w:pPr>
              <w:spacing w:line="360" w:lineRule="auto"/>
              <w:jc w:val="center"/>
              <w:rPr>
                <w:rFonts w:ascii="宋体" w:hAnsi="宋体" w:cs="宋体"/>
                <w:b/>
                <w:bCs/>
                <w:color w:val="auto"/>
                <w:kern w:val="21"/>
                <w:szCs w:val="21"/>
                <w:highlight w:val="none"/>
              </w:rPr>
            </w:pPr>
            <w:r>
              <w:rPr>
                <w:rFonts w:hint="eastAsia" w:ascii="宋体" w:hAnsi="宋体" w:cs="宋体"/>
                <w:b/>
                <w:bCs/>
                <w:color w:val="auto"/>
                <w:kern w:val="2"/>
                <w:szCs w:val="21"/>
                <w:highlight w:val="none"/>
              </w:rPr>
              <w:t>23</w:t>
            </w:r>
          </w:p>
        </w:tc>
        <w:tc>
          <w:tcPr>
            <w:tcW w:w="1783" w:type="dxa"/>
            <w:vAlign w:val="center"/>
          </w:tcPr>
          <w:p w14:paraId="37022E01">
            <w:pPr>
              <w:snapToGrid w:val="0"/>
              <w:spacing w:line="240" w:lineRule="auto"/>
              <w:jc w:val="center"/>
              <w:rPr>
                <w:rFonts w:ascii="宋体" w:hAnsi="宋体" w:cs="宋体"/>
                <w:b/>
                <w:bCs/>
                <w:color w:val="auto"/>
                <w:kern w:val="21"/>
                <w:szCs w:val="21"/>
                <w:highlight w:val="none"/>
              </w:rPr>
            </w:pPr>
            <w:r>
              <w:rPr>
                <w:rFonts w:hint="eastAsia" w:ascii="宋体" w:hAnsi="宋体" w:cs="宋体"/>
                <w:b/>
                <w:bCs/>
                <w:color w:val="auto"/>
                <w:kern w:val="21"/>
                <w:szCs w:val="21"/>
                <w:highlight w:val="none"/>
              </w:rPr>
              <w:t>项目类别、采购标的所属行业</w:t>
            </w:r>
          </w:p>
        </w:tc>
        <w:tc>
          <w:tcPr>
            <w:tcW w:w="7604" w:type="dxa"/>
            <w:vAlign w:val="center"/>
          </w:tcPr>
          <w:p w14:paraId="69ABB5AD">
            <w:pPr>
              <w:snapToGrid w:val="0"/>
              <w:spacing w:line="240" w:lineRule="auto"/>
              <w:jc w:val="left"/>
              <w:rPr>
                <w:rFonts w:ascii="宋体" w:hAnsi="宋体" w:cs="宋体"/>
                <w:b/>
                <w:bCs/>
                <w:color w:val="auto"/>
                <w:kern w:val="21"/>
                <w:szCs w:val="21"/>
                <w:highlight w:val="none"/>
              </w:rPr>
            </w:pPr>
            <w:r>
              <w:rPr>
                <w:rFonts w:hint="eastAsia" w:ascii="宋体" w:hAnsi="宋体" w:cs="宋体"/>
                <w:b/>
                <w:bCs/>
                <w:color w:val="auto"/>
                <w:kern w:val="21"/>
                <w:szCs w:val="21"/>
                <w:highlight w:val="none"/>
              </w:rPr>
              <w:t>货物；工业。</w:t>
            </w:r>
          </w:p>
        </w:tc>
      </w:tr>
      <w:tr w14:paraId="383A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040A1A79">
            <w:pPr>
              <w:snapToGrid w:val="0"/>
              <w:spacing w:line="460" w:lineRule="exact"/>
              <w:jc w:val="center"/>
              <w:rPr>
                <w:rFonts w:ascii="宋体" w:hAnsi="宋体" w:cs="宋体"/>
                <w:color w:val="auto"/>
                <w:kern w:val="21"/>
                <w:szCs w:val="21"/>
                <w:highlight w:val="none"/>
              </w:rPr>
            </w:pPr>
            <w:r>
              <w:rPr>
                <w:rFonts w:hint="eastAsia" w:ascii="宋体" w:hAnsi="宋体" w:cs="宋体"/>
                <w:b/>
                <w:bCs/>
                <w:color w:val="auto"/>
                <w:kern w:val="21"/>
                <w:szCs w:val="21"/>
                <w:highlight w:val="none"/>
              </w:rPr>
              <w:t>24</w:t>
            </w:r>
          </w:p>
        </w:tc>
        <w:tc>
          <w:tcPr>
            <w:tcW w:w="1783" w:type="dxa"/>
            <w:vAlign w:val="center"/>
          </w:tcPr>
          <w:p w14:paraId="12A63959">
            <w:pPr>
              <w:snapToGrid w:val="0"/>
              <w:spacing w:line="460" w:lineRule="exact"/>
              <w:jc w:val="center"/>
              <w:rPr>
                <w:rFonts w:ascii="宋体" w:hAnsi="宋体" w:cs="宋体"/>
                <w:color w:val="auto"/>
                <w:kern w:val="21"/>
                <w:szCs w:val="21"/>
                <w:highlight w:val="none"/>
              </w:rPr>
            </w:pPr>
            <w:r>
              <w:rPr>
                <w:rFonts w:hint="eastAsia" w:ascii="宋体" w:hAnsi="宋体" w:cs="宋体"/>
                <w:b/>
                <w:bCs/>
                <w:color w:val="auto"/>
                <w:szCs w:val="21"/>
                <w:highlight w:val="none"/>
              </w:rPr>
              <w:t>补充说明</w:t>
            </w:r>
          </w:p>
        </w:tc>
        <w:tc>
          <w:tcPr>
            <w:tcW w:w="7604" w:type="dxa"/>
            <w:vAlign w:val="center"/>
          </w:tcPr>
          <w:p w14:paraId="0DF2D750">
            <w:pPr>
              <w:snapToGrid w:val="0"/>
              <w:spacing w:line="460" w:lineRule="exact"/>
              <w:rPr>
                <w:rFonts w:ascii="宋体" w:hAnsi="宋体" w:cs="宋体"/>
                <w:color w:val="auto"/>
                <w:kern w:val="21"/>
                <w:szCs w:val="21"/>
                <w:highlight w:val="none"/>
              </w:rPr>
            </w:pPr>
            <w:r>
              <w:rPr>
                <w:rFonts w:hint="eastAsia" w:ascii="宋体" w:hAnsi="宋体" w:cs="宋体"/>
                <w:b/>
                <w:bCs/>
                <w:color w:val="auto"/>
                <w:szCs w:val="21"/>
                <w:highlight w:val="none"/>
              </w:rPr>
              <w:t>致各供应商：陕西省政府采购网于2018年12月27日发布《陕西省财政厅关于政府采购供应商注册登记有关事项的通知》，请各供应商尽快完善在陕西省政府采购平台注册或及其它信息（公示期需5个工作日）。如中标后还未入库，导致采购结果无法录入的，后果自行承担。</w:t>
            </w:r>
          </w:p>
        </w:tc>
      </w:tr>
    </w:tbl>
    <w:p w14:paraId="43AD72A6">
      <w:pPr>
        <w:rPr>
          <w:rFonts w:ascii="宋体" w:hAnsi="宋体" w:cs="宋体"/>
          <w:color w:val="auto"/>
          <w:highlight w:val="none"/>
        </w:rPr>
      </w:pPr>
      <w:bookmarkStart w:id="12" w:name="_Toc16686"/>
      <w:bookmarkStart w:id="13" w:name="_Toc449368375"/>
      <w:bookmarkStart w:id="14" w:name="_Toc450138940"/>
      <w:r>
        <w:rPr>
          <w:rFonts w:hint="eastAsia" w:ascii="宋体" w:hAnsi="宋体" w:cs="宋体"/>
          <w:color w:val="auto"/>
          <w:highlight w:val="none"/>
        </w:rPr>
        <w:br w:type="page"/>
      </w:r>
    </w:p>
    <w:p w14:paraId="70141FF2">
      <w:pPr>
        <w:pStyle w:val="3"/>
        <w:rPr>
          <w:rFonts w:ascii="宋体" w:hAnsi="宋体" w:cs="宋体"/>
          <w:color w:val="auto"/>
          <w:highlight w:val="none"/>
        </w:rPr>
      </w:pPr>
      <w:bookmarkStart w:id="15" w:name="_Toc23022"/>
      <w:r>
        <w:rPr>
          <w:rFonts w:hint="eastAsia" w:ascii="宋体" w:hAnsi="宋体" w:cs="宋体"/>
          <w:color w:val="auto"/>
          <w:highlight w:val="none"/>
        </w:rPr>
        <w:t>二、供应商须知</w:t>
      </w:r>
      <w:bookmarkEnd w:id="12"/>
      <w:bookmarkEnd w:id="13"/>
      <w:bookmarkEnd w:id="14"/>
      <w:bookmarkEnd w:id="15"/>
    </w:p>
    <w:p w14:paraId="4F1A785B">
      <w:pPr>
        <w:pStyle w:val="4"/>
        <w:snapToGrid w:val="0"/>
        <w:spacing w:line="460" w:lineRule="exact"/>
        <w:rPr>
          <w:rFonts w:ascii="宋体" w:hAnsi="宋体" w:cs="宋体"/>
          <w:color w:val="auto"/>
          <w:kern w:val="21"/>
          <w:sz w:val="21"/>
          <w:szCs w:val="21"/>
          <w:highlight w:val="none"/>
        </w:rPr>
      </w:pPr>
      <w:bookmarkStart w:id="16" w:name="_Toc29456"/>
      <w:r>
        <w:rPr>
          <w:rFonts w:hint="eastAsia" w:ascii="宋体" w:hAnsi="宋体" w:cs="宋体"/>
          <w:color w:val="auto"/>
          <w:kern w:val="21"/>
          <w:sz w:val="21"/>
          <w:szCs w:val="21"/>
          <w:highlight w:val="none"/>
        </w:rPr>
        <w:t>（一）总  则</w:t>
      </w:r>
      <w:bookmarkEnd w:id="16"/>
    </w:p>
    <w:p w14:paraId="45881533">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1、本项目采用公开招标方式。</w:t>
      </w:r>
    </w:p>
    <w:p w14:paraId="10A20CB6">
      <w:pPr>
        <w:pStyle w:val="12"/>
        <w:spacing w:line="460" w:lineRule="exact"/>
        <w:ind w:firstLine="420" w:firstLineChars="200"/>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2、名词解释</w:t>
      </w:r>
    </w:p>
    <w:p w14:paraId="33CE6B06">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（1）采购人：</w:t>
      </w:r>
      <w:r>
        <w:rPr>
          <w:rFonts w:hint="eastAsia"/>
          <w:color w:val="auto"/>
          <w:highlight w:val="none"/>
        </w:rPr>
        <w:t>陕西省公安厅交通警察总队</w:t>
      </w:r>
    </w:p>
    <w:p w14:paraId="10EC94E8">
      <w:pPr>
        <w:pStyle w:val="12"/>
        <w:spacing w:line="460" w:lineRule="exact"/>
        <w:ind w:firstLine="420" w:firstLineChars="200"/>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（2）采购代理机构：陕西政采通招标有限公司</w:t>
      </w:r>
    </w:p>
    <w:p w14:paraId="5F1945F2">
      <w:pPr>
        <w:pStyle w:val="12"/>
        <w:spacing w:line="460" w:lineRule="exact"/>
        <w:ind w:firstLine="420" w:firstLineChars="200"/>
        <w:rPr>
          <w:rFonts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（3）供应商：是指响应和符合招标文件规定资格条件要求，且参加公开招标的供应商。</w:t>
      </w:r>
    </w:p>
    <w:p w14:paraId="679D418F">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3、投标费用。供应商应自行承担所有与参加本次投标有关的费用。不论投标的结果如何，陕西政采通招标有限公司和采购人在任何情况下均无义务和责任承担这些费用。</w:t>
      </w:r>
    </w:p>
    <w:p w14:paraId="16E8F354">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4、适用法律。本次招标活动及由本次招标产生的合同受中华人民共和国相关法律法规的制约和保护。</w:t>
      </w:r>
    </w:p>
    <w:p w14:paraId="01CB91F8">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5、招标文件的约束力。供应商一旦购买了本招标文件并参加投标，即被认为接受了本招标文件中的所有条件和规定。</w:t>
      </w:r>
    </w:p>
    <w:p w14:paraId="79AB9043">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6、法定代表人为同一个人的两个及两个以上法人，母公司、全资子公司及其控股公司，都不得同时参加本项目同一标段的投标。</w:t>
      </w:r>
    </w:p>
    <w:p w14:paraId="45CA4AE2">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在信息系统建设中，受托为整体采购项目或者其中分项目的前期工作提供设计、编制规范、进行管理等服务的供应商，对于理解及把握采购内容具有一定的优势，其再参加该项目的采购活动，存在违反公平竞争原则的可能性。为保证政府采购公平、公正，凡为整体采购项目提供上述服务的法人及其附属机构（单位），不得再参加该整体采购项目及其所有分项目的采购活动；凡为分项目提供上述服务的法人及其附属机构（单位），不得再参加该分项目的采购活动。</w:t>
      </w:r>
    </w:p>
    <w:p w14:paraId="7CA7AA46">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7、供应商应认真阅读招标文件中所有的章节、条款、格式、规范和附件等要求。如果没有按照招标文件要求编制投标文件及提供相关资料，其风险由供应商自行承担。</w:t>
      </w:r>
    </w:p>
    <w:p w14:paraId="473C2808">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8、供应商所提供的所有资料（包括复印件）必须清晰，如因提供的资料难以辨认，其风险由供应商自负。</w:t>
      </w:r>
    </w:p>
    <w:p w14:paraId="69D88442">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9、本次招标不接受联合体投标。</w:t>
      </w:r>
    </w:p>
    <w:p w14:paraId="3256D183">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10、分包</w:t>
      </w:r>
    </w:p>
    <w:p w14:paraId="47B059E5">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不允许，见</w:t>
      </w:r>
      <w:r>
        <w:rPr>
          <w:rFonts w:hint="eastAsia" w:ascii="宋体" w:hAnsi="宋体" w:cs="宋体"/>
          <w:color w:val="auto"/>
          <w:kern w:val="21"/>
          <w:szCs w:val="21"/>
          <w:highlight w:val="none"/>
        </w:rPr>
        <w:t>供应商</w:t>
      </w:r>
      <w:r>
        <w:rPr>
          <w:rFonts w:hint="eastAsia" w:ascii="宋体" w:hAnsi="宋体" w:cs="宋体"/>
          <w:color w:val="auto"/>
          <w:szCs w:val="21"/>
          <w:highlight w:val="none"/>
        </w:rPr>
        <w:t>须知前附表。</w:t>
      </w:r>
    </w:p>
    <w:p w14:paraId="53756EB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11、偏离</w:t>
      </w:r>
    </w:p>
    <w:p w14:paraId="5B258273">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不允许，见</w:t>
      </w:r>
      <w:r>
        <w:rPr>
          <w:rFonts w:hint="eastAsia" w:ascii="宋体" w:hAnsi="宋体" w:cs="宋体"/>
          <w:color w:val="auto"/>
          <w:kern w:val="21"/>
          <w:szCs w:val="21"/>
          <w:highlight w:val="none"/>
        </w:rPr>
        <w:t>供应商</w:t>
      </w:r>
      <w:r>
        <w:rPr>
          <w:rFonts w:hint="eastAsia" w:ascii="宋体" w:hAnsi="宋体" w:cs="宋体"/>
          <w:color w:val="auto"/>
          <w:szCs w:val="21"/>
          <w:highlight w:val="none"/>
        </w:rPr>
        <w:t>须知前附表。</w:t>
      </w:r>
    </w:p>
    <w:p w14:paraId="490A6E69">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12、代理机构对采购人拖欠中标人合同款不承担任何连带或非连带的责任，任何情况下，中标人若主张或要求其合同款相关的民事权利均只能直接针对采购人主张或要求。</w:t>
      </w:r>
    </w:p>
    <w:p w14:paraId="303A9CEB">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 xml:space="preserve">13、因本次招投标活动产生的一切纠纷（包括合同纠纷），有关各方应友好协商解决，协商不成，则向西安市仲裁委员会申请仲裁。 </w:t>
      </w:r>
    </w:p>
    <w:p w14:paraId="53A2B6FD">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14、招标代理服务费：</w:t>
      </w:r>
    </w:p>
    <w:p w14:paraId="2452FD06">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按照“国家计委关于印发《招标代理服务费管理暂行办法的通知》（计价格[2002]1980号）”规定收费标准收取。 结算时以项目成交价为基数，按照合同签订收取比例计算招标代理服务费。代理服务费由成交单位领取成交通知书前以转账或现金形式一次性付清。</w:t>
      </w:r>
    </w:p>
    <w:p w14:paraId="1EC1A559">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15、本招标文件不接受电子签名。</w:t>
      </w:r>
    </w:p>
    <w:p w14:paraId="05F11CD4">
      <w:pPr>
        <w:snapToGrid w:val="0"/>
        <w:spacing w:line="460" w:lineRule="exact"/>
        <w:ind w:firstLine="449" w:firstLineChars="214"/>
        <w:rPr>
          <w:rFonts w:ascii="宋体" w:hAnsi="宋体" w:cs="宋体"/>
          <w:color w:val="auto"/>
          <w:kern w:val="21"/>
          <w:szCs w:val="21"/>
          <w:highlight w:val="none"/>
        </w:rPr>
      </w:pPr>
      <w:r>
        <w:rPr>
          <w:rFonts w:hint="eastAsia" w:ascii="宋体" w:hAnsi="宋体" w:cs="宋体"/>
          <w:color w:val="auto"/>
          <w:kern w:val="21"/>
          <w:szCs w:val="21"/>
          <w:highlight w:val="none"/>
        </w:rPr>
        <w:t>16、本招标文件的解释权属采购代理机构。</w:t>
      </w:r>
    </w:p>
    <w:p w14:paraId="0DEBAE29">
      <w:pPr>
        <w:pStyle w:val="4"/>
        <w:snapToGrid w:val="0"/>
        <w:spacing w:line="460" w:lineRule="exact"/>
        <w:rPr>
          <w:rFonts w:ascii="宋体" w:hAnsi="宋体" w:cs="宋体"/>
          <w:color w:val="auto"/>
          <w:kern w:val="21"/>
          <w:sz w:val="21"/>
          <w:szCs w:val="21"/>
          <w:highlight w:val="none"/>
        </w:rPr>
      </w:pPr>
      <w:bookmarkStart w:id="17" w:name="_Toc32595"/>
      <w:r>
        <w:rPr>
          <w:rFonts w:hint="eastAsia" w:ascii="宋体" w:hAnsi="宋体" w:cs="宋体"/>
          <w:color w:val="auto"/>
          <w:kern w:val="21"/>
          <w:sz w:val="21"/>
          <w:szCs w:val="21"/>
          <w:highlight w:val="none"/>
        </w:rPr>
        <w:t>（二）招标文件的澄清、补充及修改</w:t>
      </w:r>
      <w:bookmarkEnd w:id="17"/>
    </w:p>
    <w:p w14:paraId="258516C4">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采购人或者采购代理机构对已发出的招标文件如果进行澄清或修改(澄清或者修改的内容可能影响投标文件编制的)，必须在投标截止时间至少15日前以书面形式通知所有获取招标文件的潜在供应商，不足15日的，采购人或者采购代理机构应当顺延提交投标文件的截止时间。</w:t>
      </w:r>
    </w:p>
    <w:p w14:paraId="7DC715B2">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任何要求对招标文件进行澄清的供应商，均应按招标公告中的通讯地址以书面（盖供应商公章）形式通知代理机构和采购人。对在质疑有效期收到的对招标文件的澄清要求，代理机构和采购人对于需要澄清的问题，将以书面形式予以答复，同时将书面答复发给每个购买招标文件的供应商，但不说明问题的来源。</w:t>
      </w:r>
    </w:p>
    <w:p w14:paraId="59984C37">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3、如果上述答复涉及对招标文件的修改或补充，则它将被视为招标文件的一部分。凡原先所发招标文件中的内容与答复中的内容不一致之处，应以后形成的书面答复为准。</w:t>
      </w:r>
    </w:p>
    <w:p w14:paraId="42B0D23E">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4、在投标截止期前的任何时候，无论出于何种原因，（代理机构名称）可主动地或在解答供应商提出的澄清问题时对招标文件进行修改。</w:t>
      </w:r>
    </w:p>
    <w:p w14:paraId="147E5C75">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5、对招标文件的修改是招标文件的组成部分，将以书面形式通知所有购买招标文件的供应商，并对其具有约束力。供应商在收到上述通知后，应毫不延误地以书面形式向代理机构确认；无论供应商是否及时地以书面形式向代理机构确认，代理机构都将依据发出信函、传真的相关凭据或电话记录等认定供应商已经收到上述通知。</w:t>
      </w:r>
    </w:p>
    <w:p w14:paraId="4EADB65E">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6、为使供应商有充分时间对招标文件的修改部分进行研究或由于其他原因，可以延长投标截止日期和开标日期、改变开标地点，并以书面形式通知供应商。</w:t>
      </w:r>
    </w:p>
    <w:p w14:paraId="793A0106">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7、供应商认为采购文件、采购过程和中标、成交结果使自己的权益受到损害的，可以在知道或者应知其权益受到损害之日起七个工作日内，以书面形式向采购人提出质疑。</w:t>
      </w:r>
    </w:p>
    <w:p w14:paraId="41462AF5">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 xml:space="preserve"> 采购人应当在收到供应商的书面质疑后七个工作日内作出答复，并以书面形式通知质疑供应商和其他有关供应商，但答复的内容不得涉及商业秘密。</w:t>
      </w:r>
    </w:p>
    <w:p w14:paraId="3BEAC282">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3834D656">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供应商提出质疑应当提交质疑函和必要的证明材料。质疑函应当包括下列内容：</w:t>
      </w:r>
    </w:p>
    <w:p w14:paraId="5E0F644D">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0F87CD9E">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r>
        <w:rPr>
          <w:rFonts w:hint="eastAsia" w:ascii="宋体" w:hAnsi="宋体" w:cs="宋体"/>
          <w:color w:val="auto"/>
          <w:kern w:val="21"/>
          <w:szCs w:val="21"/>
          <w:highlight w:val="none"/>
        </w:rPr>
        <w:t>包</w:t>
      </w:r>
      <w:r>
        <w:rPr>
          <w:rFonts w:hint="eastAsia" w:ascii="宋体" w:hAnsi="宋体" w:cs="宋体"/>
          <w:color w:val="auto"/>
          <w:szCs w:val="21"/>
          <w:highlight w:val="none"/>
        </w:rPr>
        <w:t>号；</w:t>
      </w:r>
    </w:p>
    <w:p w14:paraId="67E7F29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4852CD5E">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2B9D7DAB">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53EADFE3">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749BEE57">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14:paraId="1D136882">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备注：1）供应商须在法定质疑期内一次性提出针对同一采购程序环节的质疑。</w:t>
      </w:r>
    </w:p>
    <w:p w14:paraId="0C9D0218">
      <w:pPr>
        <w:snapToGrid w:val="0"/>
        <w:spacing w:line="46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2）供应商提出质疑应当提交质疑函和必要的证明材料，并按财政部《质疑函范本》给定的格式进行填写，范本下载详见【财政部国库司（gks.mof.gov.cn）】网站〖首页•〉政府采购管理〗栏目中的《政府采购供应商质疑函范本》。</w:t>
      </w:r>
    </w:p>
    <w:p w14:paraId="7E661567">
      <w:pPr>
        <w:pStyle w:val="4"/>
        <w:snapToGrid w:val="0"/>
        <w:spacing w:before="260" w:line="460" w:lineRule="exact"/>
        <w:rPr>
          <w:rFonts w:ascii="宋体" w:hAnsi="宋体" w:cs="宋体"/>
          <w:color w:val="auto"/>
          <w:kern w:val="21"/>
          <w:sz w:val="21"/>
          <w:szCs w:val="21"/>
          <w:highlight w:val="none"/>
        </w:rPr>
      </w:pPr>
      <w:bookmarkStart w:id="18" w:name="_Toc10690"/>
      <w:r>
        <w:rPr>
          <w:rFonts w:hint="eastAsia" w:ascii="宋体" w:hAnsi="宋体" w:cs="宋体"/>
          <w:color w:val="auto"/>
          <w:kern w:val="21"/>
          <w:sz w:val="21"/>
          <w:szCs w:val="21"/>
          <w:highlight w:val="none"/>
        </w:rPr>
        <w:t>（三）投标文件的组成及编制</w:t>
      </w:r>
      <w:bookmarkEnd w:id="18"/>
    </w:p>
    <w:p w14:paraId="2D500396">
      <w:pPr>
        <w:snapToGrid w:val="0"/>
        <w:spacing w:line="460" w:lineRule="exact"/>
        <w:ind w:firstLine="420" w:firstLineChars="200"/>
        <w:rPr>
          <w:rFonts w:ascii="宋体" w:hAnsi="宋体" w:cs="宋体"/>
          <w:bCs/>
          <w:color w:val="auto"/>
          <w:kern w:val="21"/>
          <w:szCs w:val="21"/>
          <w:highlight w:val="none"/>
        </w:rPr>
      </w:pPr>
      <w:r>
        <w:rPr>
          <w:rFonts w:hint="eastAsia" w:ascii="宋体" w:hAnsi="宋体" w:cs="宋体"/>
          <w:bCs/>
          <w:color w:val="auto"/>
          <w:kern w:val="21"/>
          <w:szCs w:val="21"/>
          <w:highlight w:val="none"/>
        </w:rPr>
        <w:t>1、投标文件由技术部分、商务部分组成的文件。</w:t>
      </w:r>
    </w:p>
    <w:p w14:paraId="71A64C02">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bCs/>
          <w:color w:val="auto"/>
          <w:kern w:val="21"/>
          <w:szCs w:val="21"/>
          <w:highlight w:val="none"/>
        </w:rPr>
        <w:t>2、</w:t>
      </w:r>
      <w:r>
        <w:rPr>
          <w:rFonts w:hint="eastAsia" w:ascii="宋体" w:hAnsi="宋体" w:cs="宋体"/>
          <w:color w:val="auto"/>
          <w:kern w:val="21"/>
          <w:szCs w:val="21"/>
          <w:highlight w:val="none"/>
        </w:rPr>
        <w:t>投标文件必须使用简体中文,投标文件中若有英文或其他语言文字的资料，应翻译成中文。</w:t>
      </w:r>
    </w:p>
    <w:p w14:paraId="13BEE39D">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3、度量衡单位除招标文件技术规格中另有规定外均采用中华人民共和国法定的计量单位。</w:t>
      </w:r>
    </w:p>
    <w:p w14:paraId="1D2EAD51">
      <w:pPr>
        <w:widowControl w:val="0"/>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4、投标文件应以A4规格的纸张打印。</w:t>
      </w:r>
    </w:p>
    <w:p w14:paraId="22BBC782">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5、供应商应将投标文件装订成册，并编排目录、标明页码。</w:t>
      </w:r>
    </w:p>
    <w:p w14:paraId="18E179DB">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6、投标文件应按照招标文件给出的投标文件格式按顺序编制。</w:t>
      </w:r>
    </w:p>
    <w:p w14:paraId="1D0C7FCE">
      <w:pPr>
        <w:pStyle w:val="4"/>
        <w:snapToGrid w:val="0"/>
        <w:spacing w:line="460" w:lineRule="exact"/>
        <w:rPr>
          <w:rFonts w:ascii="宋体" w:hAnsi="宋体" w:cs="宋体"/>
          <w:color w:val="auto"/>
          <w:kern w:val="21"/>
          <w:sz w:val="21"/>
          <w:szCs w:val="21"/>
          <w:highlight w:val="none"/>
        </w:rPr>
      </w:pPr>
      <w:bookmarkStart w:id="19" w:name="_Toc24064"/>
      <w:r>
        <w:rPr>
          <w:rFonts w:hint="eastAsia" w:ascii="宋体" w:hAnsi="宋体" w:cs="宋体"/>
          <w:color w:val="auto"/>
          <w:kern w:val="21"/>
          <w:sz w:val="21"/>
          <w:szCs w:val="21"/>
          <w:highlight w:val="none"/>
        </w:rPr>
        <w:t>（四）投标报价</w:t>
      </w:r>
      <w:bookmarkEnd w:id="19"/>
    </w:p>
    <w:p w14:paraId="038FD2FD">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 xml:space="preserve">1、投标报价以人民币报价，供应商在填写投标报价时，金额单位要统一，数字、文字要清晰。  </w:t>
      </w:r>
    </w:p>
    <w:p w14:paraId="3F9DDC86">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2、总投标价等于各分项报价与各项费用之和，不得采用总价下浮的方式。</w:t>
      </w:r>
    </w:p>
    <w:p w14:paraId="2621C564">
      <w:pPr>
        <w:snapToGrid w:val="0"/>
        <w:spacing w:line="460" w:lineRule="exact"/>
        <w:ind w:firstLine="422" w:firstLineChars="200"/>
        <w:rPr>
          <w:rFonts w:ascii="宋体" w:hAnsi="宋体" w:cs="宋体"/>
          <w:b/>
          <w:color w:val="auto"/>
          <w:kern w:val="21"/>
          <w:szCs w:val="21"/>
          <w:highlight w:val="none"/>
        </w:rPr>
      </w:pPr>
      <w:r>
        <w:rPr>
          <w:rFonts w:hint="eastAsia" w:ascii="宋体" w:hAnsi="宋体" w:cs="宋体"/>
          <w:b/>
          <w:color w:val="auto"/>
          <w:kern w:val="21"/>
          <w:szCs w:val="21"/>
          <w:highlight w:val="none"/>
        </w:rPr>
        <w:t>3、招标最高限价</w:t>
      </w:r>
    </w:p>
    <w:p w14:paraId="789E5674">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大写：肆拾贰万元整；小写：420000.00元；</w:t>
      </w:r>
    </w:p>
    <w:p w14:paraId="6D67AB21">
      <w:pPr>
        <w:snapToGrid w:val="0"/>
        <w:spacing w:line="460" w:lineRule="exact"/>
        <w:ind w:firstLine="420" w:firstLineChars="200"/>
        <w:rPr>
          <w:rFonts w:ascii="宋体" w:hAnsi="宋体" w:cs="宋体"/>
          <w:b/>
          <w:color w:val="auto"/>
          <w:kern w:val="21"/>
          <w:szCs w:val="21"/>
          <w:highlight w:val="none"/>
          <w:lang w:val="zh-CN"/>
        </w:rPr>
      </w:pPr>
      <w:r>
        <w:rPr>
          <w:rFonts w:hint="eastAsia" w:ascii="宋体" w:hAnsi="宋体" w:cs="宋体"/>
          <w:color w:val="auto"/>
          <w:szCs w:val="21"/>
          <w:highlight w:val="none"/>
        </w:rPr>
        <w:t>(注：供应商报价大于最高限价，作为不实质性响应招标文件，均为无效报价，按无效标处理)</w:t>
      </w:r>
    </w:p>
    <w:p w14:paraId="3D1D0F18">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4、投标报价中不得包含招标文件要求以外的内容，否则，在评标时不予核减，但在授予合同时，采购人有权将这部分价格从其中标价格中扣除。</w:t>
      </w:r>
    </w:p>
    <w:p w14:paraId="1ED8DA2C">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5、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00368448">
      <w:pPr>
        <w:pStyle w:val="4"/>
        <w:snapToGrid w:val="0"/>
        <w:spacing w:line="460" w:lineRule="exact"/>
        <w:rPr>
          <w:rFonts w:ascii="宋体" w:hAnsi="宋体" w:cs="宋体"/>
          <w:color w:val="auto"/>
          <w:kern w:val="21"/>
          <w:sz w:val="21"/>
          <w:szCs w:val="21"/>
          <w:highlight w:val="none"/>
        </w:rPr>
      </w:pPr>
      <w:bookmarkStart w:id="20" w:name="_Toc785"/>
      <w:r>
        <w:rPr>
          <w:rFonts w:hint="eastAsia" w:ascii="宋体" w:hAnsi="宋体" w:cs="宋体"/>
          <w:color w:val="auto"/>
          <w:kern w:val="21"/>
          <w:sz w:val="21"/>
          <w:szCs w:val="21"/>
          <w:highlight w:val="none"/>
        </w:rPr>
        <w:t>（五）投标保证金</w:t>
      </w:r>
      <w:bookmarkEnd w:id="20"/>
    </w:p>
    <w:p w14:paraId="467D7DC5">
      <w:pPr>
        <w:spacing w:line="480" w:lineRule="exact"/>
        <w:ind w:firstLine="440" w:firstLineChars="200"/>
        <w:rPr>
          <w:rFonts w:ascii="宋体" w:hAnsi="宋体" w:cs="宋体"/>
          <w:color w:val="auto"/>
          <w:sz w:val="22"/>
          <w:szCs w:val="22"/>
          <w:highlight w:val="none"/>
          <w:lang w:val="zh-CN"/>
        </w:rPr>
      </w:pPr>
      <w:bookmarkStart w:id="21" w:name="_Toc31023"/>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保证金交纳</w:t>
      </w:r>
    </w:p>
    <w:p w14:paraId="574ED093">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须向采购代理机构递交人民币捌仟元整（小写：人民币8000.00元）的投标保证金,在投标文件截止递交时间前到账。在规定时间未到账的，其投标按无效文件处理。投标文件内应附保证金转账凭证复印件或扫描件。</w:t>
      </w:r>
    </w:p>
    <w:p w14:paraId="05A46FBF">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代理机构开户名称：陕西政采通招标有限公司</w:t>
      </w:r>
    </w:p>
    <w:p w14:paraId="105FABC9">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开户行名称：兴业银行股份有限公司西安分行营业部</w:t>
      </w:r>
    </w:p>
    <w:p w14:paraId="414DF6B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账号：456010100101076827</w:t>
      </w:r>
    </w:p>
    <w:p w14:paraId="0303E92E">
      <w:pPr>
        <w:spacing w:line="48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转账附言：ZC-省本级-2025-002.1B1</w:t>
      </w:r>
    </w:p>
    <w:p w14:paraId="7753E0EF">
      <w:pPr>
        <w:spacing w:line="480" w:lineRule="exact"/>
        <w:ind w:firstLine="420" w:firstLineChars="200"/>
        <w:rPr>
          <w:rFonts w:ascii="宋体" w:hAnsi="宋体" w:cs="宋体"/>
          <w:color w:val="auto"/>
          <w:sz w:val="22"/>
          <w:szCs w:val="22"/>
          <w:highlight w:val="none"/>
        </w:rPr>
      </w:pPr>
      <w:r>
        <w:rPr>
          <w:rFonts w:hint="eastAsia" w:ascii="宋体" w:hAnsi="宋体" w:cs="宋体"/>
          <w:color w:val="auto"/>
          <w:szCs w:val="21"/>
          <w:highlight w:val="none"/>
        </w:rPr>
        <w:t>交付形式：支票、汇票、本票或者金融机构</w:t>
      </w:r>
      <w:r>
        <w:rPr>
          <w:rFonts w:ascii="宋体" w:hAnsi="宋体" w:cs="宋体"/>
          <w:color w:val="auto"/>
          <w:kern w:val="2"/>
          <w:sz w:val="22"/>
          <w:szCs w:val="22"/>
          <w:highlight w:val="none"/>
        </w:rPr>
        <w:t>、担保机构出具的保函等非现金形式交纳。</w:t>
      </w:r>
    </w:p>
    <w:p w14:paraId="67E91946">
      <w:pPr>
        <w:spacing w:line="4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2、保证金应当以应当采用支票、汇票、本票或者金融机构、担保机构出具的保函等非现金形式交纳。</w:t>
      </w:r>
    </w:p>
    <w:p w14:paraId="747B745C">
      <w:pPr>
        <w:spacing w:line="480" w:lineRule="exact"/>
        <w:ind w:firstLine="442" w:firstLineChars="200"/>
        <w:rPr>
          <w:rFonts w:ascii="宋体" w:hAnsi="宋体" w:cs="宋体"/>
          <w:b/>
          <w:bCs/>
          <w:color w:val="auto"/>
          <w:kern w:val="21"/>
          <w:sz w:val="22"/>
          <w:szCs w:val="22"/>
          <w:highlight w:val="none"/>
        </w:rPr>
      </w:pPr>
      <w:r>
        <w:rPr>
          <w:rFonts w:hint="eastAsia" w:ascii="宋体" w:hAnsi="宋体" w:cs="宋体"/>
          <w:b/>
          <w:bCs/>
          <w:color w:val="auto"/>
          <w:sz w:val="22"/>
          <w:szCs w:val="22"/>
          <w:highlight w:val="none"/>
        </w:rPr>
        <w:t>3、</w:t>
      </w:r>
      <w:r>
        <w:rPr>
          <w:rFonts w:hint="eastAsia" w:ascii="宋体" w:hAnsi="宋体" w:cs="宋体"/>
          <w:b/>
          <w:bCs/>
          <w:color w:val="auto"/>
          <w:kern w:val="21"/>
          <w:sz w:val="22"/>
          <w:szCs w:val="22"/>
          <w:highlight w:val="none"/>
        </w:rPr>
        <w:t>投标保证金采用银行保函或者专业担保公司担保形式提交的，</w:t>
      </w:r>
      <w:r>
        <w:rPr>
          <w:rFonts w:hint="eastAsia" w:ascii="宋体" w:hAnsi="宋体" w:cs="宋体"/>
          <w:b/>
          <w:bCs/>
          <w:color w:val="auto"/>
          <w:sz w:val="22"/>
          <w:szCs w:val="22"/>
          <w:highlight w:val="none"/>
        </w:rPr>
        <w:t>请在响应文件截止时间前将保函复印件发至代理机构邮箱，代理予以记录，</w:t>
      </w:r>
      <w:r>
        <w:rPr>
          <w:rFonts w:hint="eastAsia" w:ascii="宋体" w:hAnsi="宋体" w:cs="宋体"/>
          <w:b/>
          <w:bCs/>
          <w:color w:val="auto"/>
          <w:kern w:val="21"/>
          <w:sz w:val="22"/>
          <w:szCs w:val="22"/>
          <w:highlight w:val="none"/>
        </w:rPr>
        <w:t>开标现场携带银行保函原件或专业担保公司担保函原件进行现场核验，并在</w:t>
      </w:r>
      <w:r>
        <w:rPr>
          <w:rFonts w:hint="eastAsia" w:ascii="宋体" w:hAnsi="宋体" w:cs="宋体"/>
          <w:b/>
          <w:bCs/>
          <w:color w:val="auto"/>
          <w:sz w:val="22"/>
          <w:szCs w:val="22"/>
          <w:highlight w:val="none"/>
        </w:rPr>
        <w:t>响应</w:t>
      </w:r>
      <w:r>
        <w:rPr>
          <w:rFonts w:hint="eastAsia" w:ascii="宋体" w:hAnsi="宋体" w:cs="宋体"/>
          <w:b/>
          <w:bCs/>
          <w:color w:val="auto"/>
          <w:kern w:val="21"/>
          <w:sz w:val="22"/>
          <w:szCs w:val="22"/>
          <w:highlight w:val="none"/>
        </w:rPr>
        <w:t>文件（包括电子版）中附保函扫描件或复印件，投标保函的真实性由供应商负责。如供应商</w:t>
      </w:r>
      <w:r>
        <w:rPr>
          <w:rFonts w:hint="eastAsia" w:ascii="宋体" w:hAnsi="宋体" w:cs="宋体"/>
          <w:b/>
          <w:bCs/>
          <w:color w:val="auto"/>
          <w:sz w:val="22"/>
          <w:szCs w:val="22"/>
          <w:highlight w:val="none"/>
        </w:rPr>
        <w:t>违约，开具保函单位承担连带责任,</w:t>
      </w:r>
      <w:r>
        <w:rPr>
          <w:rFonts w:hint="eastAsia" w:ascii="宋体" w:hAnsi="宋体" w:cs="宋体"/>
          <w:b/>
          <w:bCs/>
          <w:color w:val="auto"/>
          <w:kern w:val="21"/>
          <w:sz w:val="22"/>
          <w:szCs w:val="22"/>
          <w:highlight w:val="none"/>
        </w:rPr>
        <w:t>并由本项目的招投标监督部门按规定进行处罚。</w:t>
      </w:r>
    </w:p>
    <w:p w14:paraId="3F2BD6C5">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4、保证金的退还</w:t>
      </w:r>
    </w:p>
    <w:p w14:paraId="0FDB2C65">
      <w:pPr>
        <w:spacing w:line="520" w:lineRule="exact"/>
        <w:ind w:firstLine="442" w:firstLineChars="200"/>
        <w:rPr>
          <w:rFonts w:ascii="宋体" w:hAnsi="宋体" w:cs="宋体"/>
          <w:b/>
          <w:bCs/>
          <w:color w:val="auto"/>
          <w:kern w:val="21"/>
          <w:sz w:val="22"/>
          <w:szCs w:val="22"/>
          <w:highlight w:val="none"/>
        </w:rPr>
      </w:pPr>
      <w:r>
        <w:rPr>
          <w:rFonts w:hint="eastAsia" w:ascii="宋体" w:hAnsi="宋体" w:cs="宋体"/>
          <w:b/>
          <w:bCs/>
          <w:color w:val="auto"/>
          <w:kern w:val="21"/>
          <w:sz w:val="22"/>
          <w:szCs w:val="22"/>
          <w:highlight w:val="none"/>
        </w:rPr>
        <w:t>（1）未中标单位的保证金在中标通知书发出后五个工作日内退还，中标单位的保证金在合同签订后五个工作日内退还（中标单位需提供合同复印件并加盖单位公章）。</w:t>
      </w:r>
    </w:p>
    <w:p w14:paraId="6642D696">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（2）未及时办理退还者，由投标人自行负责。</w:t>
      </w:r>
    </w:p>
    <w:p w14:paraId="2D2F25AA">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rPr>
        <w:t>中标</w:t>
      </w:r>
      <w:r>
        <w:rPr>
          <w:rFonts w:hint="eastAsia" w:ascii="宋体" w:hAnsi="宋体" w:cs="宋体"/>
          <w:color w:val="auto"/>
          <w:sz w:val="22"/>
          <w:szCs w:val="22"/>
          <w:highlight w:val="none"/>
          <w:lang w:val="zh-CN"/>
        </w:rPr>
        <w:t>单位有下列情形之一的，招标代理机构不予退还其交纳的</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保证金；情节严重的，由监督部门将其列入不良行为纪录名单，在一至三年内禁止参加招标活动，并予以通报：</w:t>
      </w:r>
    </w:p>
    <w:p w14:paraId="04C4B730">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a.投标人在提交投标文件截止时间后撤回投标文件的；</w:t>
      </w:r>
    </w:p>
    <w:p w14:paraId="09B46A68">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b投标人在投标文件中提供虚假材料的；</w:t>
      </w:r>
    </w:p>
    <w:p w14:paraId="6962D392">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c除因不可抗力或</w:t>
      </w:r>
      <w:r>
        <w:rPr>
          <w:rFonts w:hint="eastAsia" w:ascii="宋体" w:hAnsi="宋体" w:cs="宋体"/>
          <w:color w:val="auto"/>
          <w:sz w:val="22"/>
          <w:szCs w:val="22"/>
          <w:highlight w:val="none"/>
        </w:rPr>
        <w:t>招标</w:t>
      </w:r>
      <w:r>
        <w:rPr>
          <w:rFonts w:hint="eastAsia" w:ascii="宋体" w:hAnsi="宋体" w:cs="宋体"/>
          <w:color w:val="auto"/>
          <w:sz w:val="22"/>
          <w:szCs w:val="22"/>
          <w:highlight w:val="none"/>
          <w:lang w:val="zh-CN"/>
        </w:rPr>
        <w:t>文件认可的情形以外，</w:t>
      </w:r>
      <w:r>
        <w:rPr>
          <w:rFonts w:hint="eastAsia" w:ascii="宋体" w:hAnsi="宋体" w:cs="宋体"/>
          <w:color w:val="auto"/>
          <w:sz w:val="22"/>
          <w:szCs w:val="22"/>
          <w:highlight w:val="none"/>
        </w:rPr>
        <w:t>中标</w:t>
      </w:r>
      <w:r>
        <w:rPr>
          <w:rFonts w:hint="eastAsia" w:ascii="宋体" w:hAnsi="宋体" w:cs="宋体"/>
          <w:color w:val="auto"/>
          <w:sz w:val="22"/>
          <w:szCs w:val="22"/>
          <w:highlight w:val="none"/>
          <w:lang w:val="zh-CN"/>
        </w:rPr>
        <w:t>单位不与招标人签订合同的；</w:t>
      </w:r>
    </w:p>
    <w:p w14:paraId="0F5B864C">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d投标人与招标人、其他投标人或招标代理机构恶意串通的；</w:t>
      </w:r>
    </w:p>
    <w:p w14:paraId="453BC78F">
      <w:pPr>
        <w:spacing w:line="48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e</w:t>
      </w:r>
      <w:r>
        <w:rPr>
          <w:rFonts w:hint="eastAsia" w:ascii="宋体" w:hAnsi="宋体" w:cs="宋体"/>
          <w:color w:val="auto"/>
          <w:sz w:val="22"/>
          <w:szCs w:val="22"/>
          <w:highlight w:val="none"/>
        </w:rPr>
        <w:t>中标</w:t>
      </w:r>
      <w:r>
        <w:rPr>
          <w:rFonts w:hint="eastAsia" w:ascii="宋体" w:hAnsi="宋体" w:cs="宋体"/>
          <w:color w:val="auto"/>
          <w:sz w:val="22"/>
          <w:szCs w:val="22"/>
          <w:highlight w:val="none"/>
          <w:lang w:val="zh-CN"/>
        </w:rPr>
        <w:t>单位拒绝履行合同义务的。</w:t>
      </w:r>
    </w:p>
    <w:p w14:paraId="21638A66">
      <w:pPr>
        <w:pStyle w:val="4"/>
        <w:snapToGrid w:val="0"/>
        <w:spacing w:line="460" w:lineRule="exact"/>
        <w:rPr>
          <w:rFonts w:ascii="宋体" w:hAnsi="宋体" w:cs="宋体"/>
          <w:color w:val="auto"/>
          <w:kern w:val="21"/>
          <w:sz w:val="21"/>
          <w:szCs w:val="21"/>
          <w:highlight w:val="none"/>
        </w:rPr>
      </w:pPr>
      <w:r>
        <w:rPr>
          <w:rFonts w:hint="eastAsia" w:ascii="宋体" w:hAnsi="宋体" w:cs="宋体"/>
          <w:color w:val="auto"/>
          <w:kern w:val="21"/>
          <w:sz w:val="21"/>
          <w:szCs w:val="21"/>
          <w:highlight w:val="none"/>
        </w:rPr>
        <w:t>（六）投标有效期</w:t>
      </w:r>
      <w:bookmarkEnd w:id="21"/>
    </w:p>
    <w:p w14:paraId="02C12F8B">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1、供应商的投标从投标截止之日起，在90日历天内保持有效。</w:t>
      </w:r>
    </w:p>
    <w:p w14:paraId="48499BB9">
      <w:pPr>
        <w:snapToGrid w:val="0"/>
        <w:spacing w:line="460" w:lineRule="exact"/>
        <w:ind w:firstLine="403" w:firstLineChars="192"/>
        <w:rPr>
          <w:rFonts w:ascii="宋体" w:hAnsi="宋体" w:cs="宋体"/>
          <w:color w:val="auto"/>
          <w:kern w:val="21"/>
          <w:szCs w:val="21"/>
          <w:highlight w:val="none"/>
        </w:rPr>
      </w:pPr>
      <w:r>
        <w:rPr>
          <w:rFonts w:hint="eastAsia" w:ascii="宋体" w:hAnsi="宋体" w:cs="宋体"/>
          <w:color w:val="auto"/>
          <w:kern w:val="21"/>
          <w:szCs w:val="21"/>
          <w:highlight w:val="none"/>
        </w:rPr>
        <w:t>2、在特殊情况下，在原投标有效期届满之前，采购人可征得供应商的同意延长投标有效期。这种要求与答复均应采用书面形式。</w:t>
      </w:r>
    </w:p>
    <w:p w14:paraId="4AE7D2D6">
      <w:pPr>
        <w:pStyle w:val="4"/>
        <w:snapToGrid w:val="0"/>
        <w:spacing w:line="460" w:lineRule="exact"/>
        <w:rPr>
          <w:rFonts w:ascii="宋体" w:hAnsi="宋体" w:cs="宋体"/>
          <w:color w:val="auto"/>
          <w:kern w:val="21"/>
          <w:sz w:val="21"/>
          <w:szCs w:val="21"/>
          <w:highlight w:val="none"/>
        </w:rPr>
      </w:pPr>
      <w:bookmarkStart w:id="22" w:name="_Toc9942"/>
      <w:r>
        <w:rPr>
          <w:rFonts w:hint="eastAsia" w:ascii="宋体" w:hAnsi="宋体" w:cs="宋体"/>
          <w:color w:val="auto"/>
          <w:kern w:val="21"/>
          <w:sz w:val="21"/>
          <w:szCs w:val="21"/>
          <w:highlight w:val="none"/>
        </w:rPr>
        <w:t>（七）投标文件的正本和副本要求</w:t>
      </w:r>
      <w:bookmarkEnd w:id="22"/>
    </w:p>
    <w:p w14:paraId="3A90494A">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1、供应商应按照要求，准备正本一份、副本贰份，电子版(U盘3个)，每份投标文件须清楚地标明“正本”或“副本”字样。一旦正本和副本不符，以正本为准。</w:t>
      </w:r>
    </w:p>
    <w:p w14:paraId="4C5864CA">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2、投标文件的正本按照要求签署和盖章后，投标文件的副本可以复印（不包括投标文件的封面）但必须加盖公章，但正本和副本的内容必须相同。否则，评委误读误评的风险供应商必须自行承担。</w:t>
      </w:r>
    </w:p>
    <w:p w14:paraId="761F691B">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3、投标文件不论是书写、打印或复制，均应做到清晰、整洁、规范。</w:t>
      </w:r>
    </w:p>
    <w:p w14:paraId="2E1014D7">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4、供应商递交的投标文件（包括正本、所有副本）均不退还，请供应商自行做好备份。</w:t>
      </w:r>
    </w:p>
    <w:p w14:paraId="39FC4277">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5、投标文件正副本分开密封包装。</w:t>
      </w:r>
    </w:p>
    <w:p w14:paraId="1D8E9837">
      <w:pPr>
        <w:pStyle w:val="4"/>
        <w:snapToGrid w:val="0"/>
        <w:spacing w:line="460" w:lineRule="exact"/>
        <w:rPr>
          <w:rFonts w:ascii="宋体" w:hAnsi="宋体" w:cs="宋体"/>
          <w:color w:val="auto"/>
          <w:kern w:val="21"/>
          <w:sz w:val="21"/>
          <w:szCs w:val="21"/>
          <w:highlight w:val="none"/>
        </w:rPr>
      </w:pPr>
      <w:bookmarkStart w:id="23" w:name="_Toc28172"/>
      <w:r>
        <w:rPr>
          <w:rFonts w:hint="eastAsia" w:ascii="宋体" w:hAnsi="宋体" w:cs="宋体"/>
          <w:color w:val="auto"/>
          <w:kern w:val="21"/>
          <w:sz w:val="21"/>
          <w:szCs w:val="21"/>
          <w:highlight w:val="none"/>
        </w:rPr>
        <w:t>（八）投标文件的签署、盖章</w:t>
      </w:r>
      <w:bookmarkEnd w:id="23"/>
    </w:p>
    <w:p w14:paraId="02722650">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 xml:space="preserve">1、在招标文件给出的投标文件格式中，凡是标明由供应商盖章的地方，投标文件都必须加盖供应商统一对外的公章；凡是标明由法定代表人、委托代理人签字、盖章的，必须签署姓名全称及加盖私章。投标文件封套上有明确规定的必须由法定代表人或委托代理人签字盖章。        </w:t>
      </w:r>
    </w:p>
    <w:p w14:paraId="7034849B">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2、投标文件不得行间插字、涂改或增删。如有修改错漏处，必须由供应商的法定代表人或其委托代理人签字并加盖供应商公章。</w:t>
      </w:r>
    </w:p>
    <w:p w14:paraId="29D01B55">
      <w:pPr>
        <w:pStyle w:val="4"/>
        <w:snapToGrid w:val="0"/>
        <w:spacing w:line="460" w:lineRule="exact"/>
        <w:rPr>
          <w:rFonts w:ascii="宋体" w:hAnsi="宋体" w:cs="宋体"/>
          <w:color w:val="auto"/>
          <w:kern w:val="21"/>
          <w:sz w:val="21"/>
          <w:szCs w:val="21"/>
          <w:highlight w:val="none"/>
        </w:rPr>
      </w:pPr>
      <w:bookmarkStart w:id="24" w:name="_Toc26462"/>
      <w:r>
        <w:rPr>
          <w:rFonts w:hint="eastAsia" w:ascii="宋体" w:hAnsi="宋体" w:cs="宋体"/>
          <w:color w:val="auto"/>
          <w:kern w:val="21"/>
          <w:sz w:val="21"/>
          <w:szCs w:val="21"/>
          <w:highlight w:val="none"/>
        </w:rPr>
        <w:t>（九）投标文件的密封</w:t>
      </w:r>
      <w:bookmarkEnd w:id="24"/>
    </w:p>
    <w:p w14:paraId="2FB56160">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1、供应商应将投标文件正本、副本标明“正本”、“副本”的字样，并正副本分开密封包装，不论供应商中标与否，投标文件均不退回。</w:t>
      </w:r>
    </w:p>
    <w:p w14:paraId="5C655D04">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①封套上注明</w:t>
      </w:r>
      <w:r>
        <w:rPr>
          <w:rFonts w:hint="eastAsia" w:ascii="宋体" w:hAnsi="宋体" w:cs="宋体"/>
          <w:color w:val="auto"/>
          <w:kern w:val="21"/>
          <w:szCs w:val="21"/>
          <w:highlight w:val="none"/>
          <w:lang w:val="zh-CN"/>
        </w:rPr>
        <w:t>项目名称、项目编号、</w:t>
      </w:r>
      <w:r>
        <w:rPr>
          <w:rFonts w:hint="eastAsia" w:ascii="宋体" w:hAnsi="宋体" w:cs="宋体"/>
          <w:color w:val="auto"/>
          <w:kern w:val="21"/>
          <w:szCs w:val="21"/>
          <w:highlight w:val="none"/>
        </w:rPr>
        <w:t>供应商</w:t>
      </w:r>
      <w:r>
        <w:rPr>
          <w:rFonts w:hint="eastAsia" w:ascii="宋体" w:hAnsi="宋体" w:cs="宋体"/>
          <w:color w:val="auto"/>
          <w:kern w:val="21"/>
          <w:szCs w:val="21"/>
          <w:highlight w:val="none"/>
          <w:lang w:val="zh-CN"/>
        </w:rPr>
        <w:t>名称、法定代表人或委托代理人签字或盖章，并加盖单位公章、合同</w:t>
      </w:r>
      <w:r>
        <w:rPr>
          <w:rFonts w:hint="eastAsia" w:ascii="宋体" w:hAnsi="宋体" w:cs="宋体"/>
          <w:color w:val="auto"/>
          <w:kern w:val="21"/>
          <w:szCs w:val="21"/>
          <w:highlight w:val="none"/>
        </w:rPr>
        <w:t>包号</w:t>
      </w:r>
      <w:r>
        <w:rPr>
          <w:rFonts w:hint="eastAsia" w:ascii="宋体" w:hAnsi="宋体" w:cs="宋体"/>
          <w:color w:val="auto"/>
          <w:kern w:val="21"/>
          <w:szCs w:val="21"/>
          <w:highlight w:val="none"/>
          <w:lang w:val="zh-CN"/>
        </w:rPr>
        <w:t>（如有）、地址、年月日、“正本”或“副本”、</w:t>
      </w:r>
      <w:r>
        <w:rPr>
          <w:rFonts w:hint="eastAsia" w:ascii="宋体" w:hAnsi="宋体" w:cs="宋体"/>
          <w:color w:val="auto"/>
          <w:kern w:val="21"/>
          <w:szCs w:val="21"/>
          <w:highlight w:val="none"/>
        </w:rPr>
        <w:t>“于  年  月  日     前不得开启”字样。</w:t>
      </w:r>
    </w:p>
    <w:p w14:paraId="37AE44AF">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②投标文件密封要求：电子文件密封在投标文件正本内，正本、副本分开密封。</w:t>
      </w:r>
    </w:p>
    <w:p w14:paraId="338DCC6F">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2、如果封袋（盒）未按上述要求密封、加写标记或标注不清，采购人对误投或过早启封概不负责。未按上述规定提交的投标文件，一切后果由供应商负责。</w:t>
      </w:r>
    </w:p>
    <w:p w14:paraId="61E89683">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3、在投标截止时间后递交的投标文件将被拒绝。</w:t>
      </w:r>
    </w:p>
    <w:p w14:paraId="32E317C7">
      <w:pPr>
        <w:pStyle w:val="4"/>
        <w:snapToGrid w:val="0"/>
        <w:spacing w:line="460" w:lineRule="exact"/>
        <w:rPr>
          <w:rFonts w:ascii="宋体" w:hAnsi="宋体" w:cs="宋体"/>
          <w:color w:val="auto"/>
          <w:kern w:val="21"/>
          <w:sz w:val="21"/>
          <w:szCs w:val="21"/>
          <w:highlight w:val="none"/>
        </w:rPr>
      </w:pPr>
      <w:bookmarkStart w:id="25" w:name="_Toc4152"/>
      <w:r>
        <w:rPr>
          <w:rFonts w:hint="eastAsia" w:ascii="宋体" w:hAnsi="宋体" w:cs="宋体"/>
          <w:color w:val="auto"/>
          <w:kern w:val="21"/>
          <w:sz w:val="21"/>
          <w:szCs w:val="21"/>
          <w:highlight w:val="none"/>
        </w:rPr>
        <w:t>（十）投标文件的递交</w:t>
      </w:r>
      <w:bookmarkEnd w:id="25"/>
    </w:p>
    <w:p w14:paraId="4D13EE41">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1、供应商应在规定的时间和地点递交投标文件。</w:t>
      </w:r>
    </w:p>
    <w:p w14:paraId="10A81FF6">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2、代理机构将拒绝迟交的投标文件。</w:t>
      </w:r>
    </w:p>
    <w:p w14:paraId="1CDEECDF">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3、未按规定进行密封的投标文件，代理机构将拒绝接受。</w:t>
      </w:r>
    </w:p>
    <w:p w14:paraId="2F31EBF2">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4、供应商在递交投标文件后，如果有修改和撤回要求，必须以书面形式通知代理机构名称，使代理机构能在投标截止时间前收到。其修改书或撤回通知书，应由法定代表人（负责人）或其委托代理人签署，并在信封上注明“修改”或“撤回”字样。</w:t>
      </w:r>
    </w:p>
    <w:p w14:paraId="293580F3">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5、在投标有效期内，供应商不得撤回投标文件。</w:t>
      </w:r>
    </w:p>
    <w:p w14:paraId="04A0C28C">
      <w:pPr>
        <w:pStyle w:val="4"/>
        <w:snapToGrid w:val="0"/>
        <w:spacing w:line="460" w:lineRule="exact"/>
        <w:rPr>
          <w:rFonts w:ascii="宋体" w:hAnsi="宋体" w:cs="宋体"/>
          <w:color w:val="auto"/>
          <w:kern w:val="21"/>
          <w:sz w:val="21"/>
          <w:szCs w:val="21"/>
          <w:highlight w:val="none"/>
        </w:rPr>
      </w:pPr>
      <w:bookmarkStart w:id="26" w:name="_Toc4645"/>
      <w:r>
        <w:rPr>
          <w:rFonts w:hint="eastAsia" w:ascii="宋体" w:hAnsi="宋体" w:cs="宋体"/>
          <w:color w:val="auto"/>
          <w:kern w:val="21"/>
          <w:sz w:val="21"/>
          <w:szCs w:val="21"/>
          <w:highlight w:val="none"/>
        </w:rPr>
        <w:t>（十一）开 标</w:t>
      </w:r>
      <w:bookmarkEnd w:id="26"/>
    </w:p>
    <w:p w14:paraId="2654274A">
      <w:pPr>
        <w:snapToGrid w:val="0"/>
        <w:spacing w:line="460" w:lineRule="exact"/>
        <w:ind w:firstLine="210" w:firstLineChars="100"/>
        <w:jc w:val="left"/>
        <w:rPr>
          <w:rFonts w:ascii="宋体" w:hAnsi="宋体" w:cs="宋体"/>
          <w:color w:val="auto"/>
          <w:kern w:val="21"/>
          <w:szCs w:val="21"/>
          <w:highlight w:val="none"/>
        </w:rPr>
      </w:pPr>
      <w:r>
        <w:rPr>
          <w:rFonts w:hint="eastAsia" w:ascii="宋体" w:hAnsi="宋体" w:cs="宋体"/>
          <w:color w:val="auto"/>
          <w:kern w:val="21"/>
          <w:szCs w:val="21"/>
          <w:highlight w:val="none"/>
        </w:rPr>
        <w:t xml:space="preserve">  1、采购人将按规定的时间和地点组织公开开标，供应商应委派授权投标代表（携带有效证件）准时参加，参加开标的投标代表须签名以证明其出席。</w:t>
      </w:r>
    </w:p>
    <w:p w14:paraId="0573FEBA">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2、开标仪式由代理公司主持，采购人、采购人代表、监督代表、供应商代表以及有关工作人员参加。</w:t>
      </w:r>
    </w:p>
    <w:p w14:paraId="4DFFEBED">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3、同意撤回的投标将不予开封。</w:t>
      </w:r>
    </w:p>
    <w:p w14:paraId="6E0AD270">
      <w:pPr>
        <w:snapToGrid w:val="0"/>
        <w:spacing w:line="460" w:lineRule="exact"/>
        <w:ind w:firstLine="420" w:firstLineChars="200"/>
        <w:jc w:val="left"/>
        <w:rPr>
          <w:rFonts w:ascii="宋体" w:hAnsi="宋体" w:cs="宋体"/>
          <w:color w:val="auto"/>
          <w:kern w:val="21"/>
          <w:szCs w:val="21"/>
          <w:highlight w:val="none"/>
        </w:rPr>
      </w:pPr>
      <w:r>
        <w:rPr>
          <w:rFonts w:hint="eastAsia" w:ascii="宋体" w:hAnsi="宋体" w:cs="宋体"/>
          <w:color w:val="auto"/>
          <w:kern w:val="21"/>
          <w:szCs w:val="21"/>
          <w:highlight w:val="none"/>
        </w:rPr>
        <w:t>4、开标时，进行资格审查，采购人查验以下内容：</w:t>
      </w:r>
    </w:p>
    <w:p w14:paraId="30380FBE">
      <w:pPr>
        <w:snapToGrid w:val="0"/>
        <w:spacing w:line="460" w:lineRule="exact"/>
        <w:ind w:firstLine="420" w:firstLineChars="200"/>
        <w:jc w:val="left"/>
        <w:rPr>
          <w:rFonts w:ascii="宋体" w:hAnsi="宋体" w:cs="宋体"/>
          <w:color w:val="auto"/>
          <w:kern w:val="21"/>
          <w:szCs w:val="21"/>
          <w:highlight w:val="none"/>
          <w:lang w:val="zh-CN"/>
        </w:rPr>
      </w:pPr>
      <w:r>
        <w:rPr>
          <w:rFonts w:hint="eastAsia" w:ascii="宋体" w:hAnsi="宋体" w:cs="宋体"/>
          <w:color w:val="auto"/>
          <w:kern w:val="21"/>
          <w:szCs w:val="21"/>
          <w:highlight w:val="none"/>
          <w:lang w:val="zh-CN"/>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财务状况报表：提供2023年度或2024年度经审计的财务报告，或开标前六个月内银行出具的资信证明或信用担保机构出具的投标担保函（以上三种形式的资料提供任何一种即可）；其他组织和自然人提供银行出具的资信证明或财务报表；3）税收缴纳证明：提供供应商2024年至今任意一个月已缴纳的完税凭证或税务机关开具的完税证明（任意税种），依法免税的单位应提供相关证明材料；4）社会保障资金缴纳证明：提供供应商2024年至今任意一个月的社会保障资金缴存单据或社保机构开具的社会保险参保缴费情况证明。依法不需要缴纳社会保障资金的供应商应提供相关证明文件；5）提供具有履行本合同所必需的设备和专业技术能力的声明；6）出具参加政府采购活动前3年内在经营活动中没有重大违法记录的书面声明；7）法定代表人授权书及被授权人身份证(法定代表人直接参加投标，须提交其身份证原件、复印件及法定代表人身份证明)；8）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9）本项目不接受联合体投标。</w:t>
      </w:r>
    </w:p>
    <w:p w14:paraId="71C0CC01">
      <w:pPr>
        <w:snapToGrid w:val="0"/>
        <w:spacing w:line="460" w:lineRule="exact"/>
        <w:ind w:firstLine="211" w:firstLineChars="100"/>
        <w:jc w:val="left"/>
        <w:rPr>
          <w:rFonts w:ascii="宋体" w:hAnsi="宋体" w:cs="宋体"/>
          <w:b/>
          <w:bCs/>
          <w:color w:val="auto"/>
          <w:kern w:val="21"/>
          <w:szCs w:val="21"/>
          <w:highlight w:val="none"/>
        </w:rPr>
      </w:pPr>
      <w:r>
        <w:rPr>
          <w:rFonts w:hint="eastAsia" w:ascii="宋体" w:hAnsi="宋体" w:cs="宋体"/>
          <w:b/>
          <w:bCs/>
          <w:color w:val="auto"/>
          <w:kern w:val="21"/>
          <w:szCs w:val="21"/>
          <w:highlight w:val="none"/>
          <w:lang w:val="zh-CN"/>
        </w:rPr>
        <w:t>注：</w:t>
      </w:r>
      <w:r>
        <w:rPr>
          <w:rFonts w:hint="eastAsia" w:ascii="宋体" w:hAnsi="宋体" w:cs="宋体"/>
          <w:b/>
          <w:bCs/>
          <w:color w:val="auto"/>
          <w:kern w:val="21"/>
          <w:szCs w:val="21"/>
          <w:highlight w:val="none"/>
        </w:rPr>
        <w:t>1）供应商如提供资信证明的，若银行开具的资信证明文本中有再次复印无效等字样，请将资信证明原件放入投标文件正本中；</w:t>
      </w:r>
    </w:p>
    <w:p w14:paraId="0C5F365B">
      <w:pPr>
        <w:snapToGrid w:val="0"/>
        <w:spacing w:line="460" w:lineRule="exact"/>
        <w:ind w:firstLine="422" w:firstLineChars="200"/>
        <w:rPr>
          <w:rFonts w:ascii="宋体" w:hAnsi="宋体" w:cs="宋体"/>
          <w:b/>
          <w:bCs/>
          <w:color w:val="auto"/>
          <w:kern w:val="21"/>
          <w:szCs w:val="21"/>
          <w:highlight w:val="none"/>
          <w:lang w:val="zh-CN"/>
        </w:rPr>
      </w:pPr>
      <w:r>
        <w:rPr>
          <w:rFonts w:hint="eastAsia" w:ascii="宋体" w:hAnsi="宋体" w:cs="宋体"/>
          <w:b/>
          <w:bCs/>
          <w:color w:val="auto"/>
          <w:kern w:val="21"/>
          <w:szCs w:val="21"/>
          <w:highlight w:val="none"/>
        </w:rPr>
        <w:t>2）</w:t>
      </w:r>
      <w:r>
        <w:rPr>
          <w:rFonts w:hint="eastAsia" w:ascii="宋体" w:hAnsi="宋体" w:cs="宋体"/>
          <w:b/>
          <w:bCs/>
          <w:color w:val="auto"/>
          <w:kern w:val="21"/>
          <w:szCs w:val="21"/>
          <w:highlight w:val="none"/>
          <w:lang w:val="zh-CN"/>
        </w:rPr>
        <w:t>其中，第1至</w:t>
      </w:r>
      <w:r>
        <w:rPr>
          <w:rFonts w:hint="eastAsia" w:ascii="宋体" w:hAnsi="宋体" w:cs="宋体"/>
          <w:b/>
          <w:bCs/>
          <w:color w:val="auto"/>
          <w:kern w:val="21"/>
          <w:szCs w:val="21"/>
          <w:highlight w:val="none"/>
        </w:rPr>
        <w:t>9</w:t>
      </w:r>
      <w:r>
        <w:rPr>
          <w:rFonts w:hint="eastAsia" w:ascii="宋体" w:hAnsi="宋体" w:cs="宋体"/>
          <w:b/>
          <w:bCs/>
          <w:color w:val="auto"/>
          <w:kern w:val="21"/>
          <w:szCs w:val="21"/>
          <w:highlight w:val="none"/>
          <w:lang w:val="zh-CN"/>
        </w:rPr>
        <w:t>项在开标现场由采购人查验。</w:t>
      </w:r>
    </w:p>
    <w:p w14:paraId="3BB4FB6E">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5、请监标人、</w:t>
      </w:r>
      <w:r>
        <w:rPr>
          <w:rFonts w:hint="eastAsia" w:ascii="宋体" w:hAnsi="宋体" w:cs="宋体"/>
          <w:color w:val="auto"/>
          <w:kern w:val="21"/>
          <w:szCs w:val="21"/>
          <w:highlight w:val="none"/>
          <w:lang w:val="zh-CN"/>
        </w:rPr>
        <w:t>供应商</w:t>
      </w:r>
      <w:r>
        <w:rPr>
          <w:rFonts w:hint="eastAsia" w:ascii="宋体" w:hAnsi="宋体" w:cs="宋体"/>
          <w:color w:val="auto"/>
          <w:kern w:val="21"/>
          <w:szCs w:val="21"/>
          <w:highlight w:val="none"/>
        </w:rPr>
        <w:t>代表查验投标文件密封情况，确认无误后，主持人将当众宣读投标文件中“开标一览表”的各项内容，以及采购人认为合适的其他详细内容。</w:t>
      </w:r>
    </w:p>
    <w:p w14:paraId="291E718C">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6、采购人做好开标记录并存档备查，开标记录应包括开标时宣读的主要内容。</w:t>
      </w:r>
    </w:p>
    <w:p w14:paraId="0FF6BF62">
      <w:pPr>
        <w:snapToGrid w:val="0"/>
        <w:spacing w:line="460" w:lineRule="exact"/>
        <w:ind w:firstLine="420" w:firstLineChars="200"/>
        <w:rPr>
          <w:rFonts w:ascii="宋体" w:hAnsi="宋体" w:cs="宋体"/>
          <w:bCs/>
          <w:color w:val="auto"/>
          <w:kern w:val="21"/>
          <w:szCs w:val="21"/>
          <w:highlight w:val="none"/>
        </w:rPr>
      </w:pPr>
      <w:r>
        <w:rPr>
          <w:rFonts w:hint="eastAsia" w:ascii="宋体" w:hAnsi="宋体" w:cs="宋体"/>
          <w:bCs/>
          <w:color w:val="auto"/>
          <w:kern w:val="21"/>
          <w:szCs w:val="21"/>
          <w:highlight w:val="none"/>
        </w:rPr>
        <w:t>7、</w:t>
      </w:r>
      <w:r>
        <w:rPr>
          <w:rFonts w:hint="eastAsia" w:ascii="宋体" w:hAnsi="宋体" w:cs="宋体"/>
          <w:color w:val="auto"/>
          <w:kern w:val="21"/>
          <w:szCs w:val="21"/>
          <w:highlight w:val="none"/>
          <w:lang w:val="zh-CN"/>
        </w:rPr>
        <w:t>供应商</w:t>
      </w:r>
      <w:r>
        <w:rPr>
          <w:rFonts w:hint="eastAsia" w:ascii="宋体" w:hAnsi="宋体" w:cs="宋体"/>
          <w:bCs/>
          <w:color w:val="auto"/>
          <w:kern w:val="21"/>
          <w:szCs w:val="21"/>
          <w:highlight w:val="none"/>
        </w:rPr>
        <w:t>在报价时不允许采用选择性报价，否则将被视为无效投标。</w:t>
      </w:r>
    </w:p>
    <w:p w14:paraId="0818DCEF">
      <w:pPr>
        <w:pStyle w:val="4"/>
        <w:snapToGrid w:val="0"/>
        <w:spacing w:line="460" w:lineRule="exact"/>
        <w:rPr>
          <w:rFonts w:ascii="宋体" w:hAnsi="宋体" w:cs="宋体"/>
          <w:color w:val="auto"/>
          <w:kern w:val="21"/>
          <w:sz w:val="21"/>
          <w:szCs w:val="21"/>
          <w:highlight w:val="none"/>
        </w:rPr>
      </w:pPr>
      <w:bookmarkStart w:id="27" w:name="_Toc9761"/>
      <w:r>
        <w:rPr>
          <w:rFonts w:hint="eastAsia" w:ascii="宋体" w:hAnsi="宋体" w:cs="宋体"/>
          <w:color w:val="auto"/>
          <w:kern w:val="21"/>
          <w:sz w:val="21"/>
          <w:szCs w:val="21"/>
          <w:highlight w:val="none"/>
        </w:rPr>
        <w:t>（十二）评 标</w:t>
      </w:r>
      <w:bookmarkEnd w:id="27"/>
    </w:p>
    <w:p w14:paraId="3CE0777E">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kern w:val="21"/>
          <w:szCs w:val="21"/>
          <w:highlight w:val="none"/>
        </w:rPr>
        <w:t>1、评审工作由为该项目专门组织的评标委员会（简称评委会）进行。</w:t>
      </w:r>
      <w:r>
        <w:rPr>
          <w:rFonts w:hint="eastAsia" w:ascii="宋体" w:hAnsi="宋体" w:cs="宋体"/>
          <w:color w:val="auto"/>
          <w:szCs w:val="21"/>
          <w:highlight w:val="none"/>
        </w:rPr>
        <w:t>为确保评标工作公平、公正，根据《中华人民共和国政府采购法》的有关规定成立评标委员会。评标委员会（有关专家）在政府采购专家库中随机抽取。开标后，采购人会将首先对供应商进行资格审查，当发现供应商或其投标文件存在下列情况时，将直接判定供应商的资格不符合要求：</w:t>
      </w:r>
    </w:p>
    <w:p w14:paraId="0A54FF3C">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（1）供应商与采购人或采购代理机构有利害关系的</w:t>
      </w:r>
    </w:p>
    <w:p w14:paraId="79D047D5">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（2）供应商资格不满足规定的</w:t>
      </w:r>
    </w:p>
    <w:p w14:paraId="4660A892">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（3）供应商正受到重大未决诉讼案件影响的</w:t>
      </w:r>
    </w:p>
    <w:p w14:paraId="052FBBFD">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2、未通过符合性及有效性审查的供应商，将不再进入后续评标程序。</w:t>
      </w:r>
    </w:p>
    <w:p w14:paraId="134B8F50">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3、符合性及有效性审查时，评委会将审查投标文件是否完整，有无计算上的错误，文件的签署是否符合要求等。如果发现投标报价存在计算或表述上错误，则将按下列原则进行修改：</w:t>
      </w:r>
    </w:p>
    <w:p w14:paraId="54C59E98">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①开标一览表内容与投标文件中明细表内容不一致的，以开标一览表为准；</w:t>
      </w:r>
    </w:p>
    <w:p w14:paraId="3C61FF57">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②投标文件的大写金额和小写金额不一致的，以大写金额为准；</w:t>
      </w:r>
    </w:p>
    <w:p w14:paraId="168D8972">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③合价金额与按单价汇总金额不一致的，以单价金额计算结果为准；</w:t>
      </w:r>
    </w:p>
    <w:p w14:paraId="4EDE8FEA">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④分项合价之和与总价不符时，以分项合价之和为准；</w:t>
      </w:r>
    </w:p>
    <w:p w14:paraId="4B43D202">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⑤单价金额小数点有明显错位的，应以总价为准，并修改单价。</w:t>
      </w:r>
    </w:p>
    <w:p w14:paraId="03DC73F1">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4、评委会将按上述修正错误的方法调整投标文件中的投标报价，调整后的价格应对供应商具有约束力。如果供应商不接受调整后的价格，则其投标将被拒绝。无论供应商是接受或是拒绝调整后的价格，都应当</w:t>
      </w:r>
    </w:p>
    <w:p w14:paraId="3B589687">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由法定代表人或委托代理人签字予以书面确认。</w:t>
      </w:r>
    </w:p>
    <w:p w14:paraId="509398CD">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5、在详细评标之前，评委会将审查每份投标文件是否实质上响应了招标文件的要求。实质上响应的投标应该是与招标文件要求的全部条款、条件和规格相符，没有重大偏离或保留的投标。所谓重大偏离或保留是指实质上影响合同的服务范围、质量和性能，或者实质上与招标文件的要求不一致，而且限制了采购人的权利或减轻了</w:t>
      </w:r>
      <w:r>
        <w:rPr>
          <w:rFonts w:hint="eastAsia" w:ascii="宋体" w:hAnsi="宋体" w:cs="宋体"/>
          <w:color w:val="auto"/>
          <w:kern w:val="2"/>
          <w:szCs w:val="21"/>
          <w:highlight w:val="none"/>
        </w:rPr>
        <w:t>供应商</w:t>
      </w:r>
      <w:r>
        <w:rPr>
          <w:rFonts w:hint="eastAsia" w:ascii="宋体" w:hAnsi="宋体" w:cs="宋体"/>
          <w:color w:val="auto"/>
          <w:szCs w:val="21"/>
          <w:highlight w:val="none"/>
        </w:rPr>
        <w:t>的义务。纠正这些偏离或保留将会对其他实质上响应要求的供应商的竞争地位产生不公正的影响。</w:t>
      </w:r>
    </w:p>
    <w:p w14:paraId="4959CF8E">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6、评委会判定投标文件的响应性只根据投标文件本身的内容，而不寻求外部的证据，但投标有不真实不正确的内容时除外。</w:t>
      </w:r>
    </w:p>
    <w:p w14:paraId="157C67AF">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7、如果投标文件实质上没有响应招标文件的要求，评委会将予以拒绝，</w:t>
      </w:r>
      <w:r>
        <w:rPr>
          <w:rFonts w:hint="eastAsia" w:ascii="宋体" w:hAnsi="宋体" w:cs="宋体"/>
          <w:color w:val="auto"/>
          <w:kern w:val="2"/>
          <w:szCs w:val="21"/>
          <w:highlight w:val="none"/>
        </w:rPr>
        <w:t>供应商</w:t>
      </w:r>
      <w:r>
        <w:rPr>
          <w:rFonts w:hint="eastAsia" w:ascii="宋体" w:hAnsi="宋体" w:cs="宋体"/>
          <w:color w:val="auto"/>
          <w:szCs w:val="21"/>
          <w:highlight w:val="none"/>
        </w:rPr>
        <w:t>不得通过修正或撤销不符合要求的偏离或保留，而使其投标成为实质上响应的投标。</w:t>
      </w:r>
    </w:p>
    <w:p w14:paraId="60A26A08">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2"/>
          <w:szCs w:val="21"/>
          <w:highlight w:val="none"/>
        </w:rPr>
        <w:t>供应商</w:t>
      </w:r>
      <w:r>
        <w:rPr>
          <w:rFonts w:hint="eastAsia" w:ascii="宋体" w:hAnsi="宋体" w:cs="宋体"/>
          <w:color w:val="auto"/>
          <w:szCs w:val="21"/>
          <w:highlight w:val="none"/>
        </w:rPr>
        <w:t>简单地复印或照搬招标文件中的技术规格作为其投标文件的一部分,将有可能导致其投标无效。</w:t>
      </w:r>
    </w:p>
    <w:p w14:paraId="51CA9D5B">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9、评委会可以要求供应商通过澄清说明修正其投标文件中含义不明确的内容，但是澄清说明不得超出投标文件的范围或改变投标文件的实质性内容</w:t>
      </w:r>
    </w:p>
    <w:p w14:paraId="65038DD7">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10、无效投标</w:t>
      </w:r>
    </w:p>
    <w:p w14:paraId="54654C84">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投标文件属下列情况之一的，按照无效投标处理：</w:t>
      </w:r>
    </w:p>
    <w:p w14:paraId="4D3554DF">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（1）未按照招标文件规定密封、签署、盖章的；</w:t>
      </w:r>
    </w:p>
    <w:p w14:paraId="1205BE97">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（2）不具备招标文件中规定资格要求的；</w:t>
      </w:r>
    </w:p>
    <w:p w14:paraId="016D5697">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（3）投标文件未按招标文件格式要求签字、盖章的。</w:t>
      </w:r>
    </w:p>
    <w:p w14:paraId="5A9F8704">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（4）投标单位所提供的资质证件名称、名字与投标文件中所提交的资格资料证件名称、名字不符或在投标中弄虚作假的。</w:t>
      </w:r>
    </w:p>
    <w:p w14:paraId="350B8C15">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（5）投标文件正本缺页的，投标文件实质性内容字迹辨认不清的。</w:t>
      </w:r>
    </w:p>
    <w:p w14:paraId="1709C897">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（6）质量、供货期、付款方式、合同条款任何一项不满足招标文件要求的，但不含优于招标文件要求的。</w:t>
      </w:r>
    </w:p>
    <w:p w14:paraId="6D60FCDA">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（7）未按招标文件要求提交投标文件资料的。</w:t>
      </w:r>
    </w:p>
    <w:p w14:paraId="3CD139A5">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（8）供应商组成联合体投标的。</w:t>
      </w:r>
    </w:p>
    <w:p w14:paraId="419D51EC">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（9）供应商未按要求提供相应证件资料（开标现场所验证件）的。</w:t>
      </w:r>
    </w:p>
    <w:p w14:paraId="4B5CA28D">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（10）根据评标委员会的评定，投标文件中明显使用不平衡报价恶意竞标的。</w:t>
      </w:r>
    </w:p>
    <w:p w14:paraId="3BD4D091">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（11）专家评审过程中，专家要求审查投标文件电子版内容时，电子版文件无法正常打开或投标文件电子版内容与文字书面投标文件（正本）内容不一致的。</w:t>
      </w:r>
    </w:p>
    <w:p w14:paraId="6E52203E">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kern w:val="2"/>
          <w:szCs w:val="21"/>
          <w:highlight w:val="none"/>
        </w:rPr>
        <w:t>供应商</w:t>
      </w:r>
      <w:r>
        <w:rPr>
          <w:rFonts w:hint="eastAsia" w:ascii="宋体" w:hAnsi="宋体" w:cs="宋体"/>
          <w:color w:val="auto"/>
          <w:szCs w:val="21"/>
          <w:highlight w:val="none"/>
        </w:rPr>
        <w:t>在报价时采用选择性报价；</w:t>
      </w:r>
    </w:p>
    <w:p w14:paraId="5FABD4FF">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（13）投标证明文件或服务不满足招标文件的实质性要求；</w:t>
      </w:r>
    </w:p>
    <w:p w14:paraId="5E1718D2">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（14）不符合法律、法规和招标文件中规定的其他实质性要求的。</w:t>
      </w:r>
    </w:p>
    <w:p w14:paraId="3720167E">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（15）投标中出现串标、围标的。</w:t>
      </w:r>
    </w:p>
    <w:p w14:paraId="650BB052">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（16）投标总价高于最高限价的。</w:t>
      </w:r>
    </w:p>
    <w:p w14:paraId="0C781DBF">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11、比较与评价。评委会按招标文件规定的评标方法和标准，对实质性响应的投标文件进行评分。</w:t>
      </w:r>
    </w:p>
    <w:p w14:paraId="7719E7B3">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12、评标过程的保密。评委会成员或者参加评标的其他人员均不得向他人透露对投标文件的评审和比较以及与评标有关的其他情况。</w:t>
      </w:r>
    </w:p>
    <w:p w14:paraId="37DAAA86">
      <w:pPr>
        <w:snapToGrid w:val="0"/>
        <w:spacing w:line="460" w:lineRule="exact"/>
        <w:ind w:firstLine="403" w:firstLineChars="192"/>
        <w:rPr>
          <w:rFonts w:ascii="宋体" w:hAnsi="宋体" w:cs="宋体"/>
          <w:b/>
          <w:color w:val="auto"/>
          <w:szCs w:val="21"/>
          <w:highlight w:val="none"/>
        </w:rPr>
      </w:pPr>
      <w:r>
        <w:rPr>
          <w:rFonts w:hint="eastAsia" w:ascii="宋体" w:hAnsi="宋体" w:cs="宋体"/>
          <w:color w:val="auto"/>
          <w:szCs w:val="21"/>
          <w:highlight w:val="none"/>
        </w:rPr>
        <w:t>13、评委会有权否决全部投标。</w:t>
      </w:r>
    </w:p>
    <w:p w14:paraId="5ACCB11E">
      <w:pPr>
        <w:pStyle w:val="4"/>
        <w:snapToGrid w:val="0"/>
        <w:spacing w:line="460" w:lineRule="exact"/>
        <w:rPr>
          <w:rFonts w:ascii="宋体" w:hAnsi="宋体" w:cs="宋体"/>
          <w:color w:val="auto"/>
          <w:kern w:val="21"/>
          <w:sz w:val="21"/>
          <w:szCs w:val="21"/>
          <w:highlight w:val="none"/>
        </w:rPr>
      </w:pPr>
      <w:bookmarkStart w:id="28" w:name="_Toc12118"/>
      <w:r>
        <w:rPr>
          <w:rFonts w:hint="eastAsia" w:ascii="宋体" w:hAnsi="宋体" w:cs="宋体"/>
          <w:color w:val="auto"/>
          <w:kern w:val="21"/>
          <w:sz w:val="21"/>
          <w:szCs w:val="21"/>
          <w:highlight w:val="none"/>
        </w:rPr>
        <w:t>（十三）评标办法和评标标准</w:t>
      </w:r>
      <w:bookmarkEnd w:id="28"/>
    </w:p>
    <w:p w14:paraId="79B3AEF3">
      <w:pPr>
        <w:snapToGrid w:val="0"/>
        <w:spacing w:line="460" w:lineRule="exact"/>
        <w:rPr>
          <w:rFonts w:ascii="宋体" w:hAnsi="宋体" w:cs="宋体"/>
          <w:b/>
          <w:color w:val="auto"/>
          <w:kern w:val="21"/>
          <w:szCs w:val="21"/>
          <w:highlight w:val="none"/>
        </w:rPr>
      </w:pPr>
      <w:r>
        <w:rPr>
          <w:rFonts w:hint="eastAsia" w:ascii="宋体" w:hAnsi="宋体" w:cs="宋体"/>
          <w:b/>
          <w:color w:val="auto"/>
          <w:kern w:val="21"/>
          <w:szCs w:val="21"/>
          <w:highlight w:val="none"/>
        </w:rPr>
        <w:t>一、评标原则</w:t>
      </w:r>
    </w:p>
    <w:p w14:paraId="7D4BA56C">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（1）公平、公正、科学择优；</w:t>
      </w:r>
    </w:p>
    <w:p w14:paraId="5A1617E5">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（2）质量符合国家各项规定规范标准，供货期满足招标文件要求，方案合理可行；</w:t>
      </w:r>
    </w:p>
    <w:p w14:paraId="1C9F892E">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（3）报价为合理低价，且不低于成本价；本项目不保证最低投标报价人中标；</w:t>
      </w:r>
    </w:p>
    <w:p w14:paraId="2F5E6D26">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（4）禁止不正当竞争。</w:t>
      </w:r>
    </w:p>
    <w:p w14:paraId="548E1090">
      <w:pPr>
        <w:snapToGrid w:val="0"/>
        <w:spacing w:line="460" w:lineRule="exact"/>
        <w:rPr>
          <w:rFonts w:ascii="宋体" w:hAnsi="宋体" w:cs="宋体"/>
          <w:color w:val="auto"/>
          <w:szCs w:val="21"/>
          <w:highlight w:val="none"/>
        </w:rPr>
      </w:pPr>
      <w:r>
        <w:rPr>
          <w:rFonts w:hint="eastAsia" w:ascii="宋体" w:hAnsi="宋体" w:cs="宋体"/>
          <w:b/>
          <w:color w:val="auto"/>
          <w:szCs w:val="21"/>
          <w:highlight w:val="none"/>
        </w:rPr>
        <w:t>二、评标办法</w:t>
      </w:r>
    </w:p>
    <w:p w14:paraId="691E4245">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1、评分内容及步骤</w:t>
      </w:r>
    </w:p>
    <w:p w14:paraId="48E148BA">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（1）符合性及有效性审查内容：</w:t>
      </w:r>
    </w:p>
    <w:tbl>
      <w:tblPr>
        <w:tblStyle w:val="2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26"/>
        <w:gridCol w:w="6728"/>
      </w:tblGrid>
      <w:tr w14:paraId="177A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805" w:type="dxa"/>
            <w:vAlign w:val="center"/>
          </w:tcPr>
          <w:p w14:paraId="05AFE47C">
            <w:pPr>
              <w:tabs>
                <w:tab w:val="left" w:pos="0"/>
              </w:tabs>
              <w:snapToGrid w:val="0"/>
              <w:spacing w:line="460" w:lineRule="exact"/>
              <w:jc w:val="center"/>
              <w:rPr>
                <w:rFonts w:ascii="宋体" w:hAnsi="宋体" w:cs="宋体"/>
                <w:b/>
                <w:color w:val="auto"/>
                <w:kern w:val="21"/>
                <w:szCs w:val="21"/>
                <w:highlight w:val="none"/>
              </w:rPr>
            </w:pPr>
            <w:r>
              <w:rPr>
                <w:rFonts w:hint="eastAsia" w:ascii="宋体" w:hAnsi="宋体" w:cs="宋体"/>
                <w:b/>
                <w:color w:val="auto"/>
                <w:kern w:val="21"/>
                <w:szCs w:val="21"/>
                <w:highlight w:val="none"/>
              </w:rPr>
              <w:t>序号</w:t>
            </w:r>
          </w:p>
        </w:tc>
        <w:tc>
          <w:tcPr>
            <w:tcW w:w="2226" w:type="dxa"/>
            <w:vAlign w:val="center"/>
          </w:tcPr>
          <w:p w14:paraId="47DD2584">
            <w:pPr>
              <w:tabs>
                <w:tab w:val="left" w:pos="0"/>
              </w:tabs>
              <w:snapToGrid w:val="0"/>
              <w:spacing w:line="460" w:lineRule="exact"/>
              <w:jc w:val="center"/>
              <w:rPr>
                <w:rFonts w:ascii="宋体" w:hAnsi="宋体" w:cs="宋体"/>
                <w:b/>
                <w:color w:val="auto"/>
                <w:kern w:val="21"/>
                <w:szCs w:val="21"/>
                <w:highlight w:val="none"/>
              </w:rPr>
            </w:pPr>
            <w:r>
              <w:rPr>
                <w:rFonts w:hint="eastAsia" w:ascii="宋体" w:hAnsi="宋体" w:cs="宋体"/>
                <w:b/>
                <w:color w:val="auto"/>
                <w:kern w:val="21"/>
                <w:szCs w:val="21"/>
                <w:highlight w:val="none"/>
              </w:rPr>
              <w:t>评审因素</w:t>
            </w:r>
          </w:p>
        </w:tc>
        <w:tc>
          <w:tcPr>
            <w:tcW w:w="6728" w:type="dxa"/>
            <w:vAlign w:val="center"/>
          </w:tcPr>
          <w:p w14:paraId="09F502D6">
            <w:pPr>
              <w:tabs>
                <w:tab w:val="left" w:pos="0"/>
              </w:tabs>
              <w:snapToGrid w:val="0"/>
              <w:spacing w:line="460" w:lineRule="exact"/>
              <w:jc w:val="center"/>
              <w:rPr>
                <w:rFonts w:ascii="宋体" w:hAnsi="宋体" w:cs="宋体"/>
                <w:b/>
                <w:color w:val="auto"/>
                <w:kern w:val="21"/>
                <w:szCs w:val="21"/>
                <w:highlight w:val="none"/>
              </w:rPr>
            </w:pPr>
            <w:r>
              <w:rPr>
                <w:rFonts w:hint="eastAsia" w:ascii="宋体" w:hAnsi="宋体" w:cs="宋体"/>
                <w:b/>
                <w:color w:val="auto"/>
                <w:kern w:val="21"/>
                <w:szCs w:val="21"/>
                <w:highlight w:val="none"/>
              </w:rPr>
              <w:t>评审标准</w:t>
            </w:r>
          </w:p>
        </w:tc>
      </w:tr>
      <w:tr w14:paraId="22EF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5" w:type="dxa"/>
            <w:vAlign w:val="center"/>
          </w:tcPr>
          <w:p w14:paraId="51FF128C">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1</w:t>
            </w:r>
          </w:p>
        </w:tc>
        <w:tc>
          <w:tcPr>
            <w:tcW w:w="2226" w:type="dxa"/>
            <w:vAlign w:val="center"/>
          </w:tcPr>
          <w:p w14:paraId="41777660">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投标文件的签署盖章</w:t>
            </w:r>
          </w:p>
        </w:tc>
        <w:tc>
          <w:tcPr>
            <w:tcW w:w="6728" w:type="dxa"/>
            <w:vAlign w:val="center"/>
          </w:tcPr>
          <w:p w14:paraId="1F0521D6">
            <w:pPr>
              <w:tabs>
                <w:tab w:val="left" w:pos="0"/>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投标文件按照招标文件规定盖章签字齐全</w:t>
            </w:r>
          </w:p>
        </w:tc>
      </w:tr>
      <w:tr w14:paraId="5208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5" w:type="dxa"/>
            <w:vAlign w:val="center"/>
          </w:tcPr>
          <w:p w14:paraId="6339ED2B">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2</w:t>
            </w:r>
          </w:p>
        </w:tc>
        <w:tc>
          <w:tcPr>
            <w:tcW w:w="2226" w:type="dxa"/>
            <w:vAlign w:val="center"/>
          </w:tcPr>
          <w:p w14:paraId="404C7C70">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投标文件格式</w:t>
            </w:r>
          </w:p>
        </w:tc>
        <w:tc>
          <w:tcPr>
            <w:tcW w:w="6728" w:type="dxa"/>
            <w:vAlign w:val="center"/>
          </w:tcPr>
          <w:p w14:paraId="514EAB27">
            <w:pPr>
              <w:tabs>
                <w:tab w:val="left" w:pos="0"/>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应符合“第五部分 投标文件格式”要求</w:t>
            </w:r>
          </w:p>
        </w:tc>
      </w:tr>
      <w:tr w14:paraId="1826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5" w:type="dxa"/>
            <w:vAlign w:val="center"/>
          </w:tcPr>
          <w:p w14:paraId="3ACDA2CA">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3</w:t>
            </w:r>
          </w:p>
        </w:tc>
        <w:tc>
          <w:tcPr>
            <w:tcW w:w="2226" w:type="dxa"/>
            <w:vAlign w:val="center"/>
          </w:tcPr>
          <w:p w14:paraId="7DEB031C">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投标文件份数</w:t>
            </w:r>
          </w:p>
        </w:tc>
        <w:tc>
          <w:tcPr>
            <w:tcW w:w="6728" w:type="dxa"/>
            <w:vAlign w:val="center"/>
          </w:tcPr>
          <w:p w14:paraId="3BE3404F">
            <w:pPr>
              <w:tabs>
                <w:tab w:val="left" w:pos="0"/>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应符合“供应商须知前附表”11条规定的正本、副本、电子文件数量</w:t>
            </w:r>
          </w:p>
        </w:tc>
      </w:tr>
      <w:tr w14:paraId="4CD5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5" w:type="dxa"/>
            <w:vAlign w:val="center"/>
          </w:tcPr>
          <w:p w14:paraId="27D2BC39">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4</w:t>
            </w:r>
          </w:p>
        </w:tc>
        <w:tc>
          <w:tcPr>
            <w:tcW w:w="2226" w:type="dxa"/>
            <w:vAlign w:val="center"/>
          </w:tcPr>
          <w:p w14:paraId="5A8B95B8">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投标有效期</w:t>
            </w:r>
          </w:p>
        </w:tc>
        <w:tc>
          <w:tcPr>
            <w:tcW w:w="6728" w:type="dxa"/>
            <w:vAlign w:val="center"/>
          </w:tcPr>
          <w:p w14:paraId="37FBAAD5">
            <w:pPr>
              <w:tabs>
                <w:tab w:val="left" w:pos="0"/>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应满足招标文件中规定</w:t>
            </w:r>
          </w:p>
        </w:tc>
      </w:tr>
      <w:tr w14:paraId="2CA0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5" w:type="dxa"/>
            <w:vAlign w:val="center"/>
          </w:tcPr>
          <w:p w14:paraId="3380E5BF">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5</w:t>
            </w:r>
          </w:p>
        </w:tc>
        <w:tc>
          <w:tcPr>
            <w:tcW w:w="2226" w:type="dxa"/>
            <w:vAlign w:val="center"/>
          </w:tcPr>
          <w:p w14:paraId="72FA96E4">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供货期</w:t>
            </w:r>
          </w:p>
        </w:tc>
        <w:tc>
          <w:tcPr>
            <w:tcW w:w="6728" w:type="dxa"/>
            <w:vAlign w:val="center"/>
          </w:tcPr>
          <w:p w14:paraId="127BA61D">
            <w:pPr>
              <w:tabs>
                <w:tab w:val="left" w:pos="0"/>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应满足招标文件中规定</w:t>
            </w:r>
          </w:p>
        </w:tc>
      </w:tr>
      <w:tr w14:paraId="2DD5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5" w:type="dxa"/>
            <w:vAlign w:val="center"/>
          </w:tcPr>
          <w:p w14:paraId="1CF50A6C">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6</w:t>
            </w:r>
          </w:p>
        </w:tc>
        <w:tc>
          <w:tcPr>
            <w:tcW w:w="2226" w:type="dxa"/>
            <w:vAlign w:val="center"/>
          </w:tcPr>
          <w:p w14:paraId="7F9D90D8">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报价</w:t>
            </w:r>
          </w:p>
        </w:tc>
        <w:tc>
          <w:tcPr>
            <w:tcW w:w="6728" w:type="dxa"/>
            <w:vAlign w:val="center"/>
          </w:tcPr>
          <w:p w14:paraId="5ACAB6D6">
            <w:pPr>
              <w:tabs>
                <w:tab w:val="left" w:pos="0"/>
              </w:tabs>
              <w:snapToGrid w:val="0"/>
              <w:spacing w:line="460" w:lineRule="exact"/>
              <w:rPr>
                <w:rFonts w:ascii="宋体" w:hAnsi="宋体" w:cs="宋体"/>
                <w:color w:val="auto"/>
                <w:kern w:val="21"/>
                <w:szCs w:val="21"/>
                <w:highlight w:val="none"/>
              </w:rPr>
            </w:pPr>
            <w:r>
              <w:rPr>
                <w:rFonts w:hint="eastAsia" w:ascii="宋体" w:hAnsi="宋体" w:cs="宋体"/>
                <w:color w:val="auto"/>
                <w:kern w:val="21"/>
                <w:szCs w:val="21"/>
                <w:highlight w:val="none"/>
              </w:rPr>
              <w:t>满足招标最高限价要求的</w:t>
            </w:r>
          </w:p>
        </w:tc>
      </w:tr>
      <w:tr w14:paraId="7BB8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5" w:type="dxa"/>
            <w:vAlign w:val="center"/>
          </w:tcPr>
          <w:p w14:paraId="643BC400">
            <w:pPr>
              <w:tabs>
                <w:tab w:val="left" w:pos="0"/>
              </w:tabs>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7</w:t>
            </w:r>
          </w:p>
        </w:tc>
        <w:tc>
          <w:tcPr>
            <w:tcW w:w="2226" w:type="dxa"/>
            <w:vAlign w:val="center"/>
          </w:tcPr>
          <w:p w14:paraId="63DB2B0F">
            <w:pPr>
              <w:tabs>
                <w:tab w:val="left" w:pos="0"/>
              </w:tabs>
              <w:adjustRightInd w:val="0"/>
              <w:snapToGrid w:val="0"/>
              <w:spacing w:line="40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保证金缴纳</w:t>
            </w:r>
          </w:p>
        </w:tc>
        <w:tc>
          <w:tcPr>
            <w:tcW w:w="6728" w:type="dxa"/>
            <w:vAlign w:val="center"/>
          </w:tcPr>
          <w:p w14:paraId="6A0FD057">
            <w:pPr>
              <w:tabs>
                <w:tab w:val="left" w:pos="0"/>
              </w:tabs>
              <w:adjustRightInd w:val="0"/>
              <w:snapToGrid w:val="0"/>
              <w:spacing w:line="400" w:lineRule="exact"/>
              <w:rPr>
                <w:rFonts w:ascii="宋体" w:hAnsi="宋体" w:cs="宋体"/>
                <w:color w:val="auto"/>
                <w:kern w:val="21"/>
                <w:szCs w:val="21"/>
                <w:highlight w:val="none"/>
              </w:rPr>
            </w:pPr>
            <w:r>
              <w:rPr>
                <w:rFonts w:hint="eastAsia" w:ascii="宋体" w:hAnsi="宋体" w:cs="宋体"/>
                <w:color w:val="auto"/>
                <w:kern w:val="21"/>
                <w:szCs w:val="21"/>
                <w:highlight w:val="none"/>
              </w:rPr>
              <w:t>保证金是否按时缴纳</w:t>
            </w:r>
          </w:p>
        </w:tc>
      </w:tr>
      <w:tr w14:paraId="5910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05" w:type="dxa"/>
            <w:vAlign w:val="center"/>
          </w:tcPr>
          <w:p w14:paraId="3F1624D2">
            <w:pPr>
              <w:tabs>
                <w:tab w:val="left" w:pos="0"/>
              </w:tabs>
              <w:snapToGrid w:val="0"/>
              <w:spacing w:line="460" w:lineRule="exact"/>
              <w:jc w:val="center"/>
              <w:rPr>
                <w:rFonts w:hint="eastAsia" w:ascii="宋体" w:hAnsi="宋体" w:eastAsia="宋体" w:cs="宋体"/>
                <w:color w:val="auto"/>
                <w:kern w:val="21"/>
                <w:szCs w:val="21"/>
                <w:highlight w:val="none"/>
                <w:lang w:val="en-US" w:eastAsia="zh-CN"/>
              </w:rPr>
            </w:pPr>
            <w:r>
              <w:rPr>
                <w:rFonts w:hint="eastAsia" w:ascii="宋体" w:hAnsi="宋体" w:cs="宋体"/>
                <w:color w:val="auto"/>
                <w:kern w:val="21"/>
                <w:szCs w:val="21"/>
                <w:highlight w:val="none"/>
                <w:lang w:val="en-US" w:eastAsia="zh-CN"/>
              </w:rPr>
              <w:t>8</w:t>
            </w:r>
          </w:p>
        </w:tc>
        <w:tc>
          <w:tcPr>
            <w:tcW w:w="2226" w:type="dxa"/>
            <w:vAlign w:val="center"/>
          </w:tcPr>
          <w:p w14:paraId="3CB56DC6">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leftChars="0" w:right="0" w:rightChars="0"/>
              <w:jc w:val="center"/>
              <w:textAlignment w:val="baseline"/>
              <w:outlineLvl w:val="9"/>
              <w:rPr>
                <w:rFonts w:hint="eastAsia" w:ascii="宋体" w:hAnsi="宋体" w:cs="宋体"/>
                <w:color w:val="auto"/>
                <w:kern w:val="21"/>
                <w:szCs w:val="21"/>
                <w:highlight w:val="none"/>
              </w:rPr>
            </w:pPr>
            <w:r>
              <w:rPr>
                <w:rFonts w:hint="eastAsia" w:ascii="宋体" w:hAnsi="宋体" w:eastAsia="宋体" w:cs="宋体"/>
                <w:color w:val="auto"/>
                <w:kern w:val="2"/>
                <w:sz w:val="21"/>
                <w:szCs w:val="21"/>
                <w:highlight w:val="none"/>
                <w:lang w:val="en-US" w:eastAsia="zh-CN"/>
              </w:rPr>
              <w:t>响应情况</w:t>
            </w:r>
          </w:p>
        </w:tc>
        <w:tc>
          <w:tcPr>
            <w:tcW w:w="6728" w:type="dxa"/>
            <w:vAlign w:val="center"/>
          </w:tcPr>
          <w:p w14:paraId="67332975">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leftChars="0" w:right="0" w:rightChars="0"/>
              <w:jc w:val="left"/>
              <w:textAlignment w:val="baseline"/>
              <w:outlineLvl w:val="9"/>
              <w:rPr>
                <w:rFonts w:hint="eastAsia" w:ascii="宋体" w:hAnsi="宋体" w:cs="宋体"/>
                <w:color w:val="auto"/>
                <w:kern w:val="21"/>
                <w:szCs w:val="21"/>
                <w:highlight w:val="none"/>
              </w:rPr>
            </w:pPr>
            <w:r>
              <w:rPr>
                <w:rFonts w:hint="eastAsia" w:ascii="宋体" w:hAnsi="宋体" w:eastAsia="宋体" w:cs="宋体"/>
                <w:color w:val="auto"/>
                <w:kern w:val="2"/>
                <w:sz w:val="21"/>
                <w:szCs w:val="21"/>
                <w:highlight w:val="none"/>
                <w:lang w:val="en-US" w:eastAsia="zh-CN"/>
              </w:rPr>
              <w:t>应满足竞争性磋商文件要求，响应文件未含有采购人不能接受的附加条件，且无其他无效标的情形。</w:t>
            </w:r>
          </w:p>
        </w:tc>
      </w:tr>
    </w:tbl>
    <w:p w14:paraId="6EBBA7E0">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注：符合性及有效性审查时，当任何一项不符合招标文件要求时，其投标文件即为不合格，不得参加详细评审，不能作为中标候选单位。</w:t>
      </w:r>
    </w:p>
    <w:p w14:paraId="30243649">
      <w:pPr>
        <w:snapToGrid w:val="0"/>
        <w:spacing w:line="460" w:lineRule="exact"/>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评标委员会认为供应商的报价明显低于其他通过符合性审查供应商的报价，有可能影响服务质量或者不能诚信履约的，应当要求其在评标现场合理的时间内提供书面说明，必要时提交相关证明材料；</w:t>
      </w:r>
      <w:r>
        <w:rPr>
          <w:rFonts w:hint="eastAsia" w:ascii="宋体" w:hAnsi="宋体" w:cs="宋体"/>
          <w:color w:val="auto"/>
          <w:kern w:val="2"/>
          <w:szCs w:val="21"/>
          <w:highlight w:val="none"/>
        </w:rPr>
        <w:t>供应商</w:t>
      </w:r>
      <w:r>
        <w:rPr>
          <w:rFonts w:hint="eastAsia" w:ascii="宋体" w:hAnsi="宋体" w:cs="宋体"/>
          <w:color w:val="auto"/>
          <w:kern w:val="21"/>
          <w:szCs w:val="21"/>
          <w:highlight w:val="none"/>
        </w:rPr>
        <w:t>不能证明其报价合理性的，评标委员会应当将其作为无效投标处理。</w:t>
      </w:r>
    </w:p>
    <w:p w14:paraId="7843565F">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②投标文件评审内容为：价格、</w:t>
      </w:r>
      <w:r>
        <w:rPr>
          <w:rFonts w:hint="eastAsia" w:ascii="宋体" w:hAnsi="宋体" w:cs="宋体"/>
          <w:color w:val="auto"/>
          <w:kern w:val="2"/>
          <w:szCs w:val="22"/>
          <w:highlight w:val="none"/>
        </w:rPr>
        <w:t>技术参数</w:t>
      </w:r>
      <w:r>
        <w:rPr>
          <w:rFonts w:hint="eastAsia" w:ascii="宋体" w:hAnsi="宋体" w:cs="宋体"/>
          <w:color w:val="auto"/>
          <w:szCs w:val="21"/>
          <w:highlight w:val="none"/>
          <w:lang w:val="zh-CN"/>
        </w:rPr>
        <w:t>、</w:t>
      </w:r>
      <w:r>
        <w:rPr>
          <w:rFonts w:hint="eastAsia" w:ascii="宋体" w:hAnsi="宋体" w:cs="宋体"/>
          <w:color w:val="auto"/>
          <w:kern w:val="2"/>
          <w:szCs w:val="22"/>
          <w:highlight w:val="none"/>
        </w:rPr>
        <w:t>项目组织实施方案</w:t>
      </w:r>
      <w:r>
        <w:rPr>
          <w:rFonts w:hint="eastAsia" w:ascii="宋体" w:hAnsi="宋体" w:cs="宋体"/>
          <w:color w:val="auto"/>
          <w:szCs w:val="21"/>
          <w:highlight w:val="none"/>
          <w:lang w:val="zh-CN"/>
        </w:rPr>
        <w:t>、</w:t>
      </w:r>
      <w:r>
        <w:rPr>
          <w:rFonts w:hint="eastAsia" w:ascii="宋体" w:hAnsi="宋体" w:cs="宋体"/>
          <w:color w:val="auto"/>
          <w:kern w:val="2"/>
          <w:szCs w:val="22"/>
          <w:highlight w:val="none"/>
        </w:rPr>
        <w:t>售后服务</w:t>
      </w:r>
      <w:r>
        <w:rPr>
          <w:rFonts w:hint="eastAsia" w:ascii="宋体" w:hAnsi="宋体" w:cs="宋体"/>
          <w:color w:val="auto"/>
          <w:kern w:val="2"/>
          <w:szCs w:val="22"/>
          <w:highlight w:val="none"/>
          <w:lang w:val="en-US" w:eastAsia="zh-CN"/>
        </w:rPr>
        <w:t>及</w:t>
      </w:r>
      <w:r>
        <w:rPr>
          <w:rFonts w:hint="eastAsia" w:ascii="宋体" w:hAnsi="宋体" w:cs="宋体"/>
          <w:color w:val="auto"/>
          <w:kern w:val="2"/>
          <w:szCs w:val="22"/>
          <w:highlight w:val="none"/>
        </w:rPr>
        <w:t>培训方案</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质量保证</w:t>
      </w:r>
      <w:r>
        <w:rPr>
          <w:rFonts w:hint="eastAsia" w:ascii="宋体" w:hAnsi="宋体" w:cs="宋体"/>
          <w:color w:val="auto"/>
          <w:kern w:val="2"/>
          <w:szCs w:val="22"/>
          <w:highlight w:val="none"/>
        </w:rPr>
        <w:t>、</w:t>
      </w:r>
      <w:r>
        <w:rPr>
          <w:rFonts w:hint="eastAsia" w:ascii="宋体" w:hAnsi="宋体" w:cs="宋体"/>
          <w:color w:val="auto"/>
          <w:szCs w:val="21"/>
          <w:highlight w:val="none"/>
          <w:lang w:val="zh-CN"/>
        </w:rPr>
        <w:t>业绩、</w:t>
      </w:r>
      <w:r>
        <w:rPr>
          <w:rFonts w:hint="eastAsia" w:ascii="宋体" w:hAnsi="宋体" w:cs="宋体"/>
          <w:color w:val="auto"/>
          <w:szCs w:val="21"/>
          <w:highlight w:val="none"/>
        </w:rPr>
        <w:t>三大体系；</w:t>
      </w:r>
    </w:p>
    <w:p w14:paraId="4A558222">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（2）评审步骤：</w:t>
      </w:r>
    </w:p>
    <w:p w14:paraId="4D6E2380">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①符合性及有效性审查； </w:t>
      </w:r>
    </w:p>
    <w:p w14:paraId="1554B47A">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②投标文件评审；</w:t>
      </w:r>
    </w:p>
    <w:p w14:paraId="6D9C7107">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③确定入评单位。</w:t>
      </w:r>
    </w:p>
    <w:p w14:paraId="25A9090A">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（3）入评单位条件</w:t>
      </w:r>
    </w:p>
    <w:p w14:paraId="60CC82E6">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①符合性及有效性审查合格单位；</w:t>
      </w:r>
    </w:p>
    <w:p w14:paraId="20C6893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②供应商服务质量符合采购质量要求；</w:t>
      </w:r>
    </w:p>
    <w:p w14:paraId="7B8B171C">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③供应商完全响应招标文件和合同条款的全部内容。</w:t>
      </w:r>
    </w:p>
    <w:p w14:paraId="22029159">
      <w:pPr>
        <w:numPr>
          <w:ilvl w:val="0"/>
          <w:numId w:val="0"/>
        </w:numPr>
        <w:snapToGrid w:val="0"/>
        <w:spacing w:line="460" w:lineRule="exact"/>
        <w:ind w:firstLine="420" w:firstLineChars="200"/>
        <w:rPr>
          <w:rFonts w:ascii="宋体" w:hAnsi="宋体" w:cs="宋体"/>
          <w:color w:val="auto"/>
          <w:szCs w:val="21"/>
          <w:highlight w:val="none"/>
        </w:rPr>
      </w:pPr>
      <w:r>
        <w:rPr>
          <w:rFonts w:ascii="宋体" w:hAnsi="宋体" w:eastAsia="宋体" w:cs="宋体"/>
          <w:color w:val="auto"/>
          <w:sz w:val="21"/>
          <w:szCs w:val="21"/>
          <w:highlight w:val="none"/>
          <w:u w:color="000000"/>
          <w:lang w:val="en-US" w:eastAsia="zh-CN" w:bidi="ar-SA"/>
        </w:rPr>
        <w:t>（4）</w:t>
      </w:r>
      <w:r>
        <w:rPr>
          <w:rFonts w:hint="eastAsia" w:ascii="宋体" w:hAnsi="宋体" w:cs="宋体"/>
          <w:color w:val="auto"/>
          <w:szCs w:val="21"/>
          <w:highlight w:val="none"/>
        </w:rPr>
        <w:t>入评单位确定</w:t>
      </w:r>
    </w:p>
    <w:p w14:paraId="578EC6B1">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全部符合入评单位条件的</w:t>
      </w:r>
      <w:r>
        <w:rPr>
          <w:rFonts w:hint="eastAsia" w:ascii="宋体" w:hAnsi="宋体" w:cs="宋体"/>
          <w:color w:val="auto"/>
          <w:kern w:val="2"/>
          <w:szCs w:val="21"/>
          <w:highlight w:val="none"/>
        </w:rPr>
        <w:t>供应商</w:t>
      </w:r>
      <w:r>
        <w:rPr>
          <w:rFonts w:hint="eastAsia" w:ascii="宋体" w:hAnsi="宋体" w:cs="宋体"/>
          <w:color w:val="auto"/>
          <w:szCs w:val="21"/>
          <w:highlight w:val="none"/>
        </w:rPr>
        <w:t>才能成为入评单位；未成为入评单位的</w:t>
      </w:r>
      <w:r>
        <w:rPr>
          <w:rFonts w:hint="eastAsia" w:ascii="宋体" w:hAnsi="宋体" w:cs="宋体"/>
          <w:color w:val="auto"/>
          <w:kern w:val="2"/>
          <w:szCs w:val="21"/>
          <w:highlight w:val="none"/>
        </w:rPr>
        <w:t>供应商</w:t>
      </w:r>
      <w:r>
        <w:rPr>
          <w:rFonts w:hint="eastAsia" w:ascii="宋体" w:hAnsi="宋体" w:cs="宋体"/>
          <w:color w:val="auto"/>
          <w:szCs w:val="21"/>
          <w:highlight w:val="none"/>
        </w:rPr>
        <w:t>,不得进入评审。</w:t>
      </w:r>
    </w:p>
    <w:p w14:paraId="1B695975">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①评审投标文件。</w:t>
      </w:r>
    </w:p>
    <w:p w14:paraId="3399993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②确定中标候选人。</w:t>
      </w:r>
    </w:p>
    <w:p w14:paraId="2697F0A2">
      <w:pPr>
        <w:numPr>
          <w:ilvl w:val="0"/>
          <w:numId w:val="0"/>
        </w:numPr>
        <w:snapToGrid w:val="0"/>
        <w:spacing w:line="460" w:lineRule="exact"/>
        <w:ind w:firstLine="420" w:firstLineChars="200"/>
        <w:rPr>
          <w:rFonts w:ascii="宋体" w:hAnsi="宋体" w:cs="宋体"/>
          <w:color w:val="auto"/>
          <w:szCs w:val="21"/>
          <w:highlight w:val="none"/>
        </w:rPr>
      </w:pPr>
      <w:r>
        <w:rPr>
          <w:rFonts w:ascii="宋体" w:hAnsi="宋体" w:eastAsia="宋体" w:cs="宋体"/>
          <w:color w:val="auto"/>
          <w:sz w:val="21"/>
          <w:szCs w:val="21"/>
          <w:highlight w:val="none"/>
          <w:u w:color="000000"/>
          <w:lang w:val="en-US" w:eastAsia="zh-CN" w:bidi="ar-SA"/>
        </w:rPr>
        <w:t>（5）</w:t>
      </w:r>
      <w:r>
        <w:rPr>
          <w:rFonts w:hint="eastAsia" w:ascii="宋体" w:hAnsi="宋体" w:cs="宋体"/>
          <w:color w:val="auto"/>
          <w:szCs w:val="21"/>
          <w:highlight w:val="none"/>
        </w:rPr>
        <w:t>投标文件评审项评分标准：总分100分</w:t>
      </w:r>
    </w:p>
    <w:p w14:paraId="2DF730EC">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商务报价                                     30分</w:t>
      </w:r>
    </w:p>
    <w:p w14:paraId="7F1C9ECE">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技术参数                                     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08053336">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项目组织实施方案                             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A8A412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售后服务</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 xml:space="preserve">培训方案                           </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34F2919F">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质量保证</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58C93E6D">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业绩                                          6分</w:t>
      </w:r>
    </w:p>
    <w:p w14:paraId="3B6CC83F">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三大体系                                      3分</w:t>
      </w:r>
    </w:p>
    <w:p w14:paraId="6DBC845E">
      <w:pPr>
        <w:pStyle w:val="3"/>
        <w:numPr>
          <w:ilvl w:val="0"/>
          <w:numId w:val="1"/>
        </w:numPr>
        <w:snapToGrid w:val="0"/>
        <w:spacing w:line="460" w:lineRule="exact"/>
        <w:jc w:val="both"/>
        <w:rPr>
          <w:rFonts w:ascii="宋体" w:hAnsi="宋体" w:cs="宋体"/>
          <w:color w:val="auto"/>
          <w:sz w:val="21"/>
          <w:szCs w:val="21"/>
          <w:highlight w:val="none"/>
        </w:rPr>
      </w:pPr>
      <w:bookmarkStart w:id="29" w:name="_Toc4381"/>
      <w:r>
        <w:rPr>
          <w:rFonts w:hint="eastAsia" w:ascii="宋体" w:hAnsi="宋体" w:cs="宋体"/>
          <w:color w:val="auto"/>
          <w:sz w:val="21"/>
          <w:szCs w:val="21"/>
          <w:highlight w:val="none"/>
        </w:rPr>
        <w:t>详细评审办法（综合评分法）：</w:t>
      </w:r>
      <w:bookmarkEnd w:id="29"/>
    </w:p>
    <w:tbl>
      <w:tblPr>
        <w:tblStyle w:val="25"/>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59"/>
        <w:gridCol w:w="2074"/>
        <w:gridCol w:w="6587"/>
      </w:tblGrid>
      <w:tr w14:paraId="77C9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49" w:type="dxa"/>
            <w:vMerge w:val="restart"/>
            <w:vAlign w:val="center"/>
          </w:tcPr>
          <w:p w14:paraId="742EE9AE">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2.1</w:t>
            </w:r>
          </w:p>
        </w:tc>
        <w:tc>
          <w:tcPr>
            <w:tcW w:w="559" w:type="dxa"/>
            <w:vMerge w:val="restart"/>
            <w:vAlign w:val="center"/>
          </w:tcPr>
          <w:p w14:paraId="46C7A8D4">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评分标准</w:t>
            </w:r>
          </w:p>
        </w:tc>
        <w:tc>
          <w:tcPr>
            <w:tcW w:w="2074" w:type="dxa"/>
            <w:vAlign w:val="center"/>
          </w:tcPr>
          <w:p w14:paraId="74A4A727">
            <w:pPr>
              <w:snapToGrid w:val="0"/>
              <w:spacing w:line="46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评分因素</w:t>
            </w:r>
          </w:p>
        </w:tc>
        <w:tc>
          <w:tcPr>
            <w:tcW w:w="6587" w:type="dxa"/>
            <w:vAlign w:val="center"/>
          </w:tcPr>
          <w:p w14:paraId="6BAD70B6">
            <w:pPr>
              <w:snapToGrid w:val="0"/>
              <w:spacing w:line="46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评分标准</w:t>
            </w:r>
          </w:p>
        </w:tc>
      </w:tr>
      <w:tr w14:paraId="6427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49" w:type="dxa"/>
            <w:vMerge w:val="continue"/>
            <w:vAlign w:val="center"/>
          </w:tcPr>
          <w:p w14:paraId="17779682">
            <w:pPr>
              <w:snapToGrid w:val="0"/>
              <w:spacing w:line="460" w:lineRule="exact"/>
              <w:ind w:firstLine="420" w:firstLineChars="200"/>
              <w:rPr>
                <w:rFonts w:ascii="宋体" w:hAnsi="宋体" w:cs="宋体"/>
                <w:color w:val="auto"/>
                <w:szCs w:val="21"/>
                <w:highlight w:val="none"/>
              </w:rPr>
            </w:pPr>
          </w:p>
        </w:tc>
        <w:tc>
          <w:tcPr>
            <w:tcW w:w="559" w:type="dxa"/>
            <w:vMerge w:val="continue"/>
            <w:vAlign w:val="center"/>
          </w:tcPr>
          <w:p w14:paraId="61D5B5B1">
            <w:pPr>
              <w:snapToGrid w:val="0"/>
              <w:spacing w:line="460" w:lineRule="exact"/>
              <w:ind w:firstLine="420" w:firstLineChars="200"/>
              <w:rPr>
                <w:rFonts w:ascii="宋体" w:hAnsi="宋体" w:cs="宋体"/>
                <w:color w:val="auto"/>
                <w:szCs w:val="21"/>
                <w:highlight w:val="none"/>
              </w:rPr>
            </w:pPr>
          </w:p>
        </w:tc>
        <w:tc>
          <w:tcPr>
            <w:tcW w:w="2074" w:type="dxa"/>
            <w:vAlign w:val="center"/>
          </w:tcPr>
          <w:p w14:paraId="5EA8378B">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商务报价</w:t>
            </w:r>
          </w:p>
          <w:p w14:paraId="7667AD14">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（30分）</w:t>
            </w:r>
          </w:p>
        </w:tc>
        <w:tc>
          <w:tcPr>
            <w:tcW w:w="6587" w:type="dxa"/>
            <w:vAlign w:val="center"/>
          </w:tcPr>
          <w:p w14:paraId="0267D374">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价格分采用低价优先法计算，即满足招标文件要求的最低报价为基准价,价格分为满分30分，其他供应商的价格得分：报价得分=(基准价/投标报价)×30，报价大于限价的按无效标处理。（因落实政府采购政策进行价格调整的，以调整后的价格计算评标基准价和投标报价）</w:t>
            </w:r>
          </w:p>
        </w:tc>
      </w:tr>
      <w:tr w14:paraId="4C09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49" w:type="dxa"/>
            <w:vMerge w:val="continue"/>
            <w:vAlign w:val="center"/>
          </w:tcPr>
          <w:p w14:paraId="6148646B">
            <w:pPr>
              <w:snapToGrid w:val="0"/>
              <w:spacing w:line="460" w:lineRule="exact"/>
              <w:ind w:firstLine="420" w:firstLineChars="200"/>
              <w:rPr>
                <w:rFonts w:ascii="宋体" w:hAnsi="宋体" w:cs="宋体"/>
                <w:color w:val="auto"/>
                <w:szCs w:val="21"/>
                <w:highlight w:val="none"/>
              </w:rPr>
            </w:pPr>
          </w:p>
        </w:tc>
        <w:tc>
          <w:tcPr>
            <w:tcW w:w="559" w:type="dxa"/>
            <w:vMerge w:val="continue"/>
            <w:vAlign w:val="center"/>
          </w:tcPr>
          <w:p w14:paraId="31414F5D">
            <w:pPr>
              <w:snapToGrid w:val="0"/>
              <w:spacing w:line="460" w:lineRule="exact"/>
              <w:ind w:firstLine="420" w:firstLineChars="200"/>
              <w:rPr>
                <w:rFonts w:ascii="宋体" w:hAnsi="宋体" w:cs="宋体"/>
                <w:color w:val="auto"/>
                <w:szCs w:val="21"/>
                <w:highlight w:val="none"/>
              </w:rPr>
            </w:pPr>
          </w:p>
        </w:tc>
        <w:tc>
          <w:tcPr>
            <w:tcW w:w="2074" w:type="dxa"/>
            <w:vAlign w:val="center"/>
          </w:tcPr>
          <w:p w14:paraId="318E6B3E">
            <w:pPr>
              <w:jc w:val="center"/>
              <w:rPr>
                <w:rFonts w:ascii="宋体" w:hAnsi="宋体" w:cs="宋体"/>
                <w:color w:val="auto"/>
                <w:highlight w:val="none"/>
              </w:rPr>
            </w:pPr>
            <w:r>
              <w:rPr>
                <w:rFonts w:hint="eastAsia" w:ascii="宋体" w:hAnsi="宋体" w:cs="宋体"/>
                <w:color w:val="auto"/>
                <w:highlight w:val="none"/>
              </w:rPr>
              <w:t>技术参数</w:t>
            </w:r>
          </w:p>
          <w:p w14:paraId="3FB4F5CD">
            <w:pPr>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分）</w:t>
            </w:r>
          </w:p>
        </w:tc>
        <w:tc>
          <w:tcPr>
            <w:tcW w:w="6587" w:type="dxa"/>
            <w:vAlign w:val="center"/>
          </w:tcPr>
          <w:p w14:paraId="569B1220">
            <w:pPr>
              <w:jc w:val="left"/>
              <w:rPr>
                <w:rFonts w:hint="eastAsia" w:ascii="宋体" w:hAnsi="宋体" w:cs="宋体"/>
                <w:color w:val="auto"/>
                <w:highlight w:val="none"/>
              </w:rPr>
            </w:pPr>
            <w:r>
              <w:rPr>
                <w:rFonts w:hint="eastAsia" w:ascii="宋体" w:hAnsi="宋体" w:cs="宋体"/>
                <w:color w:val="auto"/>
                <w:highlight w:val="none"/>
              </w:rPr>
              <w:t>所投产品技术参数完全响应招标文件要求的技术参数得</w:t>
            </w:r>
            <w:r>
              <w:rPr>
                <w:rFonts w:hint="eastAsia" w:ascii="宋体" w:hAnsi="宋体" w:cs="宋体"/>
                <w:color w:val="auto"/>
                <w:highlight w:val="none"/>
                <w:lang w:val="en-US" w:eastAsia="zh-CN"/>
              </w:rPr>
              <w:t>13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技术参数每有一项负偏离扣1分，扣完为止。</w:t>
            </w:r>
          </w:p>
          <w:p w14:paraId="5A09FBAF">
            <w:pPr>
              <w:jc w:val="left"/>
              <w:rPr>
                <w:rFonts w:ascii="宋体" w:hAnsi="宋体" w:cs="宋体"/>
                <w:color w:val="auto"/>
                <w:highlight w:val="none"/>
              </w:rPr>
            </w:pPr>
            <w:r>
              <w:rPr>
                <w:rFonts w:hint="eastAsia" w:ascii="宋体" w:hAnsi="宋体" w:cs="宋体"/>
                <w:color w:val="auto"/>
                <w:highlight w:val="none"/>
              </w:rPr>
              <w:t>注：提供证明材料（包括但不限于检测报告</w:t>
            </w:r>
            <w:r>
              <w:rPr>
                <w:rFonts w:hint="eastAsia" w:ascii="宋体" w:hAnsi="宋体" w:cs="宋体"/>
                <w:color w:val="auto"/>
                <w:highlight w:val="none"/>
                <w:lang w:val="en-US" w:eastAsia="zh-CN"/>
              </w:rPr>
              <w:t>或</w:t>
            </w:r>
            <w:r>
              <w:rPr>
                <w:rFonts w:hint="eastAsia" w:ascii="宋体" w:hAnsi="宋体" w:cs="宋体"/>
                <w:color w:val="auto"/>
                <w:highlight w:val="none"/>
              </w:rPr>
              <w:t>彩页</w:t>
            </w:r>
            <w:r>
              <w:rPr>
                <w:rFonts w:hint="eastAsia" w:ascii="宋体" w:hAnsi="宋体" w:cs="宋体"/>
                <w:color w:val="auto"/>
                <w:highlight w:val="none"/>
                <w:lang w:val="en-US" w:eastAsia="zh-CN"/>
              </w:rPr>
              <w:t>或</w:t>
            </w:r>
            <w:r>
              <w:rPr>
                <w:rFonts w:hint="eastAsia" w:ascii="宋体" w:hAnsi="宋体" w:cs="宋体"/>
                <w:color w:val="auto"/>
                <w:highlight w:val="none"/>
              </w:rPr>
              <w:t>技术规格书</w:t>
            </w:r>
            <w:r>
              <w:rPr>
                <w:rFonts w:hint="eastAsia" w:ascii="宋体" w:hAnsi="宋体" w:cs="宋体"/>
                <w:color w:val="auto"/>
                <w:highlight w:val="none"/>
                <w:lang w:val="en-US" w:eastAsia="zh-CN"/>
              </w:rPr>
              <w:t>或</w:t>
            </w:r>
            <w:r>
              <w:rPr>
                <w:rFonts w:hint="eastAsia" w:ascii="宋体" w:hAnsi="宋体" w:cs="宋体"/>
                <w:color w:val="auto"/>
                <w:highlight w:val="none"/>
              </w:rPr>
              <w:t>官网功能截图等)。</w:t>
            </w:r>
          </w:p>
        </w:tc>
      </w:tr>
      <w:tr w14:paraId="7C16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49" w:type="dxa"/>
            <w:vMerge w:val="continue"/>
            <w:vAlign w:val="center"/>
          </w:tcPr>
          <w:p w14:paraId="19DE32D7">
            <w:pPr>
              <w:snapToGrid w:val="0"/>
              <w:spacing w:line="460" w:lineRule="exact"/>
              <w:ind w:firstLine="420" w:firstLineChars="200"/>
              <w:rPr>
                <w:rFonts w:ascii="宋体" w:hAnsi="宋体" w:cs="宋体"/>
                <w:color w:val="auto"/>
                <w:szCs w:val="21"/>
                <w:highlight w:val="none"/>
              </w:rPr>
            </w:pPr>
          </w:p>
        </w:tc>
        <w:tc>
          <w:tcPr>
            <w:tcW w:w="559" w:type="dxa"/>
            <w:vMerge w:val="continue"/>
            <w:vAlign w:val="center"/>
          </w:tcPr>
          <w:p w14:paraId="7C511008">
            <w:pPr>
              <w:snapToGrid w:val="0"/>
              <w:spacing w:line="460" w:lineRule="exact"/>
              <w:ind w:firstLine="420" w:firstLineChars="200"/>
              <w:rPr>
                <w:rFonts w:ascii="宋体" w:hAnsi="宋体" w:cs="宋体"/>
                <w:color w:val="auto"/>
                <w:szCs w:val="21"/>
                <w:highlight w:val="none"/>
              </w:rPr>
            </w:pPr>
          </w:p>
        </w:tc>
        <w:tc>
          <w:tcPr>
            <w:tcW w:w="2074" w:type="dxa"/>
            <w:vAlign w:val="center"/>
          </w:tcPr>
          <w:p w14:paraId="4CE1105F">
            <w:pPr>
              <w:jc w:val="center"/>
              <w:rPr>
                <w:rFonts w:ascii="宋体" w:hAnsi="宋体" w:cs="宋体"/>
                <w:color w:val="auto"/>
                <w:szCs w:val="21"/>
                <w:highlight w:val="none"/>
              </w:rPr>
            </w:pPr>
            <w:r>
              <w:rPr>
                <w:rFonts w:hint="eastAsia" w:ascii="宋体" w:hAnsi="宋体" w:cs="宋体"/>
                <w:color w:val="auto"/>
                <w:kern w:val="2"/>
                <w:szCs w:val="22"/>
                <w:highlight w:val="none"/>
              </w:rPr>
              <w:t>项目组织实施方案（</w:t>
            </w:r>
            <w:r>
              <w:rPr>
                <w:rFonts w:hint="eastAsia" w:ascii="宋体" w:hAnsi="宋体" w:cs="宋体"/>
                <w:color w:val="auto"/>
                <w:kern w:val="2"/>
                <w:szCs w:val="22"/>
                <w:highlight w:val="none"/>
                <w:lang w:val="en-US" w:eastAsia="zh-CN"/>
              </w:rPr>
              <w:t>25</w:t>
            </w:r>
            <w:r>
              <w:rPr>
                <w:rFonts w:hint="eastAsia" w:ascii="宋体" w:hAnsi="宋体" w:cs="宋体"/>
                <w:color w:val="auto"/>
                <w:kern w:val="2"/>
                <w:szCs w:val="22"/>
                <w:highlight w:val="none"/>
              </w:rPr>
              <w:t>分）</w:t>
            </w:r>
          </w:p>
        </w:tc>
        <w:tc>
          <w:tcPr>
            <w:tcW w:w="6587" w:type="dxa"/>
            <w:vAlign w:val="center"/>
          </w:tcPr>
          <w:p w14:paraId="713DE3F3">
            <w:pPr>
              <w:snapToGrid w:val="0"/>
              <w:spacing w:line="460" w:lineRule="exact"/>
              <w:rPr>
                <w:rFonts w:hint="eastAsia" w:ascii="宋体" w:hAnsi="宋体" w:cs="宋体"/>
                <w:bCs/>
                <w:color w:val="auto"/>
                <w:szCs w:val="21"/>
                <w:highlight w:val="none"/>
              </w:rPr>
            </w:pPr>
            <w:r>
              <w:rPr>
                <w:rFonts w:hint="eastAsia" w:ascii="宋体" w:hAnsi="宋体" w:cs="宋体"/>
                <w:color w:val="auto"/>
                <w:highlight w:val="none"/>
                <w:lang w:val="zh-CN"/>
              </w:rPr>
              <w:t>根据项目采购</w:t>
            </w:r>
            <w:r>
              <w:rPr>
                <w:rFonts w:hint="eastAsia" w:ascii="宋体" w:hAnsi="宋体" w:cs="宋体"/>
                <w:color w:val="auto"/>
                <w:highlight w:val="none"/>
              </w:rPr>
              <w:t>需求，制定完整的</w:t>
            </w:r>
            <w:r>
              <w:rPr>
                <w:rFonts w:hint="eastAsia" w:ascii="宋体" w:hAnsi="宋体" w:cs="宋体"/>
                <w:color w:val="auto"/>
                <w:kern w:val="2"/>
                <w:szCs w:val="22"/>
                <w:highlight w:val="none"/>
              </w:rPr>
              <w:t>项目组织</w:t>
            </w:r>
            <w:r>
              <w:rPr>
                <w:rFonts w:hint="eastAsia" w:ascii="宋体" w:hAnsi="宋体" w:cs="宋体"/>
                <w:color w:val="auto"/>
                <w:highlight w:val="none"/>
                <w:lang w:val="zh-CN"/>
              </w:rPr>
              <w:t>实施</w:t>
            </w:r>
            <w:r>
              <w:rPr>
                <w:rFonts w:hint="eastAsia" w:ascii="宋体" w:hAnsi="宋体" w:cs="宋体"/>
                <w:color w:val="auto"/>
                <w:highlight w:val="none"/>
              </w:rPr>
              <w:t>方案，</w:t>
            </w:r>
            <w:r>
              <w:rPr>
                <w:rFonts w:hint="eastAsia" w:ascii="宋体" w:hAnsi="宋体" w:cs="宋体"/>
                <w:color w:val="auto"/>
                <w:highlight w:val="none"/>
                <w:lang w:val="en-US" w:eastAsia="zh-CN"/>
              </w:rPr>
              <w:t>包括但不限于1）</w:t>
            </w:r>
            <w:r>
              <w:rPr>
                <w:rFonts w:hint="eastAsia" w:ascii="宋体" w:hAnsi="宋体" w:cs="宋体"/>
                <w:bCs/>
                <w:color w:val="auto"/>
                <w:szCs w:val="21"/>
                <w:highlight w:val="none"/>
              </w:rPr>
              <w:t>提供设备产品的</w:t>
            </w:r>
            <w:r>
              <w:rPr>
                <w:rFonts w:hint="eastAsia" w:asciiTheme="minorEastAsia" w:hAnsiTheme="minorEastAsia"/>
                <w:bCs/>
                <w:color w:val="auto"/>
                <w:szCs w:val="21"/>
                <w:highlight w:val="none"/>
              </w:rPr>
              <w:t>运输送货</w:t>
            </w:r>
            <w:r>
              <w:rPr>
                <w:rFonts w:hint="eastAsia" w:asciiTheme="minorEastAsia" w:hAnsiTheme="minorEastAsia"/>
                <w:bCs/>
                <w:color w:val="auto"/>
                <w:szCs w:val="21"/>
                <w:highlight w:val="none"/>
                <w:lang w:val="en-US" w:eastAsia="zh-CN"/>
              </w:rPr>
              <w:t>方案</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作业现场人员组织方案；</w:t>
            </w:r>
            <w:r>
              <w:rPr>
                <w:rFonts w:hint="eastAsia" w:ascii="宋体" w:hAnsi="宋体" w:cs="宋体"/>
                <w:bCs/>
                <w:color w:val="auto"/>
                <w:szCs w:val="21"/>
                <w:highlight w:val="none"/>
                <w:lang w:val="en-US" w:eastAsia="zh-CN"/>
              </w:rPr>
              <w:t>3）</w:t>
            </w:r>
            <w:r>
              <w:rPr>
                <w:rFonts w:hint="eastAsia" w:hAnsi="宋体" w:eastAsia="宋体"/>
                <w:color w:val="auto"/>
                <w:highlight w:val="none"/>
              </w:rPr>
              <w:t>安装进度实施</w:t>
            </w:r>
            <w:r>
              <w:rPr>
                <w:rFonts w:ascii="Calibri" w:hAnsi="宋体" w:eastAsia="宋体"/>
                <w:color w:val="auto"/>
                <w:highlight w:val="none"/>
              </w:rPr>
              <w:t>方案</w:t>
            </w:r>
            <w:r>
              <w:rPr>
                <w:rFonts w:hint="eastAsia" w:ascii="Calibri" w:hAnsi="宋体" w:eastAsia="宋体"/>
                <w:color w:val="auto"/>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安全保障措施；</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测试及安装调试；</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验收等具体实施方案</w:t>
            </w:r>
            <w:r>
              <w:rPr>
                <w:rFonts w:hint="eastAsia" w:ascii="宋体" w:hAnsi="宋体" w:cs="宋体"/>
                <w:color w:val="auto"/>
                <w:highlight w:val="none"/>
                <w:lang w:val="zh-CN"/>
              </w:rPr>
              <w:t>内容，根据方案进行综合评价0</w:t>
            </w:r>
            <w:r>
              <w:rPr>
                <w:rFonts w:hint="eastAsia" w:ascii="宋体" w:hAnsi="宋体" w:cs="宋体"/>
                <w:color w:val="auto"/>
                <w:highlight w:val="none"/>
                <w:lang w:val="en-US" w:eastAsia="zh-CN"/>
              </w:rPr>
              <w:t>-25</w:t>
            </w:r>
            <w:r>
              <w:rPr>
                <w:rFonts w:hint="eastAsia" w:ascii="宋体" w:hAnsi="宋体" w:cs="宋体"/>
                <w:color w:val="auto"/>
                <w:highlight w:val="none"/>
                <w:lang w:val="zh-CN"/>
              </w:rPr>
              <w:t>分。</w:t>
            </w:r>
          </w:p>
          <w:p w14:paraId="5987B9FD">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①方案内容完整、全面、详细的计</w:t>
            </w:r>
            <w:r>
              <w:rPr>
                <w:rFonts w:hint="eastAsia" w:ascii="宋体" w:hAnsi="宋体" w:cs="宋体"/>
                <w:b w:val="0"/>
                <w:bCs/>
                <w:i w:val="0"/>
                <w:caps w:val="0"/>
                <w:color w:val="auto"/>
                <w:spacing w:val="0"/>
                <w:w w:val="100"/>
                <w:sz w:val="21"/>
                <w:szCs w:val="21"/>
                <w:highlight w:val="none"/>
                <w:lang w:val="en-US" w:eastAsia="zh-CN"/>
              </w:rPr>
              <w:t>16</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25</w:t>
            </w:r>
            <w:r>
              <w:rPr>
                <w:rFonts w:hint="eastAsia" w:ascii="宋体" w:hAnsi="宋体" w:eastAsia="宋体" w:cs="宋体"/>
                <w:b w:val="0"/>
                <w:bCs/>
                <w:i w:val="0"/>
                <w:caps w:val="0"/>
                <w:color w:val="auto"/>
                <w:spacing w:val="0"/>
                <w:w w:val="100"/>
                <w:sz w:val="21"/>
                <w:szCs w:val="21"/>
                <w:highlight w:val="none"/>
                <w:lang w:val="en-US" w:eastAsia="zh-CN"/>
              </w:rPr>
              <w:t>分；</w:t>
            </w:r>
          </w:p>
          <w:p w14:paraId="29E31F18">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②方案内容有1到3项欠缺、较薄弱的计16-</w:t>
            </w:r>
            <w:r>
              <w:rPr>
                <w:rFonts w:hint="eastAsia" w:ascii="宋体" w:hAnsi="宋体" w:cs="宋体"/>
                <w:b w:val="0"/>
                <w:bCs/>
                <w:i w:val="0"/>
                <w:caps w:val="0"/>
                <w:color w:val="auto"/>
                <w:spacing w:val="0"/>
                <w:w w:val="100"/>
                <w:sz w:val="21"/>
                <w:szCs w:val="21"/>
                <w:highlight w:val="none"/>
                <w:lang w:val="en-US" w:eastAsia="zh-CN"/>
              </w:rPr>
              <w:t>8</w:t>
            </w:r>
            <w:r>
              <w:rPr>
                <w:rFonts w:hint="eastAsia" w:ascii="宋体" w:hAnsi="宋体" w:eastAsia="宋体" w:cs="宋体"/>
                <w:b w:val="0"/>
                <w:bCs/>
                <w:i w:val="0"/>
                <w:caps w:val="0"/>
                <w:color w:val="auto"/>
                <w:spacing w:val="0"/>
                <w:w w:val="100"/>
                <w:sz w:val="21"/>
                <w:szCs w:val="21"/>
                <w:highlight w:val="none"/>
                <w:lang w:val="en-US" w:eastAsia="zh-CN"/>
              </w:rPr>
              <w:t>分；</w:t>
            </w:r>
          </w:p>
          <w:p w14:paraId="436033C6">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③方案内容有3项以上严重欠缺、薄弱的计8-0分；</w:t>
            </w:r>
          </w:p>
          <w:p w14:paraId="6C405C04">
            <w:pPr>
              <w:snapToGrid w:val="0"/>
              <w:spacing w:line="460" w:lineRule="exact"/>
              <w:rPr>
                <w:rFonts w:ascii="宋体" w:hAnsi="宋体" w:cs="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④未提供方案不计分。</w:t>
            </w:r>
          </w:p>
        </w:tc>
      </w:tr>
      <w:tr w14:paraId="1692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49" w:type="dxa"/>
            <w:vMerge w:val="continue"/>
            <w:vAlign w:val="center"/>
          </w:tcPr>
          <w:p w14:paraId="18BFA11C">
            <w:pPr>
              <w:snapToGrid w:val="0"/>
              <w:spacing w:line="460" w:lineRule="exact"/>
              <w:ind w:firstLine="420" w:firstLineChars="200"/>
              <w:rPr>
                <w:rFonts w:ascii="宋体" w:hAnsi="宋体" w:cs="宋体"/>
                <w:color w:val="auto"/>
                <w:szCs w:val="21"/>
                <w:highlight w:val="none"/>
              </w:rPr>
            </w:pPr>
          </w:p>
        </w:tc>
        <w:tc>
          <w:tcPr>
            <w:tcW w:w="559" w:type="dxa"/>
            <w:vMerge w:val="continue"/>
            <w:vAlign w:val="center"/>
          </w:tcPr>
          <w:p w14:paraId="0A947861">
            <w:pPr>
              <w:snapToGrid w:val="0"/>
              <w:spacing w:line="460" w:lineRule="exact"/>
              <w:ind w:firstLine="420" w:firstLineChars="200"/>
              <w:rPr>
                <w:rFonts w:ascii="宋体" w:hAnsi="宋体" w:cs="宋体"/>
                <w:color w:val="auto"/>
                <w:szCs w:val="21"/>
                <w:highlight w:val="none"/>
              </w:rPr>
            </w:pPr>
          </w:p>
        </w:tc>
        <w:tc>
          <w:tcPr>
            <w:tcW w:w="2074" w:type="dxa"/>
            <w:vMerge w:val="restart"/>
            <w:vAlign w:val="center"/>
          </w:tcPr>
          <w:p w14:paraId="6DC32778">
            <w:pPr>
              <w:jc w:val="center"/>
              <w:rPr>
                <w:rFonts w:hint="eastAsia" w:ascii="宋体" w:hAnsi="宋体" w:eastAsia="宋体" w:cs="宋体"/>
                <w:color w:val="auto"/>
                <w:kern w:val="2"/>
                <w:szCs w:val="22"/>
                <w:highlight w:val="none"/>
                <w:lang w:val="en-US" w:eastAsia="zh-CN"/>
              </w:rPr>
            </w:pPr>
            <w:r>
              <w:rPr>
                <w:rFonts w:hint="eastAsia" w:ascii="宋体" w:hAnsi="宋体" w:cs="宋体"/>
                <w:color w:val="auto"/>
                <w:kern w:val="2"/>
                <w:szCs w:val="22"/>
                <w:highlight w:val="none"/>
              </w:rPr>
              <w:t>售后服务</w:t>
            </w:r>
            <w:r>
              <w:rPr>
                <w:rFonts w:hint="eastAsia" w:ascii="宋体" w:hAnsi="宋体" w:cs="宋体"/>
                <w:color w:val="auto"/>
                <w:kern w:val="2"/>
                <w:szCs w:val="22"/>
                <w:highlight w:val="none"/>
                <w:lang w:val="en-US" w:eastAsia="zh-CN"/>
              </w:rPr>
              <w:t>及</w:t>
            </w:r>
          </w:p>
          <w:p w14:paraId="7CDAE678">
            <w:pPr>
              <w:jc w:val="center"/>
              <w:rPr>
                <w:rFonts w:ascii="宋体" w:hAnsi="宋体" w:cs="宋体"/>
                <w:color w:val="auto"/>
                <w:kern w:val="2"/>
                <w:szCs w:val="22"/>
                <w:highlight w:val="none"/>
              </w:rPr>
            </w:pPr>
            <w:r>
              <w:rPr>
                <w:rFonts w:hint="eastAsia" w:ascii="宋体" w:hAnsi="宋体" w:cs="宋体"/>
                <w:color w:val="auto"/>
                <w:kern w:val="2"/>
                <w:szCs w:val="22"/>
                <w:highlight w:val="none"/>
              </w:rPr>
              <w:t>培训方案</w:t>
            </w:r>
          </w:p>
          <w:p w14:paraId="74C88380">
            <w:pPr>
              <w:jc w:val="center"/>
              <w:rPr>
                <w:rFonts w:ascii="宋体" w:hAnsi="宋体" w:cs="宋体"/>
                <w:color w:val="auto"/>
                <w:kern w:val="2"/>
                <w:szCs w:val="22"/>
                <w:highlight w:val="none"/>
              </w:rPr>
            </w:pPr>
            <w:r>
              <w:rPr>
                <w:rFonts w:hint="eastAsia" w:ascii="宋体" w:hAnsi="宋体" w:cs="宋体"/>
                <w:color w:val="auto"/>
                <w:kern w:val="2"/>
                <w:szCs w:val="22"/>
                <w:highlight w:val="none"/>
              </w:rPr>
              <w:t>（</w:t>
            </w:r>
            <w:r>
              <w:rPr>
                <w:rFonts w:hint="eastAsia" w:ascii="宋体" w:hAnsi="宋体" w:cs="宋体"/>
                <w:color w:val="auto"/>
                <w:kern w:val="2"/>
                <w:szCs w:val="22"/>
                <w:highlight w:val="none"/>
                <w:lang w:val="en-US" w:eastAsia="zh-CN"/>
              </w:rPr>
              <w:t>20</w:t>
            </w:r>
            <w:r>
              <w:rPr>
                <w:rFonts w:hint="eastAsia" w:ascii="宋体" w:hAnsi="宋体" w:cs="宋体"/>
                <w:color w:val="auto"/>
                <w:kern w:val="2"/>
                <w:szCs w:val="22"/>
                <w:highlight w:val="none"/>
              </w:rPr>
              <w:t>分）</w:t>
            </w:r>
          </w:p>
        </w:tc>
        <w:tc>
          <w:tcPr>
            <w:tcW w:w="6587" w:type="dxa"/>
            <w:vAlign w:val="center"/>
          </w:tcPr>
          <w:p w14:paraId="4B69B3B8">
            <w:pPr>
              <w:snapToGrid w:val="0"/>
              <w:spacing w:line="460" w:lineRule="exact"/>
              <w:rPr>
                <w:rFonts w:hint="eastAsia" w:ascii="宋体" w:hAnsi="宋体" w:cs="宋体"/>
                <w:color w:val="auto"/>
                <w:highlight w:val="none"/>
                <w:lang w:val="zh-CN"/>
              </w:rPr>
            </w:pPr>
            <w:r>
              <w:rPr>
                <w:rFonts w:hint="eastAsia" w:ascii="宋体" w:hAnsi="宋体" w:cs="宋体"/>
                <w:color w:val="auto"/>
                <w:highlight w:val="none"/>
                <w:lang w:val="zh-CN"/>
              </w:rPr>
              <w:t>项目售后服务应完整、合理、切合实际，</w:t>
            </w:r>
            <w:r>
              <w:rPr>
                <w:rFonts w:hint="eastAsia" w:ascii="宋体" w:hAnsi="宋体" w:cs="宋体"/>
                <w:color w:val="auto"/>
                <w:highlight w:val="none"/>
                <w:lang w:val="en-US" w:eastAsia="zh-CN"/>
              </w:rPr>
              <w:t>包括但不限于1）</w:t>
            </w:r>
            <w:r>
              <w:rPr>
                <w:rFonts w:hint="eastAsia" w:ascii="宋体" w:hAnsi="宋体" w:cs="宋体"/>
                <w:color w:val="auto"/>
                <w:highlight w:val="none"/>
                <w:lang w:val="zh-CN"/>
              </w:rPr>
              <w:t>售后服务范围；</w:t>
            </w:r>
            <w:bookmarkStart w:id="30" w:name="OLE_LINK15"/>
            <w:bookmarkStart w:id="31" w:name="OLE_LINK16"/>
            <w:r>
              <w:rPr>
                <w:rFonts w:hint="eastAsia" w:ascii="宋体" w:hAnsi="宋体" w:cs="宋体"/>
                <w:color w:val="auto"/>
                <w:highlight w:val="none"/>
                <w:lang w:val="en-US" w:eastAsia="zh-CN"/>
              </w:rPr>
              <w:t>2）</w:t>
            </w:r>
            <w:r>
              <w:rPr>
                <w:rFonts w:hint="eastAsia" w:ascii="宋体" w:hAnsi="宋体" w:cs="宋体"/>
                <w:color w:val="auto"/>
                <w:highlight w:val="none"/>
                <w:lang w:val="zh-CN"/>
              </w:rPr>
              <w:t>售后服务响应时间及方式</w:t>
            </w:r>
            <w:bookmarkEnd w:id="30"/>
            <w:bookmarkEnd w:id="31"/>
            <w:r>
              <w:rPr>
                <w:rFonts w:hint="eastAsia" w:ascii="宋体" w:hAnsi="宋体" w:cs="宋体"/>
                <w:color w:val="auto"/>
                <w:highlight w:val="none"/>
                <w:lang w:val="zh-CN"/>
              </w:rPr>
              <w:t>；</w:t>
            </w:r>
            <w:r>
              <w:rPr>
                <w:rFonts w:hint="eastAsia" w:ascii="宋体" w:hAnsi="宋体" w:cs="宋体"/>
                <w:color w:val="auto"/>
                <w:highlight w:val="none"/>
                <w:lang w:val="en-US" w:eastAsia="zh-CN"/>
              </w:rPr>
              <w:t>3）</w:t>
            </w:r>
            <w:r>
              <w:rPr>
                <w:rFonts w:hint="eastAsia" w:ascii="宋体" w:hAnsi="宋体" w:cs="宋体"/>
                <w:color w:val="auto"/>
                <w:highlight w:val="none"/>
                <w:lang w:val="zh-CN"/>
              </w:rPr>
              <w:t>故障处理及补救措施；</w:t>
            </w:r>
            <w:r>
              <w:rPr>
                <w:rFonts w:hint="eastAsia" w:ascii="宋体" w:hAnsi="宋体" w:cs="宋体"/>
                <w:color w:val="auto"/>
                <w:highlight w:val="none"/>
                <w:lang w:val="en-US" w:eastAsia="zh-CN"/>
              </w:rPr>
              <w:t>4）</w:t>
            </w:r>
            <w:r>
              <w:rPr>
                <w:rFonts w:hint="eastAsia" w:ascii="宋体" w:hAnsi="宋体" w:cs="宋体"/>
                <w:color w:val="auto"/>
                <w:highlight w:val="none"/>
                <w:lang w:val="zh-CN"/>
              </w:rPr>
              <w:t>定期回访及维护</w:t>
            </w:r>
            <w:r>
              <w:rPr>
                <w:rFonts w:hint="eastAsia" w:ascii="宋体" w:hAnsi="宋体" w:cs="宋体"/>
                <w:color w:val="auto"/>
                <w:highlight w:val="none"/>
                <w:lang w:val="zh-CN" w:eastAsia="zh-CN"/>
              </w:rPr>
              <w:t>；</w:t>
            </w:r>
            <w:r>
              <w:rPr>
                <w:rFonts w:hint="eastAsia" w:ascii="宋体" w:hAnsi="宋体" w:cs="宋体"/>
                <w:color w:val="auto"/>
                <w:highlight w:val="none"/>
                <w:lang w:val="en-US" w:eastAsia="zh-CN"/>
              </w:rPr>
              <w:t>5）原厂售后承诺</w:t>
            </w:r>
            <w:r>
              <w:rPr>
                <w:rFonts w:hint="eastAsia" w:ascii="宋体" w:hAnsi="宋体" w:cs="宋体"/>
                <w:color w:val="auto"/>
                <w:highlight w:val="none"/>
                <w:lang w:val="zh-CN"/>
              </w:rPr>
              <w:t>等内容，根据方案进行综合评价0-</w:t>
            </w:r>
            <w:r>
              <w:rPr>
                <w:rFonts w:hint="eastAsia" w:ascii="宋体" w:hAnsi="宋体" w:cs="宋体"/>
                <w:color w:val="auto"/>
                <w:highlight w:val="none"/>
                <w:lang w:val="en-US" w:eastAsia="zh-CN"/>
              </w:rPr>
              <w:t>10</w:t>
            </w:r>
            <w:r>
              <w:rPr>
                <w:rFonts w:hint="eastAsia" w:ascii="宋体" w:hAnsi="宋体" w:cs="宋体"/>
                <w:color w:val="auto"/>
                <w:highlight w:val="none"/>
                <w:lang w:val="zh-CN"/>
              </w:rPr>
              <w:t>分。</w:t>
            </w:r>
          </w:p>
          <w:p w14:paraId="0A002EF0">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①方案内容完整、全面、详细的计</w:t>
            </w:r>
            <w:r>
              <w:rPr>
                <w:rFonts w:hint="eastAsia" w:ascii="宋体" w:hAnsi="宋体" w:cs="宋体"/>
                <w:b w:val="0"/>
                <w:bCs/>
                <w:i w:val="0"/>
                <w:caps w:val="0"/>
                <w:color w:val="auto"/>
                <w:spacing w:val="0"/>
                <w:w w:val="100"/>
                <w:sz w:val="21"/>
                <w:szCs w:val="21"/>
                <w:highlight w:val="none"/>
                <w:lang w:val="en-US" w:eastAsia="zh-CN"/>
              </w:rPr>
              <w:t>6</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10</w:t>
            </w:r>
            <w:r>
              <w:rPr>
                <w:rFonts w:hint="eastAsia" w:ascii="宋体" w:hAnsi="宋体" w:eastAsia="宋体" w:cs="宋体"/>
                <w:b w:val="0"/>
                <w:bCs/>
                <w:i w:val="0"/>
                <w:caps w:val="0"/>
                <w:color w:val="auto"/>
                <w:spacing w:val="0"/>
                <w:w w:val="100"/>
                <w:sz w:val="21"/>
                <w:szCs w:val="21"/>
                <w:highlight w:val="none"/>
                <w:lang w:val="en-US" w:eastAsia="zh-CN"/>
              </w:rPr>
              <w:t>分；</w:t>
            </w:r>
          </w:p>
          <w:p w14:paraId="49476E94">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②方案内容有1到3项欠缺、较薄弱的计</w:t>
            </w:r>
            <w:r>
              <w:rPr>
                <w:rFonts w:hint="eastAsia" w:ascii="宋体" w:hAnsi="宋体" w:cs="宋体"/>
                <w:b w:val="0"/>
                <w:bCs/>
                <w:i w:val="0"/>
                <w:caps w:val="0"/>
                <w:color w:val="auto"/>
                <w:spacing w:val="0"/>
                <w:w w:val="100"/>
                <w:sz w:val="21"/>
                <w:szCs w:val="21"/>
                <w:highlight w:val="none"/>
                <w:lang w:val="en-US" w:eastAsia="zh-CN"/>
              </w:rPr>
              <w:t>3</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6</w:t>
            </w:r>
            <w:r>
              <w:rPr>
                <w:rFonts w:hint="eastAsia" w:ascii="宋体" w:hAnsi="宋体" w:eastAsia="宋体" w:cs="宋体"/>
                <w:b w:val="0"/>
                <w:bCs/>
                <w:i w:val="0"/>
                <w:caps w:val="0"/>
                <w:color w:val="auto"/>
                <w:spacing w:val="0"/>
                <w:w w:val="100"/>
                <w:sz w:val="21"/>
                <w:szCs w:val="21"/>
                <w:highlight w:val="none"/>
                <w:lang w:val="en-US" w:eastAsia="zh-CN"/>
              </w:rPr>
              <w:t>分；</w:t>
            </w:r>
          </w:p>
          <w:p w14:paraId="4393B238">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③方案内容有3项以上严重欠缺、薄弱的计</w:t>
            </w:r>
            <w:r>
              <w:rPr>
                <w:rFonts w:hint="eastAsia" w:ascii="宋体" w:hAnsi="宋体" w:cs="宋体"/>
                <w:b w:val="0"/>
                <w:bCs/>
                <w:i w:val="0"/>
                <w:caps w:val="0"/>
                <w:color w:val="auto"/>
                <w:spacing w:val="0"/>
                <w:w w:val="100"/>
                <w:sz w:val="21"/>
                <w:szCs w:val="21"/>
                <w:highlight w:val="none"/>
                <w:lang w:val="en-US" w:eastAsia="zh-CN"/>
              </w:rPr>
              <w:t>3</w:t>
            </w:r>
            <w:r>
              <w:rPr>
                <w:rFonts w:hint="eastAsia" w:ascii="宋体" w:hAnsi="宋体" w:eastAsia="宋体" w:cs="宋体"/>
                <w:b w:val="0"/>
                <w:bCs/>
                <w:i w:val="0"/>
                <w:caps w:val="0"/>
                <w:color w:val="auto"/>
                <w:spacing w:val="0"/>
                <w:w w:val="100"/>
                <w:sz w:val="21"/>
                <w:szCs w:val="21"/>
                <w:highlight w:val="none"/>
                <w:lang w:val="en-US" w:eastAsia="zh-CN"/>
              </w:rPr>
              <w:t>-0分；</w:t>
            </w:r>
          </w:p>
          <w:p w14:paraId="42D7D07D">
            <w:pPr>
              <w:jc w:val="left"/>
              <w:rPr>
                <w:rFonts w:ascii="宋体" w:hAnsi="宋体" w:cs="宋体"/>
                <w:color w:val="auto"/>
                <w:highlight w:val="none"/>
                <w:lang w:val="zh-CN"/>
              </w:rPr>
            </w:pPr>
            <w:r>
              <w:rPr>
                <w:rFonts w:hint="eastAsia" w:ascii="宋体" w:hAnsi="宋体" w:eastAsia="宋体" w:cs="宋体"/>
                <w:b w:val="0"/>
                <w:bCs/>
                <w:i w:val="0"/>
                <w:caps w:val="0"/>
                <w:color w:val="auto"/>
                <w:spacing w:val="0"/>
                <w:w w:val="100"/>
                <w:sz w:val="21"/>
                <w:szCs w:val="21"/>
                <w:highlight w:val="none"/>
                <w:lang w:val="en-US" w:eastAsia="zh-CN"/>
              </w:rPr>
              <w:t>④未提供方案不计分。</w:t>
            </w:r>
          </w:p>
        </w:tc>
      </w:tr>
      <w:tr w14:paraId="0FCF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49" w:type="dxa"/>
            <w:vMerge w:val="continue"/>
            <w:vAlign w:val="center"/>
          </w:tcPr>
          <w:p w14:paraId="053FB4BD">
            <w:pPr>
              <w:snapToGrid w:val="0"/>
              <w:spacing w:line="460" w:lineRule="exact"/>
              <w:ind w:firstLine="420" w:firstLineChars="200"/>
              <w:rPr>
                <w:rFonts w:ascii="宋体" w:hAnsi="宋体" w:cs="宋体"/>
                <w:color w:val="auto"/>
                <w:szCs w:val="21"/>
                <w:highlight w:val="none"/>
              </w:rPr>
            </w:pPr>
          </w:p>
        </w:tc>
        <w:tc>
          <w:tcPr>
            <w:tcW w:w="559" w:type="dxa"/>
            <w:vMerge w:val="continue"/>
            <w:vAlign w:val="center"/>
          </w:tcPr>
          <w:p w14:paraId="780573A6">
            <w:pPr>
              <w:snapToGrid w:val="0"/>
              <w:spacing w:line="460" w:lineRule="exact"/>
              <w:ind w:firstLine="420" w:firstLineChars="200"/>
              <w:rPr>
                <w:rFonts w:ascii="宋体" w:hAnsi="宋体" w:cs="宋体"/>
                <w:color w:val="auto"/>
                <w:szCs w:val="21"/>
                <w:highlight w:val="none"/>
              </w:rPr>
            </w:pPr>
          </w:p>
        </w:tc>
        <w:tc>
          <w:tcPr>
            <w:tcW w:w="2074" w:type="dxa"/>
            <w:vMerge w:val="continue"/>
            <w:vAlign w:val="center"/>
          </w:tcPr>
          <w:p w14:paraId="0432A1F7">
            <w:pPr>
              <w:jc w:val="center"/>
              <w:rPr>
                <w:rFonts w:ascii="宋体" w:hAnsi="宋体" w:cs="宋体"/>
                <w:color w:val="auto"/>
                <w:kern w:val="2"/>
                <w:szCs w:val="22"/>
                <w:highlight w:val="none"/>
              </w:rPr>
            </w:pPr>
          </w:p>
        </w:tc>
        <w:tc>
          <w:tcPr>
            <w:tcW w:w="6587" w:type="dxa"/>
            <w:vAlign w:val="center"/>
          </w:tcPr>
          <w:p w14:paraId="257C418C">
            <w:pPr>
              <w:snapToGrid w:val="0"/>
              <w:spacing w:line="460" w:lineRule="exact"/>
              <w:rPr>
                <w:rFonts w:hint="eastAsia" w:ascii="宋体" w:hAnsi="宋体" w:cs="宋体"/>
                <w:color w:val="auto"/>
                <w:highlight w:val="none"/>
                <w:lang w:val="zh-CN"/>
              </w:rPr>
            </w:pPr>
            <w:r>
              <w:rPr>
                <w:rFonts w:hint="eastAsia" w:ascii="宋体" w:hAnsi="宋体" w:cs="宋体"/>
                <w:color w:val="auto"/>
                <w:highlight w:val="none"/>
                <w:lang w:val="zh-CN"/>
              </w:rPr>
              <w:t>培训方案应完整、合理、切合实际，</w:t>
            </w:r>
            <w:r>
              <w:rPr>
                <w:rFonts w:hint="eastAsia" w:ascii="宋体" w:hAnsi="宋体" w:cs="宋体"/>
                <w:color w:val="auto"/>
                <w:highlight w:val="none"/>
                <w:lang w:val="en-US" w:eastAsia="zh-CN"/>
              </w:rPr>
              <w:t>包括但不限于1）</w:t>
            </w:r>
            <w:r>
              <w:rPr>
                <w:rFonts w:hint="eastAsia" w:ascii="宋体" w:hAnsi="宋体" w:eastAsia="宋体" w:cs="宋体"/>
                <w:b w:val="0"/>
                <w:bCs/>
                <w:i w:val="0"/>
                <w:caps w:val="0"/>
                <w:color w:val="auto"/>
                <w:spacing w:val="0"/>
                <w:w w:val="100"/>
                <w:sz w:val="21"/>
                <w:szCs w:val="21"/>
                <w:highlight w:val="none"/>
                <w:lang w:val="en-US" w:eastAsia="zh-CN"/>
              </w:rPr>
              <w:t>培训课程计划表、列出具体的培训时间和地点；2）产品的技术性能讲解；3）操作使用维护方案讲解；4）安装调试讲解；5）简单的排除故障讲解</w:t>
            </w:r>
            <w:r>
              <w:rPr>
                <w:rFonts w:hint="eastAsia" w:ascii="宋体" w:hAnsi="宋体" w:cs="宋体"/>
                <w:color w:val="auto"/>
                <w:highlight w:val="none"/>
                <w:lang w:val="zh-CN"/>
              </w:rPr>
              <w:t>等内容，确保采购人能自主使用，根据方案进行综合评价0-</w:t>
            </w:r>
            <w:r>
              <w:rPr>
                <w:rFonts w:hint="eastAsia" w:ascii="宋体" w:hAnsi="宋体" w:cs="宋体"/>
                <w:color w:val="auto"/>
                <w:highlight w:val="none"/>
                <w:lang w:val="en-US" w:eastAsia="zh-CN"/>
              </w:rPr>
              <w:t>10</w:t>
            </w:r>
            <w:r>
              <w:rPr>
                <w:rFonts w:hint="eastAsia" w:ascii="宋体" w:hAnsi="宋体" w:cs="宋体"/>
                <w:color w:val="auto"/>
                <w:highlight w:val="none"/>
                <w:lang w:val="zh-CN"/>
              </w:rPr>
              <w:t>分。</w:t>
            </w:r>
          </w:p>
          <w:p w14:paraId="3F4922B0">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①方案内容完整、全面、详细的计</w:t>
            </w:r>
            <w:r>
              <w:rPr>
                <w:rFonts w:hint="eastAsia" w:ascii="宋体" w:hAnsi="宋体" w:cs="宋体"/>
                <w:b w:val="0"/>
                <w:bCs/>
                <w:i w:val="0"/>
                <w:caps w:val="0"/>
                <w:color w:val="auto"/>
                <w:spacing w:val="0"/>
                <w:w w:val="100"/>
                <w:sz w:val="21"/>
                <w:szCs w:val="21"/>
                <w:highlight w:val="none"/>
                <w:lang w:val="en-US" w:eastAsia="zh-CN"/>
              </w:rPr>
              <w:t>6</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10</w:t>
            </w:r>
            <w:r>
              <w:rPr>
                <w:rFonts w:hint="eastAsia" w:ascii="宋体" w:hAnsi="宋体" w:eastAsia="宋体" w:cs="宋体"/>
                <w:b w:val="0"/>
                <w:bCs/>
                <w:i w:val="0"/>
                <w:caps w:val="0"/>
                <w:color w:val="auto"/>
                <w:spacing w:val="0"/>
                <w:w w:val="100"/>
                <w:sz w:val="21"/>
                <w:szCs w:val="21"/>
                <w:highlight w:val="none"/>
                <w:lang w:val="en-US" w:eastAsia="zh-CN"/>
              </w:rPr>
              <w:t>分；</w:t>
            </w:r>
          </w:p>
          <w:p w14:paraId="3339B6C9">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②方案内容有1到3项欠缺、较薄弱的计</w:t>
            </w:r>
            <w:r>
              <w:rPr>
                <w:rFonts w:hint="eastAsia" w:ascii="宋体" w:hAnsi="宋体" w:cs="宋体"/>
                <w:b w:val="0"/>
                <w:bCs/>
                <w:i w:val="0"/>
                <w:caps w:val="0"/>
                <w:color w:val="auto"/>
                <w:spacing w:val="0"/>
                <w:w w:val="100"/>
                <w:sz w:val="21"/>
                <w:szCs w:val="21"/>
                <w:highlight w:val="none"/>
                <w:lang w:val="en-US" w:eastAsia="zh-CN"/>
              </w:rPr>
              <w:t>3</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6</w:t>
            </w:r>
            <w:r>
              <w:rPr>
                <w:rFonts w:hint="eastAsia" w:ascii="宋体" w:hAnsi="宋体" w:eastAsia="宋体" w:cs="宋体"/>
                <w:b w:val="0"/>
                <w:bCs/>
                <w:i w:val="0"/>
                <w:caps w:val="0"/>
                <w:color w:val="auto"/>
                <w:spacing w:val="0"/>
                <w:w w:val="100"/>
                <w:sz w:val="21"/>
                <w:szCs w:val="21"/>
                <w:highlight w:val="none"/>
                <w:lang w:val="en-US" w:eastAsia="zh-CN"/>
              </w:rPr>
              <w:t>分；</w:t>
            </w:r>
          </w:p>
          <w:p w14:paraId="5941642C">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③方案内容有3项以上严重欠缺、薄弱的计</w:t>
            </w:r>
            <w:r>
              <w:rPr>
                <w:rFonts w:hint="eastAsia" w:ascii="宋体" w:hAnsi="宋体" w:cs="宋体"/>
                <w:b w:val="0"/>
                <w:bCs/>
                <w:i w:val="0"/>
                <w:caps w:val="0"/>
                <w:color w:val="auto"/>
                <w:spacing w:val="0"/>
                <w:w w:val="100"/>
                <w:sz w:val="21"/>
                <w:szCs w:val="21"/>
                <w:highlight w:val="none"/>
                <w:lang w:val="en-US" w:eastAsia="zh-CN"/>
              </w:rPr>
              <w:t>3</w:t>
            </w:r>
            <w:r>
              <w:rPr>
                <w:rFonts w:hint="eastAsia" w:ascii="宋体" w:hAnsi="宋体" w:eastAsia="宋体" w:cs="宋体"/>
                <w:b w:val="0"/>
                <w:bCs/>
                <w:i w:val="0"/>
                <w:caps w:val="0"/>
                <w:color w:val="auto"/>
                <w:spacing w:val="0"/>
                <w:w w:val="100"/>
                <w:sz w:val="21"/>
                <w:szCs w:val="21"/>
                <w:highlight w:val="none"/>
                <w:lang w:val="en-US" w:eastAsia="zh-CN"/>
              </w:rPr>
              <w:t>-0分；</w:t>
            </w:r>
          </w:p>
          <w:p w14:paraId="68B200A5">
            <w:pPr>
              <w:rPr>
                <w:rFonts w:ascii="宋体" w:hAnsi="宋体" w:cs="宋体"/>
                <w:color w:val="auto"/>
                <w:highlight w:val="none"/>
              </w:rPr>
            </w:pPr>
            <w:r>
              <w:rPr>
                <w:rFonts w:hint="eastAsia" w:ascii="宋体" w:hAnsi="宋体" w:eastAsia="宋体" w:cs="宋体"/>
                <w:b w:val="0"/>
                <w:bCs/>
                <w:i w:val="0"/>
                <w:caps w:val="0"/>
                <w:color w:val="auto"/>
                <w:spacing w:val="0"/>
                <w:w w:val="100"/>
                <w:sz w:val="21"/>
                <w:szCs w:val="21"/>
                <w:highlight w:val="none"/>
                <w:lang w:val="en-US" w:eastAsia="zh-CN"/>
              </w:rPr>
              <w:t>④未提供方案不计分。</w:t>
            </w:r>
          </w:p>
        </w:tc>
      </w:tr>
      <w:tr w14:paraId="464E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49" w:type="dxa"/>
            <w:vMerge w:val="continue"/>
            <w:vAlign w:val="center"/>
          </w:tcPr>
          <w:p w14:paraId="2F55CCEB">
            <w:pPr>
              <w:snapToGrid w:val="0"/>
              <w:spacing w:line="460" w:lineRule="exact"/>
              <w:ind w:firstLine="420" w:firstLineChars="200"/>
              <w:rPr>
                <w:rFonts w:ascii="宋体" w:hAnsi="宋体" w:cs="宋体"/>
                <w:color w:val="auto"/>
                <w:szCs w:val="21"/>
                <w:highlight w:val="none"/>
              </w:rPr>
            </w:pPr>
          </w:p>
        </w:tc>
        <w:tc>
          <w:tcPr>
            <w:tcW w:w="559" w:type="dxa"/>
            <w:vMerge w:val="continue"/>
            <w:vAlign w:val="center"/>
          </w:tcPr>
          <w:p w14:paraId="09A30D12">
            <w:pPr>
              <w:snapToGrid w:val="0"/>
              <w:spacing w:line="460" w:lineRule="exact"/>
              <w:ind w:firstLine="420" w:firstLineChars="200"/>
              <w:rPr>
                <w:rFonts w:ascii="宋体" w:hAnsi="宋体" w:cs="宋体"/>
                <w:color w:val="auto"/>
                <w:szCs w:val="21"/>
                <w:highlight w:val="none"/>
              </w:rPr>
            </w:pPr>
          </w:p>
        </w:tc>
        <w:tc>
          <w:tcPr>
            <w:tcW w:w="2074" w:type="dxa"/>
            <w:vAlign w:val="center"/>
          </w:tcPr>
          <w:p w14:paraId="6D74492E">
            <w:pPr>
              <w:jc w:val="center"/>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质量保证</w:t>
            </w:r>
          </w:p>
          <w:p w14:paraId="4F3919C5">
            <w:pPr>
              <w:jc w:val="center"/>
              <w:rPr>
                <w:rFonts w:ascii="宋体" w:hAnsi="宋体" w:cs="宋体"/>
                <w:color w:val="auto"/>
                <w:kern w:val="2"/>
                <w:szCs w:val="22"/>
                <w:highlight w:val="none"/>
              </w:rPr>
            </w:pPr>
            <w:r>
              <w:rPr>
                <w:rFonts w:hint="eastAsia" w:ascii="宋体" w:hAnsi="宋体" w:cs="宋体"/>
                <w:color w:val="auto"/>
                <w:kern w:val="2"/>
                <w:szCs w:val="22"/>
                <w:highlight w:val="none"/>
              </w:rPr>
              <w:t>（</w:t>
            </w:r>
            <w:r>
              <w:rPr>
                <w:rFonts w:hint="eastAsia" w:ascii="宋体" w:hAnsi="宋体" w:cs="宋体"/>
                <w:color w:val="auto"/>
                <w:kern w:val="2"/>
                <w:szCs w:val="22"/>
                <w:highlight w:val="none"/>
                <w:lang w:val="en-US" w:eastAsia="zh-CN"/>
              </w:rPr>
              <w:t>3</w:t>
            </w:r>
            <w:r>
              <w:rPr>
                <w:rFonts w:hint="eastAsia" w:ascii="宋体" w:hAnsi="宋体" w:cs="宋体"/>
                <w:color w:val="auto"/>
                <w:kern w:val="2"/>
                <w:szCs w:val="22"/>
                <w:highlight w:val="none"/>
              </w:rPr>
              <w:t>分）</w:t>
            </w:r>
          </w:p>
        </w:tc>
        <w:tc>
          <w:tcPr>
            <w:tcW w:w="6587" w:type="dxa"/>
            <w:vAlign w:val="center"/>
          </w:tcPr>
          <w:p w14:paraId="129C32A2">
            <w:pPr>
              <w:rPr>
                <w:rFonts w:hint="eastAsia" w:ascii="宋体" w:hAnsi="宋体" w:cs="宋体"/>
                <w:color w:val="auto"/>
                <w:szCs w:val="21"/>
                <w:highlight w:val="none"/>
              </w:rPr>
            </w:pPr>
            <w:r>
              <w:rPr>
                <w:rFonts w:hint="eastAsia" w:ascii="宋体" w:hAnsi="宋体" w:cs="宋体"/>
                <w:color w:val="auto"/>
                <w:szCs w:val="21"/>
                <w:highlight w:val="none"/>
              </w:rPr>
              <w:t>为确保产品的稳定性、安全性，供应商需提供</w:t>
            </w:r>
            <w:r>
              <w:rPr>
                <w:rFonts w:hint="eastAsia" w:ascii="宋体" w:hAnsi="宋体" w:eastAsia="宋体" w:cs="宋体"/>
                <w:b w:val="0"/>
                <w:bCs/>
                <w:i w:val="0"/>
                <w:caps w:val="0"/>
                <w:color w:val="auto"/>
                <w:spacing w:val="0"/>
                <w:w w:val="100"/>
                <w:sz w:val="21"/>
                <w:szCs w:val="21"/>
                <w:highlight w:val="none"/>
                <w:lang w:val="en-US" w:eastAsia="zh-CN"/>
              </w:rPr>
              <w:t>所投产品设备进货渠道正规，合法有效的供货协议(不限于销售协议、代理协议、原厂授权等),确保供应的设备无假货、水货、翻新货且无产权纠纷，得3分，提供不全或无法提供的得0分。</w:t>
            </w:r>
          </w:p>
        </w:tc>
      </w:tr>
      <w:tr w14:paraId="0E22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49" w:type="dxa"/>
            <w:vMerge w:val="continue"/>
          </w:tcPr>
          <w:p w14:paraId="5BF4087C">
            <w:pPr>
              <w:pStyle w:val="12"/>
              <w:rPr>
                <w:rFonts w:ascii="宋体" w:hAnsi="宋体" w:eastAsia="宋体" w:cs="宋体"/>
                <w:color w:val="auto"/>
                <w:sz w:val="21"/>
                <w:szCs w:val="21"/>
                <w:highlight w:val="none"/>
              </w:rPr>
            </w:pPr>
          </w:p>
        </w:tc>
        <w:tc>
          <w:tcPr>
            <w:tcW w:w="559" w:type="dxa"/>
            <w:vMerge w:val="continue"/>
          </w:tcPr>
          <w:p w14:paraId="3BF65922">
            <w:pPr>
              <w:pStyle w:val="12"/>
              <w:rPr>
                <w:rFonts w:ascii="宋体" w:hAnsi="宋体" w:eastAsia="宋体" w:cs="宋体"/>
                <w:color w:val="auto"/>
                <w:sz w:val="21"/>
                <w:szCs w:val="21"/>
                <w:highlight w:val="none"/>
              </w:rPr>
            </w:pPr>
          </w:p>
        </w:tc>
        <w:tc>
          <w:tcPr>
            <w:tcW w:w="2074" w:type="dxa"/>
            <w:vAlign w:val="center"/>
          </w:tcPr>
          <w:p w14:paraId="74C65041">
            <w:pPr>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业绩</w:t>
            </w:r>
          </w:p>
          <w:p w14:paraId="7701C4D2">
            <w:pPr>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p>
        </w:tc>
        <w:tc>
          <w:tcPr>
            <w:tcW w:w="6587" w:type="dxa"/>
            <w:vAlign w:val="center"/>
          </w:tcPr>
          <w:p w14:paraId="19E8AC32">
            <w:pPr>
              <w:spacing w:line="400" w:lineRule="exact"/>
              <w:rPr>
                <w:rFonts w:ascii="宋体" w:hAnsi="宋体" w:cs="宋体"/>
                <w:color w:val="auto"/>
                <w:szCs w:val="21"/>
                <w:highlight w:val="none"/>
              </w:rPr>
            </w:pPr>
            <w:r>
              <w:rPr>
                <w:rFonts w:hint="eastAsia" w:ascii="宋体" w:hAnsi="宋体" w:cs="宋体"/>
                <w:color w:val="auto"/>
                <w:szCs w:val="21"/>
                <w:highlight w:val="none"/>
                <w:lang w:val="zh-CN"/>
              </w:rPr>
              <w:t>每提供1份近年内(20</w:t>
            </w:r>
            <w:r>
              <w:rPr>
                <w:rFonts w:hint="eastAsia" w:ascii="宋体" w:hAnsi="宋体" w:cs="宋体"/>
                <w:color w:val="auto"/>
                <w:szCs w:val="21"/>
                <w:highlight w:val="none"/>
              </w:rPr>
              <w:t>22</w:t>
            </w:r>
            <w:r>
              <w:rPr>
                <w:rFonts w:hint="eastAsia" w:ascii="宋体" w:hAnsi="宋体" w:cs="宋体"/>
                <w:color w:val="auto"/>
                <w:szCs w:val="21"/>
                <w:highlight w:val="none"/>
                <w:lang w:val="zh-CN"/>
              </w:rPr>
              <w:t>年1月1日以后签订)的类</w:t>
            </w:r>
            <w:r>
              <w:rPr>
                <w:rFonts w:hint="eastAsia" w:ascii="宋体" w:hAnsi="宋体" w:cs="宋体"/>
                <w:color w:val="auto"/>
                <w:szCs w:val="21"/>
                <w:highlight w:val="none"/>
              </w:rPr>
              <w:t>似</w:t>
            </w:r>
            <w:r>
              <w:rPr>
                <w:rFonts w:hint="eastAsia" w:ascii="宋体" w:hAnsi="宋体" w:cs="宋体"/>
                <w:color w:val="auto"/>
                <w:szCs w:val="21"/>
                <w:highlight w:val="none"/>
                <w:lang w:val="zh-CN"/>
              </w:rPr>
              <w:t>项目业绩合同得</w:t>
            </w:r>
            <w:r>
              <w:rPr>
                <w:rFonts w:hint="eastAsia" w:ascii="宋体" w:hAnsi="宋体" w:cs="宋体"/>
                <w:color w:val="auto"/>
                <w:szCs w:val="21"/>
                <w:highlight w:val="none"/>
              </w:rPr>
              <w:t>2</w:t>
            </w:r>
            <w:r>
              <w:rPr>
                <w:rFonts w:hint="eastAsia" w:ascii="宋体" w:hAnsi="宋体" w:cs="宋体"/>
                <w:color w:val="auto"/>
                <w:szCs w:val="21"/>
                <w:highlight w:val="none"/>
                <w:lang w:val="zh-CN"/>
              </w:rPr>
              <w:t>分，最高得</w:t>
            </w:r>
            <w:r>
              <w:rPr>
                <w:rFonts w:hint="eastAsia" w:ascii="宋体" w:hAnsi="宋体" w:cs="宋体"/>
                <w:color w:val="auto"/>
                <w:szCs w:val="21"/>
                <w:highlight w:val="none"/>
              </w:rPr>
              <w:t>6</w:t>
            </w:r>
            <w:r>
              <w:rPr>
                <w:rFonts w:hint="eastAsia" w:ascii="宋体" w:hAnsi="宋体" w:cs="宋体"/>
                <w:color w:val="auto"/>
                <w:szCs w:val="21"/>
                <w:highlight w:val="none"/>
                <w:lang w:val="zh-CN"/>
              </w:rPr>
              <w:t>分（以合同协议为准，复印件加盖投标人公章）。</w:t>
            </w:r>
          </w:p>
        </w:tc>
      </w:tr>
      <w:tr w14:paraId="031A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49" w:type="dxa"/>
            <w:vMerge w:val="continue"/>
          </w:tcPr>
          <w:p w14:paraId="63C83A1C">
            <w:pPr>
              <w:pStyle w:val="12"/>
              <w:rPr>
                <w:rFonts w:ascii="宋体" w:hAnsi="宋体" w:eastAsia="宋体" w:cs="宋体"/>
                <w:color w:val="auto"/>
                <w:sz w:val="21"/>
                <w:szCs w:val="21"/>
                <w:highlight w:val="none"/>
              </w:rPr>
            </w:pPr>
          </w:p>
        </w:tc>
        <w:tc>
          <w:tcPr>
            <w:tcW w:w="559" w:type="dxa"/>
            <w:vMerge w:val="continue"/>
          </w:tcPr>
          <w:p w14:paraId="136A3325">
            <w:pPr>
              <w:pStyle w:val="12"/>
              <w:rPr>
                <w:rFonts w:ascii="宋体" w:hAnsi="宋体" w:eastAsia="宋体" w:cs="宋体"/>
                <w:color w:val="auto"/>
                <w:sz w:val="21"/>
                <w:szCs w:val="21"/>
                <w:highlight w:val="none"/>
              </w:rPr>
            </w:pPr>
          </w:p>
        </w:tc>
        <w:tc>
          <w:tcPr>
            <w:tcW w:w="2074" w:type="dxa"/>
            <w:vAlign w:val="center"/>
          </w:tcPr>
          <w:p w14:paraId="6C38C64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三大体系</w:t>
            </w:r>
          </w:p>
          <w:p w14:paraId="591BF96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（3分）</w:t>
            </w:r>
          </w:p>
        </w:tc>
        <w:tc>
          <w:tcPr>
            <w:tcW w:w="6587" w:type="dxa"/>
            <w:tcBorders>
              <w:bottom w:val="single" w:color="auto" w:sz="4" w:space="0"/>
            </w:tcBorders>
            <w:vAlign w:val="center"/>
          </w:tcPr>
          <w:p w14:paraId="213B82EA">
            <w:pPr>
              <w:spacing w:line="400" w:lineRule="exact"/>
              <w:rPr>
                <w:rFonts w:ascii="宋体" w:hAnsi="宋体" w:cs="宋体"/>
                <w:color w:val="auto"/>
                <w:szCs w:val="21"/>
                <w:highlight w:val="none"/>
              </w:rPr>
            </w:pPr>
            <w:r>
              <w:rPr>
                <w:rFonts w:hint="eastAsia" w:ascii="宋体" w:hAnsi="宋体" w:cs="宋体"/>
                <w:color w:val="auto"/>
                <w:szCs w:val="21"/>
                <w:highlight w:val="none"/>
              </w:rPr>
              <w:t>供应商或生产厂家获得质量管理体系认证证书、环境管理体系认证证书、职业健康管理体系认证证书，每有一项得1分，本项最多得3分。</w:t>
            </w:r>
          </w:p>
        </w:tc>
      </w:tr>
    </w:tbl>
    <w:p w14:paraId="5D49624D">
      <w:pPr>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3、供应商得分相同时，按投标文件</w:t>
      </w:r>
      <w:r>
        <w:rPr>
          <w:rFonts w:hint="eastAsia" w:ascii="宋体" w:hAnsi="宋体" w:cs="宋体"/>
          <w:color w:val="auto"/>
          <w:kern w:val="2"/>
          <w:szCs w:val="22"/>
          <w:highlight w:val="none"/>
        </w:rPr>
        <w:t>技术参数</w:t>
      </w:r>
      <w:r>
        <w:rPr>
          <w:rFonts w:hint="eastAsia" w:ascii="宋体" w:hAnsi="宋体" w:cs="宋体"/>
          <w:color w:val="auto"/>
          <w:szCs w:val="21"/>
          <w:highlight w:val="none"/>
          <w:lang w:val="zh-CN"/>
        </w:rPr>
        <w:t>、</w:t>
      </w:r>
      <w:r>
        <w:rPr>
          <w:rFonts w:hint="eastAsia" w:ascii="宋体" w:hAnsi="宋体" w:cs="宋体"/>
          <w:color w:val="auto"/>
          <w:kern w:val="2"/>
          <w:szCs w:val="22"/>
          <w:highlight w:val="none"/>
        </w:rPr>
        <w:t>项目组织实施方案</w:t>
      </w:r>
      <w:r>
        <w:rPr>
          <w:rFonts w:hint="eastAsia" w:ascii="宋体" w:hAnsi="宋体" w:cs="宋体"/>
          <w:color w:val="auto"/>
          <w:szCs w:val="21"/>
          <w:highlight w:val="none"/>
          <w:lang w:val="zh-CN"/>
        </w:rPr>
        <w:t>、</w:t>
      </w:r>
      <w:r>
        <w:rPr>
          <w:rFonts w:hint="eastAsia" w:ascii="宋体" w:hAnsi="宋体" w:cs="宋体"/>
          <w:color w:val="auto"/>
          <w:kern w:val="2"/>
          <w:szCs w:val="22"/>
          <w:highlight w:val="none"/>
        </w:rPr>
        <w:t>售后服务</w:t>
      </w:r>
      <w:r>
        <w:rPr>
          <w:rFonts w:hint="eastAsia" w:ascii="宋体" w:hAnsi="宋体" w:cs="宋体"/>
          <w:color w:val="auto"/>
          <w:kern w:val="2"/>
          <w:szCs w:val="22"/>
          <w:highlight w:val="none"/>
          <w:lang w:val="en-US" w:eastAsia="zh-CN"/>
        </w:rPr>
        <w:t>及</w:t>
      </w:r>
      <w:r>
        <w:rPr>
          <w:rFonts w:hint="eastAsia" w:ascii="宋体" w:hAnsi="宋体" w:cs="宋体"/>
          <w:color w:val="auto"/>
          <w:kern w:val="2"/>
          <w:szCs w:val="22"/>
          <w:highlight w:val="none"/>
        </w:rPr>
        <w:t>培训方案</w:t>
      </w:r>
      <w:r>
        <w:rPr>
          <w:rFonts w:hint="eastAsia" w:ascii="宋体" w:hAnsi="宋体" w:cs="宋体"/>
          <w:color w:val="auto"/>
          <w:szCs w:val="21"/>
          <w:highlight w:val="none"/>
          <w:lang w:val="zh-CN"/>
        </w:rPr>
        <w:t>、</w:t>
      </w:r>
      <w:r>
        <w:rPr>
          <w:rFonts w:hint="eastAsia" w:ascii="宋体" w:hAnsi="宋体" w:cs="宋体"/>
          <w:color w:val="auto"/>
          <w:kern w:val="2"/>
          <w:szCs w:val="22"/>
          <w:highlight w:val="none"/>
          <w:lang w:val="en-US" w:eastAsia="zh-CN"/>
        </w:rPr>
        <w:t>质量保证</w:t>
      </w:r>
      <w:r>
        <w:rPr>
          <w:rFonts w:hint="eastAsia" w:ascii="宋体" w:hAnsi="宋体" w:cs="宋体"/>
          <w:color w:val="auto"/>
          <w:kern w:val="2"/>
          <w:szCs w:val="22"/>
          <w:highlight w:val="none"/>
        </w:rPr>
        <w:t>、</w:t>
      </w:r>
      <w:r>
        <w:rPr>
          <w:rFonts w:hint="eastAsia" w:ascii="宋体" w:hAnsi="宋体" w:cs="宋体"/>
          <w:color w:val="auto"/>
          <w:szCs w:val="21"/>
          <w:highlight w:val="none"/>
          <w:lang w:val="zh-CN"/>
        </w:rPr>
        <w:t>业绩、</w:t>
      </w:r>
      <w:r>
        <w:rPr>
          <w:rFonts w:hint="eastAsia" w:ascii="宋体" w:hAnsi="宋体" w:cs="宋体"/>
          <w:color w:val="auto"/>
          <w:szCs w:val="21"/>
          <w:highlight w:val="none"/>
        </w:rPr>
        <w:t>三大体系</w:t>
      </w:r>
      <w:r>
        <w:rPr>
          <w:rFonts w:hint="eastAsia" w:ascii="宋体" w:hAnsi="宋体" w:cs="宋体"/>
          <w:color w:val="auto"/>
          <w:szCs w:val="21"/>
          <w:highlight w:val="none"/>
          <w:lang w:val="zh-CN"/>
        </w:rPr>
        <w:t>，依次对比得分高者优先，决定中标候选顺序。</w:t>
      </w:r>
    </w:p>
    <w:p w14:paraId="634CFB56">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4、本项目落实政府采购政策</w:t>
      </w:r>
    </w:p>
    <w:p w14:paraId="1B530A81">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4.1、投标企业政府采购政策</w:t>
      </w:r>
    </w:p>
    <w:p w14:paraId="5BC6BECB">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（1）中小企业落实政府采购政策</w:t>
      </w:r>
    </w:p>
    <w:p w14:paraId="729259F8">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①采购活动执行《政府采购促进中小企业发展管理办法》的通知财库〔2020〕46号的规定。在政府采购活动中，供应商提供的货物、工程或者服务符合下列情形的，享受本办法规定的中小企业扶持政策：（一）在货物采购项目中，货物由中小企业制造，即货物由中小企业生产且使用该中小企业商号或者注册商标；</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（二）在工程采购项目中，工程由中小企业承建，即工程施工单位为中小企业；（三）在服务采购项目中，服务由中小企业承接，即提供服务的人员为中小企业依照《中华人民共和国劳动合同法》订立劳动合</w:t>
      </w:r>
      <w:r>
        <w:rPr>
          <w:rFonts w:hint="eastAsia" w:ascii="宋体" w:hAnsi="宋体" w:cs="宋体"/>
          <w:color w:val="auto"/>
          <w:szCs w:val="21"/>
          <w:highlight w:val="none"/>
        </w:rPr>
        <w:t>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12F187D">
      <w:pPr>
        <w:snapToGrid w:val="0"/>
        <w:spacing w:line="4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②中小企业参加政府采购活动，应当出具本办法规定的《中小企业声明函》，否则不得享受相关中小企业扶持政策。任何单位和个人不得要求供应商提供《中小企业声明函》之外的中小企业身份证明文件。</w:t>
      </w:r>
      <w:r>
        <w:rPr>
          <w:rFonts w:hint="eastAsia" w:ascii="宋体" w:hAnsi="宋体" w:cs="宋体"/>
          <w:color w:val="auto"/>
          <w:szCs w:val="21"/>
          <w:highlight w:val="none"/>
          <w:lang w:val="en-US" w:eastAsia="zh-CN"/>
        </w:rPr>
        <w:t xml:space="preserve"> </w:t>
      </w:r>
    </w:p>
    <w:p w14:paraId="73927255">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监狱和戒毒企业</w:t>
      </w:r>
      <w:r>
        <w:rPr>
          <w:rFonts w:hint="eastAsia" w:ascii="宋体" w:hAnsi="宋体" w:cs="宋体"/>
          <w:color w:val="auto"/>
          <w:szCs w:val="21"/>
          <w:highlight w:val="none"/>
        </w:rPr>
        <w:t>落实政府采购政策</w:t>
      </w:r>
    </w:p>
    <w:p w14:paraId="54390ECE">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监狱和戒毒企业应符合《财政部</w:t>
      </w:r>
      <w:r>
        <w:rPr>
          <w:rFonts w:hint="eastAsia" w:ascii="宋体" w:hAnsi="宋体" w:cs="宋体"/>
          <w:color w:val="auto"/>
          <w:szCs w:val="21"/>
          <w:highlight w:val="none"/>
        </w:rPr>
        <w:t>、司法部关于政府采购支持监狱企业发展有关问题的通知》--财库[2014]68号</w:t>
      </w:r>
      <w:r>
        <w:rPr>
          <w:rFonts w:hint="eastAsia" w:ascii="宋体" w:hAnsi="宋体" w:cs="宋体"/>
          <w:color w:val="auto"/>
          <w:szCs w:val="21"/>
          <w:highlight w:val="none"/>
          <w:lang w:val="zh-CN"/>
        </w:rPr>
        <w:t>，并提供由省级以上监狱管理局、戒毒管理局(含新疆生产建设兵团)出具的属于监狱企业的证明，</w:t>
      </w:r>
      <w:r>
        <w:rPr>
          <w:rFonts w:hint="eastAsia" w:ascii="宋体" w:hAnsi="宋体" w:cs="宋体"/>
          <w:color w:val="auto"/>
          <w:szCs w:val="21"/>
          <w:highlight w:val="none"/>
        </w:rPr>
        <w:t>开标时提供原件备查。</w:t>
      </w:r>
    </w:p>
    <w:p w14:paraId="2BF9CC47">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（3）残疾人福利性单位落实政府采购政策</w:t>
      </w:r>
    </w:p>
    <w:p w14:paraId="291E98A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省民政厅、省财政厅和省残联联合出台《关于政府采购优先购买福利性企业产品和服务的意见》（陕民发（2015）1号），要求进一步促进福利性企业（福利性企业指社会福利企业和集中安排残疾人就业单位）持续健康发展，有效解决残疾人集中就业问题，充分发挥政府采购政策功能。</w:t>
      </w:r>
    </w:p>
    <w:p w14:paraId="15D34F35">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残疾人福利性单位应符合财库〔2017〕141号规定，提供本单位制造的货物、承担的项目或者服务（以下简称产品），或者提供其他残疾人福利性单位制造的货物（不包括使用非残疾人福利性单位注册商标的货物）。</w:t>
      </w:r>
    </w:p>
    <w:p w14:paraId="6692667D">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③投标供应商须按照财库〔2017〕141号规定，提供《残疾人福利性单位声明函》，并对声明的真实性负责。以此为依据享受政府采购政策。</w:t>
      </w:r>
    </w:p>
    <w:p w14:paraId="1972B922">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④中标、中标供应商为残疾人福利性单位的，采购人或者其委托的采购代理机构应当随中标、中标结果同时公告其《残疾人福利性单位声明函》，接受社会监督。</w:t>
      </w:r>
    </w:p>
    <w:p w14:paraId="6134FA28">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（4）投标供应商应如实提供以上证明文件，如存在虚假应标，将取消其投标资格。</w:t>
      </w:r>
    </w:p>
    <w:p w14:paraId="486DC233">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2、投标产品政府采购政策</w:t>
      </w:r>
    </w:p>
    <w:p w14:paraId="35BFE70F">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（1）节能产品</w:t>
      </w:r>
      <w:r>
        <w:rPr>
          <w:rFonts w:hint="eastAsia" w:ascii="宋体" w:hAnsi="宋体" w:cs="宋体"/>
          <w:color w:val="auto"/>
          <w:szCs w:val="21"/>
          <w:highlight w:val="none"/>
          <w:lang w:val="zh-CN"/>
        </w:rPr>
        <w:t>根据《国务院办公厅关于建立政府强制采购节能产品制度的通知》</w:t>
      </w:r>
      <w:r>
        <w:rPr>
          <w:rFonts w:hint="eastAsia" w:ascii="宋体" w:hAnsi="宋体" w:cs="宋体"/>
          <w:color w:val="auto"/>
          <w:szCs w:val="21"/>
          <w:highlight w:val="none"/>
        </w:rPr>
        <w:t>（</w:t>
      </w:r>
      <w:r>
        <w:rPr>
          <w:rFonts w:hint="eastAsia" w:ascii="宋体" w:hAnsi="宋体" w:cs="宋体"/>
          <w:color w:val="auto"/>
          <w:szCs w:val="21"/>
          <w:highlight w:val="none"/>
          <w:lang w:val="zh-CN"/>
        </w:rPr>
        <w:t>国办发[2007] 51号</w:t>
      </w:r>
      <w:r>
        <w:rPr>
          <w:rFonts w:hint="eastAsia" w:ascii="宋体" w:hAnsi="宋体" w:cs="宋体"/>
          <w:color w:val="auto"/>
          <w:szCs w:val="21"/>
          <w:highlight w:val="none"/>
        </w:rPr>
        <w:t>）</w:t>
      </w:r>
      <w:r>
        <w:rPr>
          <w:rFonts w:hint="eastAsia" w:ascii="宋体" w:hAnsi="宋体" w:cs="宋体"/>
          <w:color w:val="auto"/>
          <w:szCs w:val="21"/>
          <w:highlight w:val="none"/>
          <w:lang w:val="zh-CN"/>
        </w:rPr>
        <w:t>的规定</w:t>
      </w:r>
      <w:r>
        <w:rPr>
          <w:rFonts w:hint="eastAsia" w:ascii="宋体" w:hAnsi="宋体" w:cs="宋体"/>
          <w:color w:val="auto"/>
          <w:szCs w:val="21"/>
          <w:highlight w:val="none"/>
        </w:rPr>
        <w:t>，</w:t>
      </w:r>
      <w:r>
        <w:rPr>
          <w:rFonts w:hint="eastAsia" w:ascii="宋体" w:hAnsi="宋体" w:cs="宋体"/>
          <w:color w:val="auto"/>
          <w:szCs w:val="21"/>
          <w:highlight w:val="none"/>
          <w:lang w:val="zh-CN"/>
        </w:rPr>
        <w:t>以中国政府采购网</w:t>
      </w:r>
      <w:r>
        <w:rPr>
          <w:rFonts w:hint="eastAsia" w:ascii="宋体" w:hAnsi="宋体" w:cs="宋体"/>
          <w:color w:val="auto"/>
          <w:szCs w:val="21"/>
          <w:highlight w:val="none"/>
        </w:rPr>
        <w:t>（</w:t>
      </w:r>
      <w:r>
        <w:rPr>
          <w:rFonts w:hint="eastAsia" w:ascii="宋体" w:hAnsi="宋体" w:cs="宋体"/>
          <w:color w:val="auto"/>
          <w:szCs w:val="21"/>
          <w:highlight w:val="none"/>
          <w:lang w:val="zh-CN"/>
        </w:rPr>
        <w:t>http://www.ccgp.gov.cn/</w:t>
      </w:r>
      <w:r>
        <w:rPr>
          <w:rFonts w:hint="eastAsia" w:ascii="宋体" w:hAnsi="宋体" w:cs="宋体"/>
          <w:color w:val="auto"/>
          <w:szCs w:val="21"/>
          <w:highlight w:val="none"/>
        </w:rPr>
        <w:t>）</w:t>
      </w:r>
      <w:r>
        <w:rPr>
          <w:rFonts w:hint="eastAsia" w:ascii="宋体" w:hAnsi="宋体" w:cs="宋体"/>
          <w:color w:val="auto"/>
          <w:szCs w:val="21"/>
          <w:highlight w:val="none"/>
          <w:lang w:val="zh-CN"/>
        </w:rPr>
        <w:t>公布的最新一期节能产品政府采购清单为准。</w:t>
      </w:r>
    </w:p>
    <w:p w14:paraId="1E0FFDB2">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（2）环境标志产品</w:t>
      </w:r>
      <w:r>
        <w:rPr>
          <w:rFonts w:hint="eastAsia" w:ascii="宋体" w:hAnsi="宋体" w:cs="宋体"/>
          <w:color w:val="auto"/>
          <w:szCs w:val="21"/>
          <w:highlight w:val="none"/>
          <w:lang w:val="zh-CN"/>
        </w:rPr>
        <w:t>根据《环境标志产品政府采购实施的意见》</w:t>
      </w:r>
      <w:r>
        <w:rPr>
          <w:rFonts w:hint="eastAsia" w:ascii="宋体" w:hAnsi="宋体" w:cs="宋体"/>
          <w:color w:val="auto"/>
          <w:szCs w:val="21"/>
          <w:highlight w:val="none"/>
        </w:rPr>
        <w:t>（</w:t>
      </w:r>
      <w:r>
        <w:rPr>
          <w:rFonts w:hint="eastAsia" w:ascii="宋体" w:hAnsi="宋体" w:cs="宋体"/>
          <w:color w:val="auto"/>
          <w:szCs w:val="21"/>
          <w:highlight w:val="none"/>
          <w:lang w:val="zh-CN"/>
        </w:rPr>
        <w:t>财库</w:t>
      </w:r>
      <w:r>
        <w:rPr>
          <w:rFonts w:hint="eastAsia" w:ascii="宋体" w:hAnsi="宋体" w:cs="宋体"/>
          <w:color w:val="auto"/>
          <w:szCs w:val="21"/>
          <w:highlight w:val="none"/>
        </w:rPr>
        <w:t>[2006]90</w:t>
      </w:r>
      <w:r>
        <w:rPr>
          <w:rFonts w:hint="eastAsia" w:ascii="宋体" w:hAnsi="宋体" w:cs="宋体"/>
          <w:color w:val="auto"/>
          <w:szCs w:val="21"/>
          <w:highlight w:val="none"/>
          <w:lang w:val="zh-CN"/>
        </w:rPr>
        <w:t>号</w:t>
      </w:r>
      <w:r>
        <w:rPr>
          <w:rFonts w:hint="eastAsia" w:ascii="宋体" w:hAnsi="宋体" w:cs="宋体"/>
          <w:color w:val="auto"/>
          <w:szCs w:val="21"/>
          <w:highlight w:val="none"/>
        </w:rPr>
        <w:t>）</w:t>
      </w:r>
      <w:r>
        <w:rPr>
          <w:rFonts w:hint="eastAsia" w:ascii="宋体" w:hAnsi="宋体" w:cs="宋体"/>
          <w:color w:val="auto"/>
          <w:szCs w:val="21"/>
          <w:highlight w:val="none"/>
          <w:lang w:val="zh-CN"/>
        </w:rPr>
        <w:t>的规定</w:t>
      </w:r>
      <w:r>
        <w:rPr>
          <w:rFonts w:hint="eastAsia" w:ascii="宋体" w:hAnsi="宋体" w:cs="宋体"/>
          <w:color w:val="auto"/>
          <w:szCs w:val="21"/>
          <w:highlight w:val="none"/>
        </w:rPr>
        <w:t>，</w:t>
      </w:r>
      <w:r>
        <w:rPr>
          <w:rFonts w:hint="eastAsia" w:ascii="宋体" w:hAnsi="宋体" w:cs="宋体"/>
          <w:color w:val="auto"/>
          <w:szCs w:val="21"/>
          <w:highlight w:val="none"/>
          <w:lang w:val="zh-CN"/>
        </w:rPr>
        <w:t>以中国政府采购网</w:t>
      </w:r>
      <w:r>
        <w:rPr>
          <w:rFonts w:hint="eastAsia" w:ascii="宋体" w:hAnsi="宋体" w:cs="宋体"/>
          <w:color w:val="auto"/>
          <w:szCs w:val="21"/>
          <w:highlight w:val="none"/>
        </w:rPr>
        <w:t>（http://www.ccgp.gov.cn/）</w:t>
      </w:r>
      <w:r>
        <w:rPr>
          <w:rFonts w:hint="eastAsia" w:ascii="宋体" w:hAnsi="宋体" w:cs="宋体"/>
          <w:color w:val="auto"/>
          <w:szCs w:val="21"/>
          <w:highlight w:val="none"/>
          <w:lang w:val="zh-CN"/>
        </w:rPr>
        <w:t>公布的最新一期环境标志产品政府采购清单为准。</w:t>
      </w:r>
    </w:p>
    <w:p w14:paraId="668467EF">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0094269A">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若节能、环保、环境标志清单内的产品仅是构成投标产品的部件、组件或零件的，则该投标产品不享受鼓励优惠政策。</w:t>
      </w:r>
    </w:p>
    <w:p w14:paraId="4E998F34">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同一标段的节能、环保、环境标志产品部分优惠只对属于清单内的非强制类产品进行优惠，强制类产品不给予优惠。</w:t>
      </w:r>
    </w:p>
    <w:p w14:paraId="74178CA3">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节能、环保、环境标志产品不重复优惠；同时列入国家级清单和省级清单的产品不重复优惠。</w:t>
      </w:r>
    </w:p>
    <w:p w14:paraId="467B5136">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获得上述认证的产品在投标时应提供有效证明材料。以上所有证明文件复印件须加盖供应商公章并注明“与原件一致”，否则不予优惠。</w:t>
      </w:r>
    </w:p>
    <w:p w14:paraId="03E7522C">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4.3、价格优惠比例</w:t>
      </w:r>
    </w:p>
    <w:p w14:paraId="5C481562">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（1）投标企业优惠比例</w:t>
      </w:r>
    </w:p>
    <w:p w14:paraId="546941AB">
      <w:pPr>
        <w:snapToGrid w:val="0"/>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本项目非专门面向中小企业采购，</w:t>
      </w:r>
      <w:r>
        <w:rPr>
          <w:rFonts w:hint="eastAsia" w:ascii="宋体" w:hAnsi="宋体" w:cs="宋体"/>
          <w:b/>
          <w:bCs/>
          <w:color w:val="auto"/>
          <w:szCs w:val="21"/>
          <w:highlight w:val="none"/>
          <w:lang w:val="zh-CN"/>
        </w:rPr>
        <w:t xml:space="preserve">对符合《政府采购促进中小企业发展管理办法》(财库{2020}46号)规定的小微企业(监狱企业视同小型、微型企业)的报价给予 </w:t>
      </w:r>
      <w:r>
        <w:rPr>
          <w:rFonts w:hint="eastAsia" w:ascii="宋体" w:hAnsi="宋体" w:cs="宋体"/>
          <w:b/>
          <w:bCs/>
          <w:color w:val="auto"/>
          <w:szCs w:val="21"/>
          <w:highlight w:val="none"/>
        </w:rPr>
        <w:t>10</w:t>
      </w:r>
      <w:r>
        <w:rPr>
          <w:rFonts w:hint="eastAsia" w:ascii="宋体" w:hAnsi="宋体" w:cs="宋体"/>
          <w:b/>
          <w:bCs/>
          <w:color w:val="auto"/>
          <w:szCs w:val="21"/>
          <w:highlight w:val="none"/>
          <w:lang w:val="zh-CN"/>
        </w:rPr>
        <w:t xml:space="preserve"> ％的扣除,用扣除后的价格参加评审。根据《政府采购促进中小企业发展暂行办法》，投标人提供的《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5091AA1">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投标产品优惠比例</w:t>
      </w:r>
    </w:p>
    <w:p w14:paraId="294F86B4">
      <w:pPr>
        <w:snapToGrid w:val="0"/>
        <w:spacing w:line="4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投标产品为节能、环保、环境标志产品清单中的产品，符合招标文件要求的，价格给予6%的扣除（不重复优惠，最高为6%），用扣除后的价格参与评审。</w:t>
      </w:r>
    </w:p>
    <w:p w14:paraId="6AEF76AA">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A83856">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38640B0">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006C8D1D">
      <w:pPr>
        <w:snapToGrid w:val="0"/>
        <w:spacing w:before="312" w:after="312" w:line="460" w:lineRule="exact"/>
        <w:ind w:firstLine="405" w:firstLineChars="192"/>
        <w:jc w:val="center"/>
        <w:rPr>
          <w:rFonts w:ascii="宋体" w:hAnsi="宋体" w:cs="宋体"/>
          <w:b/>
          <w:color w:val="auto"/>
          <w:szCs w:val="21"/>
          <w:highlight w:val="none"/>
        </w:rPr>
      </w:pPr>
      <w:r>
        <w:rPr>
          <w:rFonts w:hint="eastAsia" w:ascii="宋体" w:hAnsi="宋体" w:cs="宋体"/>
          <w:b/>
          <w:color w:val="auto"/>
          <w:szCs w:val="21"/>
          <w:highlight w:val="none"/>
        </w:rPr>
        <w:t>（十四）推荐中标候选人</w:t>
      </w:r>
    </w:p>
    <w:p w14:paraId="5F6E37AC">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1、委会向采购人按照评审得分由高到低顺序推荐3名以上中标候选人。</w:t>
      </w:r>
    </w:p>
    <w:p w14:paraId="225AACC9">
      <w:pPr>
        <w:snapToGrid w:val="0"/>
        <w:spacing w:line="460" w:lineRule="exact"/>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rPr>
        <w:t>2、供应商得分相同时，按投标文件综合响应程度得分高者优先，决定中标候选顺序。</w:t>
      </w:r>
    </w:p>
    <w:p w14:paraId="0BA35E29">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3、采购人对中标候选人进行确认，签订合同等事宜。</w:t>
      </w:r>
    </w:p>
    <w:p w14:paraId="155FF4C8">
      <w:pPr>
        <w:snapToGrid w:val="0"/>
        <w:spacing w:before="312" w:after="312" w:line="460" w:lineRule="exact"/>
        <w:ind w:firstLine="405" w:firstLineChars="192"/>
        <w:jc w:val="center"/>
        <w:rPr>
          <w:rFonts w:ascii="宋体" w:hAnsi="宋体" w:cs="宋体"/>
          <w:b/>
          <w:color w:val="auto"/>
          <w:szCs w:val="21"/>
          <w:highlight w:val="none"/>
        </w:rPr>
      </w:pPr>
      <w:r>
        <w:rPr>
          <w:rFonts w:hint="eastAsia" w:ascii="宋体" w:hAnsi="宋体" w:cs="宋体"/>
          <w:b/>
          <w:color w:val="auto"/>
          <w:szCs w:val="21"/>
          <w:highlight w:val="none"/>
        </w:rPr>
        <w:t>（十五）确定中标人及签订合同</w:t>
      </w:r>
    </w:p>
    <w:p w14:paraId="1D3E64BD">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1、确定中标人。代理机构将于采购人依法确定中标人后发布中标公告，并向中标人发出中标通知书。中标人在接到通知后，必须在5个工作日内领取中标通知书并交纳招标代理服务费。</w:t>
      </w:r>
    </w:p>
    <w:p w14:paraId="7DAB7675">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2、采购人在签订合同时，保留根据项目实际情况在合法范围内进行调整的权力，包括对货物数量及服务予以增加或减少。</w:t>
      </w:r>
    </w:p>
    <w:p w14:paraId="35EC5181">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3、签订合同。</w:t>
      </w:r>
    </w:p>
    <w:p w14:paraId="45FF8406">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（1）中标人应及时与采购人签订合同，代理机构作为见证方见证。</w:t>
      </w:r>
    </w:p>
    <w:p w14:paraId="7678C2ED">
      <w:pPr>
        <w:snapToGrid w:val="0"/>
        <w:spacing w:line="460" w:lineRule="exact"/>
        <w:ind w:left="210" w:leftChars="100" w:firstLine="191" w:firstLineChars="91"/>
        <w:rPr>
          <w:rFonts w:ascii="宋体" w:hAnsi="宋体" w:cs="宋体"/>
          <w:color w:val="auto"/>
          <w:szCs w:val="21"/>
          <w:highlight w:val="none"/>
        </w:rPr>
      </w:pPr>
      <w:r>
        <w:rPr>
          <w:rFonts w:hint="eastAsia" w:ascii="宋体" w:hAnsi="宋体" w:cs="宋体"/>
          <w:color w:val="auto"/>
          <w:szCs w:val="21"/>
          <w:highlight w:val="none"/>
        </w:rPr>
        <w:t>（2）如果中标人未能按规定领取中标通知书并签约，</w:t>
      </w:r>
      <w:r>
        <w:rPr>
          <w:rFonts w:hint="eastAsia" w:ascii="宋体" w:hAnsi="宋体" w:cs="宋体"/>
          <w:color w:val="auto"/>
          <w:spacing w:val="-4"/>
          <w:szCs w:val="21"/>
          <w:highlight w:val="none"/>
        </w:rPr>
        <w:t>经监管部门同意后，</w:t>
      </w:r>
      <w:r>
        <w:rPr>
          <w:rFonts w:hint="eastAsia" w:ascii="宋体" w:hAnsi="宋体" w:cs="宋体"/>
          <w:color w:val="auto"/>
          <w:szCs w:val="21"/>
          <w:highlight w:val="none"/>
        </w:rPr>
        <w:t>采购人将取消其中标资格，在此情况下将另选中标人或重新招标。</w:t>
      </w:r>
    </w:p>
    <w:p w14:paraId="11DAFBC1">
      <w:pPr>
        <w:snapToGrid w:val="0"/>
        <w:spacing w:line="460" w:lineRule="exact"/>
        <w:ind w:firstLine="403" w:firstLineChars="192"/>
        <w:rPr>
          <w:rFonts w:ascii="宋体" w:hAnsi="宋体" w:cs="宋体"/>
          <w:color w:val="auto"/>
          <w:szCs w:val="21"/>
          <w:highlight w:val="none"/>
        </w:rPr>
      </w:pPr>
      <w:r>
        <w:rPr>
          <w:rFonts w:hint="eastAsia" w:ascii="宋体" w:hAnsi="宋体" w:cs="宋体"/>
          <w:color w:val="auto"/>
          <w:szCs w:val="21"/>
          <w:highlight w:val="none"/>
        </w:rPr>
        <w:t>4、招标文件、中标人的投标文件、对投标文件的书面澄清、中标通知书等均作为合同的附件，是合同的组成部分。</w:t>
      </w:r>
    </w:p>
    <w:p w14:paraId="18F8E61F">
      <w:pPr>
        <w:snapToGrid w:val="0"/>
        <w:spacing w:line="460" w:lineRule="exact"/>
        <w:ind w:firstLine="403" w:firstLineChars="192"/>
        <w:rPr>
          <w:rFonts w:ascii="宋体" w:hAnsi="宋体" w:cs="宋体"/>
          <w:color w:val="auto"/>
          <w:szCs w:val="21"/>
          <w:highlight w:val="none"/>
        </w:rPr>
        <w:sectPr>
          <w:footerReference r:id="rId8" w:type="first"/>
          <w:footerReference r:id="rId7" w:type="default"/>
          <w:pgSz w:w="11906" w:h="16838"/>
          <w:pgMar w:top="1134" w:right="1083" w:bottom="1134" w:left="1083" w:header="850" w:footer="992" w:gutter="0"/>
          <w:pgNumType w:start="1"/>
          <w:cols w:space="0" w:num="1"/>
          <w:docGrid w:linePitch="312" w:charSpace="0"/>
        </w:sectPr>
      </w:pPr>
      <w:r>
        <w:rPr>
          <w:rFonts w:hint="eastAsia" w:ascii="宋体" w:hAnsi="宋体" w:cs="宋体"/>
          <w:color w:val="auto"/>
          <w:szCs w:val="21"/>
          <w:highlight w:val="none"/>
        </w:rPr>
        <w:t>5、中标人确定后，采购人应当在30日内同中标人订立书面合同，双方不得另行订立背离招标文件实质性内容的其他协议。</w:t>
      </w:r>
    </w:p>
    <w:p w14:paraId="1FA0DFEC">
      <w:pPr>
        <w:pStyle w:val="2"/>
        <w:rPr>
          <w:rFonts w:ascii="宋体" w:hAnsi="宋体" w:cs="宋体"/>
          <w:color w:val="auto"/>
          <w:sz w:val="32"/>
          <w:szCs w:val="32"/>
          <w:highlight w:val="none"/>
        </w:rPr>
      </w:pPr>
      <w:bookmarkStart w:id="32" w:name="_Toc4151"/>
      <w:bookmarkStart w:id="33" w:name="_Toc15502"/>
      <w:bookmarkStart w:id="34" w:name="_Toc1688"/>
      <w:bookmarkStart w:id="35" w:name="_Toc2266"/>
      <w:bookmarkStart w:id="36" w:name="_Toc8746"/>
      <w:bookmarkStart w:id="37" w:name="_Toc9256"/>
      <w:bookmarkStart w:id="38" w:name="_Toc8585"/>
      <w:bookmarkStart w:id="39" w:name="_Toc18476"/>
      <w:bookmarkStart w:id="40" w:name="_Toc13892"/>
      <w:bookmarkStart w:id="41" w:name="_Toc25569"/>
      <w:bookmarkStart w:id="42" w:name="_Toc26038"/>
      <w:bookmarkStart w:id="43" w:name="_Toc25323"/>
      <w:bookmarkStart w:id="44" w:name="_Toc13443"/>
      <w:bookmarkStart w:id="45" w:name="_Toc31245"/>
      <w:bookmarkStart w:id="46" w:name="_Toc15115"/>
      <w:bookmarkStart w:id="47" w:name="_Toc8598"/>
      <w:r>
        <w:rPr>
          <w:rFonts w:hint="eastAsia" w:ascii="宋体" w:hAnsi="宋体" w:cs="宋体"/>
          <w:color w:val="auto"/>
          <w:sz w:val="32"/>
          <w:szCs w:val="32"/>
          <w:highlight w:val="none"/>
        </w:rPr>
        <w:t xml:space="preserve">第三部分  </w:t>
      </w:r>
      <w:bookmarkEnd w:id="32"/>
      <w:r>
        <w:rPr>
          <w:rFonts w:hint="eastAsia" w:ascii="宋体" w:hAnsi="宋体" w:cs="宋体"/>
          <w:color w:val="auto"/>
          <w:sz w:val="32"/>
          <w:szCs w:val="32"/>
          <w:highlight w:val="none"/>
        </w:rPr>
        <w:t>采购清单</w:t>
      </w:r>
      <w:r>
        <w:rPr>
          <w:rFonts w:hint="eastAsia" w:ascii="宋体" w:hAnsi="宋体" w:cs="宋体"/>
          <w:color w:val="auto"/>
          <w:sz w:val="32"/>
          <w:szCs w:val="32"/>
          <w:highlight w:val="none"/>
          <w:lang w:val="zh-CN"/>
        </w:rPr>
        <w:t>及商务要求</w:t>
      </w:r>
      <w:bookmarkEnd w:id="33"/>
      <w:bookmarkEnd w:id="34"/>
      <w:bookmarkEnd w:id="35"/>
      <w:bookmarkEnd w:id="36"/>
      <w:bookmarkEnd w:id="37"/>
    </w:p>
    <w:p w14:paraId="79BB1E19">
      <w:pPr>
        <w:spacing w:line="440" w:lineRule="exact"/>
        <w:ind w:firstLine="422" w:firstLineChars="200"/>
        <w:jc w:val="left"/>
        <w:rPr>
          <w:rFonts w:ascii="宋体" w:hAnsi="宋体" w:cs="宋体"/>
          <w:b/>
          <w:bCs/>
          <w:color w:val="auto"/>
          <w:szCs w:val="21"/>
          <w:highlight w:val="none"/>
        </w:rPr>
      </w:pPr>
      <w:bookmarkStart w:id="48" w:name="_Toc17264"/>
      <w:r>
        <w:rPr>
          <w:rFonts w:hint="eastAsia" w:ascii="宋体" w:hAnsi="宋体" w:cs="宋体"/>
          <w:b/>
          <w:bCs/>
          <w:color w:val="auto"/>
          <w:szCs w:val="21"/>
          <w:highlight w:val="none"/>
        </w:rPr>
        <w:t>1、项目名称：</w:t>
      </w:r>
      <w:bookmarkEnd w:id="48"/>
    </w:p>
    <w:p w14:paraId="59ADC7EC">
      <w:pPr>
        <w:spacing w:line="440" w:lineRule="exact"/>
        <w:ind w:firstLine="420" w:firstLineChars="200"/>
        <w:jc w:val="left"/>
        <w:rPr>
          <w:rFonts w:hint="eastAsia"/>
          <w:color w:val="auto"/>
          <w:sz w:val="21"/>
          <w:szCs w:val="21"/>
          <w:highlight w:val="none"/>
        </w:rPr>
      </w:pPr>
      <w:bookmarkStart w:id="49" w:name="_Toc14792"/>
      <w:r>
        <w:rPr>
          <w:rFonts w:hint="eastAsia"/>
          <w:color w:val="auto"/>
          <w:sz w:val="21"/>
          <w:szCs w:val="21"/>
          <w:highlight w:val="none"/>
        </w:rPr>
        <w:t>卫星便携站采购项目(二次)</w:t>
      </w:r>
    </w:p>
    <w:p w14:paraId="063BE2FE">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bookmarkEnd w:id="49"/>
      <w:r>
        <w:rPr>
          <w:rFonts w:hint="eastAsia" w:ascii="宋体" w:hAnsi="宋体" w:cs="宋体"/>
          <w:b/>
          <w:bCs/>
          <w:color w:val="auto"/>
          <w:szCs w:val="21"/>
          <w:highlight w:val="none"/>
        </w:rPr>
        <w:t>商务要求</w:t>
      </w:r>
    </w:p>
    <w:p w14:paraId="427FEB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1）供货期：30日历天。</w:t>
      </w:r>
    </w:p>
    <w:p w14:paraId="406D694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2）质量标准：合格。</w:t>
      </w:r>
    </w:p>
    <w:p w14:paraId="406C73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3）质保期：按照国家三包政策执行，质保一年。</w:t>
      </w:r>
    </w:p>
    <w:p w14:paraId="1B86A4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4）付款进度：合同签订后，甲方向乙方支付合同总价款的30%，项目交付验收合格后支付合同总价款的65%，终验合格后支付合同总价款的5%。</w:t>
      </w:r>
    </w:p>
    <w:p w14:paraId="17672F8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5）中标供应商需免费提供所供设备的培训计划及方案，确保采购人的使用人员能够独立熟练操作和正常使用。</w:t>
      </w:r>
    </w:p>
    <w:p w14:paraId="6C960801">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 xml:space="preserve">（注：商务要求为实质性要求，不得负偏离） </w:t>
      </w:r>
    </w:p>
    <w:p w14:paraId="52BE0BA4">
      <w:pPr>
        <w:numPr>
          <w:ilvl w:val="0"/>
          <w:numId w:val="2"/>
        </w:num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采购清单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6237"/>
        <w:gridCol w:w="709"/>
        <w:gridCol w:w="804"/>
      </w:tblGrid>
      <w:tr w14:paraId="0963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4" w:type="dxa"/>
            <w:vAlign w:val="center"/>
          </w:tcPr>
          <w:p w14:paraId="5FD1876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276" w:type="dxa"/>
            <w:vAlign w:val="center"/>
          </w:tcPr>
          <w:p w14:paraId="0443E7F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设备名称</w:t>
            </w:r>
          </w:p>
        </w:tc>
        <w:tc>
          <w:tcPr>
            <w:tcW w:w="6237" w:type="dxa"/>
            <w:vAlign w:val="center"/>
          </w:tcPr>
          <w:p w14:paraId="3C279486">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性能/功能参数</w:t>
            </w:r>
          </w:p>
        </w:tc>
        <w:tc>
          <w:tcPr>
            <w:tcW w:w="709" w:type="dxa"/>
            <w:vAlign w:val="center"/>
          </w:tcPr>
          <w:p w14:paraId="5579BAA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804" w:type="dxa"/>
            <w:vAlign w:val="center"/>
          </w:tcPr>
          <w:p w14:paraId="39FBBBE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r>
      <w:tr w14:paraId="0417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04" w:type="dxa"/>
            <w:vAlign w:val="center"/>
          </w:tcPr>
          <w:p w14:paraId="5C22C64C">
            <w:pPr>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76" w:type="dxa"/>
            <w:vAlign w:val="center"/>
          </w:tcPr>
          <w:p w14:paraId="3D1E4380">
            <w:pPr>
              <w:jc w:val="center"/>
              <w:textAlignment w:val="center"/>
              <w:rPr>
                <w:rFonts w:ascii="宋体" w:hAnsi="宋体" w:cs="宋体"/>
                <w:color w:val="auto"/>
                <w:sz w:val="21"/>
                <w:szCs w:val="21"/>
                <w:highlight w:val="none"/>
              </w:rPr>
            </w:pPr>
            <w:r>
              <w:rPr>
                <w:rFonts w:hint="eastAsia"/>
                <w:color w:val="auto"/>
                <w:sz w:val="21"/>
                <w:szCs w:val="21"/>
                <w:highlight w:val="none"/>
              </w:rPr>
              <w:t>一体化卫星宽带便携终端</w:t>
            </w:r>
          </w:p>
        </w:tc>
        <w:tc>
          <w:tcPr>
            <w:tcW w:w="6237" w:type="dxa"/>
            <w:vAlign w:val="center"/>
          </w:tcPr>
          <w:p w14:paraId="19B7929D">
            <w:pPr>
              <w:spacing w:line="360" w:lineRule="auto"/>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.具有一体化整体设计，将天线面、BUC、LNB、调制解调器、电池、控制显示等集成一体，无外接线缆，天线面和对星机构集成一体功能；</w:t>
            </w:r>
          </w:p>
          <w:p w14:paraId="3280591E">
            <w:pPr>
              <w:spacing w:line="360"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.天线等效口径≤0.35m；</w:t>
            </w:r>
          </w:p>
          <w:p w14:paraId="00E7A3B4">
            <w:pPr>
              <w:spacing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.具有一键自动搜星，一键自动关闭，自动寻星机构无需单独供电及充电；锁星时间：≤3分钟；</w:t>
            </w:r>
          </w:p>
          <w:p w14:paraId="517FCEA9">
            <w:pPr>
              <w:spacing w:line="360" w:lineRule="auto"/>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.定位方式：单北斗定位；</w:t>
            </w:r>
          </w:p>
          <w:p w14:paraId="2F2811EC">
            <w:pPr>
              <w:spacing w:line="360" w:lineRule="auto"/>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.具备多种搜星模式。</w:t>
            </w:r>
          </w:p>
          <w:p w14:paraId="2F445896">
            <w:pPr>
              <w:spacing w:line="360" w:lineRule="auto"/>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.具备辅助对星APP，可实现对星角度指引进行辅助对星、状态显示、参数配置等功能；</w:t>
            </w:r>
          </w:p>
          <w:p w14:paraId="6C0741C4">
            <w:pPr>
              <w:spacing w:line="360" w:lineRule="auto"/>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.角度调节范围：方位：自动0°-360°（或±1</w:t>
            </w:r>
            <w:r>
              <w:rPr>
                <w:rFonts w:ascii="宋体" w:hAnsi="宋体" w:cs="宋体"/>
                <w:color w:val="auto"/>
                <w:sz w:val="21"/>
                <w:szCs w:val="21"/>
                <w:highlight w:val="none"/>
              </w:rPr>
              <w:t>80</w:t>
            </w:r>
            <w:r>
              <w:rPr>
                <w:rFonts w:hint="eastAsia" w:ascii="宋体" w:hAnsi="宋体" w:cs="宋体"/>
                <w:color w:val="auto"/>
                <w:sz w:val="21"/>
                <w:szCs w:val="21"/>
                <w:highlight w:val="none"/>
              </w:rPr>
              <w:t>）无限制；俯仰：自动10°～90°；</w:t>
            </w:r>
          </w:p>
          <w:p w14:paraId="6D72DCC9">
            <w:pPr>
              <w:spacing w:line="360" w:lineRule="auto"/>
              <w:rPr>
                <w:rFonts w:ascii="宋体" w:hAns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.设备接口：整机充电接口至少1个，网络接口至少1个；</w:t>
            </w:r>
          </w:p>
          <w:p w14:paraId="6A8CEA1A">
            <w:pPr>
              <w:spacing w:line="360" w:lineRule="auto"/>
              <w:rPr>
                <w:rFonts w:ascii="宋体" w:hAnsi="宋体" w:cs="宋体"/>
                <w:color w:val="auto"/>
                <w:sz w:val="21"/>
                <w:szCs w:val="21"/>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.重量≤10公斤；</w:t>
            </w:r>
          </w:p>
          <w:p w14:paraId="3AFDD49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0</w:t>
            </w:r>
            <w:r>
              <w:rPr>
                <w:rFonts w:hint="eastAsia" w:ascii="宋体" w:hAnsi="宋体" w:cs="宋体"/>
                <w:color w:val="auto"/>
                <w:sz w:val="21"/>
                <w:szCs w:val="21"/>
                <w:highlight w:val="none"/>
              </w:rPr>
              <w:t>.可在无外接电源且卫星终端网络不中断的情况下带电更换电池；</w:t>
            </w:r>
          </w:p>
          <w:p w14:paraId="42E914A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w:t>
            </w:r>
            <w:r>
              <w:rPr>
                <w:rFonts w:hint="eastAsia" w:ascii="宋体" w:hAnsi="宋体" w:cs="宋体"/>
                <w:color w:val="auto"/>
                <w:sz w:val="21"/>
                <w:szCs w:val="21"/>
                <w:highlight w:val="none"/>
              </w:rPr>
              <w:t>.设备需内置集成Vlan交换机，支持添加Vlan ID，以满足二层网络使用需求；</w:t>
            </w:r>
          </w:p>
        </w:tc>
        <w:tc>
          <w:tcPr>
            <w:tcW w:w="709" w:type="dxa"/>
            <w:vAlign w:val="center"/>
          </w:tcPr>
          <w:p w14:paraId="754DDB77">
            <w:pPr>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04" w:type="dxa"/>
            <w:vAlign w:val="center"/>
          </w:tcPr>
          <w:p w14:paraId="46E96D6D">
            <w:pPr>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台</w:t>
            </w:r>
          </w:p>
        </w:tc>
      </w:tr>
    </w:tbl>
    <w:p w14:paraId="04BBEBFF">
      <w:pPr>
        <w:rPr>
          <w:color w:val="auto"/>
          <w:highlight w:val="none"/>
          <w:lang w:val="zh-CN"/>
        </w:rPr>
        <w:sectPr>
          <w:footerReference r:id="rId9" w:type="default"/>
          <w:pgSz w:w="11906" w:h="16838"/>
          <w:pgMar w:top="1440" w:right="1083" w:bottom="1440" w:left="1083" w:header="850" w:footer="992" w:gutter="0"/>
          <w:cols w:space="0" w:num="1"/>
          <w:docGrid w:linePitch="312" w:charSpace="0"/>
        </w:sectPr>
      </w:pPr>
    </w:p>
    <w:bookmarkEnd w:id="38"/>
    <w:bookmarkEnd w:id="39"/>
    <w:bookmarkEnd w:id="40"/>
    <w:bookmarkEnd w:id="41"/>
    <w:bookmarkEnd w:id="42"/>
    <w:bookmarkEnd w:id="43"/>
    <w:bookmarkEnd w:id="44"/>
    <w:p w14:paraId="38593ACD">
      <w:pPr>
        <w:pStyle w:val="2"/>
        <w:ind w:left="2730"/>
        <w:jc w:val="both"/>
        <w:rPr>
          <w:rFonts w:ascii="宋体" w:hAnsi="宋体" w:cs="宋体"/>
          <w:color w:val="auto"/>
          <w:highlight w:val="none"/>
          <w:lang w:val="zh-CN"/>
        </w:rPr>
      </w:pPr>
      <w:bookmarkStart w:id="50" w:name="_Toc30062"/>
      <w:bookmarkStart w:id="51" w:name="_Toc11013"/>
      <w:bookmarkStart w:id="52" w:name="_Toc16505"/>
      <w:bookmarkStart w:id="53" w:name="_Toc6418"/>
      <w:bookmarkStart w:id="54" w:name="_Toc5812"/>
      <w:bookmarkStart w:id="55" w:name="_Toc16934"/>
      <w:bookmarkStart w:id="56" w:name="_Toc10816"/>
      <w:bookmarkStart w:id="57" w:name="_Toc19757"/>
      <w:bookmarkStart w:id="58" w:name="_Toc31006"/>
      <w:r>
        <w:rPr>
          <w:rFonts w:hint="eastAsia" w:ascii="宋体" w:hAnsi="宋体" w:cs="宋体"/>
          <w:color w:val="auto"/>
          <w:highlight w:val="none"/>
          <w:lang w:val="zh-CN"/>
        </w:rPr>
        <w:t>第</w:t>
      </w:r>
      <w:r>
        <w:rPr>
          <w:rFonts w:hint="eastAsia" w:ascii="宋体" w:hAnsi="宋体" w:cs="宋体"/>
          <w:color w:val="auto"/>
          <w:highlight w:val="none"/>
        </w:rPr>
        <w:t>四</w:t>
      </w:r>
      <w:r>
        <w:rPr>
          <w:rFonts w:hint="eastAsia" w:ascii="宋体" w:hAnsi="宋体" w:cs="宋体"/>
          <w:color w:val="auto"/>
          <w:highlight w:val="none"/>
          <w:lang w:val="zh-CN"/>
        </w:rPr>
        <w:t>部分</w:t>
      </w:r>
      <w:r>
        <w:rPr>
          <w:rFonts w:hint="eastAsia" w:ascii="宋体" w:hAnsi="宋体" w:cs="宋体"/>
          <w:color w:val="auto"/>
          <w:highlight w:val="none"/>
        </w:rPr>
        <w:t xml:space="preserve"> </w:t>
      </w:r>
      <w:r>
        <w:rPr>
          <w:rFonts w:hint="eastAsia" w:ascii="宋体" w:hAnsi="宋体" w:cs="宋体"/>
          <w:color w:val="auto"/>
          <w:highlight w:val="none"/>
          <w:lang w:val="zh-CN"/>
        </w:rPr>
        <w:t xml:space="preserve"> </w:t>
      </w:r>
      <w:bookmarkStart w:id="59" w:name="_Toc29236"/>
      <w:r>
        <w:rPr>
          <w:rFonts w:hint="eastAsia" w:ascii="宋体" w:hAnsi="宋体" w:cs="宋体"/>
          <w:color w:val="auto"/>
          <w:highlight w:val="none"/>
          <w:lang w:val="zh-CN"/>
        </w:rPr>
        <w:t>政府采购合同（格式）</w:t>
      </w:r>
      <w:bookmarkEnd w:id="50"/>
      <w:bookmarkEnd w:id="51"/>
      <w:bookmarkEnd w:id="52"/>
      <w:bookmarkEnd w:id="53"/>
      <w:bookmarkEnd w:id="54"/>
      <w:bookmarkEnd w:id="55"/>
      <w:bookmarkEnd w:id="56"/>
      <w:bookmarkEnd w:id="57"/>
      <w:bookmarkEnd w:id="58"/>
      <w:bookmarkEnd w:id="59"/>
    </w:p>
    <w:p w14:paraId="5231A7E8">
      <w:pPr>
        <w:pStyle w:val="39"/>
        <w:snapToGrid w:val="0"/>
        <w:spacing w:line="357" w:lineRule="atLeast"/>
        <w:textAlignment w:val="baseline"/>
        <w:rPr>
          <w:rFonts w:ascii="宋体" w:hAnsi="宋体" w:cs="宋体"/>
          <w:color w:val="auto"/>
          <w:sz w:val="32"/>
          <w:szCs w:val="32"/>
          <w:highlight w:val="none"/>
        </w:rPr>
      </w:pPr>
    </w:p>
    <w:bookmarkEnd w:id="45"/>
    <w:bookmarkEnd w:id="46"/>
    <w:bookmarkEnd w:id="47"/>
    <w:p w14:paraId="56035C87">
      <w:pPr>
        <w:tabs>
          <w:tab w:val="left" w:pos="735"/>
        </w:tabs>
        <w:autoSpaceDE w:val="0"/>
        <w:autoSpaceDN w:val="0"/>
        <w:adjustRightInd w:val="0"/>
        <w:snapToGrid w:val="0"/>
        <w:spacing w:line="460" w:lineRule="exact"/>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甲方：</w:t>
      </w:r>
      <w:r>
        <w:rPr>
          <w:rFonts w:hint="eastAsia" w:ascii="宋体" w:hAnsi="宋体" w:cs="宋体"/>
          <w:bCs/>
          <w:color w:val="auto"/>
          <w:szCs w:val="21"/>
          <w:highlight w:val="none"/>
          <w:lang w:val="zh-CN"/>
        </w:rPr>
        <w:t>（采购人）</w:t>
      </w:r>
    </w:p>
    <w:p w14:paraId="5A017A70">
      <w:pPr>
        <w:tabs>
          <w:tab w:val="left" w:pos="735"/>
        </w:tabs>
        <w:autoSpaceDE w:val="0"/>
        <w:autoSpaceDN w:val="0"/>
        <w:adjustRightInd w:val="0"/>
        <w:snapToGrid w:val="0"/>
        <w:spacing w:line="460" w:lineRule="exact"/>
        <w:ind w:firstLine="422" w:firstLineChars="200"/>
        <w:rPr>
          <w:rFonts w:ascii="宋体" w:hAnsi="宋体" w:cs="宋体"/>
          <w:bCs/>
          <w:color w:val="auto"/>
          <w:szCs w:val="21"/>
          <w:highlight w:val="none"/>
          <w:lang w:val="zh-CN"/>
        </w:rPr>
      </w:pPr>
      <w:r>
        <w:rPr>
          <w:rFonts w:hint="eastAsia" w:ascii="宋体" w:hAnsi="宋体" w:cs="宋体"/>
          <w:b/>
          <w:bCs/>
          <w:color w:val="auto"/>
          <w:szCs w:val="21"/>
          <w:highlight w:val="none"/>
          <w:lang w:val="zh-CN"/>
        </w:rPr>
        <w:t>乙方：</w:t>
      </w:r>
      <w:r>
        <w:rPr>
          <w:rFonts w:hint="eastAsia" w:ascii="宋体" w:hAnsi="宋体" w:cs="宋体"/>
          <w:bCs/>
          <w:color w:val="auto"/>
          <w:szCs w:val="21"/>
          <w:highlight w:val="none"/>
          <w:lang w:val="zh-CN"/>
        </w:rPr>
        <w:t>（中标单位名称）</w:t>
      </w:r>
    </w:p>
    <w:p w14:paraId="05C2FAE6">
      <w:pPr>
        <w:tabs>
          <w:tab w:val="left" w:pos="735"/>
        </w:tabs>
        <w:autoSpaceDE w:val="0"/>
        <w:autoSpaceDN w:val="0"/>
        <w:adjustRightInd w:val="0"/>
        <w:snapToGrid w:val="0"/>
        <w:spacing w:line="460" w:lineRule="exact"/>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一、合同内容：详见报价清单（后附）</w:t>
      </w:r>
    </w:p>
    <w:p w14:paraId="242005B9">
      <w:pPr>
        <w:tabs>
          <w:tab w:val="left" w:pos="735"/>
        </w:tabs>
        <w:adjustRightInd w:val="0"/>
        <w:snapToGrid w:val="0"/>
        <w:spacing w:line="4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二、合同价款</w:t>
      </w:r>
    </w:p>
    <w:p w14:paraId="7B885E93">
      <w:pPr>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1、合同总价：</w:t>
      </w:r>
    </w:p>
    <w:p w14:paraId="39A11B79">
      <w:pPr>
        <w:adjustRightInd w:val="0"/>
        <w:snapToGrid w:val="0"/>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2、合同总价包括：完成采购内容所需的直接费、间接费、利润、税金、规费及其它相关的一切费用。</w:t>
      </w:r>
    </w:p>
    <w:p w14:paraId="74A7C459">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lang w:val="zh-CN"/>
        </w:rPr>
      </w:pPr>
      <w:r>
        <w:rPr>
          <w:rFonts w:hint="eastAsia" w:ascii="宋体" w:hAnsi="宋体" w:cs="宋体"/>
          <w:color w:val="auto"/>
          <w:szCs w:val="21"/>
          <w:highlight w:val="none"/>
        </w:rPr>
        <w:t>3、合同总价一次包死，不受市场价变化的影响。</w:t>
      </w:r>
    </w:p>
    <w:p w14:paraId="632490E7">
      <w:pPr>
        <w:tabs>
          <w:tab w:val="left" w:pos="735"/>
        </w:tabs>
        <w:autoSpaceDE w:val="0"/>
        <w:autoSpaceDN w:val="0"/>
        <w:adjustRightInd w:val="0"/>
        <w:snapToGrid w:val="0"/>
        <w:spacing w:line="460" w:lineRule="exact"/>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三、合同结算</w:t>
      </w:r>
    </w:p>
    <w:p w14:paraId="0CD7D074">
      <w:pPr>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1、合同签订后，甲方向乙方支付合同总价款的30%，项目交付验收合格后支付合同总价款的65%，终验合格后支付合同总价款的5%。</w:t>
      </w:r>
    </w:p>
    <w:p w14:paraId="4E64A025">
      <w:pPr>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2、结算方式：银行转账。</w:t>
      </w:r>
    </w:p>
    <w:p w14:paraId="05609984">
      <w:pPr>
        <w:autoSpaceDE w:val="0"/>
        <w:autoSpaceDN w:val="0"/>
        <w:adjustRightInd w:val="0"/>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3、结算单位：由</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负责结算，乙方开具合同总价数的全额发票交采购人。</w:t>
      </w:r>
    </w:p>
    <w:p w14:paraId="65EE09E8">
      <w:pPr>
        <w:tabs>
          <w:tab w:val="left" w:pos="735"/>
        </w:tabs>
        <w:autoSpaceDE w:val="0"/>
        <w:autoSpaceDN w:val="0"/>
        <w:adjustRightInd w:val="0"/>
        <w:snapToGrid w:val="0"/>
        <w:spacing w:line="460" w:lineRule="exact"/>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四、服务条件:</w:t>
      </w:r>
    </w:p>
    <w:p w14:paraId="77FF08E2">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1、服务地点：采购人指定地点</w:t>
      </w:r>
    </w:p>
    <w:p w14:paraId="0E04ACC2">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zh-CN"/>
        </w:rPr>
        <w:t>2、</w:t>
      </w:r>
      <w:r>
        <w:rPr>
          <w:rFonts w:hint="eastAsia" w:ascii="宋体" w:hAnsi="宋体" w:cs="宋体"/>
          <w:bCs/>
          <w:color w:val="auto"/>
          <w:szCs w:val="21"/>
          <w:highlight w:val="none"/>
        </w:rPr>
        <w:t>供货</w:t>
      </w:r>
      <w:r>
        <w:rPr>
          <w:rFonts w:hint="eastAsia" w:ascii="宋体" w:hAnsi="宋体" w:cs="宋体"/>
          <w:bCs/>
          <w:color w:val="auto"/>
          <w:szCs w:val="21"/>
          <w:highlight w:val="none"/>
          <w:lang w:val="zh-CN"/>
        </w:rPr>
        <w:t>期：</w:t>
      </w:r>
      <w:r>
        <w:rPr>
          <w:rFonts w:hint="eastAsia" w:ascii="宋体" w:hAnsi="宋体" w:cs="宋体"/>
          <w:bCs/>
          <w:color w:val="auto"/>
          <w:szCs w:val="21"/>
          <w:highlight w:val="none"/>
        </w:rPr>
        <w:t>合同签订后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内，完成</w:t>
      </w:r>
      <w:r>
        <w:rPr>
          <w:rFonts w:hint="eastAsia" w:ascii="宋体" w:hAnsi="宋体" w:cs="宋体"/>
          <w:color w:val="auto"/>
          <w:szCs w:val="21"/>
          <w:highlight w:val="none"/>
        </w:rPr>
        <w:t>安装,</w:t>
      </w:r>
      <w:r>
        <w:rPr>
          <w:rFonts w:hint="eastAsia" w:ascii="宋体" w:hAnsi="宋体" w:cs="宋体"/>
          <w:bCs/>
          <w:color w:val="auto"/>
          <w:szCs w:val="21"/>
          <w:highlight w:val="none"/>
        </w:rPr>
        <w:t>并调试运行成功。</w:t>
      </w:r>
    </w:p>
    <w:p w14:paraId="64643C41">
      <w:pPr>
        <w:adjustRightInd w:val="0"/>
        <w:snapToGri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五、争议的解决：</w:t>
      </w:r>
    </w:p>
    <w:p w14:paraId="74688923">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合同未尽事宜，双方协商解决。协商不成，由</w:t>
      </w:r>
      <w:r>
        <w:rPr>
          <w:rFonts w:hint="eastAsia" w:ascii="宋体" w:hAnsi="宋体" w:cs="宋体"/>
          <w:bCs/>
          <w:color w:val="auto"/>
          <w:szCs w:val="21"/>
          <w:highlight w:val="none"/>
        </w:rPr>
        <w:t>西安</w:t>
      </w:r>
      <w:r>
        <w:rPr>
          <w:rFonts w:hint="eastAsia" w:ascii="宋体" w:hAnsi="宋体" w:cs="宋体"/>
          <w:bCs/>
          <w:color w:val="auto"/>
          <w:szCs w:val="21"/>
          <w:highlight w:val="none"/>
          <w:lang w:val="zh-CN"/>
        </w:rPr>
        <w:t>仲裁委员会仲裁，仲裁费用由败诉方承担。</w:t>
      </w:r>
    </w:p>
    <w:p w14:paraId="696209C2">
      <w:pPr>
        <w:adjustRightInd w:val="0"/>
        <w:snapToGri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六、质量保证</w:t>
      </w:r>
    </w:p>
    <w:p w14:paraId="711D5607">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乙方必须执行下列条款：</w:t>
      </w:r>
    </w:p>
    <w:p w14:paraId="0D7A42BB">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（一）保证技术指标先进、质量性能可靠，配置合理，全面满足招标文件要求。</w:t>
      </w:r>
    </w:p>
    <w:p w14:paraId="265EC0E6">
      <w:pPr>
        <w:tabs>
          <w:tab w:val="left" w:pos="735"/>
        </w:tabs>
        <w:autoSpaceDE w:val="0"/>
        <w:autoSpaceDN w:val="0"/>
        <w:adjustRightInd w:val="0"/>
        <w:snapToGrid w:val="0"/>
        <w:spacing w:line="460" w:lineRule="exact"/>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（二）各项具体工作的标准和作业规范，按国家相关标准、规范执行。</w:t>
      </w:r>
    </w:p>
    <w:p w14:paraId="1C1AFD8A">
      <w:pPr>
        <w:tabs>
          <w:tab w:val="left" w:pos="480"/>
        </w:tabs>
        <w:spacing w:line="48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质保期：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527D63A2">
      <w:pPr>
        <w:tabs>
          <w:tab w:val="left" w:pos="480"/>
        </w:tabs>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七、服务</w:t>
      </w:r>
    </w:p>
    <w:p w14:paraId="2F642926">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（一）培训：乙方须在设备安装调试完成后对甲方操作人员进行完整使用等培训，是否完成培训视为工程验收必备条件之一；</w:t>
      </w:r>
    </w:p>
    <w:p w14:paraId="308B74D7">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（三）服务承诺：以投标文件、澄清表（函）、合同和随货物的相关文件为准。</w:t>
      </w:r>
    </w:p>
    <w:p w14:paraId="710E345E">
      <w:pPr>
        <w:tabs>
          <w:tab w:val="left" w:pos="480"/>
        </w:tabs>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九、验收</w:t>
      </w:r>
    </w:p>
    <w:p w14:paraId="48FBF94D">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（一）甲方根据合同要求，进行验收。</w:t>
      </w:r>
    </w:p>
    <w:p w14:paraId="0597E242">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（二）正常运行后，由乙方进行自检，合格后能够正常使用时书面通知甲方。</w:t>
      </w:r>
    </w:p>
    <w:p w14:paraId="2ECFA4F1">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（三）甲方确认接收乙方的自检内容后，进行验收，验收合格后，由乙方对甲方操作人员进行培训。</w:t>
      </w:r>
    </w:p>
    <w:p w14:paraId="6EF77668">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（四）乙方向甲方提交实施过程中的所有资料，以便甲方日后管理和维护。</w:t>
      </w:r>
    </w:p>
    <w:p w14:paraId="26867137">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验收依据：</w:t>
      </w:r>
    </w:p>
    <w:p w14:paraId="0EB20128">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1、本合同及合同附件。</w:t>
      </w:r>
    </w:p>
    <w:p w14:paraId="5DE31B85">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2、国家相应的标准、规范。</w:t>
      </w:r>
    </w:p>
    <w:p w14:paraId="6CA39BCC">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3、招标文件、投标文件、澄清表（函）。</w:t>
      </w:r>
    </w:p>
    <w:p w14:paraId="5B9CE32F">
      <w:pPr>
        <w:tabs>
          <w:tab w:val="left" w:pos="480"/>
        </w:tabs>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十、违约责任</w:t>
      </w:r>
    </w:p>
    <w:p w14:paraId="2CC46881">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（一）按《政府采购法》、《中华人民共和国民法典》中的相关条款执行。</w:t>
      </w:r>
    </w:p>
    <w:p w14:paraId="05E9DBF5">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按合同要求提供货物或质量不能满足招标文件技术要求，在约定的条件下，乙方必须无条件更换，提高技术，完善质量，否则，甲方有权解除合同，解除合同书面通知书到达乙方之日视为合同已解除，并按以下两种方式追究乙方的违约责任：</w:t>
      </w:r>
    </w:p>
    <w:p w14:paraId="77A7F73B">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1、乙方赔偿甲方解除合同的全部损失（包括但不限于重新采购产生的费用、合同未履行导致设备不能按规划交付使用可能产生的租赁费用及其它由此造成的甲方对第三方的违约损失）；</w:t>
      </w:r>
    </w:p>
    <w:p w14:paraId="01C4793D">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2、乙方支付甲方违约金，违约金计算方法：以合同总价为基数，支付甲方合同总价的30%为违约金。同时，对乙方的违约行为报监管机构进行相应的处罚。</w:t>
      </w:r>
    </w:p>
    <w:p w14:paraId="696BD4BA">
      <w:pPr>
        <w:tabs>
          <w:tab w:val="left" w:pos="480"/>
        </w:tabs>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十一、合同争议解决的方式</w:t>
      </w:r>
    </w:p>
    <w:p w14:paraId="68CCCCEB">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本合同在履行过程中发生的争议，由甲、乙双方当事人协商解决，协商不成的依法向甲方所在地人民法院起诉。</w:t>
      </w:r>
    </w:p>
    <w:p w14:paraId="13DE530D">
      <w:pPr>
        <w:tabs>
          <w:tab w:val="left" w:pos="480"/>
        </w:tabs>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十二、合同生效</w:t>
      </w:r>
    </w:p>
    <w:p w14:paraId="5324E0FB">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份，本合同经甲方、乙方双方签字盖章后生效。</w:t>
      </w:r>
    </w:p>
    <w:p w14:paraId="48D7CD0F">
      <w:pPr>
        <w:tabs>
          <w:tab w:val="left" w:pos="480"/>
        </w:tabs>
        <w:spacing w:line="48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十三、其他事项</w:t>
      </w:r>
    </w:p>
    <w:p w14:paraId="19E2840E">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（一）财政厅在合同的履行期间以及履行期后，可以随时检查项目的执行情况，对采购内容、标准进行调查核实，并对发现的问题进行处理。</w:t>
      </w:r>
    </w:p>
    <w:p w14:paraId="21F0CB21">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（二）招标文件、投标文件、澄清表（函）、中标通知书、合同附件均成为合同不可分割的部分。</w:t>
      </w:r>
    </w:p>
    <w:p w14:paraId="2DAD73C0">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（三）合同未尽事宜，由甲、乙双方协商，经见证方确认后，签订补充协议，与原合同具有同等法律效力。</w:t>
      </w:r>
    </w:p>
    <w:p w14:paraId="723E6084">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（四）合同一经签订，不得擅自变更、中止或终止合同。对确需变更、调整或中止、终止合同的，有法律规定的按照法律规定，除合同约定外，由甲乙双方再行协商，协商一致前，原合同或条款继续履行。</w:t>
      </w:r>
    </w:p>
    <w:p w14:paraId="5E09AB00">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（五）本合同按照中华人民共和国的现行法律进行解释。</w:t>
      </w:r>
    </w:p>
    <w:p w14:paraId="33F2135D">
      <w:pPr>
        <w:tabs>
          <w:tab w:val="left" w:pos="480"/>
        </w:tabs>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（六）本合同附件作为本合同的组成部分，与本合同具有同等法律效力。</w:t>
      </w:r>
    </w:p>
    <w:p w14:paraId="68DDB3FE">
      <w:pPr>
        <w:tabs>
          <w:tab w:val="left" w:pos="480"/>
        </w:tabs>
        <w:spacing w:line="480" w:lineRule="auto"/>
        <w:rPr>
          <w:rFonts w:ascii="宋体" w:hAnsi="宋体" w:cs="宋体"/>
          <w:color w:val="auto"/>
          <w:szCs w:val="21"/>
          <w:highlight w:val="none"/>
        </w:rPr>
      </w:pPr>
      <w:r>
        <w:rPr>
          <w:rFonts w:hint="eastAsia" w:ascii="宋体" w:hAnsi="宋体" w:cs="宋体"/>
          <w:color w:val="auto"/>
          <w:szCs w:val="21"/>
          <w:highlight w:val="none"/>
        </w:rPr>
        <w:t>（以下无正文）</w:t>
      </w:r>
    </w:p>
    <w:p w14:paraId="1C4F15FB">
      <w:pPr>
        <w:tabs>
          <w:tab w:val="left" w:pos="480"/>
        </w:tabs>
        <w:spacing w:line="480" w:lineRule="auto"/>
        <w:rPr>
          <w:rFonts w:ascii="宋体" w:hAnsi="宋体" w:cs="宋体"/>
          <w:color w:val="auto"/>
          <w:szCs w:val="21"/>
          <w:highlight w:val="none"/>
        </w:rPr>
      </w:pPr>
      <w:r>
        <w:rPr>
          <w:rFonts w:hint="eastAsia" w:ascii="宋体" w:hAnsi="宋体" w:cs="宋体"/>
          <w:color w:val="auto"/>
          <w:szCs w:val="21"/>
          <w:highlight w:val="none"/>
        </w:rPr>
        <w:t>甲方单位名称（盖章）：                  乙方单位名称（盖章）：</w:t>
      </w:r>
    </w:p>
    <w:p w14:paraId="210AF795">
      <w:pPr>
        <w:tabs>
          <w:tab w:val="left" w:pos="480"/>
        </w:tabs>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地  址：                                地  址： </w:t>
      </w:r>
      <w:bookmarkStart w:id="156" w:name="_GoBack"/>
      <w:bookmarkEnd w:id="156"/>
    </w:p>
    <w:p w14:paraId="3CC8C7DA">
      <w:pPr>
        <w:tabs>
          <w:tab w:val="left" w:pos="480"/>
        </w:tabs>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法定代表人：（签字或盖章）              法定代表人：（签字或盖章） </w:t>
      </w:r>
    </w:p>
    <w:p w14:paraId="7DA7BCED">
      <w:pPr>
        <w:tabs>
          <w:tab w:val="left" w:pos="480"/>
        </w:tabs>
        <w:spacing w:line="480" w:lineRule="auto"/>
        <w:rPr>
          <w:rFonts w:ascii="宋体" w:hAnsi="宋体" w:cs="宋体"/>
          <w:color w:val="auto"/>
          <w:szCs w:val="21"/>
          <w:highlight w:val="none"/>
        </w:rPr>
      </w:pPr>
      <w:r>
        <w:rPr>
          <w:rFonts w:hint="eastAsia" w:ascii="宋体" w:hAnsi="宋体" w:cs="宋体"/>
          <w:color w:val="auto"/>
          <w:szCs w:val="21"/>
          <w:highlight w:val="none"/>
        </w:rPr>
        <w:t>代理人：（签字或盖章）                  代理人：（签字或盖章）</w:t>
      </w:r>
    </w:p>
    <w:p w14:paraId="2707BBEC">
      <w:pPr>
        <w:tabs>
          <w:tab w:val="left" w:pos="480"/>
        </w:tabs>
        <w:spacing w:line="480" w:lineRule="auto"/>
        <w:ind w:firstLine="2940" w:firstLineChars="1400"/>
        <w:rPr>
          <w:rFonts w:ascii="宋体" w:hAnsi="宋体" w:cs="宋体"/>
          <w:color w:val="auto"/>
          <w:szCs w:val="21"/>
          <w:highlight w:val="none"/>
        </w:rPr>
      </w:pPr>
      <w:r>
        <w:rPr>
          <w:rFonts w:hint="eastAsia" w:ascii="宋体" w:hAnsi="宋体" w:cs="宋体"/>
          <w:color w:val="auto"/>
          <w:szCs w:val="21"/>
          <w:highlight w:val="none"/>
        </w:rPr>
        <w:t xml:space="preserve">            开户银行: </w:t>
      </w:r>
    </w:p>
    <w:p w14:paraId="6EC10EE5">
      <w:pPr>
        <w:tabs>
          <w:tab w:val="left" w:pos="480"/>
        </w:tabs>
        <w:spacing w:line="480" w:lineRule="auto"/>
        <w:ind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帐    号： </w:t>
      </w:r>
    </w:p>
    <w:p w14:paraId="7F654FF0">
      <w:pPr>
        <w:tabs>
          <w:tab w:val="left" w:pos="480"/>
        </w:tabs>
        <w:spacing w:line="480" w:lineRule="auto"/>
        <w:rPr>
          <w:rFonts w:ascii="宋体" w:hAnsi="宋体" w:cs="宋体"/>
          <w:color w:val="auto"/>
          <w:szCs w:val="21"/>
          <w:highlight w:val="none"/>
        </w:rPr>
      </w:pPr>
      <w:r>
        <w:rPr>
          <w:rFonts w:hint="eastAsia" w:ascii="宋体" w:hAnsi="宋体" w:cs="宋体"/>
          <w:color w:val="auto"/>
          <w:szCs w:val="21"/>
          <w:highlight w:val="none"/>
        </w:rPr>
        <w:t>签订日期：   年  月  日                 签订日期：   年  月  日</w:t>
      </w:r>
    </w:p>
    <w:p w14:paraId="6CB8A7FD">
      <w:pPr>
        <w:rPr>
          <w:rFonts w:ascii="宋体" w:hAnsi="宋体" w:cs="宋体"/>
          <w:color w:val="auto"/>
          <w:highlight w:val="none"/>
        </w:rPr>
      </w:pPr>
    </w:p>
    <w:p w14:paraId="03119438">
      <w:pPr>
        <w:rPr>
          <w:rFonts w:ascii="宋体" w:hAnsi="宋体" w:cs="宋体"/>
          <w:color w:val="auto"/>
          <w:highlight w:val="none"/>
        </w:rPr>
      </w:pPr>
    </w:p>
    <w:p w14:paraId="546FCCD5">
      <w:pPr>
        <w:rPr>
          <w:rFonts w:ascii="宋体" w:hAnsi="宋体" w:cs="宋体"/>
          <w:color w:val="auto"/>
          <w:highlight w:val="none"/>
        </w:rPr>
      </w:pPr>
    </w:p>
    <w:p w14:paraId="6011F2D4">
      <w:pPr>
        <w:rPr>
          <w:rFonts w:ascii="宋体" w:hAnsi="宋体" w:cs="宋体"/>
          <w:color w:val="auto"/>
          <w:highlight w:val="none"/>
        </w:rPr>
      </w:pPr>
    </w:p>
    <w:p w14:paraId="2B9D8BA1">
      <w:pPr>
        <w:rPr>
          <w:rFonts w:ascii="宋体" w:hAnsi="宋体" w:cs="宋体"/>
          <w:color w:val="auto"/>
          <w:highlight w:val="none"/>
        </w:rPr>
      </w:pPr>
    </w:p>
    <w:p w14:paraId="56026672">
      <w:pPr>
        <w:rPr>
          <w:rFonts w:ascii="宋体" w:hAnsi="宋体" w:cs="宋体"/>
          <w:color w:val="auto"/>
          <w:highlight w:val="none"/>
        </w:rPr>
      </w:pPr>
    </w:p>
    <w:p w14:paraId="3520FDC7">
      <w:pPr>
        <w:rPr>
          <w:rFonts w:ascii="宋体" w:hAnsi="宋体" w:cs="宋体"/>
          <w:color w:val="auto"/>
          <w:highlight w:val="none"/>
        </w:rPr>
      </w:pPr>
    </w:p>
    <w:p w14:paraId="4DB49761">
      <w:pPr>
        <w:rPr>
          <w:rFonts w:ascii="宋体" w:hAnsi="宋体" w:cs="宋体"/>
          <w:color w:val="auto"/>
          <w:highlight w:val="none"/>
        </w:rPr>
      </w:pPr>
    </w:p>
    <w:p w14:paraId="24204725">
      <w:pPr>
        <w:rPr>
          <w:rFonts w:ascii="宋体" w:hAnsi="宋体" w:cs="宋体"/>
          <w:color w:val="auto"/>
          <w:highlight w:val="none"/>
        </w:rPr>
      </w:pPr>
    </w:p>
    <w:p w14:paraId="0556274B">
      <w:pPr>
        <w:rPr>
          <w:rFonts w:ascii="宋体" w:hAnsi="宋体" w:cs="宋体"/>
          <w:color w:val="auto"/>
          <w:highlight w:val="none"/>
        </w:rPr>
      </w:pPr>
    </w:p>
    <w:p w14:paraId="552E1B59">
      <w:pPr>
        <w:rPr>
          <w:rFonts w:ascii="宋体" w:hAnsi="宋体" w:cs="宋体"/>
          <w:color w:val="auto"/>
          <w:highlight w:val="none"/>
        </w:rPr>
      </w:pPr>
    </w:p>
    <w:p w14:paraId="64DBFA86">
      <w:pPr>
        <w:rPr>
          <w:rFonts w:ascii="宋体" w:hAnsi="宋体" w:cs="宋体"/>
          <w:color w:val="auto"/>
          <w:highlight w:val="none"/>
        </w:rPr>
      </w:pPr>
    </w:p>
    <w:p w14:paraId="6626D4AC">
      <w:pPr>
        <w:rPr>
          <w:rFonts w:ascii="宋体" w:hAnsi="宋体" w:cs="宋体"/>
          <w:color w:val="auto"/>
          <w:highlight w:val="none"/>
        </w:rPr>
      </w:pPr>
    </w:p>
    <w:p w14:paraId="7AB9BD32">
      <w:pPr>
        <w:rPr>
          <w:rFonts w:ascii="宋体" w:hAnsi="宋体" w:cs="宋体"/>
          <w:color w:val="auto"/>
          <w:highlight w:val="none"/>
        </w:rPr>
      </w:pPr>
    </w:p>
    <w:p w14:paraId="429C2AE3">
      <w:pPr>
        <w:rPr>
          <w:rFonts w:ascii="宋体" w:hAnsi="宋体" w:cs="宋体"/>
          <w:color w:val="auto"/>
          <w:highlight w:val="none"/>
        </w:rPr>
      </w:pPr>
    </w:p>
    <w:p w14:paraId="7C262CE3">
      <w:pPr>
        <w:rPr>
          <w:rFonts w:ascii="宋体" w:hAnsi="宋体" w:cs="宋体"/>
          <w:color w:val="auto"/>
          <w:highlight w:val="none"/>
        </w:rPr>
      </w:pPr>
    </w:p>
    <w:p w14:paraId="5F950C48">
      <w:pPr>
        <w:pStyle w:val="2"/>
        <w:ind w:left="2730"/>
        <w:jc w:val="both"/>
        <w:rPr>
          <w:rFonts w:ascii="宋体" w:hAnsi="宋体" w:cs="宋体"/>
          <w:color w:val="auto"/>
          <w:highlight w:val="none"/>
        </w:rPr>
      </w:pPr>
      <w:bookmarkStart w:id="60" w:name="_Toc31676"/>
      <w:r>
        <w:rPr>
          <w:rFonts w:hint="eastAsia" w:ascii="宋体" w:hAnsi="宋体" w:cs="宋体"/>
          <w:color w:val="auto"/>
          <w:highlight w:val="none"/>
        </w:rPr>
        <w:t>第五部分</w:t>
      </w:r>
      <w:r>
        <w:rPr>
          <w:rFonts w:hint="eastAsia" w:ascii="宋体" w:hAnsi="宋体" w:cs="宋体"/>
          <w:color w:val="auto"/>
          <w:highlight w:val="none"/>
          <w:lang w:val="zh-CN"/>
        </w:rPr>
        <w:t xml:space="preserve"> </w:t>
      </w:r>
      <w:bookmarkStart w:id="61" w:name="_Toc783"/>
      <w:r>
        <w:rPr>
          <w:rFonts w:hint="eastAsia" w:ascii="宋体" w:hAnsi="宋体" w:cs="宋体"/>
          <w:color w:val="auto"/>
          <w:highlight w:val="none"/>
          <w:lang w:val="zh-CN"/>
        </w:rPr>
        <w:t>投标文件格式</w:t>
      </w:r>
      <w:bookmarkEnd w:id="60"/>
      <w:bookmarkEnd w:id="61"/>
    </w:p>
    <w:p w14:paraId="7404FDE5">
      <w:pPr>
        <w:snapToGrid w:val="0"/>
        <w:spacing w:line="360" w:lineRule="exact"/>
        <w:rPr>
          <w:rFonts w:ascii="宋体" w:hAnsi="宋体" w:cs="宋体"/>
          <w:b/>
          <w:color w:val="auto"/>
          <w:kern w:val="21"/>
          <w:sz w:val="32"/>
          <w:szCs w:val="32"/>
          <w:highlight w:val="none"/>
        </w:rPr>
      </w:pPr>
    </w:p>
    <w:p w14:paraId="7E8D2EED">
      <w:pPr>
        <w:snapToGrid w:val="0"/>
        <w:spacing w:line="360" w:lineRule="auto"/>
        <w:jc w:val="right"/>
        <w:rPr>
          <w:rFonts w:ascii="宋体" w:hAnsi="宋体" w:cs="宋体"/>
          <w:b/>
          <w:bCs/>
          <w:color w:val="auto"/>
          <w:kern w:val="21"/>
          <w:sz w:val="32"/>
          <w:szCs w:val="32"/>
          <w:highlight w:val="none"/>
          <w:lang w:val="zh-CN"/>
        </w:rPr>
      </w:pPr>
      <w:bookmarkStart w:id="62" w:name="_Toc4762"/>
      <w:bookmarkStart w:id="63" w:name="_Toc11444"/>
      <w:bookmarkStart w:id="64" w:name="_Toc22564"/>
      <w:bookmarkStart w:id="65" w:name="_Toc9254"/>
      <w:r>
        <w:rPr>
          <w:rFonts w:hint="eastAsia" w:ascii="宋体" w:hAnsi="宋体" w:cs="宋体"/>
          <w:b/>
          <w:bCs/>
          <w:color w:val="auto"/>
          <w:kern w:val="21"/>
          <w:sz w:val="32"/>
          <w:szCs w:val="32"/>
          <w:highlight w:val="none"/>
          <w:lang w:val="zh-CN"/>
        </w:rPr>
        <w:t>正本/副本</w:t>
      </w:r>
      <w:bookmarkEnd w:id="62"/>
      <w:bookmarkEnd w:id="63"/>
      <w:bookmarkEnd w:id="64"/>
      <w:bookmarkEnd w:id="65"/>
    </w:p>
    <w:p w14:paraId="094E3A4E">
      <w:pPr>
        <w:pStyle w:val="8"/>
        <w:rPr>
          <w:rFonts w:ascii="宋体" w:hAnsi="宋体" w:cs="宋体"/>
          <w:color w:val="auto"/>
          <w:highlight w:val="none"/>
          <w:lang w:val="zh-CN"/>
        </w:rPr>
      </w:pPr>
    </w:p>
    <w:p w14:paraId="191F6DB9">
      <w:pPr>
        <w:tabs>
          <w:tab w:val="left" w:pos="5670"/>
        </w:tabs>
        <w:snapToGrid w:val="0"/>
        <w:spacing w:line="360" w:lineRule="auto"/>
        <w:jc w:val="center"/>
        <w:rPr>
          <w:rFonts w:ascii="宋体" w:hAnsi="宋体" w:cs="宋体"/>
          <w:b/>
          <w:bCs/>
          <w:color w:val="auto"/>
          <w:kern w:val="21"/>
          <w:sz w:val="44"/>
          <w:szCs w:val="44"/>
          <w:highlight w:val="none"/>
        </w:rPr>
      </w:pPr>
      <w:r>
        <w:rPr>
          <w:rFonts w:hint="eastAsia" w:ascii="宋体" w:hAnsi="宋体" w:cs="宋体"/>
          <w:b/>
          <w:bCs/>
          <w:color w:val="auto"/>
          <w:kern w:val="21"/>
          <w:sz w:val="44"/>
          <w:szCs w:val="44"/>
          <w:highlight w:val="none"/>
        </w:rPr>
        <w:t xml:space="preserve">卫星便携站采购项目(二次) </w:t>
      </w:r>
    </w:p>
    <w:p w14:paraId="65C10C33">
      <w:pPr>
        <w:snapToGrid w:val="0"/>
        <w:spacing w:before="312" w:after="312"/>
        <w:jc w:val="center"/>
        <w:rPr>
          <w:rFonts w:ascii="宋体" w:hAnsi="宋体" w:cs="宋体"/>
          <w:b/>
          <w:bCs/>
          <w:color w:val="auto"/>
          <w:kern w:val="21"/>
          <w:sz w:val="44"/>
          <w:szCs w:val="44"/>
          <w:highlight w:val="none"/>
        </w:rPr>
      </w:pPr>
      <w:bookmarkStart w:id="66" w:name="_Toc20880"/>
      <w:bookmarkStart w:id="67" w:name="_Toc25022"/>
      <w:bookmarkStart w:id="68" w:name="_Toc31705"/>
      <w:bookmarkStart w:id="69" w:name="_Toc32285"/>
    </w:p>
    <w:p w14:paraId="39FDF0FF">
      <w:pPr>
        <w:snapToGrid w:val="0"/>
        <w:spacing w:before="312" w:after="312"/>
        <w:jc w:val="center"/>
        <w:rPr>
          <w:rFonts w:ascii="宋体" w:hAnsi="宋体" w:cs="宋体"/>
          <w:b/>
          <w:bCs/>
          <w:color w:val="auto"/>
          <w:kern w:val="21"/>
          <w:sz w:val="44"/>
          <w:szCs w:val="44"/>
          <w:highlight w:val="none"/>
        </w:rPr>
      </w:pPr>
      <w:r>
        <w:rPr>
          <w:rFonts w:hint="eastAsia" w:ascii="宋体" w:hAnsi="宋体" w:cs="宋体"/>
          <w:b/>
          <w:bCs/>
          <w:color w:val="auto"/>
          <w:kern w:val="21"/>
          <w:sz w:val="44"/>
          <w:szCs w:val="44"/>
          <w:highlight w:val="none"/>
        </w:rPr>
        <w:t>投标文件</w:t>
      </w:r>
      <w:bookmarkEnd w:id="66"/>
      <w:bookmarkEnd w:id="67"/>
      <w:bookmarkEnd w:id="68"/>
      <w:bookmarkEnd w:id="69"/>
    </w:p>
    <w:p w14:paraId="5E1332C3">
      <w:pPr>
        <w:snapToGrid w:val="0"/>
        <w:spacing w:before="312" w:after="312"/>
        <w:jc w:val="center"/>
        <w:rPr>
          <w:rFonts w:ascii="宋体" w:hAnsi="宋体" w:cs="宋体"/>
          <w:b/>
          <w:bCs/>
          <w:color w:val="auto"/>
          <w:kern w:val="21"/>
          <w:sz w:val="28"/>
          <w:szCs w:val="28"/>
          <w:highlight w:val="none"/>
        </w:rPr>
      </w:pPr>
      <w:bookmarkStart w:id="70" w:name="_Toc17681"/>
      <w:bookmarkStart w:id="71" w:name="_Toc25457"/>
      <w:bookmarkStart w:id="72" w:name="_Toc7314"/>
      <w:bookmarkStart w:id="73" w:name="_Toc14872"/>
      <w:r>
        <w:rPr>
          <w:rFonts w:hint="eastAsia" w:ascii="宋体" w:hAnsi="宋体" w:cs="宋体"/>
          <w:b/>
          <w:bCs/>
          <w:color w:val="auto"/>
          <w:kern w:val="21"/>
          <w:sz w:val="28"/>
          <w:szCs w:val="28"/>
          <w:highlight w:val="none"/>
        </w:rPr>
        <w:t>项目编号：</w:t>
      </w:r>
      <w:bookmarkEnd w:id="70"/>
      <w:bookmarkEnd w:id="71"/>
      <w:bookmarkEnd w:id="72"/>
      <w:bookmarkEnd w:id="73"/>
    </w:p>
    <w:p w14:paraId="218F51A9">
      <w:pPr>
        <w:pStyle w:val="8"/>
        <w:rPr>
          <w:rFonts w:ascii="宋体" w:hAnsi="宋体" w:cs="宋体"/>
          <w:color w:val="auto"/>
          <w:highlight w:val="none"/>
        </w:rPr>
      </w:pPr>
    </w:p>
    <w:p w14:paraId="123C8CAD">
      <w:pPr>
        <w:rPr>
          <w:rFonts w:ascii="宋体" w:hAnsi="宋体" w:cs="宋体"/>
          <w:color w:val="auto"/>
          <w:highlight w:val="none"/>
        </w:rPr>
      </w:pPr>
    </w:p>
    <w:p w14:paraId="37ED78E1">
      <w:pPr>
        <w:rPr>
          <w:rFonts w:ascii="宋体" w:hAnsi="宋体" w:cs="宋体"/>
          <w:color w:val="auto"/>
          <w:highlight w:val="none"/>
        </w:rPr>
      </w:pPr>
    </w:p>
    <w:p w14:paraId="2C4313C6">
      <w:pPr>
        <w:rPr>
          <w:rFonts w:ascii="宋体" w:hAnsi="宋体" w:cs="宋体"/>
          <w:color w:val="auto"/>
          <w:highlight w:val="none"/>
        </w:rPr>
      </w:pPr>
    </w:p>
    <w:p w14:paraId="245A6A13">
      <w:pPr>
        <w:rPr>
          <w:rFonts w:ascii="宋体" w:hAnsi="宋体" w:cs="宋体"/>
          <w:color w:val="auto"/>
          <w:highlight w:val="none"/>
        </w:rPr>
      </w:pPr>
    </w:p>
    <w:p w14:paraId="3BA417E5">
      <w:pPr>
        <w:rPr>
          <w:rFonts w:ascii="宋体" w:hAnsi="宋体" w:cs="宋体"/>
          <w:color w:val="auto"/>
          <w:highlight w:val="none"/>
        </w:rPr>
      </w:pPr>
    </w:p>
    <w:p w14:paraId="2135807D">
      <w:pPr>
        <w:rPr>
          <w:rFonts w:ascii="宋体" w:hAnsi="宋体" w:cs="宋体"/>
          <w:color w:val="auto"/>
          <w:highlight w:val="none"/>
        </w:rPr>
      </w:pPr>
    </w:p>
    <w:p w14:paraId="1C8EFC27">
      <w:pPr>
        <w:rPr>
          <w:rFonts w:ascii="宋体" w:hAnsi="宋体" w:cs="宋体"/>
          <w:color w:val="auto"/>
          <w:highlight w:val="none"/>
        </w:rPr>
      </w:pPr>
    </w:p>
    <w:p w14:paraId="346C153F">
      <w:pPr>
        <w:pStyle w:val="44"/>
        <w:snapToGrid w:val="0"/>
        <w:spacing w:line="360" w:lineRule="auto"/>
        <w:ind w:firstLine="840" w:firstLineChars="300"/>
        <w:textAlignment w:val="baseline"/>
        <w:rPr>
          <w:rFonts w:ascii="宋体" w:hAnsi="宋体" w:cs="宋体"/>
          <w:color w:val="auto"/>
          <w:kern w:val="21"/>
          <w:sz w:val="28"/>
          <w:szCs w:val="28"/>
          <w:highlight w:val="none"/>
        </w:rPr>
      </w:pPr>
      <w:bookmarkStart w:id="74" w:name="_Toc32056"/>
      <w:r>
        <w:rPr>
          <w:rFonts w:hint="eastAsia" w:ascii="宋体" w:hAnsi="宋体" w:cs="宋体"/>
          <w:color w:val="auto"/>
          <w:kern w:val="21"/>
          <w:sz w:val="28"/>
          <w:szCs w:val="28"/>
          <w:highlight w:val="none"/>
        </w:rPr>
        <w:t>供应商：</w:t>
      </w:r>
      <w:r>
        <w:rPr>
          <w:rFonts w:hint="eastAsia" w:ascii="宋体" w:hAnsi="宋体" w:cs="宋体"/>
          <w:color w:val="auto"/>
          <w:kern w:val="21"/>
          <w:sz w:val="28"/>
          <w:szCs w:val="28"/>
          <w:highlight w:val="none"/>
          <w:u w:val="single"/>
        </w:rPr>
        <w:t xml:space="preserve">                                （盖单位公章）</w:t>
      </w:r>
      <w:bookmarkEnd w:id="74"/>
    </w:p>
    <w:p w14:paraId="3177EAC1">
      <w:pPr>
        <w:pStyle w:val="44"/>
        <w:snapToGrid w:val="0"/>
        <w:spacing w:line="360" w:lineRule="auto"/>
        <w:ind w:firstLine="840" w:firstLineChars="300"/>
        <w:textAlignment w:val="baseline"/>
        <w:rPr>
          <w:rFonts w:ascii="宋体" w:hAnsi="宋体" w:cs="宋体"/>
          <w:color w:val="auto"/>
          <w:kern w:val="21"/>
          <w:sz w:val="28"/>
          <w:szCs w:val="28"/>
          <w:highlight w:val="none"/>
        </w:rPr>
      </w:pPr>
      <w:bookmarkStart w:id="75" w:name="_Toc12866"/>
      <w:r>
        <w:rPr>
          <w:rFonts w:hint="eastAsia" w:ascii="宋体" w:hAnsi="宋体" w:cs="宋体"/>
          <w:color w:val="auto"/>
          <w:kern w:val="21"/>
          <w:sz w:val="28"/>
          <w:szCs w:val="28"/>
          <w:highlight w:val="none"/>
        </w:rPr>
        <w:t>法定代表人或委托代理人：</w:t>
      </w:r>
      <w:r>
        <w:rPr>
          <w:rFonts w:hint="eastAsia" w:ascii="宋体" w:hAnsi="宋体" w:cs="宋体"/>
          <w:color w:val="auto"/>
          <w:kern w:val="21"/>
          <w:sz w:val="28"/>
          <w:szCs w:val="28"/>
          <w:highlight w:val="none"/>
          <w:u w:val="single"/>
        </w:rPr>
        <w:t xml:space="preserve">                （签字或盖章）</w:t>
      </w:r>
      <w:bookmarkEnd w:id="75"/>
    </w:p>
    <w:p w14:paraId="6075B1EC">
      <w:pPr>
        <w:pStyle w:val="44"/>
        <w:snapToGrid w:val="0"/>
        <w:spacing w:line="360" w:lineRule="auto"/>
        <w:ind w:firstLine="840" w:firstLineChars="300"/>
        <w:textAlignment w:val="baseline"/>
        <w:rPr>
          <w:rFonts w:ascii="宋体" w:hAnsi="宋体" w:cs="宋体"/>
          <w:color w:val="auto"/>
          <w:kern w:val="21"/>
          <w:sz w:val="28"/>
          <w:szCs w:val="28"/>
          <w:highlight w:val="none"/>
          <w:u w:val="single"/>
        </w:rPr>
      </w:pPr>
      <w:bookmarkStart w:id="76" w:name="_Toc132"/>
      <w:r>
        <w:rPr>
          <w:rFonts w:hint="eastAsia" w:ascii="宋体" w:hAnsi="宋体" w:cs="宋体"/>
          <w:color w:val="auto"/>
          <w:kern w:val="21"/>
          <w:sz w:val="28"/>
          <w:szCs w:val="28"/>
          <w:highlight w:val="none"/>
        </w:rPr>
        <w:t>供应商地址：</w:t>
      </w:r>
      <w:bookmarkEnd w:id="76"/>
      <w:r>
        <w:rPr>
          <w:rFonts w:hint="eastAsia" w:ascii="宋体" w:hAnsi="宋体" w:cs="宋体"/>
          <w:color w:val="auto"/>
          <w:kern w:val="21"/>
          <w:sz w:val="28"/>
          <w:szCs w:val="28"/>
          <w:highlight w:val="none"/>
          <w:u w:val="single"/>
        </w:rPr>
        <w:t xml:space="preserve">                                          </w:t>
      </w:r>
    </w:p>
    <w:p w14:paraId="1E379356">
      <w:pPr>
        <w:pStyle w:val="44"/>
        <w:snapToGrid w:val="0"/>
        <w:spacing w:line="360" w:lineRule="auto"/>
        <w:ind w:firstLine="840" w:firstLineChars="300"/>
        <w:textAlignment w:val="baseline"/>
        <w:rPr>
          <w:rFonts w:ascii="宋体" w:hAnsi="宋体" w:cs="宋体"/>
          <w:color w:val="auto"/>
          <w:kern w:val="21"/>
          <w:sz w:val="28"/>
          <w:szCs w:val="28"/>
          <w:highlight w:val="none"/>
          <w:u w:val="single"/>
        </w:rPr>
      </w:pPr>
      <w:bookmarkStart w:id="77" w:name="_Toc24527"/>
      <w:r>
        <w:rPr>
          <w:rFonts w:hint="eastAsia" w:ascii="宋体" w:hAnsi="宋体" w:cs="宋体"/>
          <w:color w:val="auto"/>
          <w:kern w:val="21"/>
          <w:sz w:val="28"/>
          <w:szCs w:val="28"/>
          <w:highlight w:val="none"/>
        </w:rPr>
        <w:t>邮    编：</w:t>
      </w:r>
      <w:bookmarkEnd w:id="77"/>
      <w:r>
        <w:rPr>
          <w:rFonts w:hint="eastAsia" w:ascii="宋体" w:hAnsi="宋体" w:cs="宋体"/>
          <w:color w:val="auto"/>
          <w:kern w:val="21"/>
          <w:sz w:val="28"/>
          <w:szCs w:val="28"/>
          <w:highlight w:val="none"/>
          <w:u w:val="single"/>
        </w:rPr>
        <w:t xml:space="preserve">                                            </w:t>
      </w:r>
    </w:p>
    <w:p w14:paraId="551C1399">
      <w:pPr>
        <w:pStyle w:val="44"/>
        <w:snapToGrid w:val="0"/>
        <w:spacing w:line="360" w:lineRule="auto"/>
        <w:ind w:firstLine="840" w:firstLineChars="300"/>
        <w:textAlignment w:val="baseline"/>
        <w:rPr>
          <w:rFonts w:ascii="宋体" w:hAnsi="宋体" w:cs="宋体"/>
          <w:color w:val="auto"/>
          <w:kern w:val="21"/>
          <w:sz w:val="28"/>
          <w:szCs w:val="28"/>
          <w:highlight w:val="none"/>
          <w:u w:val="single"/>
        </w:rPr>
      </w:pPr>
      <w:bookmarkStart w:id="78" w:name="_Toc27939"/>
      <w:r>
        <w:rPr>
          <w:rFonts w:hint="eastAsia" w:ascii="宋体" w:hAnsi="宋体" w:cs="宋体"/>
          <w:color w:val="auto"/>
          <w:kern w:val="21"/>
          <w:sz w:val="28"/>
          <w:szCs w:val="28"/>
          <w:highlight w:val="none"/>
        </w:rPr>
        <w:t>联系电话：</w:t>
      </w:r>
      <w:bookmarkEnd w:id="78"/>
      <w:r>
        <w:rPr>
          <w:rFonts w:hint="eastAsia" w:ascii="宋体" w:hAnsi="宋体" w:cs="宋体"/>
          <w:color w:val="auto"/>
          <w:kern w:val="21"/>
          <w:sz w:val="28"/>
          <w:szCs w:val="28"/>
          <w:highlight w:val="none"/>
          <w:u w:val="single"/>
        </w:rPr>
        <w:t xml:space="preserve">                                            </w:t>
      </w:r>
    </w:p>
    <w:p w14:paraId="3128A7C1">
      <w:pPr>
        <w:pStyle w:val="44"/>
        <w:snapToGrid w:val="0"/>
        <w:spacing w:line="360" w:lineRule="auto"/>
        <w:ind w:firstLine="840" w:firstLineChars="300"/>
        <w:textAlignment w:val="baseline"/>
        <w:rPr>
          <w:rFonts w:ascii="宋体" w:hAnsi="宋体" w:cs="宋体"/>
          <w:color w:val="auto"/>
          <w:kern w:val="21"/>
          <w:sz w:val="28"/>
          <w:szCs w:val="28"/>
          <w:highlight w:val="none"/>
          <w:u w:val="single"/>
        </w:rPr>
      </w:pPr>
      <w:bookmarkStart w:id="79" w:name="_Toc26424"/>
      <w:r>
        <w:rPr>
          <w:rFonts w:hint="eastAsia" w:ascii="宋体" w:hAnsi="宋体" w:cs="宋体"/>
          <w:color w:val="auto"/>
          <w:kern w:val="21"/>
          <w:sz w:val="28"/>
          <w:szCs w:val="28"/>
          <w:highlight w:val="none"/>
        </w:rPr>
        <w:t>日    期：</w:t>
      </w:r>
      <w:bookmarkEnd w:id="79"/>
      <w:r>
        <w:rPr>
          <w:rFonts w:hint="eastAsia" w:ascii="宋体" w:hAnsi="宋体" w:cs="宋体"/>
          <w:color w:val="auto"/>
          <w:kern w:val="21"/>
          <w:sz w:val="28"/>
          <w:szCs w:val="28"/>
          <w:highlight w:val="none"/>
          <w:u w:val="single"/>
        </w:rPr>
        <w:t xml:space="preserve">                                            </w:t>
      </w:r>
    </w:p>
    <w:p w14:paraId="7FB8626A">
      <w:pPr>
        <w:snapToGrid w:val="0"/>
        <w:spacing w:line="360" w:lineRule="exact"/>
        <w:rPr>
          <w:rFonts w:ascii="宋体" w:hAnsi="宋体" w:cs="宋体"/>
          <w:color w:val="auto"/>
          <w:kern w:val="21"/>
          <w:sz w:val="28"/>
          <w:szCs w:val="28"/>
          <w:highlight w:val="none"/>
          <w:u w:val="single"/>
        </w:rPr>
      </w:pPr>
    </w:p>
    <w:p w14:paraId="5FA46B66">
      <w:pPr>
        <w:rPr>
          <w:rFonts w:ascii="宋体" w:hAnsi="宋体" w:cs="宋体"/>
          <w:b/>
          <w:color w:val="auto"/>
          <w:sz w:val="30"/>
          <w:szCs w:val="30"/>
          <w:highlight w:val="none"/>
        </w:rPr>
      </w:pPr>
      <w:bookmarkStart w:id="80" w:name="_Toc6665"/>
      <w:bookmarkStart w:id="81" w:name="_Toc11588"/>
      <w:bookmarkStart w:id="82" w:name="_Toc26553"/>
      <w:bookmarkStart w:id="83" w:name="_Toc13111"/>
      <w:r>
        <w:rPr>
          <w:rFonts w:hint="eastAsia" w:ascii="宋体" w:hAnsi="宋体" w:cs="宋体"/>
          <w:b/>
          <w:color w:val="auto"/>
          <w:sz w:val="30"/>
          <w:szCs w:val="30"/>
          <w:highlight w:val="none"/>
        </w:rPr>
        <w:br w:type="page"/>
      </w:r>
    </w:p>
    <w:p w14:paraId="41B921AA">
      <w:pPr>
        <w:pStyle w:val="2"/>
        <w:snapToGrid w:val="0"/>
        <w:rPr>
          <w:rFonts w:ascii="宋体" w:hAnsi="宋体" w:cs="宋体"/>
          <w:color w:val="auto"/>
          <w:sz w:val="30"/>
          <w:szCs w:val="30"/>
          <w:highlight w:val="none"/>
        </w:rPr>
      </w:pPr>
      <w:bookmarkStart w:id="84" w:name="_Toc6033"/>
      <w:r>
        <w:rPr>
          <w:rFonts w:hint="eastAsia" w:ascii="宋体" w:hAnsi="宋体" w:cs="宋体"/>
          <w:color w:val="auto"/>
          <w:sz w:val="30"/>
          <w:szCs w:val="30"/>
          <w:highlight w:val="none"/>
        </w:rPr>
        <w:t>目  录</w:t>
      </w:r>
      <w:bookmarkEnd w:id="80"/>
      <w:bookmarkEnd w:id="81"/>
      <w:bookmarkEnd w:id="82"/>
      <w:bookmarkEnd w:id="83"/>
      <w:bookmarkEnd w:id="84"/>
    </w:p>
    <w:p w14:paraId="764D4907">
      <w:pPr>
        <w:snapToGrid w:val="0"/>
        <w:jc w:val="center"/>
        <w:rPr>
          <w:rFonts w:ascii="宋体" w:hAnsi="宋体" w:cs="宋体"/>
          <w:b/>
          <w:color w:val="auto"/>
          <w:kern w:val="21"/>
          <w:sz w:val="36"/>
          <w:szCs w:val="36"/>
          <w:highlight w:val="none"/>
        </w:rPr>
      </w:pPr>
    </w:p>
    <w:p w14:paraId="0DF77C52">
      <w:pPr>
        <w:snapToGrid w:val="0"/>
        <w:spacing w:line="460" w:lineRule="exact"/>
        <w:rPr>
          <w:rFonts w:ascii="宋体" w:hAnsi="宋体" w:cs="宋体"/>
          <w:b/>
          <w:color w:val="auto"/>
          <w:kern w:val="21"/>
          <w:sz w:val="21"/>
          <w:szCs w:val="21"/>
          <w:highlight w:val="none"/>
        </w:rPr>
      </w:pPr>
      <w:bookmarkStart w:id="85" w:name="_Toc23339"/>
      <w:r>
        <w:rPr>
          <w:rFonts w:hint="eastAsia" w:ascii="宋体" w:hAnsi="宋体" w:cs="宋体"/>
          <w:b/>
          <w:color w:val="auto"/>
          <w:kern w:val="21"/>
          <w:sz w:val="21"/>
          <w:szCs w:val="21"/>
          <w:highlight w:val="none"/>
        </w:rPr>
        <w:t>一、商务部分</w:t>
      </w:r>
      <w:bookmarkEnd w:id="85"/>
    </w:p>
    <w:p w14:paraId="6A69031E">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1、开标一览表</w:t>
      </w:r>
    </w:p>
    <w:p w14:paraId="59A991FA">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2、投标函</w:t>
      </w:r>
    </w:p>
    <w:p w14:paraId="59521C3B">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3、法定代表人身份证明</w:t>
      </w:r>
    </w:p>
    <w:p w14:paraId="3E11D94D">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4、法定代表人授权委托书</w:t>
      </w:r>
    </w:p>
    <w:p w14:paraId="4DCA3EF5">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5、中小企业声明函（若是）</w:t>
      </w:r>
    </w:p>
    <w:p w14:paraId="62DE0AA1">
      <w:pPr>
        <w:snapToGrid w:val="0"/>
        <w:spacing w:line="460" w:lineRule="exact"/>
        <w:ind w:left="142" w:firstLine="245" w:firstLineChars="117"/>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6、残疾人福利性单位声明函（若是）</w:t>
      </w:r>
    </w:p>
    <w:p w14:paraId="7B4AA338">
      <w:pPr>
        <w:snapToGrid w:val="0"/>
        <w:spacing w:line="460" w:lineRule="exact"/>
        <w:ind w:left="142" w:firstLine="245" w:firstLineChars="117"/>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7、监狱企业证明函（若是）</w:t>
      </w:r>
    </w:p>
    <w:p w14:paraId="79648849">
      <w:pPr>
        <w:snapToGrid w:val="0"/>
        <w:spacing w:line="460" w:lineRule="exact"/>
        <w:ind w:left="142" w:firstLine="245" w:firstLineChars="117"/>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附表1：商务条款偏离表</w:t>
      </w:r>
    </w:p>
    <w:p w14:paraId="20CD5CEC">
      <w:pPr>
        <w:snapToGrid w:val="0"/>
        <w:spacing w:line="460" w:lineRule="exact"/>
        <w:ind w:left="142" w:firstLine="245" w:firstLineChars="117"/>
        <w:rPr>
          <w:rFonts w:hint="eastAsia" w:ascii="宋体" w:hAnsi="宋体" w:cs="宋体"/>
          <w:color w:val="auto"/>
          <w:kern w:val="21"/>
          <w:sz w:val="21"/>
          <w:szCs w:val="21"/>
          <w:highlight w:val="none"/>
        </w:rPr>
      </w:pPr>
      <w:r>
        <w:rPr>
          <w:rFonts w:hint="eastAsia" w:ascii="宋体" w:hAnsi="宋体" w:cs="宋体"/>
          <w:color w:val="auto"/>
          <w:kern w:val="21"/>
          <w:sz w:val="21"/>
          <w:szCs w:val="21"/>
          <w:highlight w:val="none"/>
        </w:rPr>
        <w:t>附表2：技术偏离表</w:t>
      </w:r>
    </w:p>
    <w:p w14:paraId="01727BB7">
      <w:pPr>
        <w:snapToGrid w:val="0"/>
        <w:spacing w:line="460" w:lineRule="exact"/>
        <w:rPr>
          <w:rFonts w:ascii="宋体" w:hAnsi="宋体" w:cs="宋体"/>
          <w:color w:val="auto"/>
          <w:sz w:val="21"/>
          <w:szCs w:val="21"/>
          <w:highlight w:val="none"/>
        </w:rPr>
      </w:pPr>
      <w:bookmarkStart w:id="86" w:name="_Toc7782"/>
      <w:r>
        <w:rPr>
          <w:rFonts w:hint="eastAsia" w:ascii="宋体" w:hAnsi="宋体" w:cs="宋体"/>
          <w:b/>
          <w:color w:val="auto"/>
          <w:kern w:val="21"/>
          <w:sz w:val="21"/>
          <w:szCs w:val="21"/>
          <w:highlight w:val="none"/>
        </w:rPr>
        <w:t>二、技术部分</w:t>
      </w:r>
      <w:bookmarkEnd w:id="86"/>
    </w:p>
    <w:p w14:paraId="2000D4E1">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1、项目组织实施方案</w:t>
      </w:r>
    </w:p>
    <w:p w14:paraId="5AF37475">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2、售后服务</w:t>
      </w:r>
      <w:r>
        <w:rPr>
          <w:rFonts w:hint="eastAsia" w:ascii="宋体" w:hAnsi="宋体" w:cs="宋体"/>
          <w:color w:val="auto"/>
          <w:kern w:val="21"/>
          <w:sz w:val="21"/>
          <w:szCs w:val="21"/>
          <w:highlight w:val="none"/>
          <w:lang w:val="en-US" w:eastAsia="zh-CN"/>
        </w:rPr>
        <w:t>及</w:t>
      </w:r>
      <w:r>
        <w:rPr>
          <w:rFonts w:hint="eastAsia" w:ascii="宋体" w:hAnsi="宋体" w:cs="宋体"/>
          <w:color w:val="auto"/>
          <w:kern w:val="21"/>
          <w:sz w:val="21"/>
          <w:szCs w:val="21"/>
          <w:highlight w:val="none"/>
        </w:rPr>
        <w:t>培训方案</w:t>
      </w:r>
    </w:p>
    <w:p w14:paraId="48C7A51A">
      <w:pPr>
        <w:snapToGrid w:val="0"/>
        <w:spacing w:line="460" w:lineRule="exact"/>
        <w:ind w:left="142" w:firstLine="245" w:firstLineChars="117"/>
        <w:rPr>
          <w:rFonts w:hint="eastAsia" w:ascii="宋体" w:hAnsi="宋体" w:eastAsia="宋体" w:cs="宋体"/>
          <w:color w:val="auto"/>
          <w:kern w:val="21"/>
          <w:sz w:val="21"/>
          <w:szCs w:val="21"/>
          <w:highlight w:val="none"/>
          <w:lang w:eastAsia="zh-CN"/>
        </w:rPr>
      </w:pPr>
      <w:r>
        <w:rPr>
          <w:rFonts w:hint="eastAsia" w:ascii="宋体" w:hAnsi="宋体" w:cs="宋体"/>
          <w:color w:val="auto"/>
          <w:kern w:val="21"/>
          <w:sz w:val="21"/>
          <w:szCs w:val="21"/>
          <w:highlight w:val="none"/>
        </w:rPr>
        <w:t>3、</w:t>
      </w:r>
      <w:r>
        <w:rPr>
          <w:rFonts w:hint="eastAsia" w:ascii="宋体" w:hAnsi="宋体" w:cs="宋体"/>
          <w:color w:val="auto"/>
          <w:kern w:val="21"/>
          <w:sz w:val="21"/>
          <w:szCs w:val="21"/>
          <w:highlight w:val="none"/>
          <w:lang w:val="en-US" w:eastAsia="zh-CN"/>
        </w:rPr>
        <w:t>质量保证</w:t>
      </w:r>
    </w:p>
    <w:p w14:paraId="2E15AA84">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4、业绩</w:t>
      </w:r>
    </w:p>
    <w:p w14:paraId="103B5C27">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5、三大体系</w:t>
      </w:r>
    </w:p>
    <w:p w14:paraId="504B019C">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6、资质文件</w:t>
      </w:r>
    </w:p>
    <w:p w14:paraId="68899569">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7、其他证明材料</w:t>
      </w:r>
    </w:p>
    <w:p w14:paraId="0135D1E3">
      <w:pPr>
        <w:snapToGrid w:val="0"/>
        <w:spacing w:line="460" w:lineRule="exact"/>
        <w:ind w:left="142" w:firstLine="245" w:firstLineChars="117"/>
        <w:rPr>
          <w:rFonts w:ascii="宋体" w:hAnsi="宋体" w:cs="宋体"/>
          <w:color w:val="auto"/>
          <w:kern w:val="21"/>
          <w:sz w:val="21"/>
          <w:szCs w:val="21"/>
          <w:highlight w:val="none"/>
        </w:rPr>
      </w:pPr>
      <w:r>
        <w:rPr>
          <w:rFonts w:hint="eastAsia" w:ascii="宋体" w:hAnsi="宋体" w:cs="宋体"/>
          <w:color w:val="auto"/>
          <w:kern w:val="21"/>
          <w:sz w:val="21"/>
          <w:szCs w:val="21"/>
          <w:highlight w:val="none"/>
        </w:rPr>
        <w:t>注：未给定格式由供应商自行拟定，技术部分内容包含招标文件评标办法中技术部分所含全部内容。</w:t>
      </w:r>
    </w:p>
    <w:p w14:paraId="08C1A4CB">
      <w:pPr>
        <w:snapToGrid w:val="0"/>
        <w:rPr>
          <w:rFonts w:ascii="宋体" w:hAnsi="宋体" w:cs="宋体"/>
          <w:color w:val="auto"/>
          <w:sz w:val="20"/>
          <w:highlight w:val="none"/>
        </w:rPr>
      </w:pPr>
    </w:p>
    <w:p w14:paraId="07DBC37C">
      <w:pPr>
        <w:snapToGrid w:val="0"/>
        <w:spacing w:line="360" w:lineRule="exact"/>
        <w:ind w:firstLine="308" w:firstLineChars="147"/>
        <w:jc w:val="center"/>
        <w:rPr>
          <w:rFonts w:ascii="宋体" w:hAnsi="宋体" w:cs="宋体"/>
          <w:color w:val="auto"/>
          <w:kern w:val="21"/>
          <w:sz w:val="20"/>
          <w:szCs w:val="21"/>
          <w:highlight w:val="none"/>
        </w:rPr>
      </w:pPr>
      <w:r>
        <w:rPr>
          <w:rFonts w:hint="eastAsia" w:ascii="宋体" w:hAnsi="宋体" w:cs="宋体"/>
          <w:color w:val="auto"/>
          <w:szCs w:val="21"/>
          <w:highlight w:val="none"/>
        </w:rPr>
        <w:t xml:space="preserve">         </w:t>
      </w:r>
    </w:p>
    <w:p w14:paraId="14E732D2">
      <w:pPr>
        <w:pStyle w:val="12"/>
        <w:rPr>
          <w:rFonts w:ascii="宋体" w:hAnsi="宋体" w:eastAsia="宋体" w:cs="宋体"/>
          <w:color w:val="auto"/>
          <w:kern w:val="21"/>
          <w:sz w:val="21"/>
          <w:szCs w:val="21"/>
          <w:highlight w:val="none"/>
        </w:rPr>
      </w:pPr>
    </w:p>
    <w:p w14:paraId="0495580E">
      <w:pPr>
        <w:snapToGrid w:val="0"/>
        <w:rPr>
          <w:rFonts w:ascii="宋体" w:hAnsi="宋体" w:cs="宋体"/>
          <w:color w:val="auto"/>
          <w:kern w:val="21"/>
          <w:sz w:val="24"/>
          <w:szCs w:val="24"/>
          <w:highlight w:val="none"/>
        </w:rPr>
      </w:pPr>
    </w:p>
    <w:p w14:paraId="705FBDEE">
      <w:pPr>
        <w:pStyle w:val="12"/>
        <w:rPr>
          <w:rFonts w:ascii="宋体" w:hAnsi="宋体" w:eastAsia="宋体" w:cs="宋体"/>
          <w:color w:val="auto"/>
          <w:kern w:val="21"/>
          <w:sz w:val="24"/>
          <w:szCs w:val="24"/>
          <w:highlight w:val="none"/>
        </w:rPr>
      </w:pPr>
    </w:p>
    <w:p w14:paraId="2406356F">
      <w:pPr>
        <w:snapToGrid w:val="0"/>
        <w:rPr>
          <w:rFonts w:ascii="宋体" w:hAnsi="宋体" w:cs="宋体"/>
          <w:color w:val="auto"/>
          <w:kern w:val="21"/>
          <w:sz w:val="20"/>
          <w:highlight w:val="none"/>
        </w:rPr>
      </w:pPr>
    </w:p>
    <w:p w14:paraId="1D3C96A7">
      <w:pPr>
        <w:snapToGrid w:val="0"/>
        <w:rPr>
          <w:rFonts w:ascii="宋体" w:hAnsi="宋体" w:cs="宋体"/>
          <w:color w:val="auto"/>
          <w:kern w:val="21"/>
          <w:sz w:val="24"/>
          <w:szCs w:val="24"/>
          <w:highlight w:val="none"/>
        </w:rPr>
      </w:pPr>
    </w:p>
    <w:p w14:paraId="386C4867">
      <w:pPr>
        <w:pStyle w:val="12"/>
        <w:rPr>
          <w:rFonts w:ascii="宋体" w:hAnsi="宋体" w:eastAsia="宋体" w:cs="宋体"/>
          <w:color w:val="auto"/>
          <w:kern w:val="21"/>
          <w:sz w:val="24"/>
          <w:szCs w:val="24"/>
          <w:highlight w:val="none"/>
        </w:rPr>
      </w:pPr>
    </w:p>
    <w:p w14:paraId="2D22790D">
      <w:pPr>
        <w:pStyle w:val="3"/>
        <w:snapToGrid w:val="0"/>
        <w:rPr>
          <w:rFonts w:ascii="宋体" w:hAnsi="宋体" w:cs="宋体"/>
          <w:color w:val="auto"/>
          <w:kern w:val="21"/>
          <w:sz w:val="28"/>
          <w:szCs w:val="28"/>
          <w:highlight w:val="none"/>
        </w:rPr>
      </w:pPr>
      <w:bookmarkStart w:id="87" w:name="_Toc8311"/>
      <w:bookmarkStart w:id="88" w:name="_Toc23613"/>
      <w:r>
        <w:rPr>
          <w:rFonts w:hint="eastAsia" w:ascii="宋体" w:hAnsi="宋体" w:cs="宋体"/>
          <w:color w:val="auto"/>
          <w:kern w:val="21"/>
          <w:sz w:val="28"/>
          <w:szCs w:val="28"/>
          <w:highlight w:val="none"/>
        </w:rPr>
        <w:t>一、商务部分</w:t>
      </w:r>
      <w:bookmarkEnd w:id="87"/>
      <w:bookmarkEnd w:id="88"/>
    </w:p>
    <w:p w14:paraId="1E8AB533">
      <w:pPr>
        <w:pStyle w:val="4"/>
        <w:snapToGrid w:val="0"/>
        <w:rPr>
          <w:rFonts w:ascii="宋体" w:hAnsi="宋体" w:cs="宋体"/>
          <w:color w:val="auto"/>
          <w:kern w:val="21"/>
          <w:highlight w:val="none"/>
        </w:rPr>
      </w:pPr>
      <w:bookmarkStart w:id="89" w:name="_Toc17284"/>
      <w:r>
        <w:rPr>
          <w:rFonts w:hint="eastAsia" w:ascii="宋体" w:hAnsi="宋体" w:cs="宋体"/>
          <w:color w:val="auto"/>
          <w:kern w:val="21"/>
          <w:highlight w:val="none"/>
        </w:rPr>
        <w:t>1.开标一览表</w:t>
      </w:r>
      <w:bookmarkEnd w:id="89"/>
    </w:p>
    <w:tbl>
      <w:tblPr>
        <w:tblStyle w:val="24"/>
        <w:tblW w:w="96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F9BD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tcBorders>
              <w:top w:val="single" w:color="auto" w:sz="12" w:space="0"/>
              <w:bottom w:val="single" w:color="auto" w:sz="12" w:space="0"/>
              <w:right w:val="single" w:color="auto" w:sz="12" w:space="0"/>
            </w:tcBorders>
            <w:vAlign w:val="center"/>
          </w:tcPr>
          <w:p w14:paraId="4A563853">
            <w:pPr>
              <w:snapToGrid w:val="0"/>
              <w:spacing w:line="460" w:lineRule="exact"/>
              <w:jc w:val="center"/>
              <w:rPr>
                <w:rFonts w:ascii="宋体" w:hAnsi="宋体" w:cs="宋体"/>
                <w:color w:val="auto"/>
                <w:kern w:val="21"/>
                <w:sz w:val="20"/>
                <w:szCs w:val="21"/>
                <w:highlight w:val="none"/>
              </w:rPr>
            </w:pPr>
            <w:r>
              <w:rPr>
                <w:rFonts w:hint="eastAsia" w:ascii="宋体" w:hAnsi="宋体" w:cs="宋体"/>
                <w:color w:val="auto"/>
                <w:kern w:val="21"/>
                <w:szCs w:val="21"/>
                <w:highlight w:val="none"/>
              </w:rPr>
              <w:t>项目名称</w:t>
            </w:r>
          </w:p>
        </w:tc>
        <w:tc>
          <w:tcPr>
            <w:tcW w:w="7836" w:type="dxa"/>
            <w:tcBorders>
              <w:top w:val="single" w:color="auto" w:sz="12" w:space="0"/>
              <w:left w:val="single" w:color="auto" w:sz="12" w:space="0"/>
              <w:bottom w:val="single" w:color="auto" w:sz="12" w:space="0"/>
            </w:tcBorders>
            <w:vAlign w:val="center"/>
          </w:tcPr>
          <w:p w14:paraId="68BB96FA">
            <w:pPr>
              <w:snapToGrid w:val="0"/>
              <w:spacing w:line="460" w:lineRule="exact"/>
              <w:jc w:val="center"/>
              <w:rPr>
                <w:rFonts w:ascii="宋体" w:hAnsi="宋体" w:cs="宋体"/>
                <w:color w:val="auto"/>
                <w:kern w:val="21"/>
                <w:sz w:val="20"/>
                <w:szCs w:val="21"/>
                <w:highlight w:val="none"/>
              </w:rPr>
            </w:pPr>
          </w:p>
        </w:tc>
      </w:tr>
      <w:tr w14:paraId="601AD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812" w:type="dxa"/>
            <w:tcBorders>
              <w:top w:val="single" w:color="auto" w:sz="12" w:space="0"/>
              <w:right w:val="single" w:color="auto" w:sz="12" w:space="0"/>
            </w:tcBorders>
            <w:vAlign w:val="center"/>
          </w:tcPr>
          <w:p w14:paraId="17D27561">
            <w:pPr>
              <w:snapToGrid w:val="0"/>
              <w:spacing w:line="460" w:lineRule="exact"/>
              <w:jc w:val="center"/>
              <w:rPr>
                <w:rFonts w:ascii="宋体" w:hAnsi="宋体" w:cs="宋体"/>
                <w:color w:val="auto"/>
                <w:kern w:val="21"/>
                <w:sz w:val="20"/>
                <w:szCs w:val="21"/>
                <w:highlight w:val="none"/>
              </w:rPr>
            </w:pPr>
            <w:r>
              <w:rPr>
                <w:rFonts w:hint="eastAsia" w:ascii="宋体" w:hAnsi="宋体" w:cs="宋体"/>
                <w:color w:val="auto"/>
                <w:kern w:val="21"/>
                <w:szCs w:val="21"/>
                <w:highlight w:val="none"/>
              </w:rPr>
              <w:t>项目编号</w:t>
            </w:r>
          </w:p>
        </w:tc>
        <w:tc>
          <w:tcPr>
            <w:tcW w:w="7836" w:type="dxa"/>
            <w:tcBorders>
              <w:top w:val="single" w:color="auto" w:sz="12" w:space="0"/>
              <w:left w:val="single" w:color="auto" w:sz="12" w:space="0"/>
            </w:tcBorders>
            <w:vAlign w:val="center"/>
          </w:tcPr>
          <w:p w14:paraId="7FEDC7E7">
            <w:pPr>
              <w:snapToGrid w:val="0"/>
              <w:spacing w:line="460" w:lineRule="exact"/>
              <w:jc w:val="center"/>
              <w:rPr>
                <w:rFonts w:ascii="宋体" w:hAnsi="宋体" w:cs="宋体"/>
                <w:color w:val="auto"/>
                <w:kern w:val="21"/>
                <w:sz w:val="20"/>
                <w:szCs w:val="21"/>
                <w:highlight w:val="none"/>
              </w:rPr>
            </w:pPr>
          </w:p>
        </w:tc>
      </w:tr>
      <w:tr w14:paraId="55201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812" w:type="dxa"/>
            <w:tcBorders>
              <w:right w:val="single" w:color="auto" w:sz="12" w:space="0"/>
            </w:tcBorders>
            <w:vAlign w:val="center"/>
          </w:tcPr>
          <w:p w14:paraId="007FDDD7">
            <w:pPr>
              <w:snapToGrid w:val="0"/>
              <w:spacing w:line="460" w:lineRule="exact"/>
              <w:jc w:val="center"/>
              <w:rPr>
                <w:rFonts w:ascii="宋体" w:hAnsi="宋体" w:cs="宋体"/>
                <w:color w:val="auto"/>
                <w:kern w:val="21"/>
                <w:sz w:val="20"/>
                <w:szCs w:val="21"/>
                <w:highlight w:val="none"/>
              </w:rPr>
            </w:pPr>
            <w:r>
              <w:rPr>
                <w:rFonts w:hint="eastAsia" w:ascii="宋体" w:hAnsi="宋体" w:cs="宋体"/>
                <w:color w:val="auto"/>
                <w:kern w:val="21"/>
                <w:szCs w:val="21"/>
                <w:highlight w:val="none"/>
              </w:rPr>
              <w:t>供应商名称</w:t>
            </w:r>
          </w:p>
        </w:tc>
        <w:tc>
          <w:tcPr>
            <w:tcW w:w="7836" w:type="dxa"/>
            <w:tcBorders>
              <w:left w:val="single" w:color="auto" w:sz="12" w:space="0"/>
            </w:tcBorders>
          </w:tcPr>
          <w:p w14:paraId="446E437E">
            <w:pPr>
              <w:snapToGrid w:val="0"/>
              <w:spacing w:line="460" w:lineRule="exact"/>
              <w:jc w:val="center"/>
              <w:rPr>
                <w:rFonts w:ascii="宋体" w:hAnsi="宋体" w:cs="宋体"/>
                <w:color w:val="auto"/>
                <w:kern w:val="21"/>
                <w:sz w:val="20"/>
                <w:szCs w:val="21"/>
                <w:highlight w:val="none"/>
              </w:rPr>
            </w:pPr>
          </w:p>
        </w:tc>
      </w:tr>
      <w:tr w14:paraId="40DA2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1812" w:type="dxa"/>
            <w:tcBorders>
              <w:right w:val="single" w:color="auto" w:sz="12" w:space="0"/>
            </w:tcBorders>
            <w:vAlign w:val="center"/>
          </w:tcPr>
          <w:p w14:paraId="4A153291">
            <w:pPr>
              <w:snapToGrid w:val="0"/>
              <w:spacing w:line="460" w:lineRule="exact"/>
              <w:jc w:val="center"/>
              <w:rPr>
                <w:rFonts w:ascii="宋体" w:hAnsi="宋体" w:cs="宋体"/>
                <w:color w:val="auto"/>
                <w:kern w:val="21"/>
                <w:sz w:val="20"/>
                <w:szCs w:val="21"/>
                <w:highlight w:val="none"/>
              </w:rPr>
            </w:pPr>
            <w:r>
              <w:rPr>
                <w:rFonts w:hint="eastAsia" w:ascii="宋体" w:hAnsi="宋体" w:cs="宋体"/>
                <w:color w:val="auto"/>
                <w:kern w:val="21"/>
                <w:szCs w:val="21"/>
                <w:highlight w:val="none"/>
              </w:rPr>
              <w:t>总投标价</w:t>
            </w:r>
          </w:p>
          <w:p w14:paraId="2A41CF13">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供货期</w:t>
            </w:r>
          </w:p>
          <w:p w14:paraId="39B1E30B">
            <w:pPr>
              <w:snapToGrid w:val="0"/>
              <w:spacing w:line="460" w:lineRule="exact"/>
              <w:jc w:val="center"/>
              <w:rPr>
                <w:rFonts w:ascii="宋体" w:hAnsi="宋体" w:cs="宋体"/>
                <w:color w:val="auto"/>
                <w:kern w:val="21"/>
                <w:szCs w:val="21"/>
                <w:highlight w:val="none"/>
              </w:rPr>
            </w:pPr>
            <w:r>
              <w:rPr>
                <w:rFonts w:hint="eastAsia" w:ascii="宋体" w:hAnsi="宋体" w:cs="宋体"/>
                <w:color w:val="auto"/>
                <w:kern w:val="21"/>
                <w:szCs w:val="21"/>
                <w:highlight w:val="none"/>
              </w:rPr>
              <w:t>质保期</w:t>
            </w:r>
          </w:p>
          <w:p w14:paraId="78600059">
            <w:pPr>
              <w:snapToGrid w:val="0"/>
              <w:spacing w:line="460" w:lineRule="exact"/>
              <w:jc w:val="center"/>
              <w:rPr>
                <w:color w:val="auto"/>
                <w:highlight w:val="none"/>
              </w:rPr>
            </w:pPr>
            <w:r>
              <w:rPr>
                <w:rFonts w:hint="eastAsia" w:hAnsi="宋体" w:cs="宋体"/>
                <w:color w:val="auto"/>
                <w:szCs w:val="21"/>
                <w:highlight w:val="none"/>
              </w:rPr>
              <w:t>质量要求</w:t>
            </w:r>
          </w:p>
        </w:tc>
        <w:tc>
          <w:tcPr>
            <w:tcW w:w="7836" w:type="dxa"/>
            <w:tcBorders>
              <w:left w:val="single" w:color="auto" w:sz="12" w:space="0"/>
            </w:tcBorders>
            <w:vAlign w:val="center"/>
          </w:tcPr>
          <w:p w14:paraId="15FA50FE">
            <w:pPr>
              <w:snapToGrid w:val="0"/>
              <w:spacing w:line="460" w:lineRule="exact"/>
              <w:jc w:val="left"/>
              <w:rPr>
                <w:rFonts w:ascii="宋体" w:hAnsi="宋体" w:cs="宋体"/>
                <w:color w:val="auto"/>
                <w:highlight w:val="none"/>
              </w:rPr>
            </w:pPr>
            <w:r>
              <w:rPr>
                <w:rFonts w:hint="eastAsia" w:ascii="宋体" w:hAnsi="宋体" w:cs="宋体"/>
                <w:color w:val="auto"/>
                <w:highlight w:val="none"/>
              </w:rPr>
              <w:t>总投标价 （大写）：</w:t>
            </w:r>
          </w:p>
          <w:p w14:paraId="3F01E116">
            <w:pPr>
              <w:snapToGrid w:val="0"/>
              <w:spacing w:line="460" w:lineRule="exact"/>
              <w:ind w:firstLine="1050" w:firstLineChars="500"/>
              <w:jc w:val="left"/>
              <w:rPr>
                <w:rFonts w:ascii="宋体" w:hAnsi="宋体" w:cs="宋体"/>
                <w:color w:val="auto"/>
                <w:highlight w:val="none"/>
              </w:rPr>
            </w:pPr>
            <w:r>
              <w:rPr>
                <w:rFonts w:hint="eastAsia" w:ascii="宋体" w:hAnsi="宋体" w:cs="宋体"/>
                <w:color w:val="auto"/>
                <w:highlight w:val="none"/>
              </w:rPr>
              <w:t>(小写) ：</w:t>
            </w:r>
          </w:p>
          <w:p w14:paraId="4624E767">
            <w:pPr>
              <w:snapToGrid w:val="0"/>
              <w:spacing w:line="460" w:lineRule="exact"/>
              <w:jc w:val="left"/>
              <w:rPr>
                <w:rFonts w:ascii="宋体" w:hAnsi="宋体" w:cs="宋体"/>
                <w:color w:val="auto"/>
                <w:highlight w:val="none"/>
              </w:rPr>
            </w:pPr>
            <w:r>
              <w:rPr>
                <w:rFonts w:hint="eastAsia" w:ascii="宋体" w:hAnsi="宋体" w:cs="宋体"/>
                <w:color w:val="auto"/>
                <w:highlight w:val="none"/>
              </w:rPr>
              <w:t xml:space="preserve">供货期： </w:t>
            </w:r>
          </w:p>
          <w:p w14:paraId="10CE2F2A">
            <w:pPr>
              <w:snapToGrid w:val="0"/>
              <w:spacing w:line="460" w:lineRule="exact"/>
              <w:jc w:val="left"/>
              <w:rPr>
                <w:rFonts w:ascii="宋体" w:hAnsi="宋体" w:cs="宋体"/>
                <w:color w:val="auto"/>
                <w:highlight w:val="none"/>
              </w:rPr>
            </w:pPr>
            <w:r>
              <w:rPr>
                <w:rFonts w:hint="eastAsia" w:ascii="宋体" w:hAnsi="宋体" w:cs="宋体"/>
                <w:color w:val="auto"/>
                <w:highlight w:val="none"/>
              </w:rPr>
              <w:t>质保期：</w:t>
            </w:r>
          </w:p>
          <w:p w14:paraId="50F42271">
            <w:pPr>
              <w:snapToGrid w:val="0"/>
              <w:spacing w:line="460" w:lineRule="exact"/>
              <w:jc w:val="left"/>
              <w:rPr>
                <w:rFonts w:ascii="宋体" w:hAnsi="宋体" w:cs="宋体"/>
                <w:color w:val="auto"/>
                <w:highlight w:val="none"/>
              </w:rPr>
            </w:pPr>
            <w:r>
              <w:rPr>
                <w:rFonts w:hint="eastAsia" w:hAnsi="宋体" w:cs="宋体"/>
                <w:color w:val="auto"/>
                <w:szCs w:val="21"/>
                <w:highlight w:val="none"/>
              </w:rPr>
              <w:t>质量要求</w:t>
            </w:r>
            <w:r>
              <w:rPr>
                <w:rFonts w:hint="eastAsia" w:ascii="宋体" w:hAnsi="宋体" w:cs="宋体"/>
                <w:color w:val="auto"/>
                <w:highlight w:val="none"/>
              </w:rPr>
              <w:t>：（合格/不合格）</w:t>
            </w:r>
          </w:p>
        </w:tc>
      </w:tr>
      <w:tr w14:paraId="663A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9648" w:type="dxa"/>
            <w:gridSpan w:val="2"/>
            <w:vAlign w:val="center"/>
          </w:tcPr>
          <w:p w14:paraId="0D28831B">
            <w:pPr>
              <w:snapToGrid w:val="0"/>
              <w:spacing w:line="460" w:lineRule="exact"/>
              <w:jc w:val="left"/>
              <w:rPr>
                <w:rFonts w:ascii="宋体" w:hAnsi="宋体" w:cs="宋体"/>
                <w:color w:val="auto"/>
                <w:highlight w:val="none"/>
              </w:rPr>
            </w:pPr>
            <w:r>
              <w:rPr>
                <w:rFonts w:hint="eastAsia" w:ascii="宋体" w:hAnsi="宋体" w:cs="宋体"/>
                <w:color w:val="auto"/>
                <w:kern w:val="2"/>
                <w:sz w:val="22"/>
                <w:szCs w:val="22"/>
                <w:highlight w:val="none"/>
              </w:rPr>
              <w:t>注：投标文件内应附保证金转账凭证复印件或扫描件或银行保函复印件或扫描件或专业担保公司担保函复印件或扫描件。</w:t>
            </w:r>
          </w:p>
        </w:tc>
      </w:tr>
    </w:tbl>
    <w:p w14:paraId="66550877">
      <w:pPr>
        <w:widowControl w:val="0"/>
        <w:snapToGrid w:val="0"/>
        <w:spacing w:line="460" w:lineRule="exact"/>
        <w:ind w:left="2940" w:leftChars="1400" w:firstLine="602" w:firstLineChars="300"/>
        <w:rPr>
          <w:rFonts w:ascii="宋体" w:hAnsi="宋体" w:cs="宋体"/>
          <w:b/>
          <w:color w:val="auto"/>
          <w:kern w:val="21"/>
          <w:sz w:val="20"/>
          <w:szCs w:val="21"/>
          <w:highlight w:val="none"/>
        </w:rPr>
      </w:pPr>
    </w:p>
    <w:p w14:paraId="6732B830">
      <w:pPr>
        <w:widowControl w:val="0"/>
        <w:snapToGrid w:val="0"/>
        <w:spacing w:line="460" w:lineRule="exact"/>
        <w:ind w:left="2940" w:leftChars="1400" w:firstLine="602" w:firstLineChars="300"/>
        <w:rPr>
          <w:rFonts w:ascii="宋体" w:hAnsi="宋体" w:cs="宋体"/>
          <w:b/>
          <w:color w:val="auto"/>
          <w:kern w:val="21"/>
          <w:sz w:val="20"/>
          <w:szCs w:val="21"/>
          <w:highlight w:val="none"/>
        </w:rPr>
      </w:pPr>
    </w:p>
    <w:p w14:paraId="1FD0E60D">
      <w:pPr>
        <w:snapToGrid w:val="0"/>
        <w:ind w:firstLine="2730" w:firstLineChars="1300"/>
        <w:rPr>
          <w:rFonts w:ascii="宋体" w:hAnsi="宋体" w:cs="宋体"/>
          <w:color w:val="auto"/>
          <w:kern w:val="21"/>
          <w:sz w:val="20"/>
          <w:szCs w:val="21"/>
          <w:highlight w:val="none"/>
        </w:rPr>
      </w:pPr>
      <w:r>
        <w:rPr>
          <w:rFonts w:hint="eastAsia" w:ascii="宋体" w:hAnsi="宋体" w:cs="宋体"/>
          <w:color w:val="auto"/>
          <w:kern w:val="21"/>
          <w:szCs w:val="21"/>
          <w:highlight w:val="none"/>
        </w:rPr>
        <w:t xml:space="preserve"> 供应商：</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(盖单位公章)</w:t>
      </w:r>
    </w:p>
    <w:p w14:paraId="2C1647AE">
      <w:pPr>
        <w:snapToGrid w:val="0"/>
        <w:rPr>
          <w:rFonts w:ascii="宋体" w:hAnsi="宋体" w:cs="宋体"/>
          <w:color w:val="auto"/>
          <w:kern w:val="21"/>
          <w:sz w:val="20"/>
          <w:szCs w:val="21"/>
          <w:highlight w:val="none"/>
        </w:rPr>
      </w:pPr>
    </w:p>
    <w:p w14:paraId="6DC8B892">
      <w:pPr>
        <w:snapToGrid w:val="0"/>
        <w:ind w:firstLine="2940" w:firstLineChars="1400"/>
        <w:rPr>
          <w:rFonts w:ascii="宋体" w:hAnsi="宋体" w:cs="宋体"/>
          <w:color w:val="auto"/>
          <w:kern w:val="21"/>
          <w:sz w:val="20"/>
          <w:szCs w:val="21"/>
          <w:highlight w:val="none"/>
        </w:rPr>
      </w:pPr>
      <w:r>
        <w:rPr>
          <w:rFonts w:hint="eastAsia" w:ascii="宋体" w:hAnsi="宋体" w:cs="宋体"/>
          <w:color w:val="auto"/>
          <w:kern w:val="21"/>
          <w:szCs w:val="21"/>
          <w:highlight w:val="none"/>
        </w:rPr>
        <w:t>法定代表人或委托代理人：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(签字或盖章)</w:t>
      </w:r>
    </w:p>
    <w:p w14:paraId="485DBB7D">
      <w:pPr>
        <w:snapToGrid w:val="0"/>
        <w:ind w:firstLine="1000" w:firstLineChars="500"/>
        <w:rPr>
          <w:rFonts w:ascii="宋体" w:hAnsi="宋体" w:cs="宋体"/>
          <w:color w:val="auto"/>
          <w:kern w:val="21"/>
          <w:sz w:val="20"/>
          <w:szCs w:val="21"/>
          <w:highlight w:val="none"/>
        </w:rPr>
      </w:pPr>
    </w:p>
    <w:p w14:paraId="4EEE8D64">
      <w:pPr>
        <w:widowControl w:val="0"/>
        <w:snapToGrid w:val="0"/>
        <w:spacing w:before="312" w:after="312" w:line="360" w:lineRule="auto"/>
        <w:ind w:firstLine="2940" w:firstLineChars="1400"/>
        <w:rPr>
          <w:rFonts w:ascii="宋体" w:hAnsi="宋体" w:cs="宋体"/>
          <w:color w:val="auto"/>
          <w:kern w:val="21"/>
          <w:sz w:val="20"/>
          <w:szCs w:val="21"/>
          <w:highlight w:val="none"/>
        </w:rPr>
      </w:pPr>
      <w:r>
        <w:rPr>
          <w:rFonts w:hint="eastAsia" w:ascii="宋体" w:hAnsi="宋体" w:cs="宋体"/>
          <w:color w:val="auto"/>
          <w:kern w:val="21"/>
          <w:szCs w:val="21"/>
          <w:highlight w:val="none"/>
        </w:rPr>
        <w:t>日   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日 </w:t>
      </w:r>
    </w:p>
    <w:p w14:paraId="30B30D25">
      <w:pPr>
        <w:widowControl w:val="0"/>
        <w:snapToGrid w:val="0"/>
        <w:spacing w:before="312" w:after="312" w:line="360" w:lineRule="auto"/>
        <w:jc w:val="center"/>
        <w:rPr>
          <w:rFonts w:ascii="宋体" w:hAnsi="宋体" w:cs="宋体"/>
          <w:color w:val="auto"/>
          <w:kern w:val="21"/>
          <w:sz w:val="20"/>
          <w:szCs w:val="21"/>
          <w:highlight w:val="none"/>
        </w:rPr>
      </w:pPr>
    </w:p>
    <w:p w14:paraId="600C19C8">
      <w:pPr>
        <w:snapToGrid w:val="0"/>
        <w:jc w:val="center"/>
        <w:rPr>
          <w:rFonts w:ascii="宋体" w:hAnsi="宋体" w:cs="宋体"/>
          <w:b/>
          <w:bCs/>
          <w:color w:val="auto"/>
          <w:sz w:val="24"/>
          <w:szCs w:val="24"/>
          <w:highlight w:val="none"/>
        </w:rPr>
      </w:pPr>
      <w:bookmarkStart w:id="90" w:name="_Toc60929139"/>
      <w:bookmarkStart w:id="91" w:name="_Toc62194351"/>
      <w:bookmarkStart w:id="92" w:name="_Toc216582815"/>
      <w:bookmarkStart w:id="93" w:name="_Toc60928907"/>
    </w:p>
    <w:p w14:paraId="4B460996">
      <w:pPr>
        <w:pStyle w:val="39"/>
        <w:snapToGrid w:val="0"/>
        <w:spacing w:line="357" w:lineRule="atLeast"/>
        <w:textAlignment w:val="baseline"/>
        <w:rPr>
          <w:rFonts w:ascii="宋体" w:hAnsi="宋体" w:cs="宋体"/>
          <w:color w:val="auto"/>
          <w:highlight w:val="none"/>
        </w:rPr>
      </w:pPr>
    </w:p>
    <w:p w14:paraId="58EAA9F7">
      <w:pPr>
        <w:pStyle w:val="12"/>
        <w:rPr>
          <w:rFonts w:ascii="宋体" w:hAnsi="宋体" w:eastAsia="宋体" w:cs="宋体"/>
          <w:color w:val="auto"/>
          <w:highlight w:val="none"/>
        </w:rPr>
      </w:pPr>
    </w:p>
    <w:p w14:paraId="3D8746D7">
      <w:pPr>
        <w:snapToGrid w:val="0"/>
        <w:jc w:val="center"/>
        <w:rPr>
          <w:rFonts w:ascii="宋体" w:hAnsi="宋体" w:cs="宋体"/>
          <w:b/>
          <w:bCs/>
          <w:color w:val="auto"/>
          <w:sz w:val="24"/>
          <w:szCs w:val="24"/>
          <w:highlight w:val="none"/>
        </w:rPr>
        <w:sectPr>
          <w:pgSz w:w="11906" w:h="16838"/>
          <w:pgMar w:top="1440" w:right="1083" w:bottom="1440" w:left="1083" w:header="850" w:footer="992" w:gutter="0"/>
          <w:cols w:space="0" w:num="1"/>
          <w:docGrid w:linePitch="312" w:charSpace="0"/>
        </w:sectPr>
      </w:pPr>
    </w:p>
    <w:bookmarkEnd w:id="90"/>
    <w:bookmarkEnd w:id="91"/>
    <w:bookmarkEnd w:id="92"/>
    <w:bookmarkEnd w:id="93"/>
    <w:p w14:paraId="09B58558">
      <w:pPr>
        <w:pStyle w:val="4"/>
        <w:rPr>
          <w:rFonts w:ascii="宋体" w:hAnsi="宋体" w:cs="宋体"/>
          <w:color w:val="auto"/>
          <w:highlight w:val="none"/>
        </w:rPr>
      </w:pPr>
      <w:bookmarkStart w:id="94" w:name="_Toc16869"/>
      <w:bookmarkStart w:id="95" w:name="_Toc25897"/>
      <w:bookmarkStart w:id="96" w:name="_Toc449368382"/>
      <w:bookmarkStart w:id="97" w:name="_Toc450138947"/>
      <w:r>
        <w:rPr>
          <w:rFonts w:hint="eastAsia" w:ascii="宋体" w:hAnsi="宋体" w:cs="宋体"/>
          <w:color w:val="auto"/>
          <w:highlight w:val="none"/>
        </w:rPr>
        <w:t>投标报价表格格式</w:t>
      </w:r>
      <w:bookmarkEnd w:id="94"/>
    </w:p>
    <w:p w14:paraId="13C92F47">
      <w:pPr>
        <w:spacing w:line="360" w:lineRule="auto"/>
        <w:jc w:val="left"/>
        <w:rPr>
          <w:rFonts w:ascii="宋体" w:hAnsi="宋体" w:cs="宋体"/>
          <w:color w:val="auto"/>
          <w:kern w:val="21"/>
          <w:szCs w:val="21"/>
          <w:highlight w:val="none"/>
        </w:rPr>
      </w:pPr>
      <w:r>
        <w:rPr>
          <w:rFonts w:hint="eastAsia" w:ascii="宋体" w:hAnsi="宋体" w:cs="宋体"/>
          <w:color w:val="auto"/>
          <w:kern w:val="21"/>
          <w:szCs w:val="21"/>
          <w:highlight w:val="none"/>
        </w:rPr>
        <w:t>项目名称;</w:t>
      </w:r>
      <w:r>
        <w:rPr>
          <w:rFonts w:hint="eastAsia" w:ascii="宋体" w:hAnsi="宋体" w:cs="宋体"/>
          <w:color w:val="auto"/>
          <w:kern w:val="21"/>
          <w:szCs w:val="21"/>
          <w:highlight w:val="none"/>
          <w:u w:val="single"/>
        </w:rPr>
        <w:t xml:space="preserve">                           </w:t>
      </w:r>
    </w:p>
    <w:p w14:paraId="28277403">
      <w:pPr>
        <w:spacing w:line="360" w:lineRule="auto"/>
        <w:jc w:val="left"/>
        <w:rPr>
          <w:rFonts w:ascii="宋体" w:hAnsi="宋体" w:cs="宋体"/>
          <w:color w:val="auto"/>
          <w:kern w:val="21"/>
          <w:szCs w:val="21"/>
          <w:highlight w:val="none"/>
          <w:u w:val="single"/>
        </w:rPr>
      </w:pPr>
      <w:r>
        <w:rPr>
          <w:rFonts w:hint="eastAsia" w:ascii="宋体" w:hAnsi="宋体" w:cs="宋体"/>
          <w:color w:val="auto"/>
          <w:kern w:val="21"/>
          <w:szCs w:val="21"/>
          <w:highlight w:val="none"/>
        </w:rPr>
        <w:t>项目编号：</w:t>
      </w:r>
      <w:r>
        <w:rPr>
          <w:rFonts w:hint="eastAsia" w:ascii="宋体" w:hAnsi="宋体" w:cs="宋体"/>
          <w:color w:val="auto"/>
          <w:kern w:val="21"/>
          <w:szCs w:val="21"/>
          <w:highlight w:val="none"/>
          <w:u w:val="single"/>
        </w:rPr>
        <w:t xml:space="preserve">                          </w:t>
      </w:r>
    </w:p>
    <w:p w14:paraId="0C9A59EE">
      <w:pPr>
        <w:pStyle w:val="8"/>
        <w:rPr>
          <w:rFonts w:ascii="宋体" w:hAnsi="宋体" w:cs="宋体"/>
          <w:b/>
          <w:bCs/>
          <w:color w:val="auto"/>
          <w:szCs w:val="21"/>
          <w:highlight w:val="none"/>
        </w:rPr>
      </w:pPr>
    </w:p>
    <w:p w14:paraId="1878B3D7">
      <w:pPr>
        <w:rPr>
          <w:rFonts w:ascii="宋体" w:hAnsi="宋体" w:cs="宋体"/>
          <w:b/>
          <w:bCs/>
          <w:color w:val="auto"/>
          <w:szCs w:val="21"/>
          <w:highlight w:val="none"/>
        </w:rPr>
      </w:pPr>
    </w:p>
    <w:p w14:paraId="6997F14E">
      <w:pPr>
        <w:pStyle w:val="8"/>
        <w:rPr>
          <w:rFonts w:ascii="宋体" w:hAnsi="宋体" w:cs="宋体"/>
          <w:b/>
          <w:bCs/>
          <w:color w:val="auto"/>
          <w:szCs w:val="21"/>
          <w:highlight w:val="none"/>
        </w:rPr>
      </w:pPr>
    </w:p>
    <w:p w14:paraId="05113201">
      <w:pPr>
        <w:rPr>
          <w:rFonts w:ascii="宋体" w:hAnsi="宋体" w:cs="宋体"/>
          <w:b/>
          <w:bCs/>
          <w:color w:val="auto"/>
          <w:szCs w:val="21"/>
          <w:highlight w:val="none"/>
        </w:rPr>
      </w:pPr>
    </w:p>
    <w:p w14:paraId="7FB7FCB8">
      <w:pPr>
        <w:pStyle w:val="8"/>
        <w:rPr>
          <w:rFonts w:ascii="宋体" w:hAnsi="宋体" w:cs="宋体"/>
          <w:b/>
          <w:bCs/>
          <w:color w:val="auto"/>
          <w:szCs w:val="21"/>
          <w:highlight w:val="none"/>
        </w:rPr>
      </w:pPr>
    </w:p>
    <w:p w14:paraId="50670D10">
      <w:pPr>
        <w:rPr>
          <w:rFonts w:ascii="宋体" w:hAnsi="宋体" w:cs="宋体"/>
          <w:b/>
          <w:bCs/>
          <w:color w:val="auto"/>
          <w:szCs w:val="21"/>
          <w:highlight w:val="none"/>
        </w:rPr>
      </w:pPr>
    </w:p>
    <w:p w14:paraId="1C6D0026">
      <w:pPr>
        <w:pStyle w:val="8"/>
        <w:rPr>
          <w:rFonts w:ascii="宋体" w:hAnsi="宋体" w:cs="宋体"/>
          <w:b/>
          <w:bCs/>
          <w:color w:val="auto"/>
          <w:szCs w:val="21"/>
          <w:highlight w:val="none"/>
        </w:rPr>
      </w:pPr>
    </w:p>
    <w:p w14:paraId="1CAB6369">
      <w:pPr>
        <w:rPr>
          <w:rFonts w:ascii="宋体" w:hAnsi="宋体" w:cs="宋体"/>
          <w:color w:val="auto"/>
          <w:kern w:val="21"/>
          <w:szCs w:val="21"/>
          <w:highlight w:val="none"/>
          <w:u w:val="single"/>
        </w:rPr>
      </w:pPr>
    </w:p>
    <w:p w14:paraId="7611700F">
      <w:pPr>
        <w:pStyle w:val="8"/>
        <w:rPr>
          <w:rFonts w:ascii="宋体" w:hAnsi="宋体" w:cs="宋体"/>
          <w:color w:val="auto"/>
          <w:kern w:val="21"/>
          <w:szCs w:val="21"/>
          <w:highlight w:val="none"/>
          <w:u w:val="single"/>
        </w:rPr>
      </w:pPr>
    </w:p>
    <w:p w14:paraId="1604E324">
      <w:pPr>
        <w:rPr>
          <w:rFonts w:ascii="宋体" w:hAnsi="宋体" w:cs="宋体"/>
          <w:color w:val="auto"/>
          <w:highlight w:val="none"/>
        </w:rPr>
      </w:pPr>
    </w:p>
    <w:p w14:paraId="548AA0F0">
      <w:pPr>
        <w:tabs>
          <w:tab w:val="left" w:pos="1800"/>
          <w:tab w:val="left" w:pos="5580"/>
        </w:tabs>
        <w:spacing w:line="360" w:lineRule="auto"/>
        <w:ind w:right="-867" w:rightChars="-413"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报价单位：（人民币）元 </w:t>
      </w:r>
    </w:p>
    <w:p w14:paraId="654CEE41">
      <w:pPr>
        <w:tabs>
          <w:tab w:val="left" w:pos="480"/>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备注：供应商可根据采购清单格式，自主报价，描述清楚所投内容参数、型号、品牌等。</w:t>
      </w:r>
    </w:p>
    <w:p w14:paraId="535D1000">
      <w:pPr>
        <w:jc w:val="right"/>
        <w:rPr>
          <w:rFonts w:ascii="宋体" w:hAnsi="宋体" w:cs="宋体"/>
          <w:color w:val="auto"/>
          <w:highlight w:val="none"/>
        </w:rPr>
      </w:pPr>
      <w:r>
        <w:rPr>
          <w:rFonts w:hint="eastAsia" w:ascii="宋体" w:hAnsi="宋体" w:cs="宋体"/>
          <w:color w:val="auto"/>
          <w:kern w:val="21"/>
          <w:szCs w:val="21"/>
          <w:highlight w:val="none"/>
        </w:rPr>
        <w:t xml:space="preserve">供应商：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(盖单位公章)</w:t>
      </w:r>
    </w:p>
    <w:p w14:paraId="343BA86B">
      <w:pPr>
        <w:ind w:firstLine="2940" w:firstLineChars="1400"/>
        <w:jc w:val="right"/>
        <w:rPr>
          <w:rFonts w:ascii="宋体" w:hAnsi="宋体" w:cs="宋体"/>
          <w:color w:val="auto"/>
          <w:kern w:val="21"/>
          <w:szCs w:val="21"/>
          <w:highlight w:val="none"/>
        </w:rPr>
      </w:pPr>
      <w:r>
        <w:rPr>
          <w:rFonts w:hint="eastAsia" w:ascii="宋体" w:hAnsi="宋体" w:cs="宋体"/>
          <w:color w:val="auto"/>
          <w:kern w:val="21"/>
          <w:szCs w:val="21"/>
          <w:highlight w:val="none"/>
        </w:rPr>
        <w:t>法定代表人或委托代理人：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(签字或盖章)</w:t>
      </w:r>
    </w:p>
    <w:p w14:paraId="6FB8D13B">
      <w:pPr>
        <w:ind w:firstLine="1050" w:firstLineChars="500"/>
        <w:jc w:val="right"/>
        <w:rPr>
          <w:rFonts w:ascii="宋体" w:hAnsi="宋体" w:cs="宋体"/>
          <w:color w:val="auto"/>
          <w:kern w:val="21"/>
          <w:szCs w:val="21"/>
          <w:highlight w:val="none"/>
        </w:rPr>
      </w:pPr>
    </w:p>
    <w:p w14:paraId="203FC5C3">
      <w:pPr>
        <w:widowControl w:val="0"/>
        <w:snapToGrid w:val="0"/>
        <w:spacing w:before="240" w:beforeLines="100" w:after="240" w:afterLines="100" w:line="360" w:lineRule="auto"/>
        <w:ind w:firstLine="2940" w:firstLineChars="1400"/>
        <w:jc w:val="center"/>
        <w:rPr>
          <w:rFonts w:ascii="宋体" w:hAnsi="宋体" w:cs="宋体"/>
          <w:color w:val="auto"/>
          <w:kern w:val="21"/>
          <w:szCs w:val="21"/>
          <w:highlight w:val="none"/>
        </w:rPr>
      </w:pPr>
      <w:r>
        <w:rPr>
          <w:rFonts w:hint="eastAsia" w:ascii="宋体" w:hAnsi="宋体" w:cs="宋体"/>
          <w:color w:val="auto"/>
          <w:kern w:val="21"/>
          <w:szCs w:val="21"/>
          <w:highlight w:val="none"/>
        </w:rPr>
        <w:t>日   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日 </w:t>
      </w:r>
    </w:p>
    <w:p w14:paraId="49929119">
      <w:pPr>
        <w:rPr>
          <w:rFonts w:ascii="宋体" w:hAnsi="宋体" w:cs="宋体"/>
          <w:b/>
          <w:bCs/>
          <w:color w:val="auto"/>
          <w:szCs w:val="21"/>
          <w:highlight w:val="none"/>
        </w:rPr>
      </w:pPr>
    </w:p>
    <w:p w14:paraId="16D53BF5">
      <w:pPr>
        <w:pStyle w:val="8"/>
        <w:rPr>
          <w:rFonts w:ascii="宋体" w:hAnsi="宋体" w:cs="宋体"/>
          <w:b/>
          <w:bCs/>
          <w:color w:val="auto"/>
          <w:szCs w:val="21"/>
          <w:highlight w:val="none"/>
        </w:rPr>
      </w:pPr>
    </w:p>
    <w:p w14:paraId="0D69F19C">
      <w:pPr>
        <w:rPr>
          <w:rFonts w:ascii="宋体" w:hAnsi="宋体" w:cs="宋体"/>
          <w:b/>
          <w:bCs/>
          <w:color w:val="auto"/>
          <w:szCs w:val="21"/>
          <w:highlight w:val="none"/>
        </w:rPr>
      </w:pPr>
    </w:p>
    <w:p w14:paraId="3466ABB7">
      <w:pPr>
        <w:pStyle w:val="8"/>
        <w:rPr>
          <w:rFonts w:ascii="宋体" w:hAnsi="宋体" w:cs="宋体"/>
          <w:b/>
          <w:bCs/>
          <w:color w:val="auto"/>
          <w:szCs w:val="21"/>
          <w:highlight w:val="none"/>
        </w:rPr>
      </w:pPr>
    </w:p>
    <w:p w14:paraId="61D64E3D">
      <w:pPr>
        <w:rPr>
          <w:rFonts w:ascii="宋体" w:hAnsi="宋体" w:cs="宋体"/>
          <w:b/>
          <w:bCs/>
          <w:color w:val="auto"/>
          <w:szCs w:val="21"/>
          <w:highlight w:val="none"/>
        </w:rPr>
      </w:pPr>
    </w:p>
    <w:p w14:paraId="7584744A">
      <w:pPr>
        <w:pStyle w:val="8"/>
        <w:rPr>
          <w:rFonts w:ascii="宋体" w:hAnsi="宋体" w:cs="宋体"/>
          <w:b/>
          <w:bCs/>
          <w:color w:val="auto"/>
          <w:szCs w:val="21"/>
          <w:highlight w:val="none"/>
        </w:rPr>
      </w:pPr>
    </w:p>
    <w:p w14:paraId="756E3DEE">
      <w:pPr>
        <w:rPr>
          <w:rFonts w:ascii="宋体" w:hAnsi="宋体" w:cs="宋体"/>
          <w:b/>
          <w:bCs/>
          <w:color w:val="auto"/>
          <w:szCs w:val="21"/>
          <w:highlight w:val="none"/>
        </w:rPr>
      </w:pPr>
    </w:p>
    <w:p w14:paraId="214AC7D4">
      <w:pPr>
        <w:pStyle w:val="8"/>
        <w:rPr>
          <w:rFonts w:ascii="宋体" w:hAnsi="宋体" w:cs="宋体"/>
          <w:b/>
          <w:bCs/>
          <w:color w:val="auto"/>
          <w:szCs w:val="21"/>
          <w:highlight w:val="none"/>
        </w:rPr>
      </w:pPr>
    </w:p>
    <w:p w14:paraId="4CE0C6F0">
      <w:pPr>
        <w:rPr>
          <w:rFonts w:ascii="宋体" w:hAnsi="宋体" w:cs="宋体"/>
          <w:b/>
          <w:bCs/>
          <w:color w:val="auto"/>
          <w:szCs w:val="21"/>
          <w:highlight w:val="none"/>
        </w:rPr>
      </w:pPr>
    </w:p>
    <w:p w14:paraId="663CC47F">
      <w:pPr>
        <w:pStyle w:val="8"/>
        <w:rPr>
          <w:rFonts w:ascii="宋体" w:hAnsi="宋体" w:cs="宋体"/>
          <w:b/>
          <w:bCs/>
          <w:color w:val="auto"/>
          <w:szCs w:val="21"/>
          <w:highlight w:val="none"/>
        </w:rPr>
      </w:pPr>
    </w:p>
    <w:p w14:paraId="444B17C6">
      <w:pPr>
        <w:rPr>
          <w:rFonts w:ascii="宋体" w:hAnsi="宋体" w:cs="宋体"/>
          <w:b/>
          <w:bCs/>
          <w:color w:val="auto"/>
          <w:szCs w:val="21"/>
          <w:highlight w:val="none"/>
        </w:rPr>
      </w:pPr>
    </w:p>
    <w:p w14:paraId="0FDBE664">
      <w:pPr>
        <w:pStyle w:val="8"/>
        <w:rPr>
          <w:rFonts w:ascii="宋体" w:hAnsi="宋体" w:cs="宋体"/>
          <w:b/>
          <w:bCs/>
          <w:color w:val="auto"/>
          <w:szCs w:val="21"/>
          <w:highlight w:val="none"/>
        </w:rPr>
      </w:pPr>
    </w:p>
    <w:p w14:paraId="02224D8B">
      <w:pPr>
        <w:rPr>
          <w:rFonts w:ascii="宋体" w:hAnsi="宋体" w:cs="宋体"/>
          <w:b/>
          <w:bCs/>
          <w:color w:val="auto"/>
          <w:szCs w:val="21"/>
          <w:highlight w:val="none"/>
        </w:rPr>
      </w:pPr>
    </w:p>
    <w:p w14:paraId="79057E59">
      <w:pPr>
        <w:pStyle w:val="8"/>
        <w:rPr>
          <w:rFonts w:ascii="宋体" w:hAnsi="宋体" w:cs="宋体"/>
          <w:b/>
          <w:bCs/>
          <w:color w:val="auto"/>
          <w:szCs w:val="21"/>
          <w:highlight w:val="none"/>
        </w:rPr>
      </w:pPr>
    </w:p>
    <w:p w14:paraId="62CD06A8">
      <w:pPr>
        <w:rPr>
          <w:rFonts w:ascii="宋体" w:hAnsi="宋体" w:cs="宋体"/>
          <w:b/>
          <w:bCs/>
          <w:color w:val="auto"/>
          <w:szCs w:val="21"/>
          <w:highlight w:val="none"/>
        </w:rPr>
      </w:pPr>
    </w:p>
    <w:p w14:paraId="6E854234">
      <w:pPr>
        <w:pStyle w:val="8"/>
        <w:rPr>
          <w:rFonts w:ascii="宋体" w:hAnsi="宋体" w:cs="宋体"/>
          <w:b/>
          <w:bCs/>
          <w:color w:val="auto"/>
          <w:szCs w:val="21"/>
          <w:highlight w:val="none"/>
        </w:rPr>
      </w:pPr>
    </w:p>
    <w:p w14:paraId="0949C9AB">
      <w:pPr>
        <w:rPr>
          <w:rFonts w:ascii="宋体" w:hAnsi="宋体" w:cs="宋体"/>
          <w:b/>
          <w:bCs/>
          <w:color w:val="auto"/>
          <w:szCs w:val="21"/>
          <w:highlight w:val="none"/>
        </w:rPr>
      </w:pPr>
    </w:p>
    <w:bookmarkEnd w:id="95"/>
    <w:bookmarkEnd w:id="96"/>
    <w:bookmarkEnd w:id="97"/>
    <w:p w14:paraId="6ECA5380">
      <w:pPr>
        <w:pStyle w:val="4"/>
        <w:rPr>
          <w:rFonts w:ascii="宋体" w:hAnsi="宋体" w:cs="宋体"/>
          <w:color w:val="auto"/>
          <w:kern w:val="21"/>
          <w:highlight w:val="none"/>
        </w:rPr>
      </w:pPr>
      <w:bookmarkStart w:id="98" w:name="_Toc14107"/>
      <w:bookmarkStart w:id="99" w:name="_Toc32382"/>
      <w:r>
        <w:rPr>
          <w:rFonts w:hint="eastAsia" w:ascii="宋体" w:hAnsi="宋体" w:cs="宋体"/>
          <w:color w:val="auto"/>
          <w:kern w:val="21"/>
          <w:highlight w:val="none"/>
        </w:rPr>
        <w:t>2. 投标函</w:t>
      </w:r>
      <w:bookmarkEnd w:id="98"/>
    </w:p>
    <w:p w14:paraId="62F2400C">
      <w:pPr>
        <w:snapToGrid w:val="0"/>
        <w:spacing w:line="380" w:lineRule="exact"/>
        <w:rPr>
          <w:rFonts w:ascii="宋体" w:hAnsi="宋体" w:cs="宋体"/>
          <w:color w:val="auto"/>
          <w:kern w:val="21"/>
          <w:szCs w:val="21"/>
          <w:highlight w:val="none"/>
        </w:rPr>
      </w:pP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（采购人名称）: </w:t>
      </w:r>
    </w:p>
    <w:p w14:paraId="028FF197">
      <w:pPr>
        <w:tabs>
          <w:tab w:val="left" w:pos="63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我方收到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（项目编号、项目名称）的招标文件，经详细研究，决定参加该项目的公开招标。我方就参加本次投标有关事项郑重声明如下：</w:t>
      </w:r>
    </w:p>
    <w:p w14:paraId="6733F08A">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我方已详细审核全部招标文件，包括招标文件修改书（如有的话）、参考资料及有关附件，确认无误。我方完全理解和接受贵方招标文件的一切规定和要求及评审办法，完全理解报价超过采购预算金额时，投标将被拒绝。我方理解，最低报价不是中标的唯一条件。</w:t>
      </w:r>
    </w:p>
    <w:p w14:paraId="4E9FD14D">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我方提交的所有投标文件、资料都是准确和真实的，如有虚假或隐瞒，我方愿意承担一切法律责任。</w:t>
      </w:r>
    </w:p>
    <w:p w14:paraId="642D486B">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color w:val="auto"/>
          <w:kern w:val="21"/>
          <w:szCs w:val="21"/>
          <w:highlight w:val="none"/>
        </w:rPr>
        <w:t>我方愿以(大写：</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)人民币（小写：</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元）的投标总报价，供货期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 ，质保期：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，按合同约定实施和完成项目，质量达到</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 xml:space="preserve"> 。</w:t>
      </w:r>
    </w:p>
    <w:p w14:paraId="38401BB8">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我方现提交的投标文件为：纸质文件正本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份。电子版文件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份，U盘提交。</w:t>
      </w:r>
    </w:p>
    <w:p w14:paraId="0E743C6F">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 xml:space="preserve">我方承诺：本投标文件投标有效期：投标截止之日起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天内保持有效（日历天数）。</w:t>
      </w:r>
    </w:p>
    <w:p w14:paraId="1C3F38F5">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在整个招标与投标过程中，我方若有违规行为，接受按照《中华人民共和国政府采购法》等相关法律法规之规定给予惩罚。</w:t>
      </w:r>
    </w:p>
    <w:p w14:paraId="4078BF2F">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我方未为本采购项目提供整体设计、规范编制或者项目管理、监理、检测等服务。</w:t>
      </w:r>
    </w:p>
    <w:p w14:paraId="734B400B">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rPr>
        <w:tab/>
      </w:r>
      <w:r>
        <w:rPr>
          <w:rFonts w:hint="eastAsia" w:ascii="宋体" w:hAnsi="宋体" w:cs="宋体"/>
          <w:color w:val="auto"/>
          <w:szCs w:val="21"/>
          <w:highlight w:val="none"/>
        </w:rPr>
        <w:t>如果我方中标，我方将履行招标文件中规定的各项要求以及我方投标文件的各项承诺，按《政府采购法》、《民法典》及合同约定条款承担我方责任。本承诺函将成为合同不可分割的一部分，与合同具有同等的法律效力。</w:t>
      </w:r>
    </w:p>
    <w:p w14:paraId="28E4DB43">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ab/>
      </w:r>
      <w:r>
        <w:rPr>
          <w:rFonts w:hint="eastAsia" w:ascii="宋体" w:hAnsi="宋体" w:cs="宋体"/>
          <w:color w:val="auto"/>
          <w:szCs w:val="21"/>
          <w:highlight w:val="none"/>
        </w:rPr>
        <w:t>我方承诺：采购人若需追加采购本项目招标文件所列相关服务或货物的，在不改变合同其他实质性条款的前提下，按相同或更优惠的折扣率保证供货。</w:t>
      </w:r>
    </w:p>
    <w:p w14:paraId="6EBC5727">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 xml:space="preserve">9. 若我方中标，愿意按有关规定及招标文件要求缴纳招标代理服务费。 </w:t>
      </w:r>
    </w:p>
    <w:p w14:paraId="4A686DC0">
      <w:pPr>
        <w:tabs>
          <w:tab w:val="left" w:pos="0"/>
        </w:tabs>
        <w:snapToGrid w:val="0"/>
        <w:spacing w:line="360" w:lineRule="auto"/>
        <w:ind w:firstLine="567"/>
        <w:rPr>
          <w:rFonts w:ascii="宋体" w:hAnsi="宋体" w:cs="宋体"/>
          <w:color w:val="auto"/>
          <w:szCs w:val="21"/>
          <w:highlight w:val="none"/>
        </w:rPr>
      </w:pPr>
      <w:r>
        <w:rPr>
          <w:rFonts w:hint="eastAsia" w:ascii="宋体" w:hAnsi="宋体" w:cs="宋体"/>
          <w:color w:val="auto"/>
          <w:szCs w:val="21"/>
          <w:highlight w:val="none"/>
        </w:rPr>
        <w:t>10.我方将严格遵守《中华人民共和国政府采购法》及其实施条例的有关规定，若有违法违规行为，将接受相关法律、法规的处罚。</w:t>
      </w:r>
    </w:p>
    <w:p w14:paraId="23473EE3">
      <w:pPr>
        <w:snapToGrid w:val="0"/>
        <w:spacing w:line="380" w:lineRule="exact"/>
        <w:rPr>
          <w:rFonts w:ascii="宋体" w:hAnsi="宋体" w:cs="宋体"/>
          <w:color w:val="auto"/>
          <w:kern w:val="21"/>
          <w:sz w:val="20"/>
          <w:szCs w:val="21"/>
          <w:highlight w:val="none"/>
        </w:rPr>
      </w:pPr>
    </w:p>
    <w:p w14:paraId="7F443FA9">
      <w:pPr>
        <w:snapToGrid w:val="0"/>
        <w:spacing w:line="380" w:lineRule="exact"/>
        <w:ind w:firstLine="400" w:firstLineChars="200"/>
        <w:rPr>
          <w:rFonts w:ascii="宋体" w:hAnsi="宋体" w:cs="宋体"/>
          <w:color w:val="auto"/>
          <w:kern w:val="21"/>
          <w:sz w:val="20"/>
          <w:szCs w:val="21"/>
          <w:highlight w:val="none"/>
        </w:rPr>
      </w:pPr>
    </w:p>
    <w:p w14:paraId="784B353F">
      <w:pPr>
        <w:snapToGrid w:val="0"/>
        <w:spacing w:line="380" w:lineRule="exact"/>
        <w:ind w:left="3360" w:leftChars="1600"/>
        <w:rPr>
          <w:rFonts w:ascii="宋体" w:hAnsi="宋体" w:cs="宋体"/>
          <w:color w:val="auto"/>
          <w:kern w:val="21"/>
          <w:sz w:val="20"/>
          <w:szCs w:val="21"/>
          <w:highlight w:val="none"/>
        </w:rPr>
      </w:pPr>
      <w:r>
        <w:rPr>
          <w:rFonts w:hint="eastAsia" w:ascii="宋体" w:hAnsi="宋体" w:cs="宋体"/>
          <w:color w:val="auto"/>
          <w:kern w:val="21"/>
          <w:szCs w:val="21"/>
          <w:highlight w:val="none"/>
        </w:rPr>
        <w:t>供应商：</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（盖单位公章）</w:t>
      </w:r>
    </w:p>
    <w:p w14:paraId="78469FA7">
      <w:pPr>
        <w:snapToGrid w:val="0"/>
        <w:spacing w:line="380" w:lineRule="exact"/>
        <w:ind w:left="3360" w:leftChars="1600"/>
        <w:rPr>
          <w:rFonts w:ascii="宋体" w:hAnsi="宋体" w:cs="宋体"/>
          <w:color w:val="auto"/>
          <w:kern w:val="21"/>
          <w:sz w:val="20"/>
          <w:szCs w:val="21"/>
          <w:highlight w:val="none"/>
        </w:rPr>
      </w:pPr>
      <w:r>
        <w:rPr>
          <w:rFonts w:hint="eastAsia" w:ascii="宋体" w:hAnsi="宋体" w:cs="宋体"/>
          <w:color w:val="auto"/>
          <w:kern w:val="21"/>
          <w:szCs w:val="21"/>
          <w:highlight w:val="none"/>
        </w:rPr>
        <w:t>法定代表人或委托代理人：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(签字或盖章)</w:t>
      </w:r>
    </w:p>
    <w:p w14:paraId="4867CDEB">
      <w:pPr>
        <w:snapToGrid w:val="0"/>
        <w:spacing w:line="380" w:lineRule="exact"/>
        <w:ind w:left="3360" w:leftChars="1600"/>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地址：</w:t>
      </w:r>
      <w:r>
        <w:rPr>
          <w:rFonts w:hint="eastAsia" w:ascii="宋体" w:hAnsi="宋体" w:cs="宋体"/>
          <w:color w:val="auto"/>
          <w:kern w:val="21"/>
          <w:szCs w:val="21"/>
          <w:highlight w:val="none"/>
          <w:u w:val="single"/>
        </w:rPr>
        <w:t xml:space="preserve">                                            </w:t>
      </w:r>
    </w:p>
    <w:p w14:paraId="51537AC6">
      <w:pPr>
        <w:snapToGrid w:val="0"/>
        <w:spacing w:line="380" w:lineRule="exact"/>
        <w:ind w:left="3360" w:leftChars="1600"/>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网址：</w:t>
      </w:r>
      <w:r>
        <w:rPr>
          <w:rFonts w:hint="eastAsia" w:ascii="宋体" w:hAnsi="宋体" w:cs="宋体"/>
          <w:color w:val="auto"/>
          <w:kern w:val="21"/>
          <w:szCs w:val="21"/>
          <w:highlight w:val="none"/>
          <w:u w:val="single"/>
        </w:rPr>
        <w:t xml:space="preserve">                                            </w:t>
      </w:r>
    </w:p>
    <w:p w14:paraId="0A99E5EF">
      <w:pPr>
        <w:snapToGrid w:val="0"/>
        <w:spacing w:line="380" w:lineRule="exact"/>
        <w:ind w:left="3360" w:leftChars="1600"/>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电话：</w:t>
      </w:r>
      <w:r>
        <w:rPr>
          <w:rFonts w:hint="eastAsia" w:ascii="宋体" w:hAnsi="宋体" w:cs="宋体"/>
          <w:color w:val="auto"/>
          <w:kern w:val="21"/>
          <w:szCs w:val="21"/>
          <w:highlight w:val="none"/>
          <w:u w:val="single"/>
        </w:rPr>
        <w:t xml:space="preserve">                                            </w:t>
      </w:r>
    </w:p>
    <w:p w14:paraId="4D16B9CC">
      <w:pPr>
        <w:snapToGrid w:val="0"/>
        <w:spacing w:line="380" w:lineRule="exact"/>
        <w:ind w:left="3360" w:leftChars="1600"/>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传真：</w:t>
      </w:r>
      <w:r>
        <w:rPr>
          <w:rFonts w:hint="eastAsia" w:ascii="宋体" w:hAnsi="宋体" w:cs="宋体"/>
          <w:color w:val="auto"/>
          <w:kern w:val="21"/>
          <w:szCs w:val="21"/>
          <w:highlight w:val="none"/>
          <w:u w:val="single"/>
        </w:rPr>
        <w:t xml:space="preserve">                                            </w:t>
      </w:r>
    </w:p>
    <w:p w14:paraId="7BE294E2">
      <w:pPr>
        <w:snapToGrid w:val="0"/>
        <w:spacing w:line="380" w:lineRule="exact"/>
        <w:ind w:left="3360" w:leftChars="1600"/>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邮政编码：</w:t>
      </w:r>
      <w:r>
        <w:rPr>
          <w:rFonts w:hint="eastAsia" w:ascii="宋体" w:hAnsi="宋体" w:cs="宋体"/>
          <w:color w:val="auto"/>
          <w:kern w:val="21"/>
          <w:szCs w:val="21"/>
          <w:highlight w:val="none"/>
          <w:u w:val="single"/>
        </w:rPr>
        <w:t xml:space="preserve">                                        </w:t>
      </w:r>
    </w:p>
    <w:p w14:paraId="3E7690C5">
      <w:pPr>
        <w:snapToGrid w:val="0"/>
        <w:spacing w:line="380" w:lineRule="exact"/>
        <w:ind w:firstLine="5670" w:firstLineChars="2700"/>
        <w:rPr>
          <w:rFonts w:ascii="宋体" w:hAnsi="宋体" w:cs="宋体"/>
          <w:color w:val="auto"/>
          <w:kern w:val="21"/>
          <w:sz w:val="20"/>
          <w:highlight w:val="none"/>
        </w:rPr>
      </w:pP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日</w:t>
      </w:r>
    </w:p>
    <w:p w14:paraId="659CBA58">
      <w:pPr>
        <w:pStyle w:val="4"/>
        <w:snapToGrid w:val="0"/>
        <w:rPr>
          <w:rFonts w:ascii="宋体" w:hAnsi="宋体" w:cs="宋体"/>
          <w:color w:val="auto"/>
          <w:kern w:val="21"/>
          <w:highlight w:val="none"/>
        </w:rPr>
      </w:pPr>
      <w:r>
        <w:rPr>
          <w:rFonts w:hint="eastAsia" w:ascii="宋体" w:hAnsi="宋体" w:cs="宋体"/>
          <w:color w:val="auto"/>
          <w:kern w:val="21"/>
          <w:highlight w:val="none"/>
        </w:rPr>
        <w:t>3、法定代表人身份证明</w:t>
      </w:r>
      <w:bookmarkEnd w:id="99"/>
    </w:p>
    <w:p w14:paraId="48A5A792">
      <w:pPr>
        <w:snapToGrid w:val="0"/>
        <w:spacing w:line="600" w:lineRule="exact"/>
        <w:ind w:firstLine="420" w:firstLineChars="200"/>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供应商名称：</w:t>
      </w:r>
      <w:r>
        <w:rPr>
          <w:rFonts w:hint="eastAsia" w:ascii="宋体" w:hAnsi="宋体" w:cs="宋体"/>
          <w:color w:val="auto"/>
          <w:kern w:val="21"/>
          <w:szCs w:val="21"/>
          <w:highlight w:val="none"/>
          <w:u w:val="single"/>
        </w:rPr>
        <w:t xml:space="preserve">                              </w:t>
      </w:r>
    </w:p>
    <w:p w14:paraId="161A7192">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 xml:space="preserve">单位性质： </w:t>
      </w:r>
      <w:r>
        <w:rPr>
          <w:rFonts w:hint="eastAsia" w:ascii="宋体" w:hAnsi="宋体" w:cs="宋体"/>
          <w:color w:val="auto"/>
          <w:kern w:val="21"/>
          <w:szCs w:val="21"/>
          <w:highlight w:val="none"/>
          <w:u w:val="single"/>
        </w:rPr>
        <w:t xml:space="preserve">                               </w:t>
      </w:r>
    </w:p>
    <w:p w14:paraId="0F83A63D">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地    址：</w:t>
      </w:r>
      <w:r>
        <w:rPr>
          <w:rFonts w:hint="eastAsia" w:ascii="宋体" w:hAnsi="宋体" w:cs="宋体"/>
          <w:color w:val="auto"/>
          <w:kern w:val="21"/>
          <w:szCs w:val="21"/>
          <w:highlight w:val="none"/>
          <w:u w:val="single"/>
        </w:rPr>
        <w:t xml:space="preserve">                                </w:t>
      </w:r>
    </w:p>
    <w:p w14:paraId="488D2E7A">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成立时间：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日</w:t>
      </w:r>
    </w:p>
    <w:p w14:paraId="6B3CE0A0">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经营期限：</w:t>
      </w:r>
      <w:r>
        <w:rPr>
          <w:rFonts w:hint="eastAsia" w:ascii="宋体" w:hAnsi="宋体" w:cs="宋体"/>
          <w:color w:val="auto"/>
          <w:kern w:val="21"/>
          <w:szCs w:val="21"/>
          <w:highlight w:val="none"/>
          <w:u w:val="single"/>
        </w:rPr>
        <w:t xml:space="preserve">                               </w:t>
      </w:r>
    </w:p>
    <w:p w14:paraId="19823FF5">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姓名：</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性别：</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年龄：</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职务：</w:t>
      </w:r>
      <w:r>
        <w:rPr>
          <w:rFonts w:hint="eastAsia" w:ascii="宋体" w:hAnsi="宋体" w:cs="宋体"/>
          <w:color w:val="auto"/>
          <w:kern w:val="21"/>
          <w:szCs w:val="21"/>
          <w:highlight w:val="none"/>
          <w:u w:val="single"/>
        </w:rPr>
        <w:t xml:space="preserve">         </w:t>
      </w:r>
    </w:p>
    <w:p w14:paraId="34DC47C9">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系</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（供应商名称）的法定代表人。</w:t>
      </w:r>
    </w:p>
    <w:p w14:paraId="01BAC330">
      <w:pPr>
        <w:snapToGrid w:val="0"/>
        <w:spacing w:line="600" w:lineRule="exact"/>
        <w:ind w:firstLine="840" w:firstLineChars="400"/>
        <w:rPr>
          <w:rFonts w:ascii="宋体" w:hAnsi="宋体" w:cs="宋体"/>
          <w:color w:val="auto"/>
          <w:kern w:val="21"/>
          <w:sz w:val="20"/>
          <w:szCs w:val="21"/>
          <w:highlight w:val="none"/>
        </w:rPr>
      </w:pPr>
      <w:r>
        <w:rPr>
          <w:rFonts w:hint="eastAsia" w:ascii="宋体" w:hAnsi="宋体" w:cs="宋体"/>
          <w:color w:val="auto"/>
          <w:kern w:val="21"/>
          <w:szCs w:val="21"/>
          <w:highlight w:val="none"/>
        </w:rPr>
        <w:t>特此证明。</w:t>
      </w:r>
    </w:p>
    <w:p w14:paraId="74DEC1C1">
      <w:pPr>
        <w:snapToGrid w:val="0"/>
        <w:spacing w:line="600" w:lineRule="exact"/>
        <w:ind w:firstLine="2900" w:firstLineChars="1450"/>
        <w:rPr>
          <w:rFonts w:ascii="宋体" w:hAnsi="宋体" w:cs="宋体"/>
          <w:color w:val="auto"/>
          <w:kern w:val="21"/>
          <w:sz w:val="20"/>
          <w:szCs w:val="21"/>
          <w:highlight w:val="none"/>
        </w:rPr>
      </w:pPr>
    </w:p>
    <w:p w14:paraId="20BC0799">
      <w:pPr>
        <w:snapToGrid w:val="0"/>
        <w:spacing w:line="600" w:lineRule="exact"/>
        <w:ind w:firstLine="2900" w:firstLineChars="1450"/>
        <w:rPr>
          <w:rFonts w:ascii="宋体" w:hAnsi="宋体" w:cs="宋体"/>
          <w:color w:val="auto"/>
          <w:kern w:val="21"/>
          <w:sz w:val="20"/>
          <w:szCs w:val="21"/>
          <w:highlight w:val="none"/>
        </w:rPr>
      </w:pPr>
    </w:p>
    <w:p w14:paraId="687C3426">
      <w:pPr>
        <w:snapToGrid w:val="0"/>
        <w:spacing w:line="600" w:lineRule="exact"/>
        <w:ind w:firstLine="3150" w:firstLineChars="1500"/>
        <w:rPr>
          <w:rFonts w:ascii="宋体" w:hAnsi="宋体" w:cs="宋体"/>
          <w:color w:val="auto"/>
          <w:kern w:val="21"/>
          <w:sz w:val="20"/>
          <w:szCs w:val="21"/>
          <w:highlight w:val="none"/>
        </w:rPr>
      </w:pPr>
      <w:r>
        <w:rPr>
          <w:rFonts w:hint="eastAsia" w:ascii="宋体" w:hAnsi="宋体" w:cs="宋体"/>
          <w:color w:val="auto"/>
          <w:kern w:val="21"/>
          <w:szCs w:val="21"/>
          <w:highlight w:val="none"/>
        </w:rPr>
        <w:t xml:space="preserve">供应商：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（盖单位公章）</w:t>
      </w:r>
    </w:p>
    <w:p w14:paraId="7FE97F26">
      <w:pPr>
        <w:snapToGrid w:val="0"/>
        <w:spacing w:line="600" w:lineRule="exact"/>
        <w:rPr>
          <w:rFonts w:ascii="宋体" w:hAnsi="宋体" w:cs="宋体"/>
          <w:color w:val="auto"/>
          <w:kern w:val="21"/>
          <w:sz w:val="20"/>
          <w:szCs w:val="21"/>
          <w:highlight w:val="none"/>
        </w:rPr>
      </w:pPr>
    </w:p>
    <w:p w14:paraId="3BBFE3D8">
      <w:pPr>
        <w:snapToGrid w:val="0"/>
        <w:spacing w:line="600" w:lineRule="exact"/>
        <w:ind w:firstLine="2992" w:firstLineChars="1425"/>
        <w:rPr>
          <w:rFonts w:ascii="宋体" w:hAnsi="宋体" w:cs="宋体"/>
          <w:color w:val="auto"/>
          <w:kern w:val="21"/>
          <w:sz w:val="20"/>
          <w:szCs w:val="21"/>
          <w:highlight w:val="none"/>
        </w:rPr>
      </w:pPr>
      <w:r>
        <w:rPr>
          <w:rFonts w:hint="eastAsia" w:ascii="宋体" w:hAnsi="宋体" w:cs="宋体"/>
          <w:color w:val="auto"/>
          <w:kern w:val="21"/>
          <w:szCs w:val="21"/>
          <w:highlight w:val="none"/>
        </w:rPr>
        <w:t>日  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日</w:t>
      </w:r>
    </w:p>
    <w:p w14:paraId="4B94A5DE">
      <w:pPr>
        <w:snapToGrid w:val="0"/>
        <w:spacing w:line="500" w:lineRule="exact"/>
        <w:ind w:firstLine="3000" w:firstLineChars="1500"/>
        <w:rPr>
          <w:rFonts w:ascii="宋体" w:hAnsi="宋体" w:cs="宋体"/>
          <w:color w:val="auto"/>
          <w:kern w:val="21"/>
          <w:sz w:val="20"/>
          <w:szCs w:val="21"/>
          <w:highlight w:val="none"/>
        </w:rPr>
      </w:pPr>
    </w:p>
    <w:p w14:paraId="20AC0BAB">
      <w:pPr>
        <w:snapToGrid w:val="0"/>
        <w:spacing w:line="240" w:lineRule="auto"/>
        <w:rPr>
          <w:rFonts w:ascii="宋体" w:hAnsi="宋体" w:cs="宋体"/>
          <w:color w:val="auto"/>
          <w:kern w:val="21"/>
          <w:sz w:val="20"/>
          <w:szCs w:val="21"/>
          <w:highlight w:val="none"/>
        </w:rPr>
      </w:pPr>
    </w:p>
    <w:p w14:paraId="034866AF">
      <w:pPr>
        <w:snapToGrid w:val="0"/>
        <w:spacing w:line="240" w:lineRule="auto"/>
        <w:rPr>
          <w:rFonts w:ascii="宋体" w:hAnsi="宋体" w:cs="宋体"/>
          <w:color w:val="auto"/>
          <w:kern w:val="21"/>
          <w:sz w:val="20"/>
          <w:szCs w:val="21"/>
          <w:highlight w:val="none"/>
        </w:rPr>
      </w:pPr>
    </w:p>
    <w:p w14:paraId="0B97E699">
      <w:pPr>
        <w:snapToGrid w:val="0"/>
        <w:spacing w:line="240" w:lineRule="auto"/>
        <w:rPr>
          <w:rFonts w:ascii="宋体" w:hAnsi="宋体" w:cs="宋体"/>
          <w:color w:val="auto"/>
          <w:kern w:val="21"/>
          <w:sz w:val="20"/>
          <w:szCs w:val="21"/>
          <w:highlight w:val="none"/>
        </w:rPr>
      </w:pPr>
    </w:p>
    <w:p w14:paraId="5D7636B4">
      <w:pPr>
        <w:snapToGrid w:val="0"/>
        <w:spacing w:line="240" w:lineRule="auto"/>
        <w:rPr>
          <w:rFonts w:ascii="宋体" w:hAnsi="宋体" w:cs="宋体"/>
          <w:color w:val="auto"/>
          <w:kern w:val="21"/>
          <w:sz w:val="24"/>
          <w:szCs w:val="24"/>
          <w:highlight w:val="none"/>
        </w:rPr>
      </w:pPr>
    </w:p>
    <w:p w14:paraId="1B1D6DED">
      <w:pPr>
        <w:snapToGrid w:val="0"/>
        <w:spacing w:line="240" w:lineRule="auto"/>
        <w:rPr>
          <w:rFonts w:ascii="宋体" w:hAnsi="宋体" w:cs="宋体"/>
          <w:color w:val="auto"/>
          <w:kern w:val="21"/>
          <w:sz w:val="24"/>
          <w:szCs w:val="24"/>
          <w:highlight w:val="none"/>
        </w:rPr>
      </w:pPr>
    </w:p>
    <w:p w14:paraId="530EDFC8">
      <w:pPr>
        <w:snapToGrid w:val="0"/>
        <w:spacing w:line="240" w:lineRule="auto"/>
        <w:rPr>
          <w:rFonts w:ascii="宋体" w:hAnsi="宋体" w:cs="宋体"/>
          <w:color w:val="auto"/>
          <w:kern w:val="21"/>
          <w:sz w:val="20"/>
          <w:highlight w:val="none"/>
        </w:rPr>
      </w:pPr>
    </w:p>
    <w:p w14:paraId="7CABEED1">
      <w:pPr>
        <w:snapToGrid w:val="0"/>
        <w:spacing w:line="240" w:lineRule="auto"/>
        <w:rPr>
          <w:rFonts w:ascii="宋体" w:hAnsi="宋体" w:cs="宋体"/>
          <w:color w:val="auto"/>
          <w:kern w:val="21"/>
          <w:sz w:val="20"/>
          <w:highlight w:val="none"/>
        </w:rPr>
      </w:pPr>
    </w:p>
    <w:p w14:paraId="6AF5CF18">
      <w:pPr>
        <w:snapToGrid w:val="0"/>
        <w:spacing w:line="240" w:lineRule="auto"/>
        <w:rPr>
          <w:rFonts w:ascii="宋体" w:hAnsi="宋体" w:cs="宋体"/>
          <w:color w:val="auto"/>
          <w:kern w:val="21"/>
          <w:sz w:val="20"/>
          <w:highlight w:val="none"/>
        </w:rPr>
      </w:pPr>
    </w:p>
    <w:p w14:paraId="7316BFA1">
      <w:pPr>
        <w:snapToGrid w:val="0"/>
        <w:spacing w:line="240" w:lineRule="auto"/>
        <w:rPr>
          <w:rFonts w:ascii="宋体" w:hAnsi="宋体" w:cs="宋体"/>
          <w:color w:val="auto"/>
          <w:kern w:val="21"/>
          <w:sz w:val="20"/>
          <w:highlight w:val="none"/>
        </w:rPr>
      </w:pPr>
    </w:p>
    <w:p w14:paraId="4AC283B1">
      <w:pPr>
        <w:snapToGrid w:val="0"/>
        <w:spacing w:line="240" w:lineRule="auto"/>
        <w:rPr>
          <w:rFonts w:ascii="宋体" w:hAnsi="宋体" w:cs="宋体"/>
          <w:color w:val="auto"/>
          <w:kern w:val="21"/>
          <w:sz w:val="20"/>
          <w:highlight w:val="none"/>
        </w:rPr>
      </w:pPr>
    </w:p>
    <w:p w14:paraId="2342EF0D">
      <w:pPr>
        <w:pStyle w:val="12"/>
        <w:rPr>
          <w:rFonts w:ascii="宋体" w:hAnsi="宋体" w:eastAsia="宋体" w:cs="宋体"/>
          <w:color w:val="auto"/>
          <w:kern w:val="21"/>
          <w:highlight w:val="none"/>
        </w:rPr>
      </w:pPr>
    </w:p>
    <w:p w14:paraId="59D97FB7">
      <w:pPr>
        <w:snapToGrid w:val="0"/>
        <w:rPr>
          <w:rFonts w:ascii="宋体" w:hAnsi="宋体" w:cs="宋体"/>
          <w:color w:val="auto"/>
          <w:kern w:val="21"/>
          <w:sz w:val="20"/>
          <w:highlight w:val="none"/>
        </w:rPr>
      </w:pPr>
    </w:p>
    <w:p w14:paraId="08057FF4">
      <w:pPr>
        <w:snapToGrid w:val="0"/>
        <w:spacing w:line="240" w:lineRule="auto"/>
        <w:rPr>
          <w:rFonts w:ascii="宋体" w:hAnsi="宋体" w:cs="宋体"/>
          <w:color w:val="auto"/>
          <w:kern w:val="21"/>
          <w:sz w:val="20"/>
          <w:highlight w:val="none"/>
        </w:rPr>
      </w:pPr>
    </w:p>
    <w:p w14:paraId="560A5967">
      <w:pPr>
        <w:snapToGrid w:val="0"/>
        <w:spacing w:line="240" w:lineRule="auto"/>
        <w:rPr>
          <w:rFonts w:ascii="宋体" w:hAnsi="宋体" w:cs="宋体"/>
          <w:color w:val="auto"/>
          <w:kern w:val="21"/>
          <w:sz w:val="20"/>
          <w:highlight w:val="none"/>
        </w:rPr>
      </w:pPr>
    </w:p>
    <w:p w14:paraId="6614B33C">
      <w:pPr>
        <w:snapToGrid w:val="0"/>
        <w:spacing w:line="240" w:lineRule="auto"/>
        <w:rPr>
          <w:rFonts w:ascii="宋体" w:hAnsi="宋体" w:cs="宋体"/>
          <w:color w:val="auto"/>
          <w:kern w:val="21"/>
          <w:sz w:val="20"/>
          <w:highlight w:val="none"/>
        </w:rPr>
      </w:pPr>
    </w:p>
    <w:p w14:paraId="432CF770">
      <w:pPr>
        <w:pStyle w:val="12"/>
        <w:rPr>
          <w:rFonts w:ascii="宋体" w:hAnsi="宋体" w:eastAsia="宋体" w:cs="宋体"/>
          <w:color w:val="auto"/>
          <w:kern w:val="21"/>
          <w:highlight w:val="none"/>
        </w:rPr>
      </w:pPr>
    </w:p>
    <w:p w14:paraId="2F1D5A15">
      <w:pPr>
        <w:pStyle w:val="4"/>
        <w:snapToGrid w:val="0"/>
        <w:rPr>
          <w:rFonts w:ascii="宋体" w:hAnsi="宋体" w:cs="宋体"/>
          <w:color w:val="auto"/>
          <w:kern w:val="21"/>
          <w:highlight w:val="none"/>
        </w:rPr>
      </w:pPr>
      <w:bookmarkStart w:id="100" w:name="_Toc27044"/>
      <w:r>
        <w:rPr>
          <w:rFonts w:hint="eastAsia" w:ascii="宋体" w:hAnsi="宋体" w:cs="宋体"/>
          <w:color w:val="auto"/>
          <w:kern w:val="21"/>
          <w:highlight w:val="none"/>
        </w:rPr>
        <w:t>4、法定代表人授权委托书</w:t>
      </w:r>
      <w:bookmarkEnd w:id="100"/>
    </w:p>
    <w:p w14:paraId="14159BAB">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本人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（姓名）系</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（供应商名称）的法定代表人，现委托</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（姓名）为我方代理人。代理人根据授权，以我方名义签署、澄清、说明、补正、递交、撤回、修改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”(项目名称、项目编号)全权处理与该项目投标、评审答疑、签订合同以及与合同执行有关的一切事务，其法律后果由我方承担。</w:t>
      </w:r>
    </w:p>
    <w:p w14:paraId="1C019FE7">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委托期限：</w:t>
      </w:r>
      <w:r>
        <w:rPr>
          <w:rFonts w:hint="eastAsia" w:ascii="宋体" w:hAnsi="宋体" w:cs="宋体"/>
          <w:color w:val="auto"/>
          <w:kern w:val="21"/>
          <w:szCs w:val="21"/>
          <w:highlight w:val="none"/>
          <w:u w:val="single"/>
        </w:rPr>
        <w:t xml:space="preserve"> 投标截止之日起(     )日历天内保持有效  </w:t>
      </w:r>
    </w:p>
    <w:p w14:paraId="05601DEA">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代理人无转委托权。</w:t>
      </w:r>
    </w:p>
    <w:p w14:paraId="536847F0">
      <w:pPr>
        <w:snapToGrid w:val="0"/>
        <w:spacing w:line="600" w:lineRule="exact"/>
        <w:ind w:firstLine="420" w:firstLineChars="200"/>
        <w:rPr>
          <w:rFonts w:ascii="宋体" w:hAnsi="宋体" w:cs="宋体"/>
          <w:color w:val="auto"/>
          <w:kern w:val="21"/>
          <w:sz w:val="20"/>
          <w:szCs w:val="21"/>
          <w:highlight w:val="none"/>
        </w:rPr>
      </w:pPr>
      <w:r>
        <w:rPr>
          <w:rFonts w:hint="eastAsia" w:ascii="宋体" w:hAnsi="宋体" w:cs="宋体"/>
          <w:color w:val="auto"/>
          <w:kern w:val="21"/>
          <w:szCs w:val="21"/>
          <w:highlight w:val="none"/>
        </w:rPr>
        <w:t>附：（1）法定代表人身份证复印件</w:t>
      </w:r>
    </w:p>
    <w:p w14:paraId="629CA949">
      <w:pPr>
        <w:snapToGrid w:val="0"/>
        <w:spacing w:line="600" w:lineRule="exact"/>
        <w:ind w:firstLine="840" w:firstLineChars="400"/>
        <w:rPr>
          <w:rFonts w:ascii="宋体" w:hAnsi="宋体" w:cs="宋体"/>
          <w:color w:val="auto"/>
          <w:kern w:val="21"/>
          <w:sz w:val="20"/>
          <w:szCs w:val="21"/>
          <w:highlight w:val="none"/>
        </w:rPr>
      </w:pPr>
      <w:bookmarkStart w:id="101" w:name="_Toc449368383"/>
      <w:bookmarkStart w:id="102" w:name="_Toc450138948"/>
      <w:bookmarkStart w:id="103" w:name="_Toc18758"/>
      <w:bookmarkStart w:id="104" w:name="_Toc13736"/>
      <w:bookmarkStart w:id="105" w:name="_Toc18092"/>
      <w:bookmarkStart w:id="106" w:name="_Toc14143"/>
      <w:bookmarkStart w:id="107" w:name="_Toc17871"/>
      <w:bookmarkStart w:id="108" w:name="_Toc11508"/>
      <w:bookmarkStart w:id="109" w:name="_Toc24356"/>
      <w:bookmarkStart w:id="110" w:name="_Toc25784"/>
      <w:bookmarkStart w:id="111" w:name="_Toc26165"/>
      <w:r>
        <w:rPr>
          <w:rFonts w:hint="eastAsia" w:ascii="宋体" w:hAnsi="宋体" w:cs="宋体"/>
          <w:color w:val="auto"/>
          <w:kern w:val="21"/>
          <w:szCs w:val="21"/>
          <w:highlight w:val="none"/>
        </w:rPr>
        <w:t>（2）委托代理人身份证</w:t>
      </w:r>
      <w:bookmarkEnd w:id="101"/>
      <w:bookmarkEnd w:id="102"/>
      <w:r>
        <w:rPr>
          <w:rFonts w:hint="eastAsia" w:ascii="宋体" w:hAnsi="宋体" w:cs="宋体"/>
          <w:color w:val="auto"/>
          <w:kern w:val="21"/>
          <w:szCs w:val="21"/>
          <w:highlight w:val="none"/>
        </w:rPr>
        <w:t>复印件</w:t>
      </w:r>
      <w:bookmarkEnd w:id="103"/>
      <w:bookmarkEnd w:id="104"/>
      <w:bookmarkEnd w:id="105"/>
      <w:bookmarkEnd w:id="106"/>
      <w:bookmarkEnd w:id="107"/>
      <w:bookmarkEnd w:id="108"/>
      <w:bookmarkEnd w:id="109"/>
      <w:bookmarkEnd w:id="110"/>
      <w:bookmarkEnd w:id="111"/>
    </w:p>
    <w:p w14:paraId="2F175353">
      <w:pPr>
        <w:snapToGrid w:val="0"/>
        <w:spacing w:line="600" w:lineRule="exact"/>
        <w:ind w:firstLine="1102" w:firstLineChars="525"/>
        <w:rPr>
          <w:rFonts w:ascii="宋体" w:hAnsi="宋体" w:cs="宋体"/>
          <w:color w:val="auto"/>
          <w:kern w:val="21"/>
          <w:sz w:val="20"/>
          <w:szCs w:val="21"/>
          <w:highlight w:val="none"/>
        </w:rPr>
      </w:pPr>
      <w:r>
        <w:rPr>
          <w:rFonts w:hint="eastAsia" w:ascii="宋体" w:hAnsi="宋体" w:cs="宋体"/>
          <w:color w:val="auto"/>
          <w:kern w:val="21"/>
          <w:szCs w:val="21"/>
          <w:highlight w:val="none"/>
        </w:rPr>
        <w:t>供应商：</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（加盖单位公章）</w:t>
      </w:r>
    </w:p>
    <w:p w14:paraId="2CE47005">
      <w:pPr>
        <w:snapToGrid w:val="0"/>
        <w:spacing w:line="600" w:lineRule="exact"/>
        <w:ind w:firstLine="1102" w:firstLineChars="525"/>
        <w:rPr>
          <w:rFonts w:ascii="宋体" w:hAnsi="宋体" w:cs="宋体"/>
          <w:color w:val="auto"/>
          <w:kern w:val="21"/>
          <w:sz w:val="20"/>
          <w:szCs w:val="21"/>
          <w:highlight w:val="none"/>
        </w:rPr>
      </w:pPr>
      <w:r>
        <w:rPr>
          <w:rFonts w:hint="eastAsia" w:ascii="宋体" w:hAnsi="宋体" w:cs="宋体"/>
          <w:color w:val="auto"/>
          <w:kern w:val="21"/>
          <w:szCs w:val="21"/>
          <w:highlight w:val="none"/>
        </w:rPr>
        <w:t xml:space="preserve">法定代表人：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（签字或盖章）</w:t>
      </w:r>
    </w:p>
    <w:p w14:paraId="52AA33A0">
      <w:pPr>
        <w:snapToGrid w:val="0"/>
        <w:spacing w:line="600" w:lineRule="exact"/>
        <w:ind w:firstLine="1102" w:firstLineChars="525"/>
        <w:rPr>
          <w:rFonts w:ascii="宋体" w:hAnsi="宋体" w:cs="宋体"/>
          <w:color w:val="auto"/>
          <w:kern w:val="21"/>
          <w:sz w:val="20"/>
          <w:szCs w:val="21"/>
          <w:highlight w:val="none"/>
        </w:rPr>
      </w:pPr>
      <w:r>
        <w:rPr>
          <w:rFonts w:hint="eastAsia" w:ascii="宋体" w:hAnsi="宋体" w:cs="宋体"/>
          <w:color w:val="auto"/>
          <w:kern w:val="21"/>
          <w:szCs w:val="21"/>
          <w:highlight w:val="none"/>
        </w:rPr>
        <w:t>身份证号码：</w:t>
      </w:r>
      <w:r>
        <w:rPr>
          <w:rFonts w:hint="eastAsia" w:ascii="宋体" w:hAnsi="宋体" w:cs="宋体"/>
          <w:color w:val="auto"/>
          <w:kern w:val="21"/>
          <w:szCs w:val="21"/>
          <w:highlight w:val="none"/>
          <w:u w:val="single"/>
        </w:rPr>
        <w:t xml:space="preserve">                     </w:t>
      </w:r>
    </w:p>
    <w:p w14:paraId="668B69B9">
      <w:pPr>
        <w:snapToGrid w:val="0"/>
        <w:spacing w:line="600" w:lineRule="exact"/>
        <w:ind w:firstLine="1102" w:firstLineChars="525"/>
        <w:rPr>
          <w:rFonts w:ascii="宋体" w:hAnsi="宋体" w:cs="宋体"/>
          <w:color w:val="auto"/>
          <w:kern w:val="21"/>
          <w:sz w:val="20"/>
          <w:szCs w:val="21"/>
          <w:highlight w:val="none"/>
        </w:rPr>
      </w:pPr>
      <w:r>
        <w:rPr>
          <w:rFonts w:hint="eastAsia" w:ascii="宋体" w:hAnsi="宋体" w:cs="宋体"/>
          <w:color w:val="auto"/>
          <w:kern w:val="21"/>
          <w:szCs w:val="21"/>
          <w:highlight w:val="none"/>
        </w:rPr>
        <w:t>委托代理人：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（签字或盖章）</w:t>
      </w:r>
    </w:p>
    <w:p w14:paraId="0D63CDEE">
      <w:pPr>
        <w:snapToGrid w:val="0"/>
        <w:spacing w:line="600" w:lineRule="exact"/>
        <w:ind w:firstLine="1102" w:firstLineChars="525"/>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身份证号码：</w:t>
      </w:r>
      <w:r>
        <w:rPr>
          <w:rFonts w:hint="eastAsia" w:ascii="宋体" w:hAnsi="宋体" w:cs="宋体"/>
          <w:color w:val="auto"/>
          <w:kern w:val="21"/>
          <w:szCs w:val="21"/>
          <w:highlight w:val="none"/>
          <w:u w:val="single"/>
        </w:rPr>
        <w:t xml:space="preserve">                    </w:t>
      </w:r>
    </w:p>
    <w:p w14:paraId="48DFD045">
      <w:pPr>
        <w:snapToGrid w:val="0"/>
        <w:spacing w:line="600" w:lineRule="exact"/>
        <w:ind w:firstLine="1102" w:firstLineChars="525"/>
        <w:rPr>
          <w:rFonts w:ascii="宋体" w:hAnsi="宋体" w:cs="宋体"/>
          <w:color w:val="auto"/>
          <w:kern w:val="21"/>
          <w:sz w:val="20"/>
          <w:szCs w:val="21"/>
          <w:highlight w:val="none"/>
        </w:rPr>
      </w:pPr>
      <w:r>
        <w:rPr>
          <w:rFonts w:hint="eastAsia" w:ascii="宋体" w:hAnsi="宋体" w:cs="宋体"/>
          <w:color w:val="auto"/>
          <w:kern w:val="21"/>
          <w:szCs w:val="21"/>
          <w:highlight w:val="none"/>
        </w:rPr>
        <w:t>日      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日</w:t>
      </w:r>
    </w:p>
    <w:p w14:paraId="4D45B25E">
      <w:pPr>
        <w:snapToGrid w:val="0"/>
        <w:jc w:val="center"/>
        <w:rPr>
          <w:rFonts w:ascii="宋体" w:hAnsi="宋体" w:cs="宋体"/>
          <w:b/>
          <w:color w:val="auto"/>
          <w:kern w:val="21"/>
          <w:sz w:val="20"/>
          <w:szCs w:val="21"/>
          <w:highlight w:val="none"/>
        </w:rPr>
      </w:pPr>
    </w:p>
    <w:p w14:paraId="05D8AF0C">
      <w:pPr>
        <w:snapToGrid w:val="0"/>
        <w:jc w:val="center"/>
        <w:rPr>
          <w:rFonts w:ascii="宋体" w:hAnsi="宋体" w:cs="宋体"/>
          <w:b/>
          <w:color w:val="auto"/>
          <w:kern w:val="21"/>
          <w:sz w:val="20"/>
          <w:szCs w:val="21"/>
          <w:highlight w:val="none"/>
        </w:rPr>
      </w:pPr>
    </w:p>
    <w:p w14:paraId="64C00C3D">
      <w:pPr>
        <w:snapToGrid w:val="0"/>
        <w:jc w:val="center"/>
        <w:rPr>
          <w:rFonts w:ascii="宋体" w:hAnsi="宋体" w:cs="宋体"/>
          <w:b/>
          <w:color w:val="auto"/>
          <w:kern w:val="21"/>
          <w:sz w:val="20"/>
          <w:szCs w:val="21"/>
          <w:highlight w:val="none"/>
        </w:rPr>
      </w:pPr>
    </w:p>
    <w:p w14:paraId="36A278CC">
      <w:pPr>
        <w:snapToGrid w:val="0"/>
        <w:jc w:val="center"/>
        <w:rPr>
          <w:rFonts w:ascii="宋体" w:hAnsi="宋体" w:cs="宋体"/>
          <w:b/>
          <w:color w:val="auto"/>
          <w:kern w:val="21"/>
          <w:sz w:val="20"/>
          <w:szCs w:val="21"/>
          <w:highlight w:val="none"/>
        </w:rPr>
      </w:pPr>
    </w:p>
    <w:p w14:paraId="1200EE86">
      <w:pPr>
        <w:snapToGrid w:val="0"/>
        <w:spacing w:line="240" w:lineRule="auto"/>
        <w:rPr>
          <w:rFonts w:ascii="宋体" w:hAnsi="宋体" w:cs="宋体"/>
          <w:b/>
          <w:color w:val="auto"/>
          <w:kern w:val="21"/>
          <w:sz w:val="20"/>
          <w:szCs w:val="21"/>
          <w:highlight w:val="none"/>
        </w:rPr>
      </w:pPr>
    </w:p>
    <w:p w14:paraId="48CB37F0">
      <w:pPr>
        <w:snapToGrid w:val="0"/>
        <w:spacing w:line="240" w:lineRule="auto"/>
        <w:rPr>
          <w:rFonts w:ascii="宋体" w:hAnsi="宋体" w:cs="宋体"/>
          <w:b/>
          <w:color w:val="auto"/>
          <w:kern w:val="21"/>
          <w:sz w:val="20"/>
          <w:szCs w:val="21"/>
          <w:highlight w:val="none"/>
        </w:rPr>
      </w:pPr>
    </w:p>
    <w:p w14:paraId="372DC0F0">
      <w:pPr>
        <w:snapToGrid w:val="0"/>
        <w:spacing w:line="240" w:lineRule="auto"/>
        <w:rPr>
          <w:rFonts w:ascii="宋体" w:hAnsi="宋体" w:cs="宋体"/>
          <w:b/>
          <w:color w:val="auto"/>
          <w:kern w:val="21"/>
          <w:sz w:val="32"/>
          <w:szCs w:val="32"/>
          <w:highlight w:val="none"/>
        </w:rPr>
      </w:pPr>
    </w:p>
    <w:p w14:paraId="714F8D5A">
      <w:pPr>
        <w:pStyle w:val="12"/>
        <w:rPr>
          <w:rFonts w:ascii="宋体" w:hAnsi="宋体" w:eastAsia="宋体" w:cs="宋体"/>
          <w:b/>
          <w:color w:val="auto"/>
          <w:kern w:val="21"/>
          <w:sz w:val="32"/>
          <w:szCs w:val="32"/>
          <w:highlight w:val="none"/>
        </w:rPr>
      </w:pPr>
    </w:p>
    <w:p w14:paraId="13EEB18E">
      <w:pPr>
        <w:snapToGrid w:val="0"/>
        <w:rPr>
          <w:rFonts w:ascii="宋体" w:hAnsi="宋体" w:cs="宋体"/>
          <w:b/>
          <w:color w:val="auto"/>
          <w:kern w:val="21"/>
          <w:sz w:val="32"/>
          <w:szCs w:val="32"/>
          <w:highlight w:val="none"/>
        </w:rPr>
      </w:pPr>
    </w:p>
    <w:p w14:paraId="471E51CD">
      <w:pPr>
        <w:pStyle w:val="12"/>
        <w:rPr>
          <w:rFonts w:ascii="宋体" w:hAnsi="宋体" w:eastAsia="宋体" w:cs="宋体"/>
          <w:b/>
          <w:color w:val="auto"/>
          <w:kern w:val="21"/>
          <w:sz w:val="32"/>
          <w:szCs w:val="32"/>
          <w:highlight w:val="none"/>
        </w:rPr>
      </w:pPr>
    </w:p>
    <w:p w14:paraId="71350EAB">
      <w:pPr>
        <w:snapToGrid w:val="0"/>
        <w:rPr>
          <w:rFonts w:ascii="宋体" w:hAnsi="宋体" w:cs="宋体"/>
          <w:b/>
          <w:color w:val="auto"/>
          <w:kern w:val="21"/>
          <w:sz w:val="32"/>
          <w:szCs w:val="32"/>
          <w:highlight w:val="none"/>
        </w:rPr>
      </w:pPr>
    </w:p>
    <w:p w14:paraId="1B80B73A">
      <w:pPr>
        <w:pStyle w:val="12"/>
        <w:rPr>
          <w:rFonts w:ascii="宋体" w:hAnsi="宋体" w:eastAsia="宋体" w:cs="宋体"/>
          <w:color w:val="auto"/>
          <w:highlight w:val="none"/>
        </w:rPr>
      </w:pPr>
    </w:p>
    <w:p w14:paraId="3401DE59">
      <w:pPr>
        <w:pStyle w:val="4"/>
        <w:rPr>
          <w:rFonts w:ascii="宋体" w:hAnsi="宋体" w:cs="宋体"/>
          <w:color w:val="auto"/>
          <w:kern w:val="21"/>
          <w:highlight w:val="none"/>
        </w:rPr>
      </w:pPr>
      <w:bookmarkStart w:id="112" w:name="_Toc30976"/>
      <w:r>
        <w:rPr>
          <w:rFonts w:hint="eastAsia" w:ascii="宋体" w:hAnsi="宋体" w:cs="宋体"/>
          <w:color w:val="auto"/>
          <w:kern w:val="21"/>
          <w:highlight w:val="none"/>
        </w:rPr>
        <w:t>5.1中小企业声明函（货物）（若是）</w:t>
      </w:r>
      <w:bookmarkEnd w:id="112"/>
    </w:p>
    <w:p w14:paraId="46BBD19A">
      <w:pPr>
        <w:snapToGrid w:val="0"/>
        <w:rPr>
          <w:rFonts w:ascii="宋体" w:hAnsi="宋体" w:cs="宋体"/>
          <w:color w:val="auto"/>
          <w:sz w:val="20"/>
          <w:highlight w:val="none"/>
        </w:rPr>
      </w:pPr>
    </w:p>
    <w:p w14:paraId="2E64CF8C">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本公司郑重声明，根据《政府采购促进中小企业发展管理办法》（财库[2020]46号）的规定，本公司参加</w:t>
      </w:r>
      <w:r>
        <w:rPr>
          <w:rFonts w:hint="eastAsia" w:ascii="宋体" w:hAnsi="宋体" w:cs="宋体"/>
          <w:color w:val="auto"/>
          <w:szCs w:val="21"/>
          <w:highlight w:val="none"/>
          <w:u w:val="single"/>
        </w:rPr>
        <w:t xml:space="preserve">     （单位名称）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kern w:val="21"/>
          <w:szCs w:val="21"/>
          <w:highlight w:val="none"/>
          <w:u w:val="single"/>
        </w:rPr>
        <w:t>(项目名称、项目编号)</w:t>
      </w:r>
      <w:r>
        <w:rPr>
          <w:rFonts w:hint="eastAsia" w:ascii="宋体" w:hAnsi="宋体" w:cs="宋体"/>
          <w:color w:val="auto"/>
          <w:szCs w:val="21"/>
          <w:highlight w:val="none"/>
        </w:rPr>
        <w:t xml:space="preserve">采购活动，提供的货物全部由符合政策要求的中小企业制造。相关企业（含联合体中的中小企业、签订分包意向协议的中小企业）的具体情况如下：          </w:t>
      </w:r>
    </w:p>
    <w:p w14:paraId="6C7AF616">
      <w:pPr>
        <w:numPr>
          <w:ilvl w:val="0"/>
          <w:numId w:val="3"/>
        </w:num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（标的名称），属于（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443FAE17">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2、（标的名称），属于（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5A068B2F">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w:t>
      </w:r>
    </w:p>
    <w:p w14:paraId="48167A51">
      <w:pPr>
        <w:pStyle w:val="60"/>
        <w:snapToGrid w:val="0"/>
        <w:spacing w:line="480" w:lineRule="auto"/>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以上企业，不属于大企业的分支机构，不存在控股股东为大企业的情形，也不存在与大企业的负责人为同一人的情形。</w:t>
      </w:r>
    </w:p>
    <w:p w14:paraId="215F5303">
      <w:pPr>
        <w:pStyle w:val="61"/>
        <w:snapToGrid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61006EE8">
      <w:pPr>
        <w:snapToGrid w:val="0"/>
        <w:spacing w:line="560" w:lineRule="exact"/>
        <w:ind w:firstLine="2310" w:firstLineChars="1100"/>
        <w:jc w:val="center"/>
        <w:rPr>
          <w:rFonts w:ascii="宋体" w:hAnsi="宋体" w:cs="宋体"/>
          <w:color w:val="auto"/>
          <w:sz w:val="20"/>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加盖单位公章）</w:t>
      </w:r>
    </w:p>
    <w:p w14:paraId="68ABABCC">
      <w:pPr>
        <w:snapToGrid w:val="0"/>
        <w:spacing w:line="560" w:lineRule="exact"/>
        <w:ind w:firstLine="2310" w:firstLineChars="1100"/>
        <w:jc w:val="center"/>
        <w:rPr>
          <w:rFonts w:ascii="宋体" w:hAnsi="宋体" w:cs="宋体"/>
          <w:color w:val="auto"/>
          <w:sz w:val="20"/>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日</w:t>
      </w:r>
    </w:p>
    <w:p w14:paraId="1CEA9212">
      <w:pPr>
        <w:pStyle w:val="60"/>
        <w:snapToGrid w:val="0"/>
        <w:rPr>
          <w:rFonts w:ascii="宋体" w:hAnsi="宋体" w:cs="宋体"/>
          <w:color w:val="auto"/>
          <w:szCs w:val="21"/>
          <w:highlight w:val="none"/>
        </w:rPr>
      </w:pPr>
    </w:p>
    <w:p w14:paraId="6DF271A9">
      <w:pPr>
        <w:pStyle w:val="61"/>
        <w:snapToGrid w:val="0"/>
        <w:rPr>
          <w:rFonts w:ascii="宋体" w:hAnsi="宋体" w:cs="宋体"/>
          <w:color w:val="auto"/>
          <w:szCs w:val="21"/>
          <w:highlight w:val="none"/>
        </w:rPr>
      </w:pPr>
    </w:p>
    <w:p w14:paraId="08FF5849">
      <w:pPr>
        <w:snapToGrid w:val="0"/>
        <w:rPr>
          <w:rFonts w:ascii="宋体" w:hAnsi="宋体" w:cs="宋体"/>
          <w:color w:val="auto"/>
          <w:sz w:val="20"/>
          <w:szCs w:val="21"/>
          <w:highlight w:val="none"/>
        </w:rPr>
      </w:pPr>
    </w:p>
    <w:p w14:paraId="46EA8D9C">
      <w:pPr>
        <w:pStyle w:val="60"/>
        <w:snapToGrid w:val="0"/>
        <w:rPr>
          <w:rFonts w:ascii="宋体" w:hAnsi="宋体" w:cs="宋体"/>
          <w:color w:val="auto"/>
          <w:szCs w:val="21"/>
          <w:highlight w:val="none"/>
        </w:rPr>
      </w:pPr>
    </w:p>
    <w:p w14:paraId="2F477024">
      <w:pPr>
        <w:pStyle w:val="61"/>
        <w:snapToGrid w:val="0"/>
        <w:rPr>
          <w:rFonts w:ascii="宋体" w:hAnsi="宋体" w:cs="宋体"/>
          <w:color w:val="auto"/>
          <w:highlight w:val="none"/>
        </w:rPr>
      </w:pPr>
    </w:p>
    <w:p w14:paraId="62A5E014">
      <w:pPr>
        <w:pStyle w:val="60"/>
        <w:snapToGrid w:val="0"/>
        <w:spacing w:line="480" w:lineRule="auto"/>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注：从业人员、营业收入、资产总额填报上一年度数据，无上一年度数据的新成立企业可不填报。</w:t>
      </w:r>
    </w:p>
    <w:p w14:paraId="109258A7">
      <w:pPr>
        <w:pStyle w:val="60"/>
        <w:snapToGrid w:val="0"/>
        <w:rPr>
          <w:rFonts w:ascii="宋体" w:hAnsi="宋体" w:cs="宋体"/>
          <w:color w:val="auto"/>
          <w:highlight w:val="none"/>
        </w:rPr>
        <w:sectPr>
          <w:pgSz w:w="11906" w:h="16838"/>
          <w:pgMar w:top="1440" w:right="1080" w:bottom="1440" w:left="1080" w:header="850" w:footer="992" w:gutter="0"/>
          <w:cols w:space="720" w:num="1"/>
          <w:docGrid w:linePitch="312" w:charSpace="0"/>
        </w:sectPr>
      </w:pPr>
    </w:p>
    <w:p w14:paraId="595FBC08">
      <w:pPr>
        <w:pStyle w:val="4"/>
        <w:rPr>
          <w:rFonts w:ascii="宋体" w:hAnsi="宋体" w:cs="宋体"/>
          <w:color w:val="auto"/>
          <w:kern w:val="21"/>
          <w:highlight w:val="none"/>
        </w:rPr>
      </w:pPr>
      <w:bookmarkStart w:id="113" w:name="_Toc10634"/>
      <w:bookmarkStart w:id="114" w:name="_Toc6758"/>
      <w:bookmarkStart w:id="115" w:name="_Toc15464"/>
      <w:r>
        <w:rPr>
          <w:rFonts w:hint="eastAsia" w:ascii="宋体" w:hAnsi="宋体" w:cs="宋体"/>
          <w:color w:val="auto"/>
          <w:kern w:val="21"/>
          <w:highlight w:val="none"/>
        </w:rPr>
        <w:t>5.2中小企业声明函（工程、服务）</w:t>
      </w:r>
      <w:bookmarkEnd w:id="113"/>
      <w:bookmarkEnd w:id="114"/>
      <w:r>
        <w:rPr>
          <w:rFonts w:hint="eastAsia" w:ascii="宋体" w:hAnsi="宋体" w:cs="宋体"/>
          <w:color w:val="auto"/>
          <w:kern w:val="21"/>
          <w:highlight w:val="none"/>
        </w:rPr>
        <w:t>（若是）</w:t>
      </w:r>
      <w:bookmarkEnd w:id="115"/>
    </w:p>
    <w:p w14:paraId="48BD760B">
      <w:pPr>
        <w:snapToGrid w:val="0"/>
        <w:rPr>
          <w:rFonts w:ascii="宋体" w:hAnsi="宋体" w:cs="宋体"/>
          <w:color w:val="auto"/>
          <w:sz w:val="20"/>
          <w:highlight w:val="none"/>
        </w:rPr>
      </w:pPr>
    </w:p>
    <w:p w14:paraId="2766567E">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本公司郑重声明，根据《政府采购促进中小企业发展管理办法》（财库[2020]46号）的规定，本公司参加</w:t>
      </w:r>
      <w:r>
        <w:rPr>
          <w:rFonts w:hint="eastAsia" w:ascii="宋体" w:hAnsi="宋体" w:cs="宋体"/>
          <w:color w:val="auto"/>
          <w:szCs w:val="21"/>
          <w:highlight w:val="none"/>
          <w:u w:val="single"/>
        </w:rPr>
        <w:t xml:space="preserve">    （单位名称）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kern w:val="21"/>
          <w:szCs w:val="21"/>
          <w:highlight w:val="none"/>
          <w:u w:val="single"/>
        </w:rPr>
        <w:t>(项目名称、项目编号）</w:t>
      </w:r>
      <w:r>
        <w:rPr>
          <w:rFonts w:hint="eastAsia" w:ascii="宋体" w:hAnsi="宋体" w:cs="宋体"/>
          <w:color w:val="auto"/>
          <w:szCs w:val="21"/>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C10F917">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1、（标的名称） ，属于（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5230AE9D">
      <w:pPr>
        <w:snapToGrid w:val="0"/>
        <w:spacing w:line="48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2、（标的名称），属于（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p>
    <w:p w14:paraId="30A78CE9">
      <w:pPr>
        <w:snapToGrid w:val="0"/>
        <w:spacing w:line="480" w:lineRule="auto"/>
        <w:rPr>
          <w:rFonts w:ascii="宋体" w:hAnsi="宋体" w:cs="宋体"/>
          <w:color w:val="auto"/>
          <w:sz w:val="20"/>
          <w:szCs w:val="21"/>
          <w:highlight w:val="none"/>
        </w:rPr>
      </w:pPr>
      <w:r>
        <w:rPr>
          <w:rFonts w:hint="eastAsia" w:ascii="宋体" w:hAnsi="宋体" w:cs="宋体"/>
          <w:color w:val="auto"/>
          <w:szCs w:val="21"/>
          <w:highlight w:val="none"/>
        </w:rPr>
        <w:t>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26D59240">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w:t>
      </w:r>
    </w:p>
    <w:p w14:paraId="6A585F4A">
      <w:pPr>
        <w:pStyle w:val="60"/>
        <w:snapToGrid w:val="0"/>
        <w:spacing w:line="480" w:lineRule="auto"/>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以上企业，不属于大企业的分支机构，不存在控股股东为大企业的情形，也不存在与大企业的负责人为同一人的情形。</w:t>
      </w:r>
    </w:p>
    <w:p w14:paraId="5B4C8302">
      <w:pPr>
        <w:pStyle w:val="61"/>
        <w:snapToGrid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14AB780">
      <w:pPr>
        <w:snapToGrid w:val="0"/>
        <w:spacing w:line="560" w:lineRule="exact"/>
        <w:ind w:firstLine="2310" w:firstLineChars="1100"/>
        <w:jc w:val="center"/>
        <w:rPr>
          <w:rFonts w:ascii="宋体" w:hAnsi="宋体" w:cs="宋体"/>
          <w:color w:val="auto"/>
          <w:sz w:val="20"/>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加盖单位公章）</w:t>
      </w:r>
    </w:p>
    <w:p w14:paraId="4A6E5FD3">
      <w:pPr>
        <w:snapToGrid w:val="0"/>
        <w:spacing w:line="560" w:lineRule="exact"/>
        <w:ind w:firstLine="2310" w:firstLineChars="1100"/>
        <w:jc w:val="center"/>
        <w:rPr>
          <w:rFonts w:ascii="宋体" w:hAnsi="宋体" w:cs="宋体"/>
          <w:color w:val="auto"/>
          <w:sz w:val="20"/>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日</w:t>
      </w:r>
    </w:p>
    <w:p w14:paraId="075EEF95">
      <w:pPr>
        <w:pStyle w:val="60"/>
        <w:snapToGrid w:val="0"/>
        <w:rPr>
          <w:rFonts w:ascii="宋体" w:hAnsi="宋体" w:cs="宋体"/>
          <w:color w:val="auto"/>
          <w:szCs w:val="21"/>
          <w:highlight w:val="none"/>
        </w:rPr>
      </w:pPr>
    </w:p>
    <w:p w14:paraId="6019D702">
      <w:pPr>
        <w:pStyle w:val="61"/>
        <w:snapToGrid w:val="0"/>
        <w:rPr>
          <w:rFonts w:ascii="宋体" w:hAnsi="宋体" w:cs="宋体"/>
          <w:color w:val="auto"/>
          <w:szCs w:val="21"/>
          <w:highlight w:val="none"/>
        </w:rPr>
      </w:pPr>
    </w:p>
    <w:p w14:paraId="5A5A4430">
      <w:pPr>
        <w:snapToGrid w:val="0"/>
        <w:rPr>
          <w:rFonts w:ascii="宋体" w:hAnsi="宋体" w:cs="宋体"/>
          <w:color w:val="auto"/>
          <w:sz w:val="20"/>
          <w:szCs w:val="21"/>
          <w:highlight w:val="none"/>
        </w:rPr>
      </w:pPr>
    </w:p>
    <w:p w14:paraId="53F6C4D2">
      <w:pPr>
        <w:pStyle w:val="60"/>
        <w:snapToGrid w:val="0"/>
        <w:rPr>
          <w:rFonts w:ascii="宋体" w:hAnsi="宋体" w:cs="宋体"/>
          <w:color w:val="auto"/>
          <w:highlight w:val="none"/>
        </w:rPr>
      </w:pPr>
    </w:p>
    <w:p w14:paraId="3CE98EE5">
      <w:pPr>
        <w:pStyle w:val="60"/>
        <w:snapToGrid w:val="0"/>
        <w:spacing w:line="480" w:lineRule="auto"/>
        <w:ind w:firstLine="420" w:firstLineChars="200"/>
        <w:rPr>
          <w:rFonts w:ascii="宋体" w:hAnsi="宋体" w:cs="宋体"/>
          <w:color w:val="auto"/>
          <w:highlight w:val="none"/>
        </w:rPr>
        <w:sectPr>
          <w:pgSz w:w="11906" w:h="16838"/>
          <w:pgMar w:top="1440" w:right="1080" w:bottom="1440" w:left="1080" w:header="850" w:footer="992" w:gutter="0"/>
          <w:cols w:space="720" w:num="1"/>
          <w:docGrid w:linePitch="312" w:charSpace="0"/>
        </w:sectPr>
      </w:pPr>
      <w:r>
        <w:rPr>
          <w:rFonts w:hint="eastAsia" w:ascii="宋体" w:hAnsi="宋体" w:cs="宋体"/>
          <w:b w:val="0"/>
          <w:bCs/>
          <w:color w:val="auto"/>
          <w:szCs w:val="21"/>
          <w:highlight w:val="none"/>
        </w:rPr>
        <w:t>注：从业人员、营业收入、资产总额填报上一年度数据，无上一年度数据的新成立企业可不填报</w:t>
      </w:r>
    </w:p>
    <w:p w14:paraId="671BC287">
      <w:pPr>
        <w:pStyle w:val="4"/>
        <w:snapToGrid w:val="0"/>
        <w:spacing w:line="560" w:lineRule="exact"/>
        <w:rPr>
          <w:rFonts w:ascii="宋体" w:hAnsi="宋体" w:cs="宋体"/>
          <w:color w:val="auto"/>
          <w:highlight w:val="none"/>
        </w:rPr>
      </w:pPr>
      <w:r>
        <w:rPr>
          <w:rFonts w:hint="eastAsia" w:ascii="宋体" w:hAnsi="宋体" w:cs="宋体"/>
          <w:color w:val="auto"/>
          <w:kern w:val="21"/>
          <w:highlight w:val="none"/>
        </w:rPr>
        <w:t>6、残疾人福利性单位声明函（若是）</w:t>
      </w:r>
    </w:p>
    <w:p w14:paraId="2F029EFE">
      <w:pPr>
        <w:snapToGrid w:val="0"/>
        <w:spacing w:line="56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kern w:val="21"/>
          <w:szCs w:val="21"/>
          <w:highlight w:val="none"/>
          <w:u w:val="single"/>
        </w:rPr>
        <w:t xml:space="preserve">(项目名称、项目编号 </w:t>
      </w:r>
      <w:r>
        <w:rPr>
          <w:rFonts w:hint="eastAsia" w:ascii="宋体" w:hAnsi="宋体" w:cs="宋体"/>
          <w:color w:val="auto"/>
          <w:szCs w:val="21"/>
          <w:highlight w:val="none"/>
        </w:rPr>
        <w:t>的采购活动提供本单位制造的货物（由本单位承担工程/提供服务），或者提供其他残疾人福利性单位制造的货物（不包括使用非残疾人福利性单位注册商标的货物）。</w:t>
      </w:r>
    </w:p>
    <w:p w14:paraId="129A49F9">
      <w:pPr>
        <w:snapToGrid w:val="0"/>
        <w:spacing w:line="56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本单位对上述声明的真实性负责。如有虚假，将依法承担相应责任。</w:t>
      </w:r>
    </w:p>
    <w:p w14:paraId="441484D0">
      <w:pPr>
        <w:pStyle w:val="12"/>
        <w:spacing w:line="560" w:lineRule="exact"/>
        <w:rPr>
          <w:rFonts w:ascii="宋体" w:hAnsi="宋体" w:eastAsia="宋体" w:cs="宋体"/>
          <w:color w:val="auto"/>
          <w:highlight w:val="none"/>
        </w:rPr>
      </w:pPr>
    </w:p>
    <w:p w14:paraId="6237F19B">
      <w:pPr>
        <w:snapToGrid w:val="0"/>
        <w:spacing w:line="560" w:lineRule="exact"/>
        <w:ind w:firstLine="2310" w:firstLineChars="1100"/>
        <w:jc w:val="center"/>
        <w:rPr>
          <w:rFonts w:ascii="宋体" w:hAnsi="宋体" w:cs="宋体"/>
          <w:color w:val="auto"/>
          <w:sz w:val="20"/>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加盖单位公章）</w:t>
      </w:r>
    </w:p>
    <w:p w14:paraId="173CC38B">
      <w:pPr>
        <w:snapToGrid w:val="0"/>
        <w:spacing w:line="560" w:lineRule="exact"/>
        <w:ind w:firstLine="2310" w:firstLineChars="1100"/>
        <w:jc w:val="center"/>
        <w:rPr>
          <w:rFonts w:ascii="宋体" w:hAnsi="宋体" w:cs="宋体"/>
          <w:color w:val="auto"/>
          <w:sz w:val="20"/>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szCs w:val="21"/>
          <w:highlight w:val="none"/>
        </w:rPr>
        <w:t>日</w:t>
      </w:r>
    </w:p>
    <w:p w14:paraId="1126651E">
      <w:pPr>
        <w:snapToGrid w:val="0"/>
        <w:rPr>
          <w:rFonts w:ascii="宋体" w:hAnsi="宋体" w:cs="宋体"/>
          <w:color w:val="auto"/>
          <w:sz w:val="20"/>
          <w:highlight w:val="none"/>
        </w:rPr>
      </w:pPr>
      <w:r>
        <w:rPr>
          <w:rFonts w:hint="eastAsia" w:ascii="宋体" w:hAnsi="宋体" w:cs="宋体"/>
          <w:color w:val="auto"/>
          <w:highlight w:val="none"/>
        </w:rPr>
        <w:t>备注：根据《财政部 民政部 中国残疾人联合会关于促进残疾人就业政府采购政策的通知》（财库〔2017〕141号）的规定：</w:t>
      </w:r>
    </w:p>
    <w:p w14:paraId="0901FD87">
      <w:pPr>
        <w:snapToGrid w:val="0"/>
        <w:rPr>
          <w:rFonts w:ascii="宋体" w:hAnsi="宋体" w:cs="宋体"/>
          <w:color w:val="auto"/>
          <w:sz w:val="20"/>
          <w:highlight w:val="none"/>
        </w:rPr>
      </w:pPr>
      <w:r>
        <w:rPr>
          <w:rFonts w:hint="eastAsia" w:ascii="宋体" w:hAnsi="宋体" w:cs="宋体"/>
          <w:color w:val="auto"/>
          <w:highlight w:val="none"/>
        </w:rPr>
        <w:t>一、享受政府采购支持政策的残疾人福利性单位应当同时满足以下条件：</w:t>
      </w:r>
    </w:p>
    <w:p w14:paraId="2C67DE6A">
      <w:pPr>
        <w:snapToGrid w:val="0"/>
        <w:rPr>
          <w:rFonts w:ascii="宋体" w:hAnsi="宋体" w:cs="宋体"/>
          <w:color w:val="auto"/>
          <w:sz w:val="20"/>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14:paraId="27CC4F18">
      <w:pPr>
        <w:snapToGrid w:val="0"/>
        <w:rPr>
          <w:rFonts w:ascii="宋体" w:hAnsi="宋体" w:cs="宋体"/>
          <w:color w:val="auto"/>
          <w:sz w:val="20"/>
          <w:highlight w:val="none"/>
        </w:rPr>
      </w:pPr>
      <w:r>
        <w:rPr>
          <w:rFonts w:hint="eastAsia" w:ascii="宋体" w:hAnsi="宋体" w:cs="宋体"/>
          <w:color w:val="auto"/>
          <w:highlight w:val="none"/>
        </w:rPr>
        <w:t>（二）依法与安置的每位残疾人签订了一年以上（含一年）的劳动合同或服务协议；</w:t>
      </w:r>
    </w:p>
    <w:p w14:paraId="6403033D">
      <w:pPr>
        <w:snapToGrid w:val="0"/>
        <w:rPr>
          <w:rFonts w:ascii="宋体" w:hAnsi="宋体" w:cs="宋体"/>
          <w:color w:val="auto"/>
          <w:sz w:val="20"/>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14:paraId="62A02BDA">
      <w:pPr>
        <w:snapToGrid w:val="0"/>
        <w:rPr>
          <w:rFonts w:ascii="宋体" w:hAnsi="宋体" w:cs="宋体"/>
          <w:color w:val="auto"/>
          <w:sz w:val="20"/>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14:paraId="35BF2B3A">
      <w:pPr>
        <w:snapToGrid w:val="0"/>
        <w:rPr>
          <w:rFonts w:ascii="宋体" w:hAnsi="宋体" w:cs="宋体"/>
          <w:color w:val="auto"/>
          <w:sz w:val="20"/>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EA3288">
      <w:pPr>
        <w:snapToGrid w:val="0"/>
        <w:rPr>
          <w:rFonts w:ascii="宋体" w:hAnsi="宋体" w:cs="宋体"/>
          <w:b/>
          <w:bCs/>
          <w:color w:val="auto"/>
          <w:sz w:val="24"/>
          <w:szCs w:val="24"/>
          <w:highlight w:val="none"/>
        </w:rPr>
      </w:pPr>
      <w:r>
        <w:rPr>
          <w:rFonts w:hint="eastAsia" w:ascii="宋体" w:hAnsi="宋体" w:cs="宋体"/>
          <w:color w:val="auto"/>
          <w:highlight w:val="none"/>
        </w:rPr>
        <w:t>二、中标、成交供应商为残疾人福利性单位的，采购人或者其委托的采购代理机构应当随中标、成交结果同时公告其《残疾人福利性单位声明函》，接受社会监督。</w:t>
      </w:r>
      <w:r>
        <w:rPr>
          <w:rFonts w:hint="eastAsia" w:ascii="宋体" w:hAnsi="宋体" w:cs="宋体"/>
          <w:color w:val="auto"/>
          <w:highlight w:val="none"/>
        </w:rPr>
        <w:br w:type="page"/>
      </w:r>
    </w:p>
    <w:p w14:paraId="10A13272">
      <w:pPr>
        <w:snapToGrid w:val="0"/>
        <w:jc w:val="center"/>
        <w:rPr>
          <w:rFonts w:ascii="宋体" w:hAnsi="宋体" w:cs="宋体"/>
          <w:b/>
          <w:color w:val="auto"/>
          <w:sz w:val="24"/>
          <w:highlight w:val="none"/>
        </w:rPr>
      </w:pPr>
      <w:r>
        <w:rPr>
          <w:rFonts w:hint="eastAsia" w:ascii="宋体" w:hAnsi="宋体" w:cs="宋体"/>
          <w:b/>
          <w:bCs/>
          <w:color w:val="auto"/>
          <w:sz w:val="24"/>
          <w:szCs w:val="24"/>
          <w:highlight w:val="none"/>
        </w:rPr>
        <w:t>7、监狱企业证明函（若是）</w:t>
      </w:r>
    </w:p>
    <w:p w14:paraId="13190B3F">
      <w:pPr>
        <w:snapToGrid w:val="0"/>
        <w:spacing w:line="56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D13379">
      <w:pPr>
        <w:snapToGrid w:val="0"/>
        <w:spacing w:line="56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14:paraId="6EB07CA6">
      <w:pPr>
        <w:snapToGrid w:val="0"/>
        <w:spacing w:before="156" w:after="156" w:line="460" w:lineRule="exact"/>
        <w:rPr>
          <w:rFonts w:ascii="宋体" w:hAnsi="宋体" w:cs="宋体"/>
          <w:b/>
          <w:color w:val="auto"/>
          <w:sz w:val="32"/>
          <w:szCs w:val="32"/>
          <w:highlight w:val="none"/>
        </w:rPr>
      </w:pPr>
    </w:p>
    <w:p w14:paraId="03AAE864">
      <w:pPr>
        <w:snapToGrid w:val="0"/>
        <w:spacing w:before="156" w:after="156" w:line="460" w:lineRule="exact"/>
        <w:rPr>
          <w:rFonts w:ascii="宋体" w:hAnsi="宋体" w:cs="宋体"/>
          <w:b/>
          <w:color w:val="auto"/>
          <w:sz w:val="32"/>
          <w:szCs w:val="32"/>
          <w:highlight w:val="none"/>
        </w:rPr>
      </w:pPr>
    </w:p>
    <w:p w14:paraId="4EA1F003">
      <w:pPr>
        <w:snapToGrid w:val="0"/>
        <w:spacing w:before="156" w:after="156" w:line="460" w:lineRule="exact"/>
        <w:rPr>
          <w:rFonts w:ascii="宋体" w:hAnsi="宋体" w:cs="宋体"/>
          <w:b/>
          <w:color w:val="auto"/>
          <w:sz w:val="32"/>
          <w:szCs w:val="32"/>
          <w:highlight w:val="none"/>
        </w:rPr>
      </w:pPr>
    </w:p>
    <w:p w14:paraId="358178F5">
      <w:pPr>
        <w:snapToGrid w:val="0"/>
        <w:spacing w:before="156" w:after="156" w:line="460" w:lineRule="exact"/>
        <w:rPr>
          <w:rFonts w:ascii="宋体" w:hAnsi="宋体" w:cs="宋体"/>
          <w:b/>
          <w:color w:val="auto"/>
          <w:sz w:val="32"/>
          <w:szCs w:val="32"/>
          <w:highlight w:val="none"/>
        </w:rPr>
      </w:pPr>
    </w:p>
    <w:p w14:paraId="430A2EFD">
      <w:pPr>
        <w:pStyle w:val="12"/>
        <w:rPr>
          <w:rFonts w:ascii="宋体" w:hAnsi="宋体" w:eastAsia="宋体" w:cs="宋体"/>
          <w:b/>
          <w:color w:val="auto"/>
          <w:sz w:val="32"/>
          <w:szCs w:val="32"/>
          <w:highlight w:val="none"/>
        </w:rPr>
      </w:pPr>
    </w:p>
    <w:p w14:paraId="78B96D88">
      <w:pPr>
        <w:snapToGrid w:val="0"/>
        <w:rPr>
          <w:rFonts w:ascii="宋体" w:hAnsi="宋体" w:cs="宋体"/>
          <w:b/>
          <w:color w:val="auto"/>
          <w:sz w:val="32"/>
          <w:szCs w:val="32"/>
          <w:highlight w:val="none"/>
        </w:rPr>
      </w:pPr>
    </w:p>
    <w:p w14:paraId="7CAC0180">
      <w:pPr>
        <w:pStyle w:val="12"/>
        <w:rPr>
          <w:rFonts w:ascii="宋体" w:hAnsi="宋体" w:eastAsia="宋体" w:cs="宋体"/>
          <w:b/>
          <w:color w:val="auto"/>
          <w:sz w:val="32"/>
          <w:szCs w:val="32"/>
          <w:highlight w:val="none"/>
        </w:rPr>
      </w:pPr>
    </w:p>
    <w:p w14:paraId="6DC27885">
      <w:pPr>
        <w:snapToGrid w:val="0"/>
        <w:rPr>
          <w:rFonts w:ascii="宋体" w:hAnsi="宋体" w:cs="宋体"/>
          <w:b/>
          <w:color w:val="auto"/>
          <w:sz w:val="32"/>
          <w:szCs w:val="32"/>
          <w:highlight w:val="none"/>
        </w:rPr>
      </w:pPr>
    </w:p>
    <w:p w14:paraId="58966B3E">
      <w:pPr>
        <w:pStyle w:val="12"/>
        <w:rPr>
          <w:rFonts w:ascii="宋体" w:hAnsi="宋体" w:eastAsia="宋体" w:cs="宋体"/>
          <w:b/>
          <w:color w:val="auto"/>
          <w:sz w:val="32"/>
          <w:szCs w:val="32"/>
          <w:highlight w:val="none"/>
        </w:rPr>
      </w:pPr>
    </w:p>
    <w:p w14:paraId="1D9D1D24">
      <w:pPr>
        <w:snapToGrid w:val="0"/>
        <w:rPr>
          <w:rFonts w:ascii="宋体" w:hAnsi="宋体" w:cs="宋体"/>
          <w:b/>
          <w:color w:val="auto"/>
          <w:sz w:val="32"/>
          <w:szCs w:val="32"/>
          <w:highlight w:val="none"/>
        </w:rPr>
      </w:pPr>
    </w:p>
    <w:p w14:paraId="2F73ABF8">
      <w:pPr>
        <w:pStyle w:val="12"/>
        <w:rPr>
          <w:rFonts w:ascii="宋体" w:hAnsi="宋体" w:eastAsia="宋体" w:cs="宋体"/>
          <w:b/>
          <w:color w:val="auto"/>
          <w:sz w:val="32"/>
          <w:szCs w:val="32"/>
          <w:highlight w:val="none"/>
        </w:rPr>
      </w:pPr>
    </w:p>
    <w:p w14:paraId="03992449">
      <w:pPr>
        <w:snapToGrid w:val="0"/>
        <w:rPr>
          <w:rFonts w:ascii="宋体" w:hAnsi="宋体" w:cs="宋体"/>
          <w:color w:val="auto"/>
          <w:sz w:val="20"/>
          <w:highlight w:val="none"/>
        </w:rPr>
      </w:pPr>
    </w:p>
    <w:p w14:paraId="2511BA2C">
      <w:pPr>
        <w:snapToGrid w:val="0"/>
        <w:spacing w:before="156" w:after="156" w:line="460" w:lineRule="exact"/>
        <w:rPr>
          <w:rFonts w:ascii="宋体" w:hAnsi="宋体" w:cs="宋体"/>
          <w:b/>
          <w:color w:val="auto"/>
          <w:sz w:val="32"/>
          <w:szCs w:val="32"/>
          <w:highlight w:val="none"/>
        </w:rPr>
      </w:pPr>
    </w:p>
    <w:p w14:paraId="341FDF8F">
      <w:pPr>
        <w:rPr>
          <w:rFonts w:ascii="宋体" w:hAnsi="宋体" w:cs="宋体"/>
          <w:color w:val="auto"/>
          <w:highlight w:val="none"/>
        </w:rPr>
      </w:pPr>
    </w:p>
    <w:p w14:paraId="45D045EB">
      <w:pPr>
        <w:snapToGrid w:val="0"/>
        <w:rPr>
          <w:rFonts w:ascii="宋体" w:hAnsi="宋体" w:cs="宋体"/>
          <w:b/>
          <w:color w:val="auto"/>
          <w:sz w:val="32"/>
          <w:szCs w:val="32"/>
          <w:highlight w:val="none"/>
        </w:rPr>
      </w:pPr>
    </w:p>
    <w:p w14:paraId="62172176">
      <w:pPr>
        <w:pStyle w:val="12"/>
        <w:rPr>
          <w:rFonts w:ascii="宋体" w:hAnsi="宋体" w:eastAsia="宋体" w:cs="宋体"/>
          <w:color w:val="auto"/>
          <w:highlight w:val="none"/>
        </w:rPr>
      </w:pPr>
    </w:p>
    <w:p w14:paraId="2C6B8495">
      <w:pPr>
        <w:rPr>
          <w:rFonts w:ascii="宋体" w:hAnsi="宋体" w:cs="宋体"/>
          <w:color w:val="auto"/>
          <w:highlight w:val="none"/>
        </w:rPr>
      </w:pPr>
    </w:p>
    <w:p w14:paraId="33CA245E">
      <w:pPr>
        <w:snapToGrid w:val="0"/>
        <w:rPr>
          <w:rFonts w:ascii="宋体" w:hAnsi="宋体" w:cs="宋体"/>
          <w:color w:val="auto"/>
          <w:sz w:val="20"/>
          <w:highlight w:val="none"/>
        </w:rPr>
      </w:pPr>
    </w:p>
    <w:p w14:paraId="6CE1F4A0">
      <w:pPr>
        <w:pStyle w:val="3"/>
        <w:spacing w:line="416" w:lineRule="atLeast"/>
        <w:jc w:val="left"/>
        <w:rPr>
          <w:rFonts w:ascii="宋体" w:hAnsi="宋体" w:cs="宋体"/>
          <w:color w:val="auto"/>
          <w:szCs w:val="24"/>
          <w:highlight w:val="none"/>
          <w:lang w:bidi="ar"/>
        </w:rPr>
      </w:pPr>
      <w:bookmarkStart w:id="116" w:name="_Toc22296"/>
      <w:bookmarkStart w:id="117" w:name="_Toc18536"/>
      <w:bookmarkStart w:id="118" w:name="_Toc8642"/>
      <w:bookmarkStart w:id="119" w:name="_Toc13245"/>
      <w:r>
        <w:rPr>
          <w:rFonts w:hint="eastAsia" w:ascii="宋体" w:hAnsi="宋体" w:cs="宋体"/>
          <w:color w:val="auto"/>
          <w:szCs w:val="24"/>
          <w:highlight w:val="none"/>
          <w:lang w:bidi="ar"/>
        </w:rPr>
        <w:t>附表1</w:t>
      </w:r>
      <w:bookmarkEnd w:id="116"/>
      <w:bookmarkEnd w:id="117"/>
    </w:p>
    <w:p w14:paraId="33728D18">
      <w:pPr>
        <w:pStyle w:val="3"/>
        <w:spacing w:line="416" w:lineRule="atLeast"/>
        <w:rPr>
          <w:rFonts w:ascii="宋体" w:hAnsi="宋体" w:cs="宋体"/>
          <w:color w:val="auto"/>
          <w:szCs w:val="24"/>
          <w:highlight w:val="none"/>
        </w:rPr>
      </w:pPr>
      <w:bookmarkStart w:id="120" w:name="_Toc10093"/>
      <w:bookmarkStart w:id="121" w:name="_Toc13438"/>
      <w:r>
        <w:rPr>
          <w:rFonts w:hint="eastAsia" w:ascii="宋体" w:hAnsi="宋体" w:cs="宋体"/>
          <w:color w:val="auto"/>
          <w:szCs w:val="24"/>
          <w:highlight w:val="none"/>
        </w:rPr>
        <w:t>商务偏离表</w:t>
      </w:r>
      <w:bookmarkEnd w:id="118"/>
      <w:bookmarkEnd w:id="119"/>
      <w:bookmarkEnd w:id="120"/>
      <w:bookmarkEnd w:id="121"/>
    </w:p>
    <w:p w14:paraId="4C9BAC02">
      <w:pPr>
        <w:pStyle w:val="3"/>
        <w:spacing w:line="416" w:lineRule="atLeast"/>
        <w:ind w:firstLine="422" w:firstLineChars="200"/>
        <w:jc w:val="left"/>
        <w:rPr>
          <w:rFonts w:ascii="宋体" w:hAnsi="宋体" w:cs="宋体"/>
          <w:color w:val="auto"/>
          <w:sz w:val="21"/>
          <w:szCs w:val="21"/>
          <w:highlight w:val="none"/>
        </w:rPr>
      </w:pPr>
      <w:bookmarkStart w:id="122" w:name="_Toc16222"/>
      <w:bookmarkStart w:id="123" w:name="_Toc18627"/>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项目编号：</w:t>
      </w:r>
      <w:bookmarkEnd w:id="122"/>
      <w:bookmarkEnd w:id="123"/>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B229DD9">
      <w:pPr>
        <w:rPr>
          <w:rFonts w:ascii="宋体" w:hAnsi="宋体" w:cs="宋体"/>
          <w:color w:val="auto"/>
          <w:szCs w:val="21"/>
          <w:highlight w:val="none"/>
        </w:rPr>
      </w:pPr>
    </w:p>
    <w:tbl>
      <w:tblPr>
        <w:tblStyle w:val="24"/>
        <w:tblW w:w="9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31"/>
        <w:gridCol w:w="2010"/>
        <w:gridCol w:w="2436"/>
        <w:gridCol w:w="1367"/>
        <w:gridCol w:w="1440"/>
      </w:tblGrid>
      <w:tr w14:paraId="1D846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8" w:hRule="atLeast"/>
          <w:jc w:val="center"/>
        </w:trPr>
        <w:tc>
          <w:tcPr>
            <w:tcW w:w="2131" w:type="dxa"/>
            <w:vAlign w:val="center"/>
          </w:tcPr>
          <w:p w14:paraId="4A0E4E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010" w:type="dxa"/>
            <w:vAlign w:val="center"/>
          </w:tcPr>
          <w:p w14:paraId="21E62E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招标文件商务要求</w:t>
            </w:r>
          </w:p>
        </w:tc>
        <w:tc>
          <w:tcPr>
            <w:tcW w:w="2436" w:type="dxa"/>
            <w:vAlign w:val="center"/>
          </w:tcPr>
          <w:p w14:paraId="1696F3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投标文件商务响应</w:t>
            </w:r>
          </w:p>
        </w:tc>
        <w:tc>
          <w:tcPr>
            <w:tcW w:w="1367" w:type="dxa"/>
            <w:vAlign w:val="center"/>
          </w:tcPr>
          <w:p w14:paraId="380E5D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1440" w:type="dxa"/>
            <w:vAlign w:val="center"/>
          </w:tcPr>
          <w:p w14:paraId="1A327A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1990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9" w:hRule="atLeast"/>
          <w:jc w:val="center"/>
        </w:trPr>
        <w:tc>
          <w:tcPr>
            <w:tcW w:w="2131" w:type="dxa"/>
            <w:vAlign w:val="center"/>
          </w:tcPr>
          <w:p w14:paraId="7C96B4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2010" w:type="dxa"/>
            <w:vAlign w:val="center"/>
          </w:tcPr>
          <w:p w14:paraId="3C89CC5A">
            <w:pPr>
              <w:spacing w:line="360" w:lineRule="auto"/>
              <w:jc w:val="center"/>
              <w:rPr>
                <w:rFonts w:ascii="宋体" w:hAnsi="宋体" w:cs="宋体"/>
                <w:color w:val="auto"/>
                <w:szCs w:val="21"/>
                <w:highlight w:val="none"/>
              </w:rPr>
            </w:pPr>
          </w:p>
        </w:tc>
        <w:tc>
          <w:tcPr>
            <w:tcW w:w="2436" w:type="dxa"/>
            <w:vAlign w:val="center"/>
          </w:tcPr>
          <w:p w14:paraId="0D717B87">
            <w:pPr>
              <w:spacing w:line="360" w:lineRule="auto"/>
              <w:jc w:val="center"/>
              <w:rPr>
                <w:rFonts w:ascii="宋体" w:hAnsi="宋体" w:cs="宋体"/>
                <w:color w:val="auto"/>
                <w:szCs w:val="21"/>
                <w:highlight w:val="none"/>
              </w:rPr>
            </w:pPr>
          </w:p>
        </w:tc>
        <w:tc>
          <w:tcPr>
            <w:tcW w:w="1367" w:type="dxa"/>
            <w:vAlign w:val="center"/>
          </w:tcPr>
          <w:p w14:paraId="559CB3EC">
            <w:pPr>
              <w:spacing w:line="360" w:lineRule="auto"/>
              <w:jc w:val="center"/>
              <w:rPr>
                <w:rFonts w:ascii="宋体" w:hAnsi="宋体" w:cs="宋体"/>
                <w:color w:val="auto"/>
                <w:szCs w:val="21"/>
                <w:highlight w:val="none"/>
              </w:rPr>
            </w:pPr>
          </w:p>
        </w:tc>
        <w:tc>
          <w:tcPr>
            <w:tcW w:w="1440" w:type="dxa"/>
            <w:vAlign w:val="center"/>
          </w:tcPr>
          <w:p w14:paraId="77AF4251">
            <w:pPr>
              <w:spacing w:line="360" w:lineRule="auto"/>
              <w:jc w:val="center"/>
              <w:rPr>
                <w:rFonts w:ascii="宋体" w:hAnsi="宋体" w:cs="宋体"/>
                <w:color w:val="auto"/>
                <w:szCs w:val="21"/>
                <w:highlight w:val="none"/>
              </w:rPr>
            </w:pPr>
          </w:p>
        </w:tc>
      </w:tr>
      <w:tr w14:paraId="3D2F7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84" w:hRule="atLeast"/>
          <w:jc w:val="center"/>
        </w:trPr>
        <w:tc>
          <w:tcPr>
            <w:tcW w:w="2131" w:type="dxa"/>
            <w:vAlign w:val="center"/>
          </w:tcPr>
          <w:p w14:paraId="480CE3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供货期</w:t>
            </w:r>
          </w:p>
        </w:tc>
        <w:tc>
          <w:tcPr>
            <w:tcW w:w="2010" w:type="dxa"/>
            <w:vAlign w:val="center"/>
          </w:tcPr>
          <w:p w14:paraId="318CF69C">
            <w:pPr>
              <w:spacing w:line="360" w:lineRule="auto"/>
              <w:jc w:val="center"/>
              <w:rPr>
                <w:rFonts w:ascii="宋体" w:hAnsi="宋体" w:cs="宋体"/>
                <w:color w:val="auto"/>
                <w:szCs w:val="21"/>
                <w:highlight w:val="none"/>
              </w:rPr>
            </w:pPr>
          </w:p>
        </w:tc>
        <w:tc>
          <w:tcPr>
            <w:tcW w:w="2436" w:type="dxa"/>
            <w:vAlign w:val="center"/>
          </w:tcPr>
          <w:p w14:paraId="07DD9A2A">
            <w:pPr>
              <w:spacing w:line="360" w:lineRule="auto"/>
              <w:jc w:val="center"/>
              <w:rPr>
                <w:rFonts w:ascii="宋体" w:hAnsi="宋体" w:cs="宋体"/>
                <w:color w:val="auto"/>
                <w:szCs w:val="21"/>
                <w:highlight w:val="none"/>
              </w:rPr>
            </w:pPr>
          </w:p>
        </w:tc>
        <w:tc>
          <w:tcPr>
            <w:tcW w:w="1367" w:type="dxa"/>
            <w:vAlign w:val="center"/>
          </w:tcPr>
          <w:p w14:paraId="5B6FE86A">
            <w:pPr>
              <w:spacing w:line="360" w:lineRule="auto"/>
              <w:jc w:val="center"/>
              <w:rPr>
                <w:rFonts w:ascii="宋体" w:hAnsi="宋体" w:cs="宋体"/>
                <w:color w:val="auto"/>
                <w:szCs w:val="21"/>
                <w:highlight w:val="none"/>
              </w:rPr>
            </w:pPr>
          </w:p>
        </w:tc>
        <w:tc>
          <w:tcPr>
            <w:tcW w:w="1440" w:type="dxa"/>
            <w:vAlign w:val="center"/>
          </w:tcPr>
          <w:p w14:paraId="6F341C52">
            <w:pPr>
              <w:spacing w:line="360" w:lineRule="auto"/>
              <w:jc w:val="center"/>
              <w:rPr>
                <w:rFonts w:ascii="宋体" w:hAnsi="宋体" w:cs="宋体"/>
                <w:color w:val="auto"/>
                <w:szCs w:val="21"/>
                <w:highlight w:val="none"/>
              </w:rPr>
            </w:pPr>
          </w:p>
        </w:tc>
      </w:tr>
      <w:tr w14:paraId="5870A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604D08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2010" w:type="dxa"/>
            <w:vAlign w:val="center"/>
          </w:tcPr>
          <w:p w14:paraId="065BD9F8">
            <w:pPr>
              <w:spacing w:line="360" w:lineRule="auto"/>
              <w:jc w:val="center"/>
              <w:rPr>
                <w:rFonts w:ascii="宋体" w:hAnsi="宋体" w:cs="宋体"/>
                <w:color w:val="auto"/>
                <w:szCs w:val="21"/>
                <w:highlight w:val="none"/>
              </w:rPr>
            </w:pPr>
          </w:p>
        </w:tc>
        <w:tc>
          <w:tcPr>
            <w:tcW w:w="2436" w:type="dxa"/>
            <w:vAlign w:val="center"/>
          </w:tcPr>
          <w:p w14:paraId="0CC5B439">
            <w:pPr>
              <w:spacing w:line="360" w:lineRule="auto"/>
              <w:jc w:val="center"/>
              <w:rPr>
                <w:rFonts w:ascii="宋体" w:hAnsi="宋体" w:cs="宋体"/>
                <w:color w:val="auto"/>
                <w:szCs w:val="21"/>
                <w:highlight w:val="none"/>
              </w:rPr>
            </w:pPr>
          </w:p>
        </w:tc>
        <w:tc>
          <w:tcPr>
            <w:tcW w:w="1367" w:type="dxa"/>
            <w:vAlign w:val="center"/>
          </w:tcPr>
          <w:p w14:paraId="179F99DE">
            <w:pPr>
              <w:spacing w:line="360" w:lineRule="auto"/>
              <w:jc w:val="center"/>
              <w:rPr>
                <w:rFonts w:ascii="宋体" w:hAnsi="宋体" w:cs="宋体"/>
                <w:color w:val="auto"/>
                <w:szCs w:val="21"/>
                <w:highlight w:val="none"/>
              </w:rPr>
            </w:pPr>
          </w:p>
        </w:tc>
        <w:tc>
          <w:tcPr>
            <w:tcW w:w="1440" w:type="dxa"/>
            <w:vAlign w:val="center"/>
          </w:tcPr>
          <w:p w14:paraId="60DEA519">
            <w:pPr>
              <w:spacing w:line="360" w:lineRule="auto"/>
              <w:jc w:val="center"/>
              <w:rPr>
                <w:rFonts w:ascii="宋体" w:hAnsi="宋体" w:cs="宋体"/>
                <w:color w:val="auto"/>
                <w:szCs w:val="21"/>
                <w:highlight w:val="none"/>
              </w:rPr>
            </w:pPr>
          </w:p>
        </w:tc>
      </w:tr>
      <w:tr w14:paraId="7D56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75A65802">
            <w:pPr>
              <w:spacing w:line="360" w:lineRule="auto"/>
              <w:jc w:val="center"/>
              <w:rPr>
                <w:rFonts w:ascii="宋体" w:hAnsi="宋体" w:cs="宋体"/>
                <w:color w:val="auto"/>
                <w:szCs w:val="21"/>
                <w:highlight w:val="none"/>
              </w:rPr>
            </w:pPr>
          </w:p>
        </w:tc>
        <w:tc>
          <w:tcPr>
            <w:tcW w:w="2010" w:type="dxa"/>
            <w:vAlign w:val="center"/>
          </w:tcPr>
          <w:p w14:paraId="098B3E1D">
            <w:pPr>
              <w:spacing w:line="360" w:lineRule="auto"/>
              <w:jc w:val="center"/>
              <w:rPr>
                <w:rFonts w:ascii="宋体" w:hAnsi="宋体" w:cs="宋体"/>
                <w:color w:val="auto"/>
                <w:szCs w:val="21"/>
                <w:highlight w:val="none"/>
              </w:rPr>
            </w:pPr>
          </w:p>
        </w:tc>
        <w:tc>
          <w:tcPr>
            <w:tcW w:w="2436" w:type="dxa"/>
            <w:vAlign w:val="center"/>
          </w:tcPr>
          <w:p w14:paraId="3DDA9BE7">
            <w:pPr>
              <w:spacing w:line="360" w:lineRule="auto"/>
              <w:jc w:val="center"/>
              <w:rPr>
                <w:rFonts w:ascii="宋体" w:hAnsi="宋体" w:cs="宋体"/>
                <w:color w:val="auto"/>
                <w:szCs w:val="21"/>
                <w:highlight w:val="none"/>
              </w:rPr>
            </w:pPr>
          </w:p>
        </w:tc>
        <w:tc>
          <w:tcPr>
            <w:tcW w:w="1367" w:type="dxa"/>
            <w:vAlign w:val="center"/>
          </w:tcPr>
          <w:p w14:paraId="069BBDB2">
            <w:pPr>
              <w:spacing w:line="360" w:lineRule="auto"/>
              <w:jc w:val="center"/>
              <w:rPr>
                <w:rFonts w:ascii="宋体" w:hAnsi="宋体" w:cs="宋体"/>
                <w:color w:val="auto"/>
                <w:szCs w:val="21"/>
                <w:highlight w:val="none"/>
              </w:rPr>
            </w:pPr>
          </w:p>
        </w:tc>
        <w:tc>
          <w:tcPr>
            <w:tcW w:w="1440" w:type="dxa"/>
            <w:vAlign w:val="center"/>
          </w:tcPr>
          <w:p w14:paraId="1FC901CD">
            <w:pPr>
              <w:spacing w:line="360" w:lineRule="auto"/>
              <w:jc w:val="center"/>
              <w:rPr>
                <w:rFonts w:ascii="宋体" w:hAnsi="宋体" w:cs="宋体"/>
                <w:color w:val="auto"/>
                <w:szCs w:val="21"/>
                <w:highlight w:val="none"/>
              </w:rPr>
            </w:pPr>
          </w:p>
        </w:tc>
      </w:tr>
      <w:tr w14:paraId="7C6D9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0553C4DC">
            <w:pPr>
              <w:spacing w:line="360" w:lineRule="auto"/>
              <w:jc w:val="center"/>
              <w:rPr>
                <w:rFonts w:ascii="宋体" w:hAnsi="宋体" w:cs="宋体"/>
                <w:color w:val="auto"/>
                <w:szCs w:val="21"/>
                <w:highlight w:val="none"/>
              </w:rPr>
            </w:pPr>
          </w:p>
        </w:tc>
        <w:tc>
          <w:tcPr>
            <w:tcW w:w="2010" w:type="dxa"/>
            <w:vAlign w:val="center"/>
          </w:tcPr>
          <w:p w14:paraId="79B3D581">
            <w:pPr>
              <w:spacing w:line="360" w:lineRule="auto"/>
              <w:jc w:val="center"/>
              <w:rPr>
                <w:rFonts w:ascii="宋体" w:hAnsi="宋体" w:cs="宋体"/>
                <w:color w:val="auto"/>
                <w:szCs w:val="21"/>
                <w:highlight w:val="none"/>
              </w:rPr>
            </w:pPr>
          </w:p>
        </w:tc>
        <w:tc>
          <w:tcPr>
            <w:tcW w:w="2436" w:type="dxa"/>
            <w:vAlign w:val="center"/>
          </w:tcPr>
          <w:p w14:paraId="0312AECD">
            <w:pPr>
              <w:spacing w:line="360" w:lineRule="auto"/>
              <w:jc w:val="center"/>
              <w:rPr>
                <w:rFonts w:ascii="宋体" w:hAnsi="宋体" w:cs="宋体"/>
                <w:color w:val="auto"/>
                <w:szCs w:val="21"/>
                <w:highlight w:val="none"/>
              </w:rPr>
            </w:pPr>
          </w:p>
        </w:tc>
        <w:tc>
          <w:tcPr>
            <w:tcW w:w="1367" w:type="dxa"/>
            <w:vAlign w:val="center"/>
          </w:tcPr>
          <w:p w14:paraId="7EC8A88A">
            <w:pPr>
              <w:spacing w:line="360" w:lineRule="auto"/>
              <w:jc w:val="center"/>
              <w:rPr>
                <w:rFonts w:ascii="宋体" w:hAnsi="宋体" w:cs="宋体"/>
                <w:color w:val="auto"/>
                <w:szCs w:val="21"/>
                <w:highlight w:val="none"/>
              </w:rPr>
            </w:pPr>
          </w:p>
        </w:tc>
        <w:tc>
          <w:tcPr>
            <w:tcW w:w="1440" w:type="dxa"/>
            <w:vAlign w:val="center"/>
          </w:tcPr>
          <w:p w14:paraId="72F6AD91">
            <w:pPr>
              <w:spacing w:line="360" w:lineRule="auto"/>
              <w:jc w:val="center"/>
              <w:rPr>
                <w:rFonts w:ascii="宋体" w:hAnsi="宋体" w:cs="宋体"/>
                <w:color w:val="auto"/>
                <w:szCs w:val="21"/>
                <w:highlight w:val="none"/>
              </w:rPr>
            </w:pPr>
          </w:p>
        </w:tc>
      </w:tr>
      <w:tr w14:paraId="7145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1398276F">
            <w:pPr>
              <w:spacing w:line="360" w:lineRule="auto"/>
              <w:jc w:val="center"/>
              <w:rPr>
                <w:rFonts w:ascii="宋体" w:hAnsi="宋体" w:cs="宋体"/>
                <w:color w:val="auto"/>
                <w:szCs w:val="21"/>
                <w:highlight w:val="none"/>
              </w:rPr>
            </w:pPr>
          </w:p>
        </w:tc>
        <w:tc>
          <w:tcPr>
            <w:tcW w:w="2010" w:type="dxa"/>
            <w:vAlign w:val="center"/>
          </w:tcPr>
          <w:p w14:paraId="4F2D99D3">
            <w:pPr>
              <w:spacing w:line="360" w:lineRule="auto"/>
              <w:jc w:val="center"/>
              <w:rPr>
                <w:rFonts w:ascii="宋体" w:hAnsi="宋体" w:cs="宋体"/>
                <w:color w:val="auto"/>
                <w:szCs w:val="21"/>
                <w:highlight w:val="none"/>
              </w:rPr>
            </w:pPr>
          </w:p>
        </w:tc>
        <w:tc>
          <w:tcPr>
            <w:tcW w:w="2436" w:type="dxa"/>
            <w:vAlign w:val="center"/>
          </w:tcPr>
          <w:p w14:paraId="23731EF4">
            <w:pPr>
              <w:spacing w:line="360" w:lineRule="auto"/>
              <w:jc w:val="center"/>
              <w:rPr>
                <w:rFonts w:ascii="宋体" w:hAnsi="宋体" w:cs="宋体"/>
                <w:color w:val="auto"/>
                <w:szCs w:val="21"/>
                <w:highlight w:val="none"/>
              </w:rPr>
            </w:pPr>
          </w:p>
        </w:tc>
        <w:tc>
          <w:tcPr>
            <w:tcW w:w="1367" w:type="dxa"/>
            <w:vAlign w:val="center"/>
          </w:tcPr>
          <w:p w14:paraId="12772E51">
            <w:pPr>
              <w:spacing w:line="360" w:lineRule="auto"/>
              <w:jc w:val="center"/>
              <w:rPr>
                <w:rFonts w:ascii="宋体" w:hAnsi="宋体" w:cs="宋体"/>
                <w:color w:val="auto"/>
                <w:szCs w:val="21"/>
                <w:highlight w:val="none"/>
              </w:rPr>
            </w:pPr>
          </w:p>
        </w:tc>
        <w:tc>
          <w:tcPr>
            <w:tcW w:w="1440" w:type="dxa"/>
            <w:vAlign w:val="center"/>
          </w:tcPr>
          <w:p w14:paraId="01388B55">
            <w:pPr>
              <w:spacing w:line="360" w:lineRule="auto"/>
              <w:jc w:val="center"/>
              <w:rPr>
                <w:rFonts w:ascii="宋体" w:hAnsi="宋体" w:cs="宋体"/>
                <w:color w:val="auto"/>
                <w:szCs w:val="21"/>
                <w:highlight w:val="none"/>
              </w:rPr>
            </w:pPr>
          </w:p>
        </w:tc>
      </w:tr>
    </w:tbl>
    <w:p w14:paraId="22D4098B">
      <w:pPr>
        <w:spacing w:line="360" w:lineRule="auto"/>
        <w:rPr>
          <w:rFonts w:ascii="宋体" w:hAnsi="宋体" w:cs="宋体"/>
          <w:color w:val="auto"/>
          <w:szCs w:val="21"/>
          <w:highlight w:val="none"/>
        </w:rPr>
      </w:pPr>
    </w:p>
    <w:p w14:paraId="3B7EEB65">
      <w:pPr>
        <w:autoSpaceDE w:val="0"/>
        <w:autoSpaceDN w:val="0"/>
        <w:adjustRightInd w:val="0"/>
        <w:spacing w:line="360" w:lineRule="auto"/>
        <w:rPr>
          <w:rFonts w:ascii="宋体" w:hAnsi="宋体" w:cs="宋体"/>
          <w:color w:val="auto"/>
          <w:kern w:val="2"/>
          <w:szCs w:val="21"/>
          <w:highlight w:val="none"/>
        </w:rPr>
      </w:pPr>
      <w:r>
        <w:rPr>
          <w:rFonts w:hint="eastAsia" w:ascii="宋体" w:hAnsi="宋体" w:cs="宋体"/>
          <w:color w:val="auto"/>
          <w:kern w:val="2"/>
          <w:szCs w:val="21"/>
          <w:highlight w:val="none"/>
        </w:rPr>
        <w:t>说明：</w:t>
      </w:r>
    </w:p>
    <w:p w14:paraId="0F1949A0">
      <w:pPr>
        <w:autoSpaceDE w:val="0"/>
        <w:autoSpaceDN w:val="0"/>
        <w:adjustRightInd w:val="0"/>
        <w:spacing w:line="360" w:lineRule="auto"/>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rPr>
        <w:t>1、按照商务条款如实填写（包括供货期、</w:t>
      </w:r>
      <w:r>
        <w:rPr>
          <w:rFonts w:hint="eastAsia" w:ascii="宋体" w:hAnsi="宋体" w:cs="宋体"/>
          <w:color w:val="auto"/>
          <w:szCs w:val="21"/>
          <w:highlight w:val="none"/>
        </w:rPr>
        <w:t>付款方</w:t>
      </w:r>
      <w:r>
        <w:rPr>
          <w:rFonts w:hint="eastAsia" w:ascii="宋体" w:hAnsi="宋体" w:cs="宋体"/>
          <w:color w:val="auto"/>
          <w:kern w:val="2"/>
          <w:szCs w:val="21"/>
          <w:highlight w:val="none"/>
        </w:rPr>
        <w:t>式、质保期等）。</w:t>
      </w:r>
    </w:p>
    <w:p w14:paraId="582A40FC">
      <w:pPr>
        <w:autoSpaceDE w:val="0"/>
        <w:autoSpaceDN w:val="0"/>
        <w:adjustRightInd w:val="0"/>
        <w:spacing w:line="360" w:lineRule="auto"/>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rPr>
        <w:t>2、响应说明填写：优于、相同、低于。</w:t>
      </w:r>
    </w:p>
    <w:p w14:paraId="680BF6C9">
      <w:pPr>
        <w:rPr>
          <w:rFonts w:ascii="宋体" w:hAnsi="宋体" w:cs="宋体"/>
          <w:color w:val="auto"/>
          <w:szCs w:val="21"/>
          <w:highlight w:val="none"/>
        </w:rPr>
      </w:pPr>
    </w:p>
    <w:p w14:paraId="2E0764CC">
      <w:pPr>
        <w:pStyle w:val="9"/>
        <w:rPr>
          <w:rFonts w:ascii="宋体" w:hAnsi="宋体" w:cs="宋体"/>
          <w:color w:val="auto"/>
          <w:sz w:val="21"/>
          <w:szCs w:val="21"/>
          <w:highlight w:val="none"/>
        </w:rPr>
      </w:pPr>
    </w:p>
    <w:p w14:paraId="6CB2AF89">
      <w:pPr>
        <w:ind w:firstLine="3780" w:firstLineChars="1800"/>
        <w:rPr>
          <w:rFonts w:ascii="宋体" w:hAnsi="宋体" w:cs="宋体"/>
          <w:color w:val="auto"/>
          <w:szCs w:val="21"/>
          <w:highlight w:val="none"/>
        </w:rPr>
      </w:pPr>
      <w:r>
        <w:rPr>
          <w:rFonts w:hint="eastAsia" w:ascii="宋体" w:hAnsi="宋体" w:cs="宋体"/>
          <w:color w:val="auto"/>
          <w:szCs w:val="21"/>
          <w:highlight w:val="none"/>
          <w:lang w:bidi="ar"/>
        </w:rPr>
        <w:t xml:space="preserve"> 供 应 商：</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(盖单位公章)</w:t>
      </w:r>
    </w:p>
    <w:p w14:paraId="1E051B46">
      <w:pPr>
        <w:rPr>
          <w:rFonts w:ascii="宋体" w:hAnsi="宋体" w:cs="宋体"/>
          <w:color w:val="auto"/>
          <w:szCs w:val="21"/>
          <w:highlight w:val="none"/>
        </w:rPr>
      </w:pPr>
    </w:p>
    <w:p w14:paraId="44F413B0">
      <w:pPr>
        <w:ind w:firstLine="3780" w:firstLineChars="1800"/>
        <w:rPr>
          <w:rFonts w:ascii="宋体" w:hAnsi="宋体" w:cs="宋体"/>
          <w:color w:val="auto"/>
          <w:szCs w:val="21"/>
          <w:highlight w:val="none"/>
        </w:rPr>
      </w:pPr>
      <w:r>
        <w:rPr>
          <w:rFonts w:hint="eastAsia" w:ascii="宋体" w:hAnsi="宋体" w:cs="宋体"/>
          <w:color w:val="auto"/>
          <w:szCs w:val="21"/>
          <w:highlight w:val="none"/>
          <w:lang w:bidi="ar"/>
        </w:rPr>
        <w:t>法定代表人或委托代理人：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(签字或盖章)</w:t>
      </w:r>
    </w:p>
    <w:p w14:paraId="62A416CF">
      <w:pPr>
        <w:ind w:firstLine="1050" w:firstLineChars="500"/>
        <w:rPr>
          <w:rFonts w:ascii="宋体" w:hAnsi="宋体" w:cs="宋体"/>
          <w:color w:val="auto"/>
          <w:szCs w:val="21"/>
          <w:highlight w:val="none"/>
        </w:rPr>
      </w:pPr>
      <w:r>
        <w:rPr>
          <w:rFonts w:hint="eastAsia" w:ascii="宋体" w:hAnsi="宋体" w:cs="宋体"/>
          <w:color w:val="auto"/>
          <w:szCs w:val="21"/>
          <w:highlight w:val="none"/>
          <w:lang w:bidi="ar"/>
        </w:rPr>
        <w:t xml:space="preserve"> </w:t>
      </w:r>
    </w:p>
    <w:p w14:paraId="4C0BF52A">
      <w:pPr>
        <w:widowControl w:val="0"/>
        <w:snapToGrid w:val="0"/>
        <w:spacing w:before="240" w:beforeLines="100" w:after="240" w:afterLines="100"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 xml:space="preserve">                             日     期：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日 </w:t>
      </w:r>
    </w:p>
    <w:p w14:paraId="01C930AA">
      <w:pPr>
        <w:rPr>
          <w:rFonts w:ascii="宋体" w:hAnsi="宋体" w:cs="宋体"/>
          <w:b/>
          <w:color w:val="auto"/>
          <w:sz w:val="32"/>
          <w:szCs w:val="32"/>
          <w:highlight w:val="none"/>
        </w:rPr>
      </w:pPr>
    </w:p>
    <w:p w14:paraId="1E5CAC85">
      <w:pPr>
        <w:pStyle w:val="12"/>
        <w:rPr>
          <w:rFonts w:ascii="宋体" w:hAnsi="宋体" w:eastAsia="宋体" w:cs="宋体"/>
          <w:color w:val="auto"/>
          <w:highlight w:val="none"/>
        </w:rPr>
      </w:pPr>
    </w:p>
    <w:p w14:paraId="64533E16">
      <w:pPr>
        <w:snapToGrid w:val="0"/>
        <w:rPr>
          <w:rFonts w:ascii="宋体" w:hAnsi="宋体" w:cs="宋体"/>
          <w:color w:val="auto"/>
          <w:sz w:val="20"/>
          <w:highlight w:val="none"/>
        </w:rPr>
      </w:pPr>
    </w:p>
    <w:p w14:paraId="6881C5AE">
      <w:pPr>
        <w:pStyle w:val="8"/>
        <w:rPr>
          <w:rFonts w:ascii="宋体" w:hAnsi="宋体" w:cs="宋体"/>
          <w:color w:val="auto"/>
          <w:sz w:val="20"/>
          <w:highlight w:val="none"/>
        </w:rPr>
      </w:pPr>
    </w:p>
    <w:p w14:paraId="55898F6F">
      <w:pPr>
        <w:rPr>
          <w:rFonts w:ascii="宋体" w:hAnsi="宋体" w:cs="宋体"/>
          <w:color w:val="auto"/>
          <w:highlight w:val="none"/>
        </w:rPr>
      </w:pPr>
    </w:p>
    <w:p w14:paraId="19506C65">
      <w:pPr>
        <w:pStyle w:val="8"/>
        <w:rPr>
          <w:rFonts w:ascii="宋体" w:hAnsi="宋体" w:cs="宋体"/>
          <w:color w:val="auto"/>
          <w:highlight w:val="none"/>
        </w:rPr>
      </w:pPr>
    </w:p>
    <w:p w14:paraId="3D5B14B7">
      <w:pPr>
        <w:pStyle w:val="3"/>
        <w:spacing w:line="416" w:lineRule="atLeast"/>
        <w:jc w:val="left"/>
        <w:rPr>
          <w:rFonts w:ascii="宋体" w:hAnsi="宋体" w:cs="宋体"/>
          <w:color w:val="auto"/>
          <w:szCs w:val="24"/>
          <w:highlight w:val="none"/>
          <w:lang w:bidi="ar"/>
        </w:rPr>
      </w:pPr>
      <w:bookmarkStart w:id="124" w:name="_Toc29491"/>
      <w:bookmarkStart w:id="125" w:name="_Toc60929140"/>
      <w:bookmarkStart w:id="126" w:name="_Toc532473509"/>
      <w:bookmarkStart w:id="127" w:name="_Toc60928908"/>
      <w:bookmarkStart w:id="128" w:name="_Toc515647820"/>
      <w:bookmarkStart w:id="129" w:name="_Toc216582817"/>
      <w:bookmarkStart w:id="130" w:name="_Toc22563"/>
      <w:bookmarkStart w:id="131" w:name="_Toc62194352"/>
      <w:bookmarkStart w:id="132" w:name="_Toc28959"/>
      <w:bookmarkStart w:id="133" w:name="_Toc15536"/>
      <w:r>
        <w:rPr>
          <w:rFonts w:hint="eastAsia" w:ascii="宋体" w:hAnsi="宋体" w:cs="宋体"/>
          <w:color w:val="auto"/>
          <w:szCs w:val="24"/>
          <w:highlight w:val="none"/>
          <w:lang w:bidi="ar"/>
        </w:rPr>
        <w:t>附表2</w:t>
      </w:r>
      <w:bookmarkEnd w:id="124"/>
    </w:p>
    <w:p w14:paraId="6A3688E5">
      <w:pPr>
        <w:pStyle w:val="4"/>
        <w:snapToGrid w:val="0"/>
        <w:rPr>
          <w:color w:val="auto"/>
          <w:szCs w:val="24"/>
          <w:highlight w:val="none"/>
        </w:rPr>
      </w:pPr>
      <w:r>
        <w:rPr>
          <w:rFonts w:hint="eastAsia"/>
          <w:color w:val="auto"/>
          <w:szCs w:val="24"/>
          <w:highlight w:val="none"/>
        </w:rPr>
        <w:t>技术偏离表</w:t>
      </w:r>
      <w:bookmarkEnd w:id="125"/>
      <w:bookmarkEnd w:id="126"/>
      <w:bookmarkEnd w:id="127"/>
      <w:bookmarkEnd w:id="128"/>
      <w:bookmarkEnd w:id="129"/>
      <w:bookmarkEnd w:id="130"/>
      <w:bookmarkEnd w:id="131"/>
      <w:bookmarkEnd w:id="132"/>
    </w:p>
    <w:p w14:paraId="492E9FEB">
      <w:pPr>
        <w:pStyle w:val="14"/>
        <w:snapToGrid w:val="0"/>
        <w:spacing w:line="360" w:lineRule="auto"/>
        <w:jc w:val="center"/>
        <w:textAlignment w:val="baseline"/>
        <w:rPr>
          <w:color w:val="auto"/>
          <w:szCs w:val="21"/>
          <w:highlight w:val="none"/>
        </w:rPr>
      </w:pPr>
    </w:p>
    <w:tbl>
      <w:tblPr>
        <w:tblStyle w:val="2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11"/>
        <w:gridCol w:w="1055"/>
        <w:gridCol w:w="1958"/>
        <w:gridCol w:w="1658"/>
        <w:gridCol w:w="1205"/>
        <w:gridCol w:w="1182"/>
      </w:tblGrid>
      <w:tr w14:paraId="37E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center"/>
          </w:tcPr>
          <w:p w14:paraId="1CB9D556">
            <w:pPr>
              <w:pStyle w:val="14"/>
              <w:snapToGrid w:val="0"/>
              <w:ind w:left="-31" w:leftChars="-15"/>
              <w:jc w:val="center"/>
              <w:textAlignment w:val="baseline"/>
              <w:rPr>
                <w:color w:val="auto"/>
                <w:szCs w:val="21"/>
                <w:highlight w:val="none"/>
              </w:rPr>
            </w:pPr>
            <w:r>
              <w:rPr>
                <w:rFonts w:hint="eastAsia"/>
                <w:color w:val="auto"/>
                <w:szCs w:val="21"/>
                <w:highlight w:val="none"/>
              </w:rPr>
              <w:t>序号</w:t>
            </w:r>
          </w:p>
        </w:tc>
        <w:tc>
          <w:tcPr>
            <w:tcW w:w="1511" w:type="dxa"/>
            <w:noWrap/>
            <w:vAlign w:val="center"/>
          </w:tcPr>
          <w:p w14:paraId="203A0B5A">
            <w:pPr>
              <w:pStyle w:val="14"/>
              <w:snapToGrid w:val="0"/>
              <w:ind w:left="-149" w:leftChars="-71"/>
              <w:jc w:val="center"/>
              <w:textAlignment w:val="baseline"/>
              <w:rPr>
                <w:color w:val="auto"/>
                <w:szCs w:val="21"/>
                <w:highlight w:val="none"/>
              </w:rPr>
            </w:pPr>
            <w:r>
              <w:rPr>
                <w:rFonts w:hint="eastAsia"/>
                <w:color w:val="auto"/>
                <w:szCs w:val="21"/>
                <w:highlight w:val="none"/>
              </w:rPr>
              <w:t>产品名称</w:t>
            </w:r>
          </w:p>
        </w:tc>
        <w:tc>
          <w:tcPr>
            <w:tcW w:w="1055" w:type="dxa"/>
            <w:noWrap/>
            <w:vAlign w:val="center"/>
          </w:tcPr>
          <w:p w14:paraId="6DD23DA1">
            <w:pPr>
              <w:pStyle w:val="14"/>
              <w:snapToGrid w:val="0"/>
              <w:ind w:left="-107" w:leftChars="-51"/>
              <w:jc w:val="center"/>
              <w:textAlignment w:val="baseline"/>
              <w:rPr>
                <w:color w:val="auto"/>
                <w:szCs w:val="21"/>
                <w:highlight w:val="none"/>
              </w:rPr>
            </w:pPr>
            <w:r>
              <w:rPr>
                <w:rFonts w:hint="eastAsia"/>
                <w:color w:val="auto"/>
                <w:szCs w:val="21"/>
                <w:highlight w:val="none"/>
              </w:rPr>
              <w:t>数量</w:t>
            </w:r>
          </w:p>
        </w:tc>
        <w:tc>
          <w:tcPr>
            <w:tcW w:w="1958" w:type="dxa"/>
            <w:noWrap/>
            <w:vAlign w:val="center"/>
          </w:tcPr>
          <w:p w14:paraId="359343B3">
            <w:pPr>
              <w:pStyle w:val="14"/>
              <w:snapToGrid w:val="0"/>
              <w:ind w:left="-206" w:leftChars="-98" w:right="-165"/>
              <w:jc w:val="center"/>
              <w:textAlignment w:val="baseline"/>
              <w:rPr>
                <w:color w:val="auto"/>
                <w:szCs w:val="21"/>
                <w:highlight w:val="none"/>
              </w:rPr>
            </w:pPr>
            <w:r>
              <w:rPr>
                <w:rFonts w:hint="eastAsia"/>
                <w:color w:val="auto"/>
                <w:szCs w:val="21"/>
                <w:highlight w:val="none"/>
              </w:rPr>
              <w:t>招标要求</w:t>
            </w:r>
          </w:p>
        </w:tc>
        <w:tc>
          <w:tcPr>
            <w:tcW w:w="1658" w:type="dxa"/>
            <w:noWrap/>
            <w:vAlign w:val="center"/>
          </w:tcPr>
          <w:p w14:paraId="6D98E764">
            <w:pPr>
              <w:pStyle w:val="14"/>
              <w:snapToGrid w:val="0"/>
              <w:ind w:left="-48" w:leftChars="-23"/>
              <w:jc w:val="center"/>
              <w:textAlignment w:val="baseline"/>
              <w:rPr>
                <w:color w:val="auto"/>
                <w:szCs w:val="21"/>
                <w:highlight w:val="none"/>
              </w:rPr>
            </w:pPr>
            <w:r>
              <w:rPr>
                <w:rFonts w:hint="eastAsia"/>
                <w:color w:val="auto"/>
                <w:szCs w:val="21"/>
                <w:highlight w:val="none"/>
              </w:rPr>
              <w:t>投标响应</w:t>
            </w:r>
          </w:p>
        </w:tc>
        <w:tc>
          <w:tcPr>
            <w:tcW w:w="1205" w:type="dxa"/>
            <w:noWrap/>
            <w:vAlign w:val="center"/>
          </w:tcPr>
          <w:p w14:paraId="1DF1DE77">
            <w:pPr>
              <w:pStyle w:val="14"/>
              <w:snapToGrid w:val="0"/>
              <w:ind w:left="-34" w:leftChars="-16"/>
              <w:jc w:val="center"/>
              <w:textAlignment w:val="baseline"/>
              <w:rPr>
                <w:color w:val="auto"/>
                <w:szCs w:val="21"/>
                <w:highlight w:val="none"/>
              </w:rPr>
            </w:pPr>
            <w:r>
              <w:rPr>
                <w:rFonts w:hint="eastAsia"/>
                <w:color w:val="auto"/>
                <w:szCs w:val="21"/>
                <w:highlight w:val="none"/>
              </w:rPr>
              <w:t>偏离</w:t>
            </w:r>
          </w:p>
        </w:tc>
        <w:tc>
          <w:tcPr>
            <w:tcW w:w="1182" w:type="dxa"/>
            <w:noWrap/>
            <w:vAlign w:val="center"/>
          </w:tcPr>
          <w:p w14:paraId="62F04DE0">
            <w:pPr>
              <w:pStyle w:val="14"/>
              <w:snapToGrid w:val="0"/>
              <w:ind w:left="-82" w:leftChars="-39"/>
              <w:jc w:val="center"/>
              <w:textAlignment w:val="baseline"/>
              <w:rPr>
                <w:color w:val="auto"/>
                <w:szCs w:val="21"/>
                <w:highlight w:val="none"/>
              </w:rPr>
            </w:pPr>
            <w:r>
              <w:rPr>
                <w:rFonts w:hint="eastAsia"/>
                <w:color w:val="auto"/>
                <w:szCs w:val="21"/>
                <w:highlight w:val="none"/>
              </w:rPr>
              <w:t>佐证材料对应页码</w:t>
            </w:r>
          </w:p>
        </w:tc>
      </w:tr>
      <w:tr w14:paraId="3B7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6B5BEC80">
            <w:pPr>
              <w:pStyle w:val="14"/>
              <w:snapToGrid w:val="0"/>
              <w:spacing w:line="360" w:lineRule="auto"/>
              <w:ind w:left="1080" w:leftChars="257" w:hanging="540"/>
              <w:textAlignment w:val="baseline"/>
              <w:rPr>
                <w:color w:val="auto"/>
                <w:szCs w:val="21"/>
                <w:highlight w:val="none"/>
              </w:rPr>
            </w:pPr>
          </w:p>
        </w:tc>
        <w:tc>
          <w:tcPr>
            <w:tcW w:w="1511" w:type="dxa"/>
            <w:noWrap/>
          </w:tcPr>
          <w:p w14:paraId="408CE17D">
            <w:pPr>
              <w:pStyle w:val="14"/>
              <w:snapToGrid w:val="0"/>
              <w:spacing w:line="360" w:lineRule="auto"/>
              <w:ind w:left="1080" w:leftChars="257" w:hanging="540"/>
              <w:textAlignment w:val="baseline"/>
              <w:rPr>
                <w:color w:val="auto"/>
                <w:szCs w:val="21"/>
                <w:highlight w:val="none"/>
              </w:rPr>
            </w:pPr>
          </w:p>
        </w:tc>
        <w:tc>
          <w:tcPr>
            <w:tcW w:w="1055" w:type="dxa"/>
            <w:noWrap/>
          </w:tcPr>
          <w:p w14:paraId="77B33CF7">
            <w:pPr>
              <w:pStyle w:val="14"/>
              <w:snapToGrid w:val="0"/>
              <w:spacing w:line="360" w:lineRule="auto"/>
              <w:ind w:left="1080" w:leftChars="257" w:hanging="540"/>
              <w:textAlignment w:val="baseline"/>
              <w:rPr>
                <w:color w:val="auto"/>
                <w:szCs w:val="21"/>
                <w:highlight w:val="none"/>
              </w:rPr>
            </w:pPr>
          </w:p>
        </w:tc>
        <w:tc>
          <w:tcPr>
            <w:tcW w:w="1958" w:type="dxa"/>
            <w:noWrap/>
          </w:tcPr>
          <w:p w14:paraId="3236D7A7">
            <w:pPr>
              <w:pStyle w:val="14"/>
              <w:snapToGrid w:val="0"/>
              <w:spacing w:line="360" w:lineRule="auto"/>
              <w:ind w:left="1080" w:leftChars="257" w:hanging="540"/>
              <w:textAlignment w:val="baseline"/>
              <w:rPr>
                <w:color w:val="auto"/>
                <w:szCs w:val="21"/>
                <w:highlight w:val="none"/>
              </w:rPr>
            </w:pPr>
          </w:p>
        </w:tc>
        <w:tc>
          <w:tcPr>
            <w:tcW w:w="1658" w:type="dxa"/>
            <w:noWrap/>
          </w:tcPr>
          <w:p w14:paraId="7CFBE852">
            <w:pPr>
              <w:pStyle w:val="14"/>
              <w:snapToGrid w:val="0"/>
              <w:spacing w:line="360" w:lineRule="auto"/>
              <w:ind w:left="1080" w:leftChars="257" w:hanging="540"/>
              <w:textAlignment w:val="baseline"/>
              <w:rPr>
                <w:color w:val="auto"/>
                <w:szCs w:val="21"/>
                <w:highlight w:val="none"/>
              </w:rPr>
            </w:pPr>
          </w:p>
        </w:tc>
        <w:tc>
          <w:tcPr>
            <w:tcW w:w="1205" w:type="dxa"/>
            <w:noWrap/>
          </w:tcPr>
          <w:p w14:paraId="670C9D01">
            <w:pPr>
              <w:pStyle w:val="14"/>
              <w:snapToGrid w:val="0"/>
              <w:spacing w:line="360" w:lineRule="auto"/>
              <w:ind w:left="1080" w:leftChars="257" w:hanging="540"/>
              <w:textAlignment w:val="baseline"/>
              <w:rPr>
                <w:color w:val="auto"/>
                <w:szCs w:val="21"/>
                <w:highlight w:val="none"/>
              </w:rPr>
            </w:pPr>
          </w:p>
        </w:tc>
        <w:tc>
          <w:tcPr>
            <w:tcW w:w="1182" w:type="dxa"/>
            <w:noWrap/>
          </w:tcPr>
          <w:p w14:paraId="69F01C15">
            <w:pPr>
              <w:pStyle w:val="14"/>
              <w:snapToGrid w:val="0"/>
              <w:spacing w:line="360" w:lineRule="auto"/>
              <w:ind w:left="1080" w:leftChars="257" w:hanging="540"/>
              <w:textAlignment w:val="baseline"/>
              <w:rPr>
                <w:color w:val="auto"/>
                <w:szCs w:val="21"/>
                <w:highlight w:val="none"/>
              </w:rPr>
            </w:pPr>
          </w:p>
        </w:tc>
      </w:tr>
      <w:tr w14:paraId="08AC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29336727">
            <w:pPr>
              <w:pStyle w:val="14"/>
              <w:snapToGrid w:val="0"/>
              <w:spacing w:line="360" w:lineRule="auto"/>
              <w:ind w:left="1080" w:leftChars="257" w:hanging="540"/>
              <w:textAlignment w:val="baseline"/>
              <w:rPr>
                <w:color w:val="auto"/>
                <w:szCs w:val="21"/>
                <w:highlight w:val="none"/>
              </w:rPr>
            </w:pPr>
          </w:p>
        </w:tc>
        <w:tc>
          <w:tcPr>
            <w:tcW w:w="1511" w:type="dxa"/>
            <w:noWrap/>
          </w:tcPr>
          <w:p w14:paraId="3408FCB7">
            <w:pPr>
              <w:pStyle w:val="14"/>
              <w:snapToGrid w:val="0"/>
              <w:spacing w:line="360" w:lineRule="auto"/>
              <w:ind w:left="1080" w:leftChars="257" w:hanging="540"/>
              <w:textAlignment w:val="baseline"/>
              <w:rPr>
                <w:color w:val="auto"/>
                <w:szCs w:val="21"/>
                <w:highlight w:val="none"/>
              </w:rPr>
            </w:pPr>
          </w:p>
        </w:tc>
        <w:tc>
          <w:tcPr>
            <w:tcW w:w="1055" w:type="dxa"/>
            <w:noWrap/>
          </w:tcPr>
          <w:p w14:paraId="57D3BF23">
            <w:pPr>
              <w:pStyle w:val="14"/>
              <w:snapToGrid w:val="0"/>
              <w:spacing w:line="360" w:lineRule="auto"/>
              <w:ind w:left="1080" w:leftChars="257" w:hanging="540"/>
              <w:textAlignment w:val="baseline"/>
              <w:rPr>
                <w:color w:val="auto"/>
                <w:szCs w:val="21"/>
                <w:highlight w:val="none"/>
              </w:rPr>
            </w:pPr>
          </w:p>
        </w:tc>
        <w:tc>
          <w:tcPr>
            <w:tcW w:w="1958" w:type="dxa"/>
            <w:noWrap/>
          </w:tcPr>
          <w:p w14:paraId="71588691">
            <w:pPr>
              <w:pStyle w:val="14"/>
              <w:snapToGrid w:val="0"/>
              <w:spacing w:line="360" w:lineRule="auto"/>
              <w:ind w:left="1080" w:leftChars="257" w:hanging="540"/>
              <w:textAlignment w:val="baseline"/>
              <w:rPr>
                <w:color w:val="auto"/>
                <w:szCs w:val="21"/>
                <w:highlight w:val="none"/>
              </w:rPr>
            </w:pPr>
          </w:p>
        </w:tc>
        <w:tc>
          <w:tcPr>
            <w:tcW w:w="1658" w:type="dxa"/>
            <w:noWrap/>
          </w:tcPr>
          <w:p w14:paraId="6C2F553F">
            <w:pPr>
              <w:pStyle w:val="14"/>
              <w:snapToGrid w:val="0"/>
              <w:spacing w:line="360" w:lineRule="auto"/>
              <w:ind w:left="1080" w:leftChars="257" w:hanging="540"/>
              <w:textAlignment w:val="baseline"/>
              <w:rPr>
                <w:color w:val="auto"/>
                <w:szCs w:val="21"/>
                <w:highlight w:val="none"/>
              </w:rPr>
            </w:pPr>
          </w:p>
        </w:tc>
        <w:tc>
          <w:tcPr>
            <w:tcW w:w="1205" w:type="dxa"/>
            <w:noWrap/>
          </w:tcPr>
          <w:p w14:paraId="6EE6335E">
            <w:pPr>
              <w:pStyle w:val="14"/>
              <w:snapToGrid w:val="0"/>
              <w:spacing w:line="360" w:lineRule="auto"/>
              <w:ind w:left="1080" w:leftChars="257" w:hanging="540"/>
              <w:textAlignment w:val="baseline"/>
              <w:rPr>
                <w:color w:val="auto"/>
                <w:szCs w:val="21"/>
                <w:highlight w:val="none"/>
              </w:rPr>
            </w:pPr>
          </w:p>
        </w:tc>
        <w:tc>
          <w:tcPr>
            <w:tcW w:w="1182" w:type="dxa"/>
            <w:noWrap/>
          </w:tcPr>
          <w:p w14:paraId="104D8321">
            <w:pPr>
              <w:pStyle w:val="14"/>
              <w:snapToGrid w:val="0"/>
              <w:spacing w:line="360" w:lineRule="auto"/>
              <w:ind w:left="1080" w:leftChars="257" w:hanging="540"/>
              <w:textAlignment w:val="baseline"/>
              <w:rPr>
                <w:color w:val="auto"/>
                <w:szCs w:val="21"/>
                <w:highlight w:val="none"/>
              </w:rPr>
            </w:pPr>
          </w:p>
        </w:tc>
      </w:tr>
      <w:tr w14:paraId="1BAA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53D4A4AD">
            <w:pPr>
              <w:pStyle w:val="14"/>
              <w:snapToGrid w:val="0"/>
              <w:spacing w:line="360" w:lineRule="auto"/>
              <w:ind w:left="1080" w:leftChars="257" w:hanging="540"/>
              <w:textAlignment w:val="baseline"/>
              <w:rPr>
                <w:color w:val="auto"/>
                <w:szCs w:val="21"/>
                <w:highlight w:val="none"/>
              </w:rPr>
            </w:pPr>
          </w:p>
        </w:tc>
        <w:tc>
          <w:tcPr>
            <w:tcW w:w="1511" w:type="dxa"/>
            <w:noWrap/>
          </w:tcPr>
          <w:p w14:paraId="1FBE6148">
            <w:pPr>
              <w:pStyle w:val="14"/>
              <w:snapToGrid w:val="0"/>
              <w:spacing w:line="360" w:lineRule="auto"/>
              <w:ind w:left="1080" w:leftChars="257" w:hanging="540"/>
              <w:textAlignment w:val="baseline"/>
              <w:rPr>
                <w:color w:val="auto"/>
                <w:szCs w:val="21"/>
                <w:highlight w:val="none"/>
              </w:rPr>
            </w:pPr>
          </w:p>
        </w:tc>
        <w:tc>
          <w:tcPr>
            <w:tcW w:w="1055" w:type="dxa"/>
            <w:noWrap/>
          </w:tcPr>
          <w:p w14:paraId="65A6D83A">
            <w:pPr>
              <w:pStyle w:val="14"/>
              <w:snapToGrid w:val="0"/>
              <w:spacing w:line="360" w:lineRule="auto"/>
              <w:ind w:left="1080" w:leftChars="257" w:hanging="540"/>
              <w:textAlignment w:val="baseline"/>
              <w:rPr>
                <w:color w:val="auto"/>
                <w:szCs w:val="21"/>
                <w:highlight w:val="none"/>
              </w:rPr>
            </w:pPr>
          </w:p>
        </w:tc>
        <w:tc>
          <w:tcPr>
            <w:tcW w:w="1958" w:type="dxa"/>
            <w:noWrap/>
          </w:tcPr>
          <w:p w14:paraId="4CC21770">
            <w:pPr>
              <w:pStyle w:val="14"/>
              <w:snapToGrid w:val="0"/>
              <w:spacing w:line="360" w:lineRule="auto"/>
              <w:ind w:left="1080" w:leftChars="257" w:hanging="540"/>
              <w:textAlignment w:val="baseline"/>
              <w:rPr>
                <w:color w:val="auto"/>
                <w:szCs w:val="21"/>
                <w:highlight w:val="none"/>
              </w:rPr>
            </w:pPr>
          </w:p>
        </w:tc>
        <w:tc>
          <w:tcPr>
            <w:tcW w:w="1658" w:type="dxa"/>
            <w:noWrap/>
          </w:tcPr>
          <w:p w14:paraId="4D0A12E1">
            <w:pPr>
              <w:pStyle w:val="14"/>
              <w:snapToGrid w:val="0"/>
              <w:spacing w:line="360" w:lineRule="auto"/>
              <w:ind w:left="1080" w:leftChars="257" w:hanging="540"/>
              <w:textAlignment w:val="baseline"/>
              <w:rPr>
                <w:color w:val="auto"/>
                <w:szCs w:val="21"/>
                <w:highlight w:val="none"/>
              </w:rPr>
            </w:pPr>
          </w:p>
        </w:tc>
        <w:tc>
          <w:tcPr>
            <w:tcW w:w="1205" w:type="dxa"/>
            <w:noWrap/>
          </w:tcPr>
          <w:p w14:paraId="168330DC">
            <w:pPr>
              <w:pStyle w:val="14"/>
              <w:snapToGrid w:val="0"/>
              <w:spacing w:line="360" w:lineRule="auto"/>
              <w:ind w:left="1080" w:leftChars="257" w:hanging="540"/>
              <w:textAlignment w:val="baseline"/>
              <w:rPr>
                <w:color w:val="auto"/>
                <w:szCs w:val="21"/>
                <w:highlight w:val="none"/>
              </w:rPr>
            </w:pPr>
          </w:p>
        </w:tc>
        <w:tc>
          <w:tcPr>
            <w:tcW w:w="1182" w:type="dxa"/>
            <w:noWrap/>
          </w:tcPr>
          <w:p w14:paraId="41F629B6">
            <w:pPr>
              <w:pStyle w:val="14"/>
              <w:snapToGrid w:val="0"/>
              <w:spacing w:line="360" w:lineRule="auto"/>
              <w:ind w:left="1080" w:leftChars="257" w:hanging="540"/>
              <w:textAlignment w:val="baseline"/>
              <w:rPr>
                <w:color w:val="auto"/>
                <w:szCs w:val="21"/>
                <w:highlight w:val="none"/>
              </w:rPr>
            </w:pPr>
          </w:p>
        </w:tc>
      </w:tr>
      <w:tr w14:paraId="3470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07ED5F15">
            <w:pPr>
              <w:pStyle w:val="14"/>
              <w:snapToGrid w:val="0"/>
              <w:spacing w:line="360" w:lineRule="auto"/>
              <w:ind w:left="1080" w:leftChars="257" w:hanging="540"/>
              <w:textAlignment w:val="baseline"/>
              <w:rPr>
                <w:color w:val="auto"/>
                <w:szCs w:val="21"/>
                <w:highlight w:val="none"/>
              </w:rPr>
            </w:pPr>
          </w:p>
        </w:tc>
        <w:tc>
          <w:tcPr>
            <w:tcW w:w="1511" w:type="dxa"/>
            <w:noWrap/>
          </w:tcPr>
          <w:p w14:paraId="38654B52">
            <w:pPr>
              <w:pStyle w:val="14"/>
              <w:snapToGrid w:val="0"/>
              <w:spacing w:line="360" w:lineRule="auto"/>
              <w:ind w:left="1080" w:leftChars="257" w:hanging="540"/>
              <w:textAlignment w:val="baseline"/>
              <w:rPr>
                <w:color w:val="auto"/>
                <w:szCs w:val="21"/>
                <w:highlight w:val="none"/>
              </w:rPr>
            </w:pPr>
          </w:p>
        </w:tc>
        <w:tc>
          <w:tcPr>
            <w:tcW w:w="1055" w:type="dxa"/>
            <w:noWrap/>
          </w:tcPr>
          <w:p w14:paraId="21076674">
            <w:pPr>
              <w:pStyle w:val="14"/>
              <w:snapToGrid w:val="0"/>
              <w:spacing w:line="360" w:lineRule="auto"/>
              <w:ind w:left="1080" w:leftChars="257" w:hanging="540"/>
              <w:textAlignment w:val="baseline"/>
              <w:rPr>
                <w:color w:val="auto"/>
                <w:szCs w:val="21"/>
                <w:highlight w:val="none"/>
              </w:rPr>
            </w:pPr>
          </w:p>
        </w:tc>
        <w:tc>
          <w:tcPr>
            <w:tcW w:w="1958" w:type="dxa"/>
            <w:noWrap/>
          </w:tcPr>
          <w:p w14:paraId="33F22591">
            <w:pPr>
              <w:pStyle w:val="14"/>
              <w:snapToGrid w:val="0"/>
              <w:spacing w:line="360" w:lineRule="auto"/>
              <w:ind w:left="1080" w:leftChars="257" w:hanging="540"/>
              <w:textAlignment w:val="baseline"/>
              <w:rPr>
                <w:color w:val="auto"/>
                <w:szCs w:val="21"/>
                <w:highlight w:val="none"/>
              </w:rPr>
            </w:pPr>
          </w:p>
        </w:tc>
        <w:tc>
          <w:tcPr>
            <w:tcW w:w="1658" w:type="dxa"/>
            <w:noWrap/>
          </w:tcPr>
          <w:p w14:paraId="6B97F2B5">
            <w:pPr>
              <w:pStyle w:val="14"/>
              <w:snapToGrid w:val="0"/>
              <w:spacing w:line="360" w:lineRule="auto"/>
              <w:ind w:left="1080" w:leftChars="257" w:hanging="540"/>
              <w:textAlignment w:val="baseline"/>
              <w:rPr>
                <w:color w:val="auto"/>
                <w:szCs w:val="21"/>
                <w:highlight w:val="none"/>
              </w:rPr>
            </w:pPr>
          </w:p>
        </w:tc>
        <w:tc>
          <w:tcPr>
            <w:tcW w:w="1205" w:type="dxa"/>
            <w:noWrap/>
          </w:tcPr>
          <w:p w14:paraId="3F46EB16">
            <w:pPr>
              <w:pStyle w:val="14"/>
              <w:snapToGrid w:val="0"/>
              <w:spacing w:line="360" w:lineRule="auto"/>
              <w:ind w:left="1080" w:leftChars="257" w:hanging="540"/>
              <w:textAlignment w:val="baseline"/>
              <w:rPr>
                <w:color w:val="auto"/>
                <w:szCs w:val="21"/>
                <w:highlight w:val="none"/>
              </w:rPr>
            </w:pPr>
          </w:p>
        </w:tc>
        <w:tc>
          <w:tcPr>
            <w:tcW w:w="1182" w:type="dxa"/>
            <w:noWrap/>
          </w:tcPr>
          <w:p w14:paraId="1EB58309">
            <w:pPr>
              <w:pStyle w:val="14"/>
              <w:snapToGrid w:val="0"/>
              <w:spacing w:line="360" w:lineRule="auto"/>
              <w:ind w:left="1080" w:leftChars="257" w:hanging="540"/>
              <w:textAlignment w:val="baseline"/>
              <w:rPr>
                <w:color w:val="auto"/>
                <w:szCs w:val="21"/>
                <w:highlight w:val="none"/>
              </w:rPr>
            </w:pPr>
          </w:p>
        </w:tc>
      </w:tr>
      <w:tr w14:paraId="58EA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62BC2BBC">
            <w:pPr>
              <w:pStyle w:val="14"/>
              <w:snapToGrid w:val="0"/>
              <w:spacing w:line="360" w:lineRule="auto"/>
              <w:ind w:left="1080" w:leftChars="257" w:hanging="540"/>
              <w:textAlignment w:val="baseline"/>
              <w:rPr>
                <w:color w:val="auto"/>
                <w:szCs w:val="21"/>
                <w:highlight w:val="none"/>
              </w:rPr>
            </w:pPr>
          </w:p>
        </w:tc>
        <w:tc>
          <w:tcPr>
            <w:tcW w:w="1511" w:type="dxa"/>
            <w:noWrap/>
          </w:tcPr>
          <w:p w14:paraId="67E6B6E4">
            <w:pPr>
              <w:pStyle w:val="14"/>
              <w:snapToGrid w:val="0"/>
              <w:spacing w:line="360" w:lineRule="auto"/>
              <w:ind w:left="1080" w:leftChars="257" w:hanging="540"/>
              <w:textAlignment w:val="baseline"/>
              <w:rPr>
                <w:color w:val="auto"/>
                <w:szCs w:val="21"/>
                <w:highlight w:val="none"/>
              </w:rPr>
            </w:pPr>
          </w:p>
        </w:tc>
        <w:tc>
          <w:tcPr>
            <w:tcW w:w="1055" w:type="dxa"/>
            <w:noWrap/>
          </w:tcPr>
          <w:p w14:paraId="190342BD">
            <w:pPr>
              <w:pStyle w:val="14"/>
              <w:snapToGrid w:val="0"/>
              <w:spacing w:line="360" w:lineRule="auto"/>
              <w:ind w:left="1080" w:leftChars="257" w:hanging="540"/>
              <w:textAlignment w:val="baseline"/>
              <w:rPr>
                <w:color w:val="auto"/>
                <w:szCs w:val="21"/>
                <w:highlight w:val="none"/>
              </w:rPr>
            </w:pPr>
          </w:p>
        </w:tc>
        <w:tc>
          <w:tcPr>
            <w:tcW w:w="1958" w:type="dxa"/>
            <w:noWrap/>
          </w:tcPr>
          <w:p w14:paraId="2D241471">
            <w:pPr>
              <w:pStyle w:val="14"/>
              <w:snapToGrid w:val="0"/>
              <w:spacing w:line="360" w:lineRule="auto"/>
              <w:ind w:left="1080" w:leftChars="257" w:hanging="540"/>
              <w:textAlignment w:val="baseline"/>
              <w:rPr>
                <w:color w:val="auto"/>
                <w:szCs w:val="21"/>
                <w:highlight w:val="none"/>
              </w:rPr>
            </w:pPr>
          </w:p>
        </w:tc>
        <w:tc>
          <w:tcPr>
            <w:tcW w:w="1658" w:type="dxa"/>
            <w:noWrap/>
          </w:tcPr>
          <w:p w14:paraId="5C310D57">
            <w:pPr>
              <w:pStyle w:val="14"/>
              <w:snapToGrid w:val="0"/>
              <w:spacing w:line="360" w:lineRule="auto"/>
              <w:ind w:left="1080" w:leftChars="257" w:hanging="540"/>
              <w:textAlignment w:val="baseline"/>
              <w:rPr>
                <w:color w:val="auto"/>
                <w:szCs w:val="21"/>
                <w:highlight w:val="none"/>
              </w:rPr>
            </w:pPr>
          </w:p>
        </w:tc>
        <w:tc>
          <w:tcPr>
            <w:tcW w:w="1205" w:type="dxa"/>
            <w:noWrap/>
          </w:tcPr>
          <w:p w14:paraId="60D997B9">
            <w:pPr>
              <w:pStyle w:val="14"/>
              <w:snapToGrid w:val="0"/>
              <w:spacing w:line="360" w:lineRule="auto"/>
              <w:ind w:left="1080" w:leftChars="257" w:hanging="540"/>
              <w:textAlignment w:val="baseline"/>
              <w:rPr>
                <w:color w:val="auto"/>
                <w:szCs w:val="21"/>
                <w:highlight w:val="none"/>
              </w:rPr>
            </w:pPr>
          </w:p>
        </w:tc>
        <w:tc>
          <w:tcPr>
            <w:tcW w:w="1182" w:type="dxa"/>
            <w:noWrap/>
          </w:tcPr>
          <w:p w14:paraId="169E7B3C">
            <w:pPr>
              <w:pStyle w:val="14"/>
              <w:snapToGrid w:val="0"/>
              <w:spacing w:line="360" w:lineRule="auto"/>
              <w:ind w:left="1080" w:leftChars="257" w:hanging="540"/>
              <w:textAlignment w:val="baseline"/>
              <w:rPr>
                <w:color w:val="auto"/>
                <w:szCs w:val="21"/>
                <w:highlight w:val="none"/>
              </w:rPr>
            </w:pPr>
          </w:p>
        </w:tc>
      </w:tr>
      <w:tr w14:paraId="6171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36D49D0E">
            <w:pPr>
              <w:pStyle w:val="14"/>
              <w:snapToGrid w:val="0"/>
              <w:spacing w:line="360" w:lineRule="auto"/>
              <w:ind w:left="1080" w:leftChars="257" w:hanging="540"/>
              <w:textAlignment w:val="baseline"/>
              <w:rPr>
                <w:color w:val="auto"/>
                <w:szCs w:val="21"/>
                <w:highlight w:val="none"/>
              </w:rPr>
            </w:pPr>
          </w:p>
        </w:tc>
        <w:tc>
          <w:tcPr>
            <w:tcW w:w="1511" w:type="dxa"/>
            <w:noWrap/>
          </w:tcPr>
          <w:p w14:paraId="1599E586">
            <w:pPr>
              <w:pStyle w:val="14"/>
              <w:snapToGrid w:val="0"/>
              <w:spacing w:line="360" w:lineRule="auto"/>
              <w:ind w:left="1080" w:leftChars="257" w:hanging="540"/>
              <w:textAlignment w:val="baseline"/>
              <w:rPr>
                <w:color w:val="auto"/>
                <w:szCs w:val="21"/>
                <w:highlight w:val="none"/>
              </w:rPr>
            </w:pPr>
          </w:p>
        </w:tc>
        <w:tc>
          <w:tcPr>
            <w:tcW w:w="1055" w:type="dxa"/>
            <w:noWrap/>
          </w:tcPr>
          <w:p w14:paraId="4C070B70">
            <w:pPr>
              <w:pStyle w:val="14"/>
              <w:snapToGrid w:val="0"/>
              <w:spacing w:line="360" w:lineRule="auto"/>
              <w:ind w:left="1080" w:leftChars="257" w:hanging="540"/>
              <w:textAlignment w:val="baseline"/>
              <w:rPr>
                <w:color w:val="auto"/>
                <w:szCs w:val="21"/>
                <w:highlight w:val="none"/>
              </w:rPr>
            </w:pPr>
          </w:p>
        </w:tc>
        <w:tc>
          <w:tcPr>
            <w:tcW w:w="1958" w:type="dxa"/>
            <w:noWrap/>
          </w:tcPr>
          <w:p w14:paraId="454EA5A6">
            <w:pPr>
              <w:pStyle w:val="14"/>
              <w:snapToGrid w:val="0"/>
              <w:spacing w:line="360" w:lineRule="auto"/>
              <w:ind w:left="1080" w:leftChars="257" w:hanging="540"/>
              <w:textAlignment w:val="baseline"/>
              <w:rPr>
                <w:color w:val="auto"/>
                <w:szCs w:val="21"/>
                <w:highlight w:val="none"/>
              </w:rPr>
            </w:pPr>
          </w:p>
        </w:tc>
        <w:tc>
          <w:tcPr>
            <w:tcW w:w="1658" w:type="dxa"/>
            <w:noWrap/>
          </w:tcPr>
          <w:p w14:paraId="7535A299">
            <w:pPr>
              <w:pStyle w:val="14"/>
              <w:snapToGrid w:val="0"/>
              <w:spacing w:line="360" w:lineRule="auto"/>
              <w:ind w:left="1080" w:leftChars="257" w:hanging="540"/>
              <w:textAlignment w:val="baseline"/>
              <w:rPr>
                <w:color w:val="auto"/>
                <w:szCs w:val="21"/>
                <w:highlight w:val="none"/>
              </w:rPr>
            </w:pPr>
          </w:p>
        </w:tc>
        <w:tc>
          <w:tcPr>
            <w:tcW w:w="1205" w:type="dxa"/>
            <w:noWrap/>
          </w:tcPr>
          <w:p w14:paraId="25ABCADC">
            <w:pPr>
              <w:pStyle w:val="14"/>
              <w:snapToGrid w:val="0"/>
              <w:spacing w:line="360" w:lineRule="auto"/>
              <w:ind w:left="1080" w:leftChars="257" w:hanging="540"/>
              <w:textAlignment w:val="baseline"/>
              <w:rPr>
                <w:color w:val="auto"/>
                <w:szCs w:val="21"/>
                <w:highlight w:val="none"/>
              </w:rPr>
            </w:pPr>
          </w:p>
        </w:tc>
        <w:tc>
          <w:tcPr>
            <w:tcW w:w="1182" w:type="dxa"/>
            <w:noWrap/>
          </w:tcPr>
          <w:p w14:paraId="4A921664">
            <w:pPr>
              <w:pStyle w:val="14"/>
              <w:snapToGrid w:val="0"/>
              <w:spacing w:line="360" w:lineRule="auto"/>
              <w:ind w:left="1080" w:leftChars="257" w:hanging="540"/>
              <w:textAlignment w:val="baseline"/>
              <w:rPr>
                <w:color w:val="auto"/>
                <w:szCs w:val="21"/>
                <w:highlight w:val="none"/>
              </w:rPr>
            </w:pPr>
          </w:p>
        </w:tc>
      </w:tr>
      <w:tr w14:paraId="744D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648102D6">
            <w:pPr>
              <w:pStyle w:val="14"/>
              <w:snapToGrid w:val="0"/>
              <w:spacing w:line="360" w:lineRule="auto"/>
              <w:ind w:left="1080" w:leftChars="257" w:hanging="540"/>
              <w:textAlignment w:val="baseline"/>
              <w:rPr>
                <w:color w:val="auto"/>
                <w:szCs w:val="21"/>
                <w:highlight w:val="none"/>
              </w:rPr>
            </w:pPr>
          </w:p>
        </w:tc>
        <w:tc>
          <w:tcPr>
            <w:tcW w:w="1511" w:type="dxa"/>
            <w:noWrap/>
          </w:tcPr>
          <w:p w14:paraId="4456C6ED">
            <w:pPr>
              <w:pStyle w:val="14"/>
              <w:snapToGrid w:val="0"/>
              <w:spacing w:line="360" w:lineRule="auto"/>
              <w:ind w:left="1080" w:leftChars="257" w:hanging="540"/>
              <w:textAlignment w:val="baseline"/>
              <w:rPr>
                <w:color w:val="auto"/>
                <w:szCs w:val="21"/>
                <w:highlight w:val="none"/>
              </w:rPr>
            </w:pPr>
          </w:p>
        </w:tc>
        <w:tc>
          <w:tcPr>
            <w:tcW w:w="1055" w:type="dxa"/>
            <w:noWrap/>
          </w:tcPr>
          <w:p w14:paraId="501A3D40">
            <w:pPr>
              <w:pStyle w:val="14"/>
              <w:snapToGrid w:val="0"/>
              <w:spacing w:line="360" w:lineRule="auto"/>
              <w:ind w:left="1080" w:leftChars="257" w:hanging="540"/>
              <w:textAlignment w:val="baseline"/>
              <w:rPr>
                <w:color w:val="auto"/>
                <w:szCs w:val="21"/>
                <w:highlight w:val="none"/>
              </w:rPr>
            </w:pPr>
          </w:p>
        </w:tc>
        <w:tc>
          <w:tcPr>
            <w:tcW w:w="1958" w:type="dxa"/>
            <w:noWrap/>
          </w:tcPr>
          <w:p w14:paraId="19ACA136">
            <w:pPr>
              <w:pStyle w:val="14"/>
              <w:snapToGrid w:val="0"/>
              <w:spacing w:line="360" w:lineRule="auto"/>
              <w:ind w:left="1080" w:leftChars="257" w:hanging="540"/>
              <w:textAlignment w:val="baseline"/>
              <w:rPr>
                <w:color w:val="auto"/>
                <w:szCs w:val="21"/>
                <w:highlight w:val="none"/>
              </w:rPr>
            </w:pPr>
          </w:p>
        </w:tc>
        <w:tc>
          <w:tcPr>
            <w:tcW w:w="1658" w:type="dxa"/>
            <w:noWrap/>
          </w:tcPr>
          <w:p w14:paraId="0EB149BF">
            <w:pPr>
              <w:pStyle w:val="14"/>
              <w:snapToGrid w:val="0"/>
              <w:spacing w:line="360" w:lineRule="auto"/>
              <w:ind w:left="1080" w:leftChars="257" w:hanging="540"/>
              <w:textAlignment w:val="baseline"/>
              <w:rPr>
                <w:color w:val="auto"/>
                <w:szCs w:val="21"/>
                <w:highlight w:val="none"/>
              </w:rPr>
            </w:pPr>
          </w:p>
        </w:tc>
        <w:tc>
          <w:tcPr>
            <w:tcW w:w="1205" w:type="dxa"/>
            <w:noWrap/>
          </w:tcPr>
          <w:p w14:paraId="4266CF8C">
            <w:pPr>
              <w:pStyle w:val="14"/>
              <w:snapToGrid w:val="0"/>
              <w:spacing w:line="360" w:lineRule="auto"/>
              <w:ind w:left="1080" w:leftChars="257" w:hanging="540"/>
              <w:textAlignment w:val="baseline"/>
              <w:rPr>
                <w:color w:val="auto"/>
                <w:szCs w:val="21"/>
                <w:highlight w:val="none"/>
              </w:rPr>
            </w:pPr>
          </w:p>
        </w:tc>
        <w:tc>
          <w:tcPr>
            <w:tcW w:w="1182" w:type="dxa"/>
            <w:noWrap/>
          </w:tcPr>
          <w:p w14:paraId="7D34F94F">
            <w:pPr>
              <w:pStyle w:val="14"/>
              <w:snapToGrid w:val="0"/>
              <w:spacing w:line="360" w:lineRule="auto"/>
              <w:ind w:left="1080" w:leftChars="257" w:hanging="540"/>
              <w:textAlignment w:val="baseline"/>
              <w:rPr>
                <w:color w:val="auto"/>
                <w:szCs w:val="21"/>
                <w:highlight w:val="none"/>
              </w:rPr>
            </w:pPr>
          </w:p>
        </w:tc>
      </w:tr>
      <w:tr w14:paraId="7D22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53E4548F">
            <w:pPr>
              <w:pStyle w:val="14"/>
              <w:snapToGrid w:val="0"/>
              <w:spacing w:line="360" w:lineRule="auto"/>
              <w:ind w:left="1080" w:leftChars="257" w:hanging="540"/>
              <w:textAlignment w:val="baseline"/>
              <w:rPr>
                <w:color w:val="auto"/>
                <w:szCs w:val="21"/>
                <w:highlight w:val="none"/>
              </w:rPr>
            </w:pPr>
          </w:p>
        </w:tc>
        <w:tc>
          <w:tcPr>
            <w:tcW w:w="1511" w:type="dxa"/>
            <w:noWrap/>
          </w:tcPr>
          <w:p w14:paraId="798CD2FA">
            <w:pPr>
              <w:pStyle w:val="14"/>
              <w:snapToGrid w:val="0"/>
              <w:spacing w:line="360" w:lineRule="auto"/>
              <w:ind w:left="1080" w:leftChars="257" w:hanging="540"/>
              <w:textAlignment w:val="baseline"/>
              <w:rPr>
                <w:color w:val="auto"/>
                <w:szCs w:val="21"/>
                <w:highlight w:val="none"/>
              </w:rPr>
            </w:pPr>
          </w:p>
        </w:tc>
        <w:tc>
          <w:tcPr>
            <w:tcW w:w="1055" w:type="dxa"/>
            <w:noWrap/>
          </w:tcPr>
          <w:p w14:paraId="2A86C9A4">
            <w:pPr>
              <w:pStyle w:val="14"/>
              <w:snapToGrid w:val="0"/>
              <w:spacing w:line="360" w:lineRule="auto"/>
              <w:ind w:left="1080" w:leftChars="257" w:hanging="540"/>
              <w:textAlignment w:val="baseline"/>
              <w:rPr>
                <w:color w:val="auto"/>
                <w:szCs w:val="21"/>
                <w:highlight w:val="none"/>
              </w:rPr>
            </w:pPr>
          </w:p>
        </w:tc>
        <w:tc>
          <w:tcPr>
            <w:tcW w:w="1958" w:type="dxa"/>
            <w:noWrap/>
          </w:tcPr>
          <w:p w14:paraId="0FF26622">
            <w:pPr>
              <w:pStyle w:val="14"/>
              <w:snapToGrid w:val="0"/>
              <w:spacing w:line="360" w:lineRule="auto"/>
              <w:ind w:left="1080" w:leftChars="257" w:hanging="540"/>
              <w:textAlignment w:val="baseline"/>
              <w:rPr>
                <w:color w:val="auto"/>
                <w:szCs w:val="21"/>
                <w:highlight w:val="none"/>
              </w:rPr>
            </w:pPr>
          </w:p>
        </w:tc>
        <w:tc>
          <w:tcPr>
            <w:tcW w:w="1658" w:type="dxa"/>
            <w:noWrap/>
          </w:tcPr>
          <w:p w14:paraId="6144D9C0">
            <w:pPr>
              <w:pStyle w:val="14"/>
              <w:snapToGrid w:val="0"/>
              <w:spacing w:line="360" w:lineRule="auto"/>
              <w:ind w:left="1080" w:leftChars="257" w:hanging="540"/>
              <w:textAlignment w:val="baseline"/>
              <w:rPr>
                <w:color w:val="auto"/>
                <w:szCs w:val="21"/>
                <w:highlight w:val="none"/>
              </w:rPr>
            </w:pPr>
          </w:p>
        </w:tc>
        <w:tc>
          <w:tcPr>
            <w:tcW w:w="1205" w:type="dxa"/>
            <w:noWrap/>
          </w:tcPr>
          <w:p w14:paraId="29628BD2">
            <w:pPr>
              <w:pStyle w:val="14"/>
              <w:snapToGrid w:val="0"/>
              <w:spacing w:line="360" w:lineRule="auto"/>
              <w:ind w:left="1080" w:leftChars="257" w:hanging="540"/>
              <w:textAlignment w:val="baseline"/>
              <w:rPr>
                <w:color w:val="auto"/>
                <w:szCs w:val="21"/>
                <w:highlight w:val="none"/>
              </w:rPr>
            </w:pPr>
          </w:p>
        </w:tc>
        <w:tc>
          <w:tcPr>
            <w:tcW w:w="1182" w:type="dxa"/>
            <w:noWrap/>
          </w:tcPr>
          <w:p w14:paraId="449AAE70">
            <w:pPr>
              <w:pStyle w:val="14"/>
              <w:snapToGrid w:val="0"/>
              <w:spacing w:line="360" w:lineRule="auto"/>
              <w:ind w:left="1080" w:leftChars="257" w:hanging="540"/>
              <w:textAlignment w:val="baseline"/>
              <w:rPr>
                <w:color w:val="auto"/>
                <w:szCs w:val="21"/>
                <w:highlight w:val="none"/>
              </w:rPr>
            </w:pPr>
          </w:p>
        </w:tc>
      </w:tr>
      <w:tr w14:paraId="6721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8" w:type="dxa"/>
            <w:noWrap/>
          </w:tcPr>
          <w:p w14:paraId="3B0D9968">
            <w:pPr>
              <w:pStyle w:val="14"/>
              <w:snapToGrid w:val="0"/>
              <w:spacing w:line="360" w:lineRule="auto"/>
              <w:ind w:left="1080" w:leftChars="257" w:hanging="540"/>
              <w:textAlignment w:val="baseline"/>
              <w:rPr>
                <w:color w:val="auto"/>
                <w:szCs w:val="21"/>
                <w:highlight w:val="none"/>
              </w:rPr>
            </w:pPr>
          </w:p>
        </w:tc>
        <w:tc>
          <w:tcPr>
            <w:tcW w:w="1511" w:type="dxa"/>
            <w:noWrap/>
          </w:tcPr>
          <w:p w14:paraId="13C30B84">
            <w:pPr>
              <w:pStyle w:val="14"/>
              <w:snapToGrid w:val="0"/>
              <w:spacing w:line="360" w:lineRule="auto"/>
              <w:ind w:left="1080" w:leftChars="257" w:hanging="540"/>
              <w:textAlignment w:val="baseline"/>
              <w:rPr>
                <w:color w:val="auto"/>
                <w:szCs w:val="21"/>
                <w:highlight w:val="none"/>
              </w:rPr>
            </w:pPr>
          </w:p>
        </w:tc>
        <w:tc>
          <w:tcPr>
            <w:tcW w:w="1055" w:type="dxa"/>
            <w:noWrap/>
          </w:tcPr>
          <w:p w14:paraId="3C9D8D89">
            <w:pPr>
              <w:pStyle w:val="14"/>
              <w:snapToGrid w:val="0"/>
              <w:spacing w:line="360" w:lineRule="auto"/>
              <w:ind w:left="1080" w:leftChars="257" w:hanging="540"/>
              <w:textAlignment w:val="baseline"/>
              <w:rPr>
                <w:color w:val="auto"/>
                <w:szCs w:val="21"/>
                <w:highlight w:val="none"/>
              </w:rPr>
            </w:pPr>
          </w:p>
        </w:tc>
        <w:tc>
          <w:tcPr>
            <w:tcW w:w="1958" w:type="dxa"/>
            <w:noWrap/>
          </w:tcPr>
          <w:p w14:paraId="034B9EA9">
            <w:pPr>
              <w:pStyle w:val="14"/>
              <w:snapToGrid w:val="0"/>
              <w:spacing w:line="360" w:lineRule="auto"/>
              <w:ind w:left="1080" w:leftChars="257" w:hanging="540"/>
              <w:textAlignment w:val="baseline"/>
              <w:rPr>
                <w:color w:val="auto"/>
                <w:szCs w:val="21"/>
                <w:highlight w:val="none"/>
              </w:rPr>
            </w:pPr>
          </w:p>
        </w:tc>
        <w:tc>
          <w:tcPr>
            <w:tcW w:w="1658" w:type="dxa"/>
            <w:noWrap/>
          </w:tcPr>
          <w:p w14:paraId="07125D5D">
            <w:pPr>
              <w:pStyle w:val="14"/>
              <w:snapToGrid w:val="0"/>
              <w:spacing w:line="360" w:lineRule="auto"/>
              <w:ind w:left="1080" w:leftChars="257" w:hanging="540"/>
              <w:textAlignment w:val="baseline"/>
              <w:rPr>
                <w:color w:val="auto"/>
                <w:szCs w:val="21"/>
                <w:highlight w:val="none"/>
              </w:rPr>
            </w:pPr>
          </w:p>
        </w:tc>
        <w:tc>
          <w:tcPr>
            <w:tcW w:w="1205" w:type="dxa"/>
            <w:noWrap/>
          </w:tcPr>
          <w:p w14:paraId="66947374">
            <w:pPr>
              <w:pStyle w:val="14"/>
              <w:snapToGrid w:val="0"/>
              <w:spacing w:line="360" w:lineRule="auto"/>
              <w:ind w:left="1080" w:leftChars="257" w:hanging="540"/>
              <w:textAlignment w:val="baseline"/>
              <w:rPr>
                <w:color w:val="auto"/>
                <w:szCs w:val="21"/>
                <w:highlight w:val="none"/>
              </w:rPr>
            </w:pPr>
          </w:p>
        </w:tc>
        <w:tc>
          <w:tcPr>
            <w:tcW w:w="1182" w:type="dxa"/>
            <w:noWrap/>
          </w:tcPr>
          <w:p w14:paraId="681E2297">
            <w:pPr>
              <w:pStyle w:val="14"/>
              <w:snapToGrid w:val="0"/>
              <w:spacing w:line="360" w:lineRule="auto"/>
              <w:ind w:left="1080" w:leftChars="257" w:hanging="540"/>
              <w:textAlignment w:val="baseline"/>
              <w:rPr>
                <w:color w:val="auto"/>
                <w:szCs w:val="21"/>
                <w:highlight w:val="none"/>
              </w:rPr>
            </w:pPr>
          </w:p>
        </w:tc>
      </w:tr>
      <w:tr w14:paraId="3422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tcPr>
          <w:p w14:paraId="1825DF9F">
            <w:pPr>
              <w:pStyle w:val="14"/>
              <w:snapToGrid w:val="0"/>
              <w:spacing w:line="360" w:lineRule="auto"/>
              <w:ind w:left="1080" w:leftChars="257" w:hanging="540"/>
              <w:textAlignment w:val="baseline"/>
              <w:rPr>
                <w:color w:val="auto"/>
                <w:szCs w:val="21"/>
                <w:highlight w:val="none"/>
              </w:rPr>
            </w:pPr>
          </w:p>
        </w:tc>
        <w:tc>
          <w:tcPr>
            <w:tcW w:w="1511" w:type="dxa"/>
            <w:noWrap/>
          </w:tcPr>
          <w:p w14:paraId="0000A657">
            <w:pPr>
              <w:pStyle w:val="14"/>
              <w:snapToGrid w:val="0"/>
              <w:spacing w:line="360" w:lineRule="auto"/>
              <w:ind w:left="1080" w:leftChars="257" w:hanging="540"/>
              <w:textAlignment w:val="baseline"/>
              <w:rPr>
                <w:color w:val="auto"/>
                <w:szCs w:val="21"/>
                <w:highlight w:val="none"/>
              </w:rPr>
            </w:pPr>
          </w:p>
        </w:tc>
        <w:tc>
          <w:tcPr>
            <w:tcW w:w="1055" w:type="dxa"/>
            <w:noWrap/>
          </w:tcPr>
          <w:p w14:paraId="33FA0756">
            <w:pPr>
              <w:pStyle w:val="14"/>
              <w:snapToGrid w:val="0"/>
              <w:spacing w:line="360" w:lineRule="auto"/>
              <w:ind w:left="1080" w:leftChars="257" w:hanging="540"/>
              <w:textAlignment w:val="baseline"/>
              <w:rPr>
                <w:color w:val="auto"/>
                <w:szCs w:val="21"/>
                <w:highlight w:val="none"/>
              </w:rPr>
            </w:pPr>
          </w:p>
        </w:tc>
        <w:tc>
          <w:tcPr>
            <w:tcW w:w="1958" w:type="dxa"/>
            <w:noWrap/>
          </w:tcPr>
          <w:p w14:paraId="19F83CC5">
            <w:pPr>
              <w:pStyle w:val="14"/>
              <w:snapToGrid w:val="0"/>
              <w:spacing w:line="360" w:lineRule="auto"/>
              <w:ind w:left="1080" w:leftChars="257" w:hanging="540"/>
              <w:textAlignment w:val="baseline"/>
              <w:rPr>
                <w:color w:val="auto"/>
                <w:szCs w:val="21"/>
                <w:highlight w:val="none"/>
              </w:rPr>
            </w:pPr>
          </w:p>
        </w:tc>
        <w:tc>
          <w:tcPr>
            <w:tcW w:w="1658" w:type="dxa"/>
            <w:noWrap/>
          </w:tcPr>
          <w:p w14:paraId="6340209D">
            <w:pPr>
              <w:pStyle w:val="14"/>
              <w:snapToGrid w:val="0"/>
              <w:spacing w:line="360" w:lineRule="auto"/>
              <w:ind w:left="1080" w:leftChars="257" w:hanging="540"/>
              <w:textAlignment w:val="baseline"/>
              <w:rPr>
                <w:color w:val="auto"/>
                <w:szCs w:val="21"/>
                <w:highlight w:val="none"/>
              </w:rPr>
            </w:pPr>
          </w:p>
        </w:tc>
        <w:tc>
          <w:tcPr>
            <w:tcW w:w="1205" w:type="dxa"/>
            <w:noWrap/>
          </w:tcPr>
          <w:p w14:paraId="2E301914">
            <w:pPr>
              <w:pStyle w:val="14"/>
              <w:snapToGrid w:val="0"/>
              <w:spacing w:line="360" w:lineRule="auto"/>
              <w:ind w:left="1080" w:leftChars="257" w:hanging="540"/>
              <w:textAlignment w:val="baseline"/>
              <w:rPr>
                <w:color w:val="auto"/>
                <w:szCs w:val="21"/>
                <w:highlight w:val="none"/>
              </w:rPr>
            </w:pPr>
          </w:p>
        </w:tc>
        <w:tc>
          <w:tcPr>
            <w:tcW w:w="1182" w:type="dxa"/>
            <w:noWrap/>
          </w:tcPr>
          <w:p w14:paraId="063ED947">
            <w:pPr>
              <w:pStyle w:val="14"/>
              <w:snapToGrid w:val="0"/>
              <w:spacing w:line="360" w:lineRule="auto"/>
              <w:ind w:left="1080" w:leftChars="257" w:hanging="540"/>
              <w:textAlignment w:val="baseline"/>
              <w:rPr>
                <w:color w:val="auto"/>
                <w:szCs w:val="21"/>
                <w:highlight w:val="none"/>
              </w:rPr>
            </w:pPr>
          </w:p>
        </w:tc>
      </w:tr>
    </w:tbl>
    <w:p w14:paraId="1FB57179">
      <w:pPr>
        <w:pStyle w:val="14"/>
        <w:snapToGrid w:val="0"/>
        <w:spacing w:line="360" w:lineRule="auto"/>
        <w:ind w:left="1080" w:leftChars="257" w:hanging="540"/>
        <w:textAlignment w:val="baseline"/>
        <w:rPr>
          <w:color w:val="auto"/>
          <w:szCs w:val="21"/>
          <w:highlight w:val="none"/>
        </w:rPr>
      </w:pPr>
    </w:p>
    <w:p w14:paraId="0ECEE1C3">
      <w:pPr>
        <w:snapToGrid w:val="0"/>
        <w:spacing w:line="480" w:lineRule="auto"/>
        <w:ind w:firstLine="4200" w:firstLineChars="2000"/>
        <w:jc w:val="lef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（加盖单位公章）</w:t>
      </w:r>
    </w:p>
    <w:p w14:paraId="31B7AF29">
      <w:pPr>
        <w:pStyle w:val="14"/>
        <w:snapToGrid w:val="0"/>
        <w:spacing w:line="480" w:lineRule="auto"/>
        <w:ind w:left="1080" w:leftChars="257" w:hanging="540"/>
        <w:jc w:val="center"/>
        <w:textAlignment w:val="baseline"/>
        <w:rPr>
          <w:color w:val="auto"/>
          <w:szCs w:val="21"/>
          <w:highlight w:val="none"/>
          <w:u w:val="single"/>
        </w:rPr>
      </w:pPr>
      <w:bookmarkStart w:id="134" w:name="_Toc9802"/>
      <w:r>
        <w:rPr>
          <w:rFonts w:hint="eastAsia"/>
          <w:color w:val="auto"/>
          <w:szCs w:val="21"/>
          <w:highlight w:val="none"/>
        </w:rPr>
        <w:t xml:space="preserve">                           法定代表人或授权代表:</w:t>
      </w:r>
      <w:r>
        <w:rPr>
          <w:rFonts w:hint="eastAsia"/>
          <w:color w:val="auto"/>
          <w:szCs w:val="21"/>
          <w:highlight w:val="none"/>
          <w:u w:val="single"/>
        </w:rPr>
        <w:t xml:space="preserve">             </w:t>
      </w:r>
      <w:r>
        <w:rPr>
          <w:rFonts w:hint="eastAsia"/>
          <w:color w:val="auto"/>
          <w:szCs w:val="21"/>
          <w:highlight w:val="none"/>
        </w:rPr>
        <w:t>（签字或盖章）</w:t>
      </w:r>
      <w:bookmarkEnd w:id="134"/>
    </w:p>
    <w:p w14:paraId="6EC79002">
      <w:pPr>
        <w:pStyle w:val="14"/>
        <w:snapToGrid w:val="0"/>
        <w:spacing w:line="480" w:lineRule="auto"/>
        <w:ind w:left="1080" w:leftChars="257" w:hanging="540"/>
        <w:jc w:val="center"/>
        <w:textAlignment w:val="baseline"/>
        <w:rPr>
          <w:color w:val="auto"/>
          <w:szCs w:val="21"/>
          <w:highlight w:val="none"/>
        </w:rPr>
      </w:pPr>
      <w:bookmarkStart w:id="135" w:name="_Toc5210"/>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bookmarkEnd w:id="135"/>
    </w:p>
    <w:p w14:paraId="78EC8DF1">
      <w:pPr>
        <w:pStyle w:val="14"/>
        <w:snapToGrid w:val="0"/>
        <w:spacing w:line="360" w:lineRule="auto"/>
        <w:ind w:firstLine="210" w:firstLineChars="100"/>
        <w:textAlignment w:val="baseline"/>
        <w:rPr>
          <w:color w:val="auto"/>
          <w:szCs w:val="21"/>
          <w:highlight w:val="none"/>
        </w:rPr>
      </w:pPr>
    </w:p>
    <w:p w14:paraId="260E4213">
      <w:pPr>
        <w:pStyle w:val="14"/>
        <w:snapToGrid w:val="0"/>
        <w:spacing w:line="360" w:lineRule="auto"/>
        <w:ind w:firstLine="210" w:firstLineChars="100"/>
        <w:textAlignment w:val="baseline"/>
        <w:rPr>
          <w:color w:val="auto"/>
          <w:szCs w:val="21"/>
          <w:highlight w:val="none"/>
        </w:rPr>
      </w:pPr>
      <w:r>
        <w:rPr>
          <w:rFonts w:hint="eastAsia"/>
          <w:color w:val="auto"/>
          <w:szCs w:val="21"/>
          <w:highlight w:val="none"/>
        </w:rPr>
        <w:t>注：1.投标文件技术指标响应内容必须按照实际指标填写。</w:t>
      </w:r>
    </w:p>
    <w:p w14:paraId="0C099F8F">
      <w:pPr>
        <w:pStyle w:val="14"/>
        <w:snapToGrid w:val="0"/>
        <w:spacing w:line="360" w:lineRule="auto"/>
        <w:ind w:firstLine="630" w:firstLineChars="300"/>
        <w:textAlignment w:val="baseline"/>
        <w:rPr>
          <w:color w:val="auto"/>
          <w:szCs w:val="21"/>
          <w:highlight w:val="none"/>
        </w:rPr>
      </w:pPr>
      <w:r>
        <w:rPr>
          <w:rFonts w:hint="eastAsia"/>
          <w:color w:val="auto"/>
          <w:szCs w:val="21"/>
          <w:highlight w:val="none"/>
        </w:rPr>
        <w:t>2.务必完整填写所有指标响应参数；并说明偏离情况，且偏离情况与实际相符，否则将会影响评审得分。</w:t>
      </w:r>
    </w:p>
    <w:p w14:paraId="683ADD74">
      <w:pPr>
        <w:rPr>
          <w:color w:val="auto"/>
          <w:highlight w:val="none"/>
        </w:rPr>
      </w:pPr>
    </w:p>
    <w:p w14:paraId="354EA74C">
      <w:pPr>
        <w:rPr>
          <w:color w:val="auto"/>
          <w:highlight w:val="none"/>
        </w:rPr>
      </w:pPr>
    </w:p>
    <w:p w14:paraId="2574E7A0">
      <w:pPr>
        <w:rPr>
          <w:color w:val="auto"/>
          <w:highlight w:val="none"/>
        </w:rPr>
      </w:pPr>
    </w:p>
    <w:p w14:paraId="10E6B6E0">
      <w:pPr>
        <w:rPr>
          <w:color w:val="auto"/>
          <w:highlight w:val="none"/>
        </w:rPr>
      </w:pPr>
    </w:p>
    <w:p w14:paraId="7E02695E">
      <w:pPr>
        <w:rPr>
          <w:color w:val="auto"/>
          <w:highlight w:val="none"/>
        </w:rPr>
      </w:pPr>
    </w:p>
    <w:p w14:paraId="3D912B9E">
      <w:pPr>
        <w:rPr>
          <w:color w:val="auto"/>
          <w:highlight w:val="none"/>
        </w:rPr>
      </w:pPr>
    </w:p>
    <w:p w14:paraId="0543189B">
      <w:pPr>
        <w:pStyle w:val="3"/>
        <w:snapToGrid w:val="0"/>
        <w:rPr>
          <w:rFonts w:ascii="宋体" w:hAnsi="宋体" w:cs="宋体"/>
          <w:color w:val="auto"/>
          <w:kern w:val="21"/>
          <w:sz w:val="28"/>
          <w:szCs w:val="28"/>
          <w:highlight w:val="none"/>
        </w:rPr>
      </w:pPr>
      <w:bookmarkStart w:id="136" w:name="_Toc24903"/>
      <w:r>
        <w:rPr>
          <w:rFonts w:hint="eastAsia" w:ascii="宋体" w:hAnsi="宋体" w:cs="宋体"/>
          <w:color w:val="auto"/>
          <w:kern w:val="21"/>
          <w:sz w:val="28"/>
          <w:szCs w:val="28"/>
          <w:highlight w:val="none"/>
        </w:rPr>
        <w:t>二、技术部分</w:t>
      </w:r>
      <w:bookmarkEnd w:id="133"/>
      <w:bookmarkEnd w:id="136"/>
    </w:p>
    <w:p w14:paraId="7A139B5E">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1、项目组织实施方案</w:t>
      </w:r>
    </w:p>
    <w:p w14:paraId="5D3C53AB">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2、售后服务</w:t>
      </w:r>
      <w:r>
        <w:rPr>
          <w:rFonts w:hint="eastAsia" w:ascii="宋体" w:hAnsi="宋体" w:cs="宋体"/>
          <w:b/>
          <w:bCs/>
          <w:color w:val="auto"/>
          <w:kern w:val="21"/>
          <w:szCs w:val="21"/>
          <w:highlight w:val="none"/>
          <w:lang w:val="en-US" w:eastAsia="zh-CN"/>
        </w:rPr>
        <w:t>及</w:t>
      </w:r>
      <w:r>
        <w:rPr>
          <w:rFonts w:hint="eastAsia" w:ascii="宋体" w:hAnsi="宋体" w:cs="宋体"/>
          <w:b/>
          <w:bCs/>
          <w:color w:val="auto"/>
          <w:kern w:val="21"/>
          <w:szCs w:val="21"/>
          <w:highlight w:val="none"/>
        </w:rPr>
        <w:t>培训方案</w:t>
      </w:r>
    </w:p>
    <w:p w14:paraId="6E629DF6">
      <w:pPr>
        <w:snapToGrid w:val="0"/>
        <w:spacing w:line="460" w:lineRule="exact"/>
        <w:ind w:firstLine="422" w:firstLineChars="200"/>
        <w:rPr>
          <w:rFonts w:hint="eastAsia" w:ascii="宋体" w:hAnsi="宋体" w:eastAsia="宋体" w:cs="宋体"/>
          <w:b/>
          <w:bCs/>
          <w:color w:val="auto"/>
          <w:kern w:val="21"/>
          <w:szCs w:val="21"/>
          <w:highlight w:val="none"/>
          <w:lang w:eastAsia="zh-CN"/>
        </w:rPr>
      </w:pPr>
      <w:r>
        <w:rPr>
          <w:rFonts w:hint="eastAsia" w:ascii="宋体" w:hAnsi="宋体" w:cs="宋体"/>
          <w:b/>
          <w:bCs/>
          <w:color w:val="auto"/>
          <w:kern w:val="21"/>
          <w:szCs w:val="21"/>
          <w:highlight w:val="none"/>
        </w:rPr>
        <w:t>3、</w:t>
      </w:r>
      <w:r>
        <w:rPr>
          <w:rFonts w:hint="eastAsia" w:ascii="宋体" w:hAnsi="宋体" w:cs="宋体"/>
          <w:b/>
          <w:bCs/>
          <w:color w:val="auto"/>
          <w:kern w:val="21"/>
          <w:szCs w:val="21"/>
          <w:highlight w:val="none"/>
          <w:lang w:val="en-US" w:eastAsia="zh-CN"/>
        </w:rPr>
        <w:t>质量保证</w:t>
      </w:r>
    </w:p>
    <w:p w14:paraId="5852D436">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4、业绩</w:t>
      </w:r>
    </w:p>
    <w:p w14:paraId="7CA4008B">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5、三大体系</w:t>
      </w:r>
    </w:p>
    <w:p w14:paraId="3AB5C809">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6、资质文件</w:t>
      </w:r>
    </w:p>
    <w:p w14:paraId="6AC7DEB4">
      <w:pPr>
        <w:snapToGrid w:val="0"/>
        <w:spacing w:line="460" w:lineRule="exact"/>
        <w:ind w:firstLine="420" w:firstLineChars="200"/>
        <w:rPr>
          <w:rFonts w:ascii="宋体" w:hAnsi="宋体" w:cs="宋体"/>
          <w:color w:val="auto"/>
          <w:sz w:val="20"/>
          <w:szCs w:val="21"/>
          <w:highlight w:val="none"/>
        </w:rPr>
      </w:pPr>
      <w:r>
        <w:rPr>
          <w:rFonts w:hint="eastAsia" w:ascii="宋体" w:hAnsi="宋体" w:cs="宋体"/>
          <w:color w:val="auto"/>
          <w:kern w:val="21"/>
          <w:szCs w:val="21"/>
          <w:highlight w:val="none"/>
        </w:rPr>
        <w:t>（</w:t>
      </w:r>
      <w:r>
        <w:rPr>
          <w:rFonts w:hint="eastAsia" w:ascii="宋体" w:hAnsi="宋体" w:cs="宋体"/>
          <w:color w:val="auto"/>
          <w:szCs w:val="21"/>
          <w:highlight w:val="none"/>
        </w:rPr>
        <w:t>一)符合《中华人民共和国政府采购法》第二十二条的规定；</w:t>
      </w:r>
    </w:p>
    <w:p w14:paraId="10B78CA4">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（二)特定资格条件：</w:t>
      </w:r>
    </w:p>
    <w:p w14:paraId="6C9B1CC2">
      <w:pPr>
        <w:snapToGrid w:val="0"/>
        <w:spacing w:line="460" w:lineRule="exact"/>
        <w:ind w:firstLine="420" w:firstLineChars="200"/>
        <w:rPr>
          <w:color w:val="auto"/>
          <w:highlight w:val="none"/>
        </w:rPr>
      </w:pPr>
      <w:r>
        <w:rPr>
          <w:rFonts w:hint="eastAsia" w:ascii="宋体" w:hAnsi="宋体" w:cs="宋体"/>
          <w:color w:val="auto"/>
          <w:szCs w:val="21"/>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财务状况报表：提供2023年度或2024年度经审计的财务报告，或开标前六个月内银行出具的资信证明或信用担保机构出具的投标担保函（以上三种形式的资料提供任何一种即可）；其他组织和自然人提供银行出具的资信证明或财务报表；</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3）税收缴纳证明：提供供应商2024年至今任意一个月已缴纳的完税凭证或税务机关开具的完税证明（任意税种），依法免税的单位应提供相关证明材料；</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4）社会保障资金缴纳证明：提供供应商2024年至今任意一个月的社会保障资金缴存单据或社保机构开具的社会保险参保缴费情况证明。依法不需要缴纳社会保障资金的供应商应提供相关证明文件；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5）提供具有履行本合同所必需的设备和专业技术能力的声明；</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6）出具参加政府采购活动前3年内在经营活动中没有重大违法记录的书面声明；</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7）法定代表人授权书及被授权人身份证(法定代表人直接参加投标，须提交其身份证原件、复印件及法定代表人身份证明)；</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8）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9）本项目不接受联合体投标。</w:t>
      </w:r>
    </w:p>
    <w:p w14:paraId="15AB2CA0">
      <w:pPr>
        <w:snapToGrid w:val="0"/>
        <w:spacing w:line="460" w:lineRule="exact"/>
        <w:ind w:firstLine="422" w:firstLineChars="200"/>
        <w:rPr>
          <w:rFonts w:ascii="宋体" w:hAnsi="宋体" w:cs="宋体"/>
          <w:b/>
          <w:bCs/>
          <w:color w:val="auto"/>
          <w:kern w:val="21"/>
          <w:szCs w:val="21"/>
          <w:highlight w:val="none"/>
        </w:rPr>
      </w:pPr>
      <w:r>
        <w:rPr>
          <w:rFonts w:hint="eastAsia" w:ascii="宋体" w:hAnsi="宋体" w:cs="宋体"/>
          <w:b/>
          <w:bCs/>
          <w:color w:val="auto"/>
          <w:kern w:val="21"/>
          <w:szCs w:val="21"/>
          <w:highlight w:val="none"/>
        </w:rPr>
        <w:t>7、其他证明材料</w:t>
      </w:r>
    </w:p>
    <w:p w14:paraId="62DBAA33">
      <w:pPr>
        <w:snapToGrid w:val="0"/>
        <w:spacing w:line="360" w:lineRule="auto"/>
        <w:jc w:val="center"/>
        <w:rPr>
          <w:rFonts w:ascii="宋体" w:hAnsi="宋体" w:cs="宋体"/>
          <w:color w:val="auto"/>
          <w:sz w:val="21"/>
          <w:szCs w:val="21"/>
          <w:highlight w:val="none"/>
        </w:rPr>
      </w:pPr>
      <w:bookmarkStart w:id="137" w:name="_Toc25708"/>
      <w:bookmarkStart w:id="138" w:name="_Toc28273"/>
      <w:bookmarkStart w:id="139" w:name="_Toc6726"/>
      <w:bookmarkStart w:id="140" w:name="_Toc14666"/>
      <w:r>
        <w:rPr>
          <w:rFonts w:hint="eastAsia" w:ascii="宋体" w:hAnsi="宋体" w:cs="宋体"/>
          <w:b/>
          <w:bCs/>
          <w:color w:val="auto"/>
          <w:sz w:val="21"/>
          <w:szCs w:val="21"/>
          <w:highlight w:val="none"/>
          <w:lang w:val="zh-CN"/>
        </w:rPr>
        <w:t>供应商承诺书</w:t>
      </w:r>
      <w:bookmarkEnd w:id="137"/>
    </w:p>
    <w:p w14:paraId="201D4996">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u w:val="single"/>
          <w:lang w:val="zh-CN"/>
        </w:rPr>
        <w:t xml:space="preserve">  </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u w:val="single"/>
          <w:lang w:val="zh-CN"/>
        </w:rPr>
        <w:t>（采购人名称）</w:t>
      </w:r>
      <w:r>
        <w:rPr>
          <w:rFonts w:hint="eastAsia" w:ascii="宋体" w:hAnsi="宋体" w:cs="宋体"/>
          <w:color w:val="auto"/>
          <w:kern w:val="21"/>
          <w:szCs w:val="21"/>
          <w:highlight w:val="none"/>
          <w:lang w:val="zh-CN"/>
        </w:rPr>
        <w:t>：</w:t>
      </w:r>
    </w:p>
    <w:p w14:paraId="1E9CB7EA">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lang w:val="zh-CN"/>
        </w:rPr>
        <w:t>作为参加</w:t>
      </w:r>
      <w:r>
        <w:rPr>
          <w:rFonts w:hint="eastAsia" w:ascii="宋体" w:hAnsi="宋体" w:cs="宋体"/>
          <w:color w:val="auto"/>
          <w:kern w:val="21"/>
          <w:szCs w:val="21"/>
          <w:highlight w:val="none"/>
          <w:u w:val="single"/>
        </w:rPr>
        <w:t xml:space="preserve">              （项目名称、包号）</w:t>
      </w:r>
      <w:r>
        <w:rPr>
          <w:rFonts w:hint="eastAsia" w:ascii="宋体" w:hAnsi="宋体" w:cs="宋体"/>
          <w:color w:val="auto"/>
          <w:kern w:val="21"/>
          <w:szCs w:val="21"/>
          <w:highlight w:val="none"/>
          <w:lang w:val="zh-CN"/>
        </w:rPr>
        <w:t>的供应商，本公司郑重承诺：</w:t>
      </w:r>
    </w:p>
    <w:p w14:paraId="7D485D3A">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lang w:val="zh-CN"/>
        </w:rPr>
        <w:t>一、在参加本项目投标之前不存在被依法禁止经营行为、财产被接管或冻结的情况，如有隐瞒实情，愿承担一切责任及后果。</w:t>
      </w:r>
    </w:p>
    <w:p w14:paraId="5C2D7660">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lang w:val="zh-CN"/>
        </w:rPr>
        <w:t>二、近三年受到有关行政主管部门的行政处理、不良行为记录为次（没有填零），如有隐瞒实情，愿承担一切责任及后果。</w:t>
      </w:r>
    </w:p>
    <w:p w14:paraId="572327E6">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lang w:val="zh-CN"/>
        </w:rPr>
        <w:t>三、参加本次投标提交的所有资质证明文件及业绩证明文件是真实的、有效的，如有隐瞒实情，愿承担一切责任及后果。</w:t>
      </w:r>
    </w:p>
    <w:p w14:paraId="7ABE9963">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lang w:val="zh-CN"/>
        </w:rPr>
        <w:t>四、近三年因产品问题（水货、替代品、次品、翻新品等）的不法行为记录为次（没有填零），如有隐瞒实情，愿承担一切责任及后果。</w:t>
      </w:r>
    </w:p>
    <w:p w14:paraId="7D0F6E50">
      <w:pPr>
        <w:snapToGrid w:val="0"/>
        <w:spacing w:line="460" w:lineRule="exact"/>
        <w:ind w:firstLine="403" w:firstLineChars="192"/>
        <w:rPr>
          <w:rFonts w:ascii="宋体" w:hAnsi="宋体" w:cs="宋体"/>
          <w:color w:val="auto"/>
          <w:kern w:val="21"/>
          <w:sz w:val="20"/>
          <w:szCs w:val="21"/>
          <w:highlight w:val="none"/>
          <w:lang w:val="zh-CN"/>
        </w:rPr>
      </w:pPr>
      <w:r>
        <w:rPr>
          <w:rFonts w:hint="eastAsia" w:ascii="宋体" w:hAnsi="宋体" w:cs="宋体"/>
          <w:color w:val="auto"/>
          <w:kern w:val="21"/>
          <w:szCs w:val="21"/>
          <w:highlight w:val="none"/>
          <w:lang w:val="zh-CN"/>
        </w:rPr>
        <w:t>五、中标后，在项目实施、结算、保修等各个环节上，不拖欠农民工工资。</w:t>
      </w:r>
    </w:p>
    <w:p w14:paraId="5407DCEF">
      <w:pPr>
        <w:snapToGrid w:val="0"/>
        <w:spacing w:line="460" w:lineRule="exact"/>
        <w:ind w:firstLine="384" w:firstLineChars="192"/>
        <w:rPr>
          <w:rFonts w:ascii="宋体" w:hAnsi="宋体" w:cs="宋体"/>
          <w:color w:val="auto"/>
          <w:kern w:val="21"/>
          <w:sz w:val="20"/>
          <w:szCs w:val="21"/>
          <w:highlight w:val="none"/>
          <w:lang w:val="zh-CN"/>
        </w:rPr>
      </w:pPr>
    </w:p>
    <w:p w14:paraId="4CB3AFFD">
      <w:pPr>
        <w:snapToGrid w:val="0"/>
        <w:spacing w:line="360" w:lineRule="auto"/>
        <w:ind w:firstLine="1600" w:firstLineChars="800"/>
        <w:rPr>
          <w:rFonts w:ascii="宋体" w:hAnsi="宋体" w:cs="宋体"/>
          <w:color w:val="auto"/>
          <w:sz w:val="20"/>
          <w:szCs w:val="21"/>
          <w:highlight w:val="none"/>
        </w:rPr>
      </w:pPr>
    </w:p>
    <w:p w14:paraId="24735DB8">
      <w:pPr>
        <w:snapToGrid w:val="0"/>
        <w:spacing w:line="360" w:lineRule="auto"/>
        <w:ind w:firstLine="1600" w:firstLineChars="800"/>
        <w:rPr>
          <w:rFonts w:ascii="宋体" w:hAnsi="宋体" w:cs="宋体"/>
          <w:color w:val="auto"/>
          <w:sz w:val="20"/>
          <w:szCs w:val="21"/>
          <w:highlight w:val="none"/>
        </w:rPr>
      </w:pPr>
    </w:p>
    <w:p w14:paraId="78DF2964">
      <w:pPr>
        <w:tabs>
          <w:tab w:val="left" w:pos="6444"/>
        </w:tabs>
        <w:snapToGrid w:val="0"/>
        <w:spacing w:line="360" w:lineRule="auto"/>
        <w:ind w:firstLine="1680" w:firstLineChars="800"/>
        <w:rPr>
          <w:rFonts w:ascii="宋体" w:hAnsi="宋体" w:cs="宋体"/>
          <w:color w:val="auto"/>
          <w:sz w:val="20"/>
          <w:szCs w:val="21"/>
          <w:highlight w:val="none"/>
        </w:rPr>
      </w:pPr>
      <w:r>
        <w:rPr>
          <w:rFonts w:hint="eastAsia" w:ascii="宋体" w:hAnsi="宋体" w:cs="宋体"/>
          <w:color w:val="auto"/>
          <w:szCs w:val="21"/>
          <w:highlight w:val="none"/>
        </w:rPr>
        <w:tab/>
      </w:r>
    </w:p>
    <w:p w14:paraId="2443E175">
      <w:pPr>
        <w:pStyle w:val="12"/>
        <w:rPr>
          <w:rFonts w:ascii="宋体" w:hAnsi="宋体" w:eastAsia="宋体" w:cs="宋体"/>
          <w:color w:val="auto"/>
          <w:szCs w:val="21"/>
          <w:highlight w:val="none"/>
        </w:rPr>
      </w:pPr>
    </w:p>
    <w:p w14:paraId="5B2D105B">
      <w:pPr>
        <w:pStyle w:val="12"/>
        <w:rPr>
          <w:rFonts w:ascii="宋体" w:hAnsi="宋体" w:eastAsia="宋体" w:cs="宋体"/>
          <w:color w:val="auto"/>
          <w:highlight w:val="none"/>
        </w:rPr>
      </w:pPr>
    </w:p>
    <w:p w14:paraId="6AD95E81">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14:paraId="300B66D6">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4074EFD7">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121EB9D">
      <w:pPr>
        <w:snapToGrid w:val="0"/>
        <w:spacing w:line="360" w:lineRule="auto"/>
        <w:jc w:val="center"/>
        <w:rPr>
          <w:rFonts w:ascii="宋体" w:hAnsi="宋体" w:cs="宋体"/>
          <w:b/>
          <w:bCs/>
          <w:color w:val="auto"/>
          <w:sz w:val="20"/>
          <w:szCs w:val="21"/>
          <w:highlight w:val="none"/>
        </w:rPr>
      </w:pPr>
      <w:r>
        <w:rPr>
          <w:rFonts w:hint="eastAsia" w:ascii="宋体" w:hAnsi="宋体" w:cs="宋体"/>
          <w:color w:val="auto"/>
          <w:szCs w:val="21"/>
          <w:highlight w:val="none"/>
        </w:rPr>
        <w:br w:type="page"/>
      </w:r>
    </w:p>
    <w:p w14:paraId="6D58BE13">
      <w:pPr>
        <w:snapToGrid w:val="0"/>
        <w:spacing w:line="360" w:lineRule="auto"/>
        <w:jc w:val="center"/>
        <w:rPr>
          <w:rFonts w:ascii="宋体" w:hAnsi="宋体" w:cs="宋体"/>
          <w:b/>
          <w:color w:val="auto"/>
          <w:sz w:val="21"/>
          <w:szCs w:val="21"/>
          <w:highlight w:val="none"/>
        </w:rPr>
      </w:pPr>
      <w:bookmarkStart w:id="141" w:name="_Toc482775582"/>
      <w:bookmarkStart w:id="142" w:name="_Toc10207"/>
      <w:r>
        <w:rPr>
          <w:rFonts w:hint="eastAsia" w:ascii="宋体" w:hAnsi="宋体" w:cs="宋体"/>
          <w:b/>
          <w:bCs/>
          <w:color w:val="auto"/>
          <w:sz w:val="21"/>
          <w:szCs w:val="21"/>
          <w:highlight w:val="none"/>
        </w:rPr>
        <w:t>供应商企业关系关联承诺书</w:t>
      </w:r>
      <w:bookmarkEnd w:id="141"/>
      <w:bookmarkEnd w:id="142"/>
    </w:p>
    <w:p w14:paraId="0080C928">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一、供应商在本项目投标中，不存在与其它供应商负责人为同一人，有控股、管理等关联关系承诺。</w:t>
      </w:r>
    </w:p>
    <w:p w14:paraId="67B1A685">
      <w:pPr>
        <w:snapToGrid w:val="0"/>
        <w:spacing w:line="480" w:lineRule="auto"/>
        <w:ind w:firstLine="420" w:firstLineChars="200"/>
        <w:rPr>
          <w:rFonts w:ascii="宋体" w:hAnsi="宋体" w:cs="宋体"/>
          <w:color w:val="auto"/>
          <w:sz w:val="20"/>
          <w:szCs w:val="21"/>
          <w:highlight w:val="none"/>
        </w:rPr>
      </w:pPr>
      <w:bookmarkStart w:id="143" w:name="_Toc27601"/>
      <w:r>
        <w:rPr>
          <w:rFonts w:hint="eastAsia" w:ascii="宋体" w:hAnsi="宋体" w:cs="宋体"/>
          <w:color w:val="auto"/>
          <w:szCs w:val="21"/>
          <w:highlight w:val="none"/>
        </w:rPr>
        <w:t>1.管理关系说明：</w:t>
      </w:r>
      <w:bookmarkEnd w:id="143"/>
    </w:p>
    <w:p w14:paraId="254E35DA">
      <w:pPr>
        <w:snapToGrid w:val="0"/>
        <w:spacing w:line="480" w:lineRule="auto"/>
        <w:ind w:firstLine="420" w:firstLineChars="200"/>
        <w:rPr>
          <w:rFonts w:ascii="宋体" w:hAnsi="宋体" w:cs="宋体"/>
          <w:color w:val="auto"/>
          <w:sz w:val="20"/>
          <w:szCs w:val="21"/>
          <w:highlight w:val="none"/>
          <w:u w:val="single"/>
        </w:rPr>
      </w:pPr>
      <w:r>
        <w:rPr>
          <w:rFonts w:hint="eastAsia" w:ascii="宋体" w:hAnsi="宋体" w:cs="宋体"/>
          <w:color w:val="auto"/>
          <w:szCs w:val="21"/>
          <w:highlight w:val="none"/>
        </w:rPr>
        <w:t>我单位管理的具有独立法人的下属单位：(没有填无)。</w:t>
      </w:r>
    </w:p>
    <w:p w14:paraId="4474C2F6">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我单位的上级管理单位  (没有填无)。</w:t>
      </w:r>
    </w:p>
    <w:p w14:paraId="4E683E3E">
      <w:pPr>
        <w:snapToGrid w:val="0"/>
        <w:spacing w:line="480" w:lineRule="auto"/>
        <w:ind w:firstLine="420" w:firstLineChars="200"/>
        <w:rPr>
          <w:rFonts w:ascii="宋体" w:hAnsi="宋体" w:cs="宋体"/>
          <w:color w:val="auto"/>
          <w:sz w:val="20"/>
          <w:szCs w:val="21"/>
          <w:highlight w:val="none"/>
        </w:rPr>
      </w:pPr>
      <w:bookmarkStart w:id="144" w:name="_Toc4109"/>
      <w:r>
        <w:rPr>
          <w:rFonts w:hint="eastAsia" w:ascii="宋体" w:hAnsi="宋体" w:cs="宋体"/>
          <w:color w:val="auto"/>
          <w:szCs w:val="21"/>
          <w:highlight w:val="none"/>
        </w:rPr>
        <w:t>2.股权关系说明：</w:t>
      </w:r>
      <w:bookmarkEnd w:id="144"/>
    </w:p>
    <w:p w14:paraId="1028B96D">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我单位控股的单位(没有填无) 。</w:t>
      </w:r>
    </w:p>
    <w:p w14:paraId="055E4977">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我单位(没有填无)被</w:t>
      </w:r>
      <w:r>
        <w:rPr>
          <w:rFonts w:hint="eastAsia" w:ascii="宋体" w:hAnsi="宋体" w:cs="宋体"/>
          <w:color w:val="auto"/>
          <w:szCs w:val="21"/>
          <w:highlight w:val="none"/>
          <w:u w:val="single"/>
        </w:rPr>
        <w:t xml:space="preserve">   （控股单位全称）  </w:t>
      </w:r>
      <w:r>
        <w:rPr>
          <w:rFonts w:hint="eastAsia" w:ascii="宋体" w:hAnsi="宋体" w:cs="宋体"/>
          <w:color w:val="auto"/>
          <w:szCs w:val="21"/>
          <w:highlight w:val="none"/>
        </w:rPr>
        <w:t>单位控股。</w:t>
      </w:r>
    </w:p>
    <w:p w14:paraId="0D351CEC">
      <w:pPr>
        <w:snapToGrid w:val="0"/>
        <w:spacing w:line="480" w:lineRule="auto"/>
        <w:ind w:firstLine="420" w:firstLineChars="200"/>
        <w:rPr>
          <w:rFonts w:ascii="宋体" w:hAnsi="宋体" w:cs="宋体"/>
          <w:color w:val="auto"/>
          <w:sz w:val="20"/>
          <w:szCs w:val="21"/>
          <w:highlight w:val="none"/>
        </w:rPr>
      </w:pPr>
      <w:bookmarkStart w:id="145" w:name="_Toc16978"/>
      <w:r>
        <w:rPr>
          <w:rFonts w:hint="eastAsia" w:ascii="宋体" w:hAnsi="宋体" w:cs="宋体"/>
          <w:color w:val="auto"/>
          <w:szCs w:val="21"/>
          <w:highlight w:val="none"/>
        </w:rPr>
        <w:t>3.单位负责人： (没有填无)。</w:t>
      </w:r>
      <w:bookmarkEnd w:id="145"/>
    </w:p>
    <w:p w14:paraId="49A3302C">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二、我单位（是或否） 为本采购项目提供过整体设计、规范编制或者项目管理、监理、检测等服务的供应商。</w:t>
      </w:r>
    </w:p>
    <w:p w14:paraId="147BE8CB">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三、其他与本项目有关的利害关系说明(没有填无)。</w:t>
      </w:r>
    </w:p>
    <w:p w14:paraId="709E814B">
      <w:pPr>
        <w:snapToGrid w:val="0"/>
        <w:spacing w:line="480" w:lineRule="auto"/>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我单位承诺以上说明真实有效，无虚假内容或隐瞒。</w:t>
      </w:r>
    </w:p>
    <w:p w14:paraId="0BD31A61">
      <w:pPr>
        <w:snapToGrid w:val="0"/>
        <w:spacing w:line="480" w:lineRule="auto"/>
        <w:rPr>
          <w:rFonts w:ascii="宋体" w:hAnsi="宋体" w:cs="宋体"/>
          <w:color w:val="auto"/>
          <w:sz w:val="20"/>
          <w:szCs w:val="21"/>
          <w:highlight w:val="none"/>
        </w:rPr>
      </w:pPr>
    </w:p>
    <w:p w14:paraId="3CA79FBB">
      <w:pPr>
        <w:snapToGrid w:val="0"/>
        <w:spacing w:line="480" w:lineRule="auto"/>
        <w:jc w:val="center"/>
        <w:rPr>
          <w:rFonts w:ascii="宋体" w:hAnsi="宋体" w:cs="宋体"/>
          <w:b/>
          <w:bCs/>
          <w:color w:val="auto"/>
          <w:sz w:val="20"/>
          <w:szCs w:val="21"/>
          <w:highlight w:val="none"/>
        </w:rPr>
      </w:pPr>
    </w:p>
    <w:p w14:paraId="05A78E05">
      <w:pPr>
        <w:snapToGrid w:val="0"/>
        <w:spacing w:line="480" w:lineRule="auto"/>
        <w:jc w:val="center"/>
        <w:rPr>
          <w:rFonts w:ascii="宋体" w:hAnsi="宋体" w:cs="宋体"/>
          <w:b/>
          <w:bCs/>
          <w:color w:val="auto"/>
          <w:sz w:val="20"/>
          <w:szCs w:val="21"/>
          <w:highlight w:val="none"/>
        </w:rPr>
      </w:pPr>
    </w:p>
    <w:p w14:paraId="08001B6E">
      <w:pPr>
        <w:pStyle w:val="12"/>
        <w:rPr>
          <w:rFonts w:ascii="宋体" w:hAnsi="宋体" w:eastAsia="宋体" w:cs="宋体"/>
          <w:color w:val="auto"/>
          <w:highlight w:val="none"/>
        </w:rPr>
      </w:pPr>
    </w:p>
    <w:p w14:paraId="0728F4A0">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14:paraId="493D514D">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5064D322">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04A93A">
      <w:pPr>
        <w:snapToGrid w:val="0"/>
        <w:spacing w:line="360" w:lineRule="auto"/>
        <w:jc w:val="center"/>
        <w:rPr>
          <w:rFonts w:ascii="宋体" w:hAnsi="宋体" w:cs="宋体"/>
          <w:b/>
          <w:bCs/>
          <w:color w:val="auto"/>
          <w:sz w:val="20"/>
          <w:szCs w:val="21"/>
          <w:highlight w:val="none"/>
        </w:rPr>
      </w:pPr>
      <w:r>
        <w:rPr>
          <w:rFonts w:hint="eastAsia" w:ascii="宋体" w:hAnsi="宋体" w:cs="宋体"/>
          <w:color w:val="auto"/>
          <w:szCs w:val="21"/>
          <w:highlight w:val="none"/>
          <w:u w:val="single"/>
        </w:rPr>
        <w:br w:type="page"/>
      </w:r>
    </w:p>
    <w:p w14:paraId="18DCE2CD">
      <w:pPr>
        <w:snapToGrid w:val="0"/>
        <w:spacing w:line="360" w:lineRule="auto"/>
        <w:jc w:val="center"/>
        <w:rPr>
          <w:rFonts w:ascii="宋体" w:hAnsi="宋体" w:cs="宋体"/>
          <w:b/>
          <w:color w:val="auto"/>
          <w:sz w:val="21"/>
          <w:szCs w:val="21"/>
          <w:highlight w:val="none"/>
        </w:rPr>
      </w:pPr>
      <w:bookmarkStart w:id="146" w:name="_Toc16646"/>
      <w:bookmarkStart w:id="147" w:name="_Toc482775583"/>
      <w:r>
        <w:rPr>
          <w:rFonts w:hint="eastAsia" w:ascii="宋体" w:hAnsi="宋体" w:cs="宋体"/>
          <w:b/>
          <w:bCs/>
          <w:color w:val="auto"/>
          <w:sz w:val="21"/>
          <w:szCs w:val="21"/>
          <w:highlight w:val="none"/>
        </w:rPr>
        <w:t>拒绝政府采购领域商业贿赂承诺书</w:t>
      </w:r>
      <w:bookmarkEnd w:id="146"/>
      <w:bookmarkEnd w:id="147"/>
    </w:p>
    <w:p w14:paraId="6CF585F2">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为响应党中央、国务院关于治理政府采购领域商业贿赂行为的号召，我公司在此庄严承诺：</w:t>
      </w:r>
    </w:p>
    <w:p w14:paraId="22208CF4">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一、在参与政府采购活动中遵纪守法、诚信经营、公平竞标。</w:t>
      </w:r>
    </w:p>
    <w:p w14:paraId="55CC1FD1">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二、不向政府采购人、采购代理机构和政府采购评审专家进行任何形式的商业贿赂以谋取交易机会。</w:t>
      </w:r>
    </w:p>
    <w:p w14:paraId="12ED7117">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三、不向政府采购代理机构和采购人提供虚假资质证明文件或采用虚假应标方式参与政府采购市场竞争并谋取中标、成交。</w:t>
      </w:r>
    </w:p>
    <w:p w14:paraId="3A1842DE">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四、不采取“围标、陪标”等商业欺诈手段获得政府采购订单。</w:t>
      </w:r>
    </w:p>
    <w:p w14:paraId="4FCA0B60">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五、不采取不正当手段诋毁、排挤其他供应商。</w:t>
      </w:r>
    </w:p>
    <w:p w14:paraId="15233BB8">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六、不在提供货物和服务时“偷梁换柱、以次充好”损害采购人的合法权益。</w:t>
      </w:r>
    </w:p>
    <w:p w14:paraId="03B6AD28">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七、不与采购人、采购代理机构、政府采购评审专家或其它供应商恶意串通，进行质疑和投诉，维护政府采购市场秩序。</w:t>
      </w:r>
    </w:p>
    <w:p w14:paraId="121D8A90">
      <w:pPr>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八、尊重和接受政府采购监督管理部门的监督和政府采购代理机构招标采购要求，承担因违约行为给采购人造成的损失。</w:t>
      </w:r>
    </w:p>
    <w:p w14:paraId="12595E2D">
      <w:pPr>
        <w:snapToGrid w:val="0"/>
        <w:spacing w:line="480" w:lineRule="auto"/>
        <w:ind w:firstLine="420" w:firstLineChars="200"/>
        <w:rPr>
          <w:rFonts w:ascii="宋体" w:hAnsi="宋体" w:cs="宋体"/>
          <w:color w:val="auto"/>
          <w:sz w:val="20"/>
          <w:szCs w:val="21"/>
          <w:highlight w:val="none"/>
          <w:lang w:val="zh-CN"/>
        </w:rPr>
      </w:pPr>
      <w:r>
        <w:rPr>
          <w:rFonts w:hint="eastAsia" w:ascii="宋体" w:hAnsi="宋体" w:cs="宋体"/>
          <w:color w:val="auto"/>
          <w:szCs w:val="21"/>
          <w:highlight w:val="none"/>
          <w:lang w:val="zh-CN"/>
        </w:rPr>
        <w:t xml:space="preserve">    九、不发生其他有悖于政府采购公开、公平、公正和诚信原则的行为</w:t>
      </w:r>
    </w:p>
    <w:p w14:paraId="097EB01B">
      <w:pPr>
        <w:snapToGrid w:val="0"/>
        <w:spacing w:line="480" w:lineRule="auto"/>
        <w:ind w:firstLine="1600" w:firstLineChars="800"/>
        <w:rPr>
          <w:rFonts w:ascii="宋体" w:hAnsi="宋体" w:cs="宋体"/>
          <w:color w:val="auto"/>
          <w:sz w:val="20"/>
          <w:szCs w:val="21"/>
          <w:highlight w:val="none"/>
        </w:rPr>
      </w:pPr>
    </w:p>
    <w:p w14:paraId="5C36A16C">
      <w:pPr>
        <w:pStyle w:val="12"/>
        <w:rPr>
          <w:rFonts w:ascii="宋体" w:hAnsi="宋体" w:eastAsia="宋体" w:cs="宋体"/>
          <w:color w:val="auto"/>
          <w:highlight w:val="none"/>
        </w:rPr>
      </w:pPr>
    </w:p>
    <w:p w14:paraId="36DB8D1E">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u w:val="single"/>
        </w:rPr>
        <w:t xml:space="preserve">                          </w:t>
      </w:r>
    </w:p>
    <w:p w14:paraId="1FC18C6B">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法定代表人（签字或盖章）：</w:t>
      </w:r>
      <w:r>
        <w:rPr>
          <w:rFonts w:hint="eastAsia" w:ascii="宋体" w:hAnsi="宋体" w:cs="宋体"/>
          <w:color w:val="auto"/>
          <w:szCs w:val="21"/>
          <w:highlight w:val="none"/>
          <w:u w:val="single"/>
        </w:rPr>
        <w:t xml:space="preserve">                </w:t>
      </w:r>
    </w:p>
    <w:p w14:paraId="5F34BA83">
      <w:pPr>
        <w:snapToGrid w:val="0"/>
        <w:spacing w:line="480" w:lineRule="auto"/>
        <w:ind w:firstLine="5040" w:firstLineChars="2400"/>
        <w:rPr>
          <w:rFonts w:ascii="宋体" w:hAnsi="宋体" w:cs="宋体"/>
          <w:color w:val="auto"/>
          <w:sz w:val="20"/>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4E42509">
      <w:pPr>
        <w:pStyle w:val="23"/>
        <w:ind w:firstLine="211"/>
        <w:rPr>
          <w:rFonts w:ascii="宋体" w:hAnsi="宋体" w:eastAsia="宋体" w:cs="宋体"/>
          <w:b/>
          <w:bCs/>
          <w:color w:val="auto"/>
          <w:sz w:val="21"/>
          <w:szCs w:val="21"/>
          <w:highlight w:val="none"/>
        </w:rPr>
      </w:pPr>
    </w:p>
    <w:p w14:paraId="3F6D7DE5">
      <w:pPr>
        <w:pStyle w:val="23"/>
        <w:ind w:firstLine="211"/>
        <w:rPr>
          <w:rFonts w:ascii="宋体" w:hAnsi="宋体" w:eastAsia="宋体" w:cs="宋体"/>
          <w:b/>
          <w:bCs/>
          <w:color w:val="auto"/>
          <w:sz w:val="21"/>
          <w:szCs w:val="21"/>
          <w:highlight w:val="none"/>
        </w:rPr>
      </w:pPr>
    </w:p>
    <w:p w14:paraId="668399CC">
      <w:pPr>
        <w:pStyle w:val="23"/>
        <w:ind w:firstLine="211"/>
        <w:rPr>
          <w:rFonts w:ascii="宋体" w:hAnsi="宋体" w:eastAsia="宋体" w:cs="宋体"/>
          <w:b/>
          <w:bCs/>
          <w:color w:val="auto"/>
          <w:sz w:val="21"/>
          <w:szCs w:val="21"/>
          <w:highlight w:val="none"/>
        </w:rPr>
      </w:pPr>
    </w:p>
    <w:p w14:paraId="61B01E9E">
      <w:pPr>
        <w:pStyle w:val="23"/>
        <w:ind w:firstLine="211"/>
        <w:rPr>
          <w:rFonts w:ascii="宋体" w:hAnsi="宋体" w:eastAsia="宋体" w:cs="宋体"/>
          <w:b/>
          <w:bCs/>
          <w:color w:val="auto"/>
          <w:sz w:val="21"/>
          <w:szCs w:val="21"/>
          <w:highlight w:val="none"/>
        </w:rPr>
      </w:pPr>
    </w:p>
    <w:p w14:paraId="3C9388BD">
      <w:pPr>
        <w:snapToGrid w:val="0"/>
        <w:rPr>
          <w:rFonts w:ascii="宋体" w:hAnsi="宋体" w:cs="宋体"/>
          <w:b/>
          <w:bCs/>
          <w:color w:val="auto"/>
          <w:sz w:val="20"/>
          <w:szCs w:val="21"/>
          <w:highlight w:val="none"/>
        </w:rPr>
      </w:pPr>
    </w:p>
    <w:p w14:paraId="02F17F60">
      <w:pPr>
        <w:pStyle w:val="39"/>
        <w:snapToGrid w:val="0"/>
        <w:spacing w:line="357" w:lineRule="atLeast"/>
        <w:textAlignment w:val="baseline"/>
        <w:rPr>
          <w:rFonts w:ascii="宋体" w:hAnsi="宋体" w:cs="宋体"/>
          <w:b/>
          <w:bCs/>
          <w:color w:val="auto"/>
          <w:szCs w:val="21"/>
          <w:highlight w:val="none"/>
        </w:rPr>
      </w:pPr>
    </w:p>
    <w:p w14:paraId="05B028A5">
      <w:pPr>
        <w:pStyle w:val="39"/>
        <w:snapToGrid w:val="0"/>
        <w:spacing w:line="357" w:lineRule="atLeast"/>
        <w:textAlignment w:val="baseline"/>
        <w:rPr>
          <w:rFonts w:ascii="宋体" w:hAnsi="宋体" w:cs="宋体"/>
          <w:b/>
          <w:bCs/>
          <w:color w:val="auto"/>
          <w:szCs w:val="21"/>
          <w:highlight w:val="none"/>
        </w:rPr>
      </w:pPr>
    </w:p>
    <w:p w14:paraId="3200855B">
      <w:pPr>
        <w:pStyle w:val="39"/>
        <w:snapToGrid w:val="0"/>
        <w:spacing w:line="357" w:lineRule="atLeast"/>
        <w:textAlignment w:val="baseline"/>
        <w:rPr>
          <w:rFonts w:ascii="宋体" w:hAnsi="宋体" w:cs="宋体"/>
          <w:b/>
          <w:bCs/>
          <w:color w:val="auto"/>
          <w:szCs w:val="21"/>
          <w:highlight w:val="none"/>
        </w:rPr>
      </w:pPr>
    </w:p>
    <w:p w14:paraId="52140035">
      <w:pPr>
        <w:pStyle w:val="39"/>
        <w:snapToGrid w:val="0"/>
        <w:spacing w:line="357" w:lineRule="atLeast"/>
        <w:textAlignment w:val="baseline"/>
        <w:rPr>
          <w:rFonts w:ascii="宋体" w:hAnsi="宋体" w:cs="宋体"/>
          <w:b/>
          <w:bCs/>
          <w:color w:val="auto"/>
          <w:szCs w:val="21"/>
          <w:highlight w:val="none"/>
        </w:rPr>
      </w:pPr>
    </w:p>
    <w:p w14:paraId="6458DFE9">
      <w:pPr>
        <w:pStyle w:val="23"/>
        <w:ind w:firstLine="211"/>
        <w:rPr>
          <w:rFonts w:ascii="宋体" w:hAnsi="宋体" w:eastAsia="宋体" w:cs="宋体"/>
          <w:b/>
          <w:bCs/>
          <w:color w:val="auto"/>
          <w:sz w:val="21"/>
          <w:szCs w:val="21"/>
          <w:highlight w:val="none"/>
        </w:rPr>
      </w:pPr>
    </w:p>
    <w:p w14:paraId="4092E96D">
      <w:pPr>
        <w:snapToGrid w:val="0"/>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具有履行本合同所必需的设备和专业技术能力的承诺函</w:t>
      </w:r>
      <w:bookmarkEnd w:id="138"/>
      <w:bookmarkEnd w:id="139"/>
      <w:bookmarkEnd w:id="140"/>
    </w:p>
    <w:p w14:paraId="5F11D722">
      <w:pPr>
        <w:rPr>
          <w:rFonts w:ascii="宋体" w:hAnsi="宋体" w:cs="宋体"/>
          <w:color w:val="auto"/>
          <w:highlight w:val="none"/>
        </w:rPr>
      </w:pPr>
    </w:p>
    <w:p w14:paraId="4A7719B4">
      <w:pPr>
        <w:tabs>
          <w:tab w:val="left" w:pos="927"/>
        </w:tabs>
        <w:snapToGrid w:val="0"/>
        <w:spacing w:line="360" w:lineRule="auto"/>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项目名称：</w:t>
      </w:r>
    </w:p>
    <w:p w14:paraId="5621ECE0">
      <w:pPr>
        <w:tabs>
          <w:tab w:val="left" w:pos="927"/>
        </w:tabs>
        <w:snapToGrid w:val="0"/>
        <w:spacing w:line="360" w:lineRule="auto"/>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项目编号：</w:t>
      </w:r>
    </w:p>
    <w:p w14:paraId="6E892916">
      <w:pPr>
        <w:tabs>
          <w:tab w:val="left" w:pos="927"/>
        </w:tabs>
        <w:snapToGrid w:val="0"/>
        <w:spacing w:line="360" w:lineRule="auto"/>
        <w:rPr>
          <w:rFonts w:ascii="宋体" w:hAnsi="宋体" w:cs="宋体"/>
          <w:color w:val="auto"/>
          <w:kern w:val="21"/>
          <w:sz w:val="20"/>
          <w:szCs w:val="21"/>
          <w:highlight w:val="none"/>
          <w:u w:val="single"/>
        </w:rPr>
      </w:pPr>
      <w:r>
        <w:rPr>
          <w:rFonts w:hint="eastAsia" w:ascii="宋体" w:hAnsi="宋体" w:cs="宋体"/>
          <w:color w:val="auto"/>
          <w:kern w:val="21"/>
          <w:szCs w:val="21"/>
          <w:highlight w:val="none"/>
        </w:rPr>
        <w:t>致：</w:t>
      </w:r>
      <w:r>
        <w:rPr>
          <w:rFonts w:hint="eastAsia" w:ascii="宋体" w:hAnsi="宋体" w:cs="宋体"/>
          <w:color w:val="auto"/>
          <w:kern w:val="21"/>
          <w:szCs w:val="21"/>
          <w:highlight w:val="none"/>
          <w:u w:val="single"/>
        </w:rPr>
        <w:t xml:space="preserve">         （采购人）</w:t>
      </w:r>
    </w:p>
    <w:p w14:paraId="1EFA176C">
      <w:pPr>
        <w:snapToGrid w:val="0"/>
        <w:spacing w:line="480" w:lineRule="auto"/>
        <w:ind w:firstLine="630" w:firstLineChars="300"/>
        <w:rPr>
          <w:rFonts w:ascii="宋体" w:hAnsi="宋体" w:cs="宋体"/>
          <w:color w:val="auto"/>
          <w:sz w:val="20"/>
          <w:szCs w:val="21"/>
          <w:highlight w:val="none"/>
          <w:lang w:val="zh-CN"/>
        </w:rPr>
      </w:pPr>
      <w:r>
        <w:rPr>
          <w:rFonts w:hint="eastAsia" w:ascii="宋体" w:hAnsi="宋体" w:cs="宋体"/>
          <w:color w:val="auto"/>
          <w:kern w:val="21"/>
          <w:szCs w:val="21"/>
          <w:highlight w:val="none"/>
          <w:u w:val="single"/>
        </w:rPr>
        <w:t xml:space="preserve">（供应商）        </w:t>
      </w:r>
      <w:r>
        <w:rPr>
          <w:rFonts w:hint="eastAsia" w:ascii="宋体" w:hAnsi="宋体" w:cs="宋体"/>
          <w:color w:val="auto"/>
          <w:szCs w:val="21"/>
          <w:highlight w:val="none"/>
          <w:lang w:val="zh-CN"/>
        </w:rPr>
        <w:t>郑重声明，我公司具有履行合同所必需的设备和专业技术能力，在合同签订前后随时愿意提供相关证明材料，符合法律法规规定的资格条件。我方对以上声明负全部法律责任。</w:t>
      </w:r>
    </w:p>
    <w:p w14:paraId="7B614965">
      <w:pPr>
        <w:snapToGrid w:val="0"/>
        <w:spacing w:line="480" w:lineRule="auto"/>
        <w:ind w:firstLine="420" w:firstLineChars="200"/>
        <w:rPr>
          <w:rFonts w:ascii="宋体" w:hAnsi="宋体" w:cs="宋体"/>
          <w:color w:val="auto"/>
          <w:sz w:val="20"/>
          <w:szCs w:val="21"/>
          <w:highlight w:val="none"/>
          <w:lang w:val="zh-CN"/>
        </w:rPr>
      </w:pPr>
      <w:r>
        <w:rPr>
          <w:rFonts w:hint="eastAsia" w:ascii="宋体" w:hAnsi="宋体" w:cs="宋体"/>
          <w:color w:val="auto"/>
          <w:szCs w:val="21"/>
          <w:highlight w:val="none"/>
          <w:lang w:val="zh-CN"/>
        </w:rPr>
        <w:t>特此声明。</w:t>
      </w:r>
    </w:p>
    <w:p w14:paraId="5E49AC9D">
      <w:pPr>
        <w:tabs>
          <w:tab w:val="left" w:pos="927"/>
        </w:tabs>
        <w:snapToGrid w:val="0"/>
        <w:spacing w:line="360" w:lineRule="auto"/>
        <w:jc w:val="center"/>
        <w:rPr>
          <w:rFonts w:ascii="宋体" w:hAnsi="宋体" w:cs="宋体"/>
          <w:color w:val="auto"/>
          <w:kern w:val="21"/>
          <w:sz w:val="20"/>
          <w:szCs w:val="21"/>
          <w:highlight w:val="none"/>
        </w:rPr>
      </w:pPr>
    </w:p>
    <w:p w14:paraId="4B6FE5DD">
      <w:pPr>
        <w:tabs>
          <w:tab w:val="left" w:pos="927"/>
        </w:tabs>
        <w:snapToGrid w:val="0"/>
        <w:spacing w:line="360" w:lineRule="auto"/>
        <w:jc w:val="center"/>
        <w:rPr>
          <w:rFonts w:ascii="宋体" w:hAnsi="宋体" w:cs="宋体"/>
          <w:color w:val="auto"/>
          <w:kern w:val="21"/>
          <w:sz w:val="20"/>
          <w:szCs w:val="21"/>
          <w:highlight w:val="none"/>
        </w:rPr>
      </w:pPr>
    </w:p>
    <w:p w14:paraId="1ED23F88">
      <w:pPr>
        <w:tabs>
          <w:tab w:val="left" w:pos="927"/>
        </w:tabs>
        <w:snapToGrid w:val="0"/>
        <w:spacing w:line="360" w:lineRule="auto"/>
        <w:jc w:val="center"/>
        <w:rPr>
          <w:rFonts w:ascii="宋体" w:hAnsi="宋体" w:cs="宋体"/>
          <w:color w:val="auto"/>
          <w:kern w:val="21"/>
          <w:sz w:val="20"/>
          <w:szCs w:val="21"/>
          <w:highlight w:val="none"/>
        </w:rPr>
      </w:pPr>
      <w:bookmarkStart w:id="148" w:name="_Toc5582"/>
      <w:bookmarkStart w:id="149" w:name="_Toc29480"/>
      <w:bookmarkStart w:id="150" w:name="_Toc25421"/>
      <w:bookmarkStart w:id="151" w:name="_Toc6035"/>
      <w:r>
        <w:rPr>
          <w:rFonts w:hint="eastAsia" w:ascii="宋体" w:hAnsi="宋体" w:cs="宋体"/>
          <w:color w:val="auto"/>
          <w:kern w:val="21"/>
          <w:szCs w:val="21"/>
          <w:highlight w:val="none"/>
        </w:rPr>
        <w:t xml:space="preserve">                 供应商：</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（盖单位公章）</w:t>
      </w:r>
      <w:bookmarkEnd w:id="148"/>
      <w:bookmarkEnd w:id="149"/>
      <w:bookmarkEnd w:id="150"/>
      <w:bookmarkEnd w:id="151"/>
    </w:p>
    <w:p w14:paraId="02DBFBA2">
      <w:pPr>
        <w:tabs>
          <w:tab w:val="left" w:pos="927"/>
        </w:tabs>
        <w:snapToGrid w:val="0"/>
        <w:spacing w:line="360" w:lineRule="auto"/>
        <w:jc w:val="center"/>
        <w:rPr>
          <w:rFonts w:ascii="宋体" w:hAnsi="宋体" w:cs="宋体"/>
          <w:color w:val="auto"/>
          <w:kern w:val="21"/>
          <w:sz w:val="20"/>
          <w:szCs w:val="21"/>
          <w:highlight w:val="none"/>
        </w:rPr>
      </w:pPr>
      <w:bookmarkStart w:id="152" w:name="_Toc3425"/>
      <w:bookmarkStart w:id="153" w:name="_Toc22772"/>
      <w:bookmarkStart w:id="154" w:name="_Toc13406"/>
      <w:bookmarkStart w:id="155" w:name="_Toc8175"/>
    </w:p>
    <w:p w14:paraId="4C51244F">
      <w:pPr>
        <w:tabs>
          <w:tab w:val="left" w:pos="927"/>
        </w:tabs>
        <w:snapToGrid w:val="0"/>
        <w:spacing w:line="360" w:lineRule="auto"/>
        <w:jc w:val="center"/>
        <w:rPr>
          <w:rFonts w:ascii="宋体" w:hAnsi="宋体" w:cs="宋体"/>
          <w:color w:val="auto"/>
          <w:sz w:val="20"/>
          <w:szCs w:val="21"/>
          <w:highlight w:val="none"/>
        </w:rPr>
      </w:pPr>
      <w:r>
        <w:rPr>
          <w:rFonts w:hint="eastAsia" w:ascii="宋体" w:hAnsi="宋体" w:cs="宋体"/>
          <w:color w:val="auto"/>
          <w:kern w:val="21"/>
          <w:szCs w:val="21"/>
          <w:highlight w:val="none"/>
        </w:rPr>
        <w:t xml:space="preserve">                  法定代表人或委托代理人：</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（签字或盖章）</w:t>
      </w:r>
      <w:bookmarkEnd w:id="152"/>
      <w:bookmarkEnd w:id="153"/>
      <w:bookmarkEnd w:id="154"/>
      <w:bookmarkEnd w:id="155"/>
    </w:p>
    <w:p w14:paraId="5FEAB5DA">
      <w:pPr>
        <w:tabs>
          <w:tab w:val="left" w:pos="927"/>
        </w:tabs>
        <w:snapToGrid w:val="0"/>
        <w:spacing w:line="360" w:lineRule="auto"/>
        <w:ind w:firstLine="4000" w:firstLineChars="2000"/>
        <w:jc w:val="left"/>
        <w:rPr>
          <w:rFonts w:ascii="宋体" w:hAnsi="宋体" w:cs="宋体"/>
          <w:color w:val="auto"/>
          <w:kern w:val="21"/>
          <w:sz w:val="20"/>
          <w:szCs w:val="21"/>
          <w:highlight w:val="none"/>
        </w:rPr>
      </w:pPr>
    </w:p>
    <w:p w14:paraId="4A4F6428">
      <w:pPr>
        <w:tabs>
          <w:tab w:val="left" w:pos="927"/>
        </w:tabs>
        <w:snapToGrid w:val="0"/>
        <w:spacing w:line="360" w:lineRule="auto"/>
        <w:ind w:firstLine="4200" w:firstLineChars="2000"/>
        <w:jc w:val="left"/>
        <w:rPr>
          <w:rFonts w:ascii="宋体" w:hAnsi="宋体" w:cs="宋体"/>
          <w:color w:val="auto"/>
          <w:kern w:val="21"/>
          <w:sz w:val="20"/>
          <w:szCs w:val="21"/>
          <w:highlight w:val="none"/>
        </w:rPr>
      </w:pPr>
      <w:r>
        <w:rPr>
          <w:rFonts w:hint="eastAsia" w:ascii="宋体" w:hAnsi="宋体" w:cs="宋体"/>
          <w:color w:val="auto"/>
          <w:kern w:val="21"/>
          <w:szCs w:val="21"/>
          <w:highlight w:val="none"/>
        </w:rPr>
        <w:t>日 期：</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年</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月</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日</w:t>
      </w:r>
    </w:p>
    <w:p w14:paraId="62C224F3">
      <w:pPr>
        <w:pStyle w:val="8"/>
        <w:snapToGrid w:val="0"/>
        <w:rPr>
          <w:rFonts w:ascii="宋体" w:hAnsi="宋体" w:cs="宋体"/>
          <w:color w:val="auto"/>
          <w:kern w:val="21"/>
          <w:szCs w:val="21"/>
          <w:highlight w:val="none"/>
        </w:rPr>
      </w:pPr>
    </w:p>
    <w:p w14:paraId="4D1076FD">
      <w:pPr>
        <w:snapToGrid w:val="0"/>
        <w:rPr>
          <w:rFonts w:ascii="宋体" w:hAnsi="宋体" w:cs="宋体"/>
          <w:color w:val="auto"/>
          <w:kern w:val="21"/>
          <w:sz w:val="20"/>
          <w:szCs w:val="21"/>
          <w:highlight w:val="none"/>
        </w:rPr>
      </w:pPr>
    </w:p>
    <w:p w14:paraId="0BB1934B">
      <w:pPr>
        <w:pStyle w:val="8"/>
        <w:snapToGrid w:val="0"/>
        <w:rPr>
          <w:rFonts w:ascii="宋体" w:hAnsi="宋体" w:cs="宋体"/>
          <w:color w:val="auto"/>
          <w:kern w:val="21"/>
          <w:szCs w:val="21"/>
          <w:highlight w:val="none"/>
        </w:rPr>
      </w:pPr>
    </w:p>
    <w:p w14:paraId="366C4D62">
      <w:pPr>
        <w:snapToGrid w:val="0"/>
        <w:rPr>
          <w:rFonts w:ascii="宋体" w:hAnsi="宋体" w:cs="宋体"/>
          <w:color w:val="auto"/>
          <w:kern w:val="21"/>
          <w:sz w:val="20"/>
          <w:szCs w:val="21"/>
          <w:highlight w:val="none"/>
        </w:rPr>
      </w:pPr>
    </w:p>
    <w:p w14:paraId="73E177B9">
      <w:pPr>
        <w:pStyle w:val="8"/>
        <w:snapToGrid w:val="0"/>
        <w:rPr>
          <w:rFonts w:ascii="宋体" w:hAnsi="宋体" w:cs="宋体"/>
          <w:color w:val="auto"/>
          <w:kern w:val="21"/>
          <w:szCs w:val="21"/>
          <w:highlight w:val="none"/>
        </w:rPr>
      </w:pPr>
    </w:p>
    <w:p w14:paraId="2BBAED38">
      <w:pPr>
        <w:snapToGrid w:val="0"/>
        <w:rPr>
          <w:rFonts w:ascii="宋体" w:hAnsi="宋体" w:cs="宋体"/>
          <w:color w:val="auto"/>
          <w:kern w:val="21"/>
          <w:sz w:val="20"/>
          <w:szCs w:val="21"/>
          <w:highlight w:val="none"/>
        </w:rPr>
      </w:pPr>
    </w:p>
    <w:p w14:paraId="3D2B3E4F">
      <w:pPr>
        <w:pStyle w:val="8"/>
        <w:snapToGrid w:val="0"/>
        <w:rPr>
          <w:rFonts w:ascii="宋体" w:hAnsi="宋体" w:cs="宋体"/>
          <w:color w:val="auto"/>
          <w:kern w:val="21"/>
          <w:szCs w:val="21"/>
          <w:highlight w:val="none"/>
        </w:rPr>
      </w:pPr>
    </w:p>
    <w:p w14:paraId="3F0222AF">
      <w:pPr>
        <w:snapToGrid w:val="0"/>
        <w:rPr>
          <w:rFonts w:ascii="宋体" w:hAnsi="宋体" w:cs="宋体"/>
          <w:color w:val="auto"/>
          <w:kern w:val="21"/>
          <w:sz w:val="20"/>
          <w:szCs w:val="21"/>
          <w:highlight w:val="none"/>
        </w:rPr>
      </w:pPr>
    </w:p>
    <w:p w14:paraId="4FF96013">
      <w:pPr>
        <w:pStyle w:val="8"/>
        <w:snapToGrid w:val="0"/>
        <w:rPr>
          <w:rFonts w:ascii="宋体" w:hAnsi="宋体" w:cs="宋体"/>
          <w:color w:val="auto"/>
          <w:kern w:val="21"/>
          <w:szCs w:val="21"/>
          <w:highlight w:val="none"/>
        </w:rPr>
      </w:pPr>
    </w:p>
    <w:p w14:paraId="2CE7A433">
      <w:pPr>
        <w:snapToGrid w:val="0"/>
        <w:rPr>
          <w:rFonts w:ascii="宋体" w:hAnsi="宋体" w:cs="宋体"/>
          <w:color w:val="auto"/>
          <w:kern w:val="21"/>
          <w:sz w:val="20"/>
          <w:szCs w:val="21"/>
          <w:highlight w:val="none"/>
        </w:rPr>
      </w:pPr>
    </w:p>
    <w:p w14:paraId="4D931690">
      <w:pPr>
        <w:pStyle w:val="8"/>
        <w:snapToGrid w:val="0"/>
        <w:rPr>
          <w:rFonts w:ascii="宋体" w:hAnsi="宋体" w:cs="宋体"/>
          <w:color w:val="auto"/>
          <w:kern w:val="21"/>
          <w:szCs w:val="21"/>
          <w:highlight w:val="none"/>
        </w:rPr>
      </w:pPr>
    </w:p>
    <w:p w14:paraId="1ED56A95">
      <w:pPr>
        <w:snapToGrid w:val="0"/>
        <w:rPr>
          <w:rFonts w:ascii="宋体" w:hAnsi="宋体" w:cs="宋体"/>
          <w:color w:val="auto"/>
          <w:kern w:val="21"/>
          <w:sz w:val="20"/>
          <w:szCs w:val="21"/>
          <w:highlight w:val="none"/>
        </w:rPr>
      </w:pPr>
    </w:p>
    <w:p w14:paraId="7C66888D">
      <w:pPr>
        <w:pStyle w:val="8"/>
        <w:snapToGrid w:val="0"/>
        <w:rPr>
          <w:rFonts w:ascii="宋体" w:hAnsi="宋体" w:cs="宋体"/>
          <w:color w:val="auto"/>
          <w:kern w:val="21"/>
          <w:szCs w:val="21"/>
          <w:highlight w:val="none"/>
        </w:rPr>
      </w:pPr>
    </w:p>
    <w:p w14:paraId="049192CC">
      <w:pPr>
        <w:snapToGrid w:val="0"/>
        <w:rPr>
          <w:rFonts w:ascii="宋体" w:hAnsi="宋体" w:cs="宋体"/>
          <w:color w:val="auto"/>
          <w:kern w:val="21"/>
          <w:sz w:val="20"/>
          <w:szCs w:val="21"/>
          <w:highlight w:val="none"/>
        </w:rPr>
      </w:pPr>
    </w:p>
    <w:p w14:paraId="5FB93C1A">
      <w:pPr>
        <w:pStyle w:val="8"/>
        <w:snapToGrid w:val="0"/>
        <w:rPr>
          <w:rFonts w:ascii="宋体" w:hAnsi="宋体" w:cs="宋体"/>
          <w:color w:val="auto"/>
          <w:kern w:val="21"/>
          <w:szCs w:val="21"/>
          <w:highlight w:val="none"/>
        </w:rPr>
      </w:pPr>
    </w:p>
    <w:p w14:paraId="6043A0C9">
      <w:pPr>
        <w:snapToGrid w:val="0"/>
        <w:rPr>
          <w:rFonts w:ascii="宋体" w:hAnsi="宋体" w:cs="宋体"/>
          <w:color w:val="auto"/>
          <w:kern w:val="21"/>
          <w:sz w:val="20"/>
          <w:szCs w:val="21"/>
          <w:highlight w:val="none"/>
        </w:rPr>
      </w:pPr>
    </w:p>
    <w:p w14:paraId="1D7C3C14">
      <w:pPr>
        <w:pStyle w:val="8"/>
        <w:snapToGrid w:val="0"/>
        <w:ind w:left="0" w:leftChars="0"/>
        <w:rPr>
          <w:rFonts w:ascii="宋体" w:hAnsi="宋体" w:cs="宋体"/>
          <w:color w:val="auto"/>
          <w:kern w:val="21"/>
          <w:szCs w:val="21"/>
          <w:highlight w:val="none"/>
        </w:rPr>
      </w:pPr>
    </w:p>
    <w:sectPr>
      <w:footerReference r:id="rId10" w:type="default"/>
      <w:pgSz w:w="11906" w:h="16838"/>
      <w:pgMar w:top="1440" w:right="1083" w:bottom="1440" w:left="1083" w:header="850"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9C6A">
    <w:pPr>
      <w:pStyle w:val="17"/>
      <w:framePr w:wrap="around" w:vAnchor="text" w:hAnchor="page" w:x="1260" w:y="3"/>
      <w:ind w:right="360"/>
      <w:rPr>
        <w:rStyle w:val="28"/>
      </w:rPr>
    </w:pPr>
  </w:p>
  <w:p w14:paraId="34D483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449C">
    <w:pPr>
      <w:pStyle w:val="17"/>
      <w:ind w:right="360"/>
      <w:rPr>
        <w:rStyle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16630">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3D16630">
                    <w:pPr>
                      <w:pStyle w:val="17"/>
                    </w:pPr>
                    <w:r>
                      <w:fldChar w:fldCharType="begin"/>
                    </w:r>
                    <w:r>
                      <w:instrText xml:space="preserve"> PAGE  \* MERGEFORMAT </w:instrText>
                    </w:r>
                    <w:r>
                      <w:fldChar w:fldCharType="separate"/>
                    </w:r>
                    <w:r>
                      <w:t>3</w:t>
                    </w:r>
                    <w:r>
                      <w:fldChar w:fldCharType="end"/>
                    </w:r>
                  </w:p>
                </w:txbxContent>
              </v:textbox>
            </v:shape>
          </w:pict>
        </mc:Fallback>
      </mc:AlternateContent>
    </w:r>
  </w:p>
  <w:p w14:paraId="19EBF5E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3BA6">
    <w:pPr>
      <w:pStyle w:val="17"/>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270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B12BFC">
                          <w:pPr>
                            <w:pStyle w:val="1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6B12BFC">
                    <w:pPr>
                      <w:pStyle w:val="17"/>
                    </w:pPr>
                    <w:r>
                      <w:fldChar w:fldCharType="begin"/>
                    </w:r>
                    <w:r>
                      <w:instrText xml:space="preserve"> PAGE  \* MERGEFORMAT </w:instrText>
                    </w:r>
                    <w:r>
                      <w:fldChar w:fldCharType="separate"/>
                    </w:r>
                    <w:r>
                      <w:t>17</w:t>
                    </w:r>
                    <w:r>
                      <w:fldChar w:fldCharType="end"/>
                    </w:r>
                  </w:p>
                </w:txbxContent>
              </v:textbox>
            </v:shape>
          </w:pict>
        </mc:Fallback>
      </mc:AlternateContent>
    </w:r>
  </w:p>
  <w:p w14:paraId="07281405">
    <w:pPr>
      <w:pStyle w:val="17"/>
      <w:rPr>
        <w:szCs w:val="21"/>
      </w:rPr>
    </w:pPr>
  </w:p>
  <w:p w14:paraId="2794A696">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9824">
    <w:pPr>
      <w:pStyle w:val="17"/>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A569E">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BAA569E">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84A5">
    <w:pPr>
      <w:pStyle w:val="17"/>
      <w:tabs>
        <w:tab w:val="left" w:pos="9000"/>
        <w:tab w:val="left" w:pos="9050"/>
        <w:tab w:val="clear" w:pos="8306"/>
      </w:tabs>
      <w:ind w:right="22"/>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EBF00">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DDEBF00">
                    <w:pPr>
                      <w:pStyle w:val="17"/>
                    </w:pPr>
                    <w:r>
                      <w:fldChar w:fldCharType="begin"/>
                    </w:r>
                    <w:r>
                      <w:instrText xml:space="preserve"> PAGE  \* MERGEFORMAT </w:instrText>
                    </w:r>
                    <w:r>
                      <w:fldChar w:fldCharType="separate"/>
                    </w:r>
                    <w:r>
                      <w:t>37</w:t>
                    </w:r>
                    <w:r>
                      <w:fldChar w:fldCharType="end"/>
                    </w:r>
                  </w:p>
                </w:txbxContent>
              </v:textbox>
            </v:shape>
          </w:pict>
        </mc:Fallback>
      </mc:AlternateContent>
    </w:r>
  </w:p>
  <w:p w14:paraId="478A714E">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0A2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524E1"/>
    <w:multiLevelType w:val="singleLevel"/>
    <w:tmpl w:val="84E524E1"/>
    <w:lvl w:ilvl="0" w:tentative="0">
      <w:start w:val="2"/>
      <w:numFmt w:val="decimal"/>
      <w:suff w:val="nothing"/>
      <w:lvlText w:val="%1、"/>
      <w:lvlJc w:val="left"/>
    </w:lvl>
  </w:abstractNum>
  <w:abstractNum w:abstractNumId="1">
    <w:nsid w:val="B412E902"/>
    <w:multiLevelType w:val="singleLevel"/>
    <w:tmpl w:val="B412E902"/>
    <w:lvl w:ilvl="0" w:tentative="0">
      <w:start w:val="1"/>
      <w:numFmt w:val="decimal"/>
      <w:suff w:val="space"/>
      <w:lvlText w:val="%1、"/>
      <w:lvlJc w:val="left"/>
    </w:lvl>
  </w:abstractNum>
  <w:abstractNum w:abstractNumId="2">
    <w:nsid w:val="2D75C7A4"/>
    <w:multiLevelType w:val="singleLevel"/>
    <w:tmpl w:val="2D75C7A4"/>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hideSpellingErrors/>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MmEyNjIwNzY3ZGJkYmY3ZGQzMWI0ZmJkZDdhZTkifQ=="/>
  </w:docVars>
  <w:rsids>
    <w:rsidRoot w:val="70AE1CF9"/>
    <w:rsid w:val="00025CF3"/>
    <w:rsid w:val="00031AB1"/>
    <w:rsid w:val="00040E9E"/>
    <w:rsid w:val="00042BCF"/>
    <w:rsid w:val="00052A18"/>
    <w:rsid w:val="000621C5"/>
    <w:rsid w:val="00080EC2"/>
    <w:rsid w:val="000F4B12"/>
    <w:rsid w:val="0011590D"/>
    <w:rsid w:val="00170282"/>
    <w:rsid w:val="001F3A31"/>
    <w:rsid w:val="0022415E"/>
    <w:rsid w:val="002362C6"/>
    <w:rsid w:val="002630BB"/>
    <w:rsid w:val="00281880"/>
    <w:rsid w:val="002873BD"/>
    <w:rsid w:val="0035622D"/>
    <w:rsid w:val="0037733F"/>
    <w:rsid w:val="00385E8E"/>
    <w:rsid w:val="003A5015"/>
    <w:rsid w:val="00413AB0"/>
    <w:rsid w:val="0044277C"/>
    <w:rsid w:val="00445403"/>
    <w:rsid w:val="004B0034"/>
    <w:rsid w:val="004C2A90"/>
    <w:rsid w:val="004C56B1"/>
    <w:rsid w:val="00524EC8"/>
    <w:rsid w:val="00527C67"/>
    <w:rsid w:val="00533429"/>
    <w:rsid w:val="00536E85"/>
    <w:rsid w:val="005800D9"/>
    <w:rsid w:val="0059634E"/>
    <w:rsid w:val="005C27B3"/>
    <w:rsid w:val="005C6E44"/>
    <w:rsid w:val="00613713"/>
    <w:rsid w:val="00650F99"/>
    <w:rsid w:val="00794FFA"/>
    <w:rsid w:val="007A6CB3"/>
    <w:rsid w:val="007F0B7C"/>
    <w:rsid w:val="008179C2"/>
    <w:rsid w:val="008364E1"/>
    <w:rsid w:val="00840FF7"/>
    <w:rsid w:val="00871053"/>
    <w:rsid w:val="008878D1"/>
    <w:rsid w:val="00890B9E"/>
    <w:rsid w:val="0089330F"/>
    <w:rsid w:val="008C722E"/>
    <w:rsid w:val="008D55C9"/>
    <w:rsid w:val="008E4AE3"/>
    <w:rsid w:val="00901A81"/>
    <w:rsid w:val="00906B8F"/>
    <w:rsid w:val="00914AB1"/>
    <w:rsid w:val="00925DFB"/>
    <w:rsid w:val="00944C98"/>
    <w:rsid w:val="00953D9C"/>
    <w:rsid w:val="009B17AE"/>
    <w:rsid w:val="009B1A5B"/>
    <w:rsid w:val="009B7F34"/>
    <w:rsid w:val="009E11B1"/>
    <w:rsid w:val="00A67BF9"/>
    <w:rsid w:val="00AB723E"/>
    <w:rsid w:val="00B07DFD"/>
    <w:rsid w:val="00B372E9"/>
    <w:rsid w:val="00B850B9"/>
    <w:rsid w:val="00BB0B8F"/>
    <w:rsid w:val="00BC4DCC"/>
    <w:rsid w:val="00BD3DB7"/>
    <w:rsid w:val="00BE1854"/>
    <w:rsid w:val="00BE7BBC"/>
    <w:rsid w:val="00C259C7"/>
    <w:rsid w:val="00C652B6"/>
    <w:rsid w:val="00CA313E"/>
    <w:rsid w:val="00CD0DEC"/>
    <w:rsid w:val="00CE520A"/>
    <w:rsid w:val="00D400C3"/>
    <w:rsid w:val="00D56B4D"/>
    <w:rsid w:val="00D9005D"/>
    <w:rsid w:val="00DC20AC"/>
    <w:rsid w:val="00E635DD"/>
    <w:rsid w:val="00E71A35"/>
    <w:rsid w:val="00E846E5"/>
    <w:rsid w:val="00E85783"/>
    <w:rsid w:val="00E92239"/>
    <w:rsid w:val="00EB2BD9"/>
    <w:rsid w:val="00ED0787"/>
    <w:rsid w:val="00EE1A20"/>
    <w:rsid w:val="00F14BD5"/>
    <w:rsid w:val="00F64A08"/>
    <w:rsid w:val="00F97312"/>
    <w:rsid w:val="00FC5273"/>
    <w:rsid w:val="012D0479"/>
    <w:rsid w:val="01325A8F"/>
    <w:rsid w:val="0132783D"/>
    <w:rsid w:val="015758DC"/>
    <w:rsid w:val="01591BDF"/>
    <w:rsid w:val="015F0319"/>
    <w:rsid w:val="016A66C9"/>
    <w:rsid w:val="01716850"/>
    <w:rsid w:val="018C7FEA"/>
    <w:rsid w:val="018D458D"/>
    <w:rsid w:val="018F4996"/>
    <w:rsid w:val="019114A7"/>
    <w:rsid w:val="01981761"/>
    <w:rsid w:val="019A7795"/>
    <w:rsid w:val="01A52B9E"/>
    <w:rsid w:val="01BD17FD"/>
    <w:rsid w:val="01BD35AB"/>
    <w:rsid w:val="01CC715B"/>
    <w:rsid w:val="01CC76A2"/>
    <w:rsid w:val="01E81872"/>
    <w:rsid w:val="01F92046"/>
    <w:rsid w:val="02147470"/>
    <w:rsid w:val="02202692"/>
    <w:rsid w:val="022A6766"/>
    <w:rsid w:val="023901A4"/>
    <w:rsid w:val="02467A44"/>
    <w:rsid w:val="024A64B1"/>
    <w:rsid w:val="02531427"/>
    <w:rsid w:val="026F666C"/>
    <w:rsid w:val="027602D1"/>
    <w:rsid w:val="02776CA0"/>
    <w:rsid w:val="027A3207"/>
    <w:rsid w:val="027D616F"/>
    <w:rsid w:val="02867D59"/>
    <w:rsid w:val="029F64F8"/>
    <w:rsid w:val="02BA269B"/>
    <w:rsid w:val="02BC4184"/>
    <w:rsid w:val="02C170CB"/>
    <w:rsid w:val="02C43EF6"/>
    <w:rsid w:val="02CC16DB"/>
    <w:rsid w:val="02CC544F"/>
    <w:rsid w:val="02D81C83"/>
    <w:rsid w:val="03175D5D"/>
    <w:rsid w:val="031B4B26"/>
    <w:rsid w:val="0324189B"/>
    <w:rsid w:val="03261624"/>
    <w:rsid w:val="033C43E3"/>
    <w:rsid w:val="03476C80"/>
    <w:rsid w:val="03764359"/>
    <w:rsid w:val="037D1816"/>
    <w:rsid w:val="039D3404"/>
    <w:rsid w:val="03B06889"/>
    <w:rsid w:val="03B14AAA"/>
    <w:rsid w:val="03BF1CB9"/>
    <w:rsid w:val="03C57EE2"/>
    <w:rsid w:val="03D53E88"/>
    <w:rsid w:val="03DE1B0C"/>
    <w:rsid w:val="03DE3CAC"/>
    <w:rsid w:val="03DE7C28"/>
    <w:rsid w:val="03E56BFD"/>
    <w:rsid w:val="04063CFC"/>
    <w:rsid w:val="0411649B"/>
    <w:rsid w:val="04440D73"/>
    <w:rsid w:val="0461265F"/>
    <w:rsid w:val="04844293"/>
    <w:rsid w:val="048562A3"/>
    <w:rsid w:val="048B5D40"/>
    <w:rsid w:val="04AE367F"/>
    <w:rsid w:val="04B36180"/>
    <w:rsid w:val="04B4792B"/>
    <w:rsid w:val="04D10A4C"/>
    <w:rsid w:val="04D61722"/>
    <w:rsid w:val="04EC6FFF"/>
    <w:rsid w:val="04EE6171"/>
    <w:rsid w:val="05045994"/>
    <w:rsid w:val="05245CAD"/>
    <w:rsid w:val="052E5567"/>
    <w:rsid w:val="05382D10"/>
    <w:rsid w:val="05595CE0"/>
    <w:rsid w:val="05620DB6"/>
    <w:rsid w:val="05703205"/>
    <w:rsid w:val="057B1924"/>
    <w:rsid w:val="057E0087"/>
    <w:rsid w:val="058D5283"/>
    <w:rsid w:val="05964A0E"/>
    <w:rsid w:val="05B52C63"/>
    <w:rsid w:val="05BF49BA"/>
    <w:rsid w:val="05CD5D86"/>
    <w:rsid w:val="05EF21A1"/>
    <w:rsid w:val="05F00E5E"/>
    <w:rsid w:val="05F66669"/>
    <w:rsid w:val="05FE41B5"/>
    <w:rsid w:val="06072539"/>
    <w:rsid w:val="060A6629"/>
    <w:rsid w:val="06247FF5"/>
    <w:rsid w:val="06503C66"/>
    <w:rsid w:val="065344DE"/>
    <w:rsid w:val="0663484A"/>
    <w:rsid w:val="066466EB"/>
    <w:rsid w:val="069166C1"/>
    <w:rsid w:val="069F463B"/>
    <w:rsid w:val="06A41AE0"/>
    <w:rsid w:val="06AB60C8"/>
    <w:rsid w:val="06AD2713"/>
    <w:rsid w:val="06E147B2"/>
    <w:rsid w:val="06E72E78"/>
    <w:rsid w:val="06E92D9A"/>
    <w:rsid w:val="06F26E04"/>
    <w:rsid w:val="07292A89"/>
    <w:rsid w:val="073275EC"/>
    <w:rsid w:val="073B5A49"/>
    <w:rsid w:val="073F23E5"/>
    <w:rsid w:val="075D064C"/>
    <w:rsid w:val="075F130D"/>
    <w:rsid w:val="07745CCE"/>
    <w:rsid w:val="0789526F"/>
    <w:rsid w:val="07904DDD"/>
    <w:rsid w:val="0790647D"/>
    <w:rsid w:val="07922FE4"/>
    <w:rsid w:val="07A52587"/>
    <w:rsid w:val="07AE1E05"/>
    <w:rsid w:val="07B807B9"/>
    <w:rsid w:val="07C51946"/>
    <w:rsid w:val="07D41A77"/>
    <w:rsid w:val="07E77B47"/>
    <w:rsid w:val="07F1308D"/>
    <w:rsid w:val="07FD51C4"/>
    <w:rsid w:val="080A32C2"/>
    <w:rsid w:val="082B13A2"/>
    <w:rsid w:val="082F41E1"/>
    <w:rsid w:val="0854183B"/>
    <w:rsid w:val="08687FE8"/>
    <w:rsid w:val="086D4837"/>
    <w:rsid w:val="0882554E"/>
    <w:rsid w:val="08A41A55"/>
    <w:rsid w:val="08A518F1"/>
    <w:rsid w:val="08A952DC"/>
    <w:rsid w:val="08B1373D"/>
    <w:rsid w:val="08E96474"/>
    <w:rsid w:val="08ED209D"/>
    <w:rsid w:val="091A12E3"/>
    <w:rsid w:val="091A2FCA"/>
    <w:rsid w:val="09257712"/>
    <w:rsid w:val="0946032A"/>
    <w:rsid w:val="094753A3"/>
    <w:rsid w:val="095E5D03"/>
    <w:rsid w:val="09620DFD"/>
    <w:rsid w:val="096F3813"/>
    <w:rsid w:val="099E2EA1"/>
    <w:rsid w:val="09B30F22"/>
    <w:rsid w:val="09B72142"/>
    <w:rsid w:val="09B9722A"/>
    <w:rsid w:val="09BA05FB"/>
    <w:rsid w:val="09BC3A88"/>
    <w:rsid w:val="09C534D4"/>
    <w:rsid w:val="09CB6A81"/>
    <w:rsid w:val="09D0293C"/>
    <w:rsid w:val="09EC5024"/>
    <w:rsid w:val="09F61D50"/>
    <w:rsid w:val="09FF11CC"/>
    <w:rsid w:val="0A02443D"/>
    <w:rsid w:val="0A1162EC"/>
    <w:rsid w:val="0A1D07D0"/>
    <w:rsid w:val="0A200E81"/>
    <w:rsid w:val="0A3A060D"/>
    <w:rsid w:val="0A423184"/>
    <w:rsid w:val="0A5A5C3A"/>
    <w:rsid w:val="0A621101"/>
    <w:rsid w:val="0A683BF3"/>
    <w:rsid w:val="0A7E3AF3"/>
    <w:rsid w:val="0AB630C6"/>
    <w:rsid w:val="0ABD1AEB"/>
    <w:rsid w:val="0AC74376"/>
    <w:rsid w:val="0AE8320E"/>
    <w:rsid w:val="0B0A5018"/>
    <w:rsid w:val="0B0A799D"/>
    <w:rsid w:val="0B10092E"/>
    <w:rsid w:val="0B1C2DDF"/>
    <w:rsid w:val="0B344986"/>
    <w:rsid w:val="0B4A13F5"/>
    <w:rsid w:val="0B4C7A65"/>
    <w:rsid w:val="0B503357"/>
    <w:rsid w:val="0B980D32"/>
    <w:rsid w:val="0BD41173"/>
    <w:rsid w:val="0BDB4F85"/>
    <w:rsid w:val="0BE070F4"/>
    <w:rsid w:val="0BE41F0B"/>
    <w:rsid w:val="0BE44F57"/>
    <w:rsid w:val="0BF0390F"/>
    <w:rsid w:val="0BF44CE8"/>
    <w:rsid w:val="0C0F04B1"/>
    <w:rsid w:val="0C104C1F"/>
    <w:rsid w:val="0C1B7AB6"/>
    <w:rsid w:val="0C237B9D"/>
    <w:rsid w:val="0C237E4D"/>
    <w:rsid w:val="0C276D1D"/>
    <w:rsid w:val="0C2D291F"/>
    <w:rsid w:val="0C2D70CE"/>
    <w:rsid w:val="0C306D98"/>
    <w:rsid w:val="0C4458C2"/>
    <w:rsid w:val="0C4F0870"/>
    <w:rsid w:val="0C8129D9"/>
    <w:rsid w:val="0C8B1C5B"/>
    <w:rsid w:val="0C9D2860"/>
    <w:rsid w:val="0CC10126"/>
    <w:rsid w:val="0CD21D13"/>
    <w:rsid w:val="0CFA0190"/>
    <w:rsid w:val="0CFF225D"/>
    <w:rsid w:val="0D13203A"/>
    <w:rsid w:val="0D25767F"/>
    <w:rsid w:val="0D605732"/>
    <w:rsid w:val="0D627DB7"/>
    <w:rsid w:val="0D73026A"/>
    <w:rsid w:val="0D790139"/>
    <w:rsid w:val="0D7A1A4C"/>
    <w:rsid w:val="0D7A4A46"/>
    <w:rsid w:val="0D7B65C1"/>
    <w:rsid w:val="0D98260F"/>
    <w:rsid w:val="0D995B09"/>
    <w:rsid w:val="0DD85FBA"/>
    <w:rsid w:val="0DDA2C6C"/>
    <w:rsid w:val="0DE40F79"/>
    <w:rsid w:val="0DE62B40"/>
    <w:rsid w:val="0E0A5244"/>
    <w:rsid w:val="0E0F7F72"/>
    <w:rsid w:val="0E116792"/>
    <w:rsid w:val="0E2A5922"/>
    <w:rsid w:val="0E404EED"/>
    <w:rsid w:val="0E4304B6"/>
    <w:rsid w:val="0E5F6D9D"/>
    <w:rsid w:val="0E675F12"/>
    <w:rsid w:val="0E791D0C"/>
    <w:rsid w:val="0E9F5F24"/>
    <w:rsid w:val="0EA90EB2"/>
    <w:rsid w:val="0EAF071F"/>
    <w:rsid w:val="0EB77A85"/>
    <w:rsid w:val="0EC04E6D"/>
    <w:rsid w:val="0EC437F1"/>
    <w:rsid w:val="0EE52491"/>
    <w:rsid w:val="0F03173B"/>
    <w:rsid w:val="0F0C5330"/>
    <w:rsid w:val="0F114283"/>
    <w:rsid w:val="0F181C39"/>
    <w:rsid w:val="0F2103E2"/>
    <w:rsid w:val="0F4852A9"/>
    <w:rsid w:val="0F4C2DDE"/>
    <w:rsid w:val="0F53554E"/>
    <w:rsid w:val="0F670766"/>
    <w:rsid w:val="0F6E4136"/>
    <w:rsid w:val="0F712918"/>
    <w:rsid w:val="0F7928FA"/>
    <w:rsid w:val="0F7C2C48"/>
    <w:rsid w:val="0F907BDA"/>
    <w:rsid w:val="0F914664"/>
    <w:rsid w:val="0FA57E40"/>
    <w:rsid w:val="0FA76CEF"/>
    <w:rsid w:val="0FB0749E"/>
    <w:rsid w:val="0FB237AD"/>
    <w:rsid w:val="0FDA08BF"/>
    <w:rsid w:val="0FDF0B42"/>
    <w:rsid w:val="0FE64614"/>
    <w:rsid w:val="0FF3288D"/>
    <w:rsid w:val="101F7783"/>
    <w:rsid w:val="102972BC"/>
    <w:rsid w:val="10422B59"/>
    <w:rsid w:val="10596791"/>
    <w:rsid w:val="1067316C"/>
    <w:rsid w:val="108C0825"/>
    <w:rsid w:val="108C6159"/>
    <w:rsid w:val="10913D58"/>
    <w:rsid w:val="10BE2E9B"/>
    <w:rsid w:val="10CD30DE"/>
    <w:rsid w:val="10D93A5C"/>
    <w:rsid w:val="10E17C7C"/>
    <w:rsid w:val="10EE19D3"/>
    <w:rsid w:val="110034B4"/>
    <w:rsid w:val="110A1AED"/>
    <w:rsid w:val="11161D7A"/>
    <w:rsid w:val="111C28DF"/>
    <w:rsid w:val="11256FA0"/>
    <w:rsid w:val="119127C4"/>
    <w:rsid w:val="11951E4E"/>
    <w:rsid w:val="11AB504E"/>
    <w:rsid w:val="11B4319E"/>
    <w:rsid w:val="11B73A89"/>
    <w:rsid w:val="11BD13A5"/>
    <w:rsid w:val="11D87F8D"/>
    <w:rsid w:val="11E37DCA"/>
    <w:rsid w:val="11F540FC"/>
    <w:rsid w:val="11F8418B"/>
    <w:rsid w:val="12206A68"/>
    <w:rsid w:val="122633BA"/>
    <w:rsid w:val="12445622"/>
    <w:rsid w:val="12503FC7"/>
    <w:rsid w:val="128F669A"/>
    <w:rsid w:val="12AB337C"/>
    <w:rsid w:val="12F73247"/>
    <w:rsid w:val="12FA7766"/>
    <w:rsid w:val="13046BAC"/>
    <w:rsid w:val="1313746B"/>
    <w:rsid w:val="131B1060"/>
    <w:rsid w:val="132A41B1"/>
    <w:rsid w:val="133C13AD"/>
    <w:rsid w:val="13406A19"/>
    <w:rsid w:val="13457A25"/>
    <w:rsid w:val="135453AA"/>
    <w:rsid w:val="13954387"/>
    <w:rsid w:val="13A41AEA"/>
    <w:rsid w:val="13AE369B"/>
    <w:rsid w:val="13AE7338"/>
    <w:rsid w:val="13B64EB3"/>
    <w:rsid w:val="13CB74DA"/>
    <w:rsid w:val="13D57F67"/>
    <w:rsid w:val="13DA67C6"/>
    <w:rsid w:val="13DB3D64"/>
    <w:rsid w:val="13DD3B62"/>
    <w:rsid w:val="142E0901"/>
    <w:rsid w:val="1433010B"/>
    <w:rsid w:val="14337DA6"/>
    <w:rsid w:val="143A418C"/>
    <w:rsid w:val="144404C1"/>
    <w:rsid w:val="14471E66"/>
    <w:rsid w:val="14475684"/>
    <w:rsid w:val="1457097E"/>
    <w:rsid w:val="14635592"/>
    <w:rsid w:val="146F3957"/>
    <w:rsid w:val="14735A21"/>
    <w:rsid w:val="147B65E3"/>
    <w:rsid w:val="149019C4"/>
    <w:rsid w:val="14CA6C6C"/>
    <w:rsid w:val="14CB202B"/>
    <w:rsid w:val="14CF52E3"/>
    <w:rsid w:val="14D74ACA"/>
    <w:rsid w:val="14D75622"/>
    <w:rsid w:val="14DD4787"/>
    <w:rsid w:val="14EE4584"/>
    <w:rsid w:val="150F0169"/>
    <w:rsid w:val="150F7F05"/>
    <w:rsid w:val="15152121"/>
    <w:rsid w:val="15205E5E"/>
    <w:rsid w:val="15520C0A"/>
    <w:rsid w:val="15591FA2"/>
    <w:rsid w:val="156118D4"/>
    <w:rsid w:val="15701D1E"/>
    <w:rsid w:val="15893CA1"/>
    <w:rsid w:val="15A34E02"/>
    <w:rsid w:val="15A524B3"/>
    <w:rsid w:val="15BF65E3"/>
    <w:rsid w:val="15D026F8"/>
    <w:rsid w:val="15DC6F4F"/>
    <w:rsid w:val="15FA1DCC"/>
    <w:rsid w:val="160C1D9D"/>
    <w:rsid w:val="161340AB"/>
    <w:rsid w:val="16241C0B"/>
    <w:rsid w:val="16253243"/>
    <w:rsid w:val="162A43E3"/>
    <w:rsid w:val="162C6AF9"/>
    <w:rsid w:val="16312A3E"/>
    <w:rsid w:val="163278E7"/>
    <w:rsid w:val="16461969"/>
    <w:rsid w:val="165B7881"/>
    <w:rsid w:val="16836BF7"/>
    <w:rsid w:val="16912488"/>
    <w:rsid w:val="1692326D"/>
    <w:rsid w:val="16923C16"/>
    <w:rsid w:val="16994D4F"/>
    <w:rsid w:val="169B2EA1"/>
    <w:rsid w:val="16A91D7E"/>
    <w:rsid w:val="16D0666A"/>
    <w:rsid w:val="16D17678"/>
    <w:rsid w:val="16D85088"/>
    <w:rsid w:val="16EB2E0F"/>
    <w:rsid w:val="16F13B74"/>
    <w:rsid w:val="16F82C18"/>
    <w:rsid w:val="16F96BB1"/>
    <w:rsid w:val="16FC224A"/>
    <w:rsid w:val="16FD4261"/>
    <w:rsid w:val="170C144E"/>
    <w:rsid w:val="1713335E"/>
    <w:rsid w:val="171E2177"/>
    <w:rsid w:val="1728365B"/>
    <w:rsid w:val="17296BEE"/>
    <w:rsid w:val="17493D83"/>
    <w:rsid w:val="174D592F"/>
    <w:rsid w:val="175643AA"/>
    <w:rsid w:val="17741AF8"/>
    <w:rsid w:val="17884151"/>
    <w:rsid w:val="178A3AD7"/>
    <w:rsid w:val="17A23B24"/>
    <w:rsid w:val="17B00D43"/>
    <w:rsid w:val="17CF4429"/>
    <w:rsid w:val="18047D2E"/>
    <w:rsid w:val="180E4708"/>
    <w:rsid w:val="183425AB"/>
    <w:rsid w:val="1839071C"/>
    <w:rsid w:val="18420856"/>
    <w:rsid w:val="185367E6"/>
    <w:rsid w:val="18745314"/>
    <w:rsid w:val="18873D5A"/>
    <w:rsid w:val="188B4B8B"/>
    <w:rsid w:val="18C32734"/>
    <w:rsid w:val="18CF11B8"/>
    <w:rsid w:val="18D07C10"/>
    <w:rsid w:val="18E66950"/>
    <w:rsid w:val="18FA60CD"/>
    <w:rsid w:val="1906204F"/>
    <w:rsid w:val="19153F28"/>
    <w:rsid w:val="191B7919"/>
    <w:rsid w:val="1945415A"/>
    <w:rsid w:val="19455E27"/>
    <w:rsid w:val="19566367"/>
    <w:rsid w:val="19670574"/>
    <w:rsid w:val="196D4085"/>
    <w:rsid w:val="198A2263"/>
    <w:rsid w:val="19970238"/>
    <w:rsid w:val="19AC2505"/>
    <w:rsid w:val="19AC66BE"/>
    <w:rsid w:val="19B219FD"/>
    <w:rsid w:val="19B3437A"/>
    <w:rsid w:val="19B4089D"/>
    <w:rsid w:val="19CF47BA"/>
    <w:rsid w:val="19E119B0"/>
    <w:rsid w:val="19E7626A"/>
    <w:rsid w:val="1A004525"/>
    <w:rsid w:val="1A0527B9"/>
    <w:rsid w:val="1A075621"/>
    <w:rsid w:val="1A09062F"/>
    <w:rsid w:val="1A125B73"/>
    <w:rsid w:val="1A392122"/>
    <w:rsid w:val="1A396FF3"/>
    <w:rsid w:val="1AA20036"/>
    <w:rsid w:val="1AA66E7A"/>
    <w:rsid w:val="1ABC3B86"/>
    <w:rsid w:val="1AC9700C"/>
    <w:rsid w:val="1ACB68E1"/>
    <w:rsid w:val="1ACE47F3"/>
    <w:rsid w:val="1AD97F3D"/>
    <w:rsid w:val="1AE7025C"/>
    <w:rsid w:val="1AF74213"/>
    <w:rsid w:val="1B12018A"/>
    <w:rsid w:val="1B193AF0"/>
    <w:rsid w:val="1B295301"/>
    <w:rsid w:val="1B301C22"/>
    <w:rsid w:val="1B3903E5"/>
    <w:rsid w:val="1B3A75C2"/>
    <w:rsid w:val="1B4A3D54"/>
    <w:rsid w:val="1B55063E"/>
    <w:rsid w:val="1B5B3B0E"/>
    <w:rsid w:val="1B742AD4"/>
    <w:rsid w:val="1B775A9B"/>
    <w:rsid w:val="1B7B31E5"/>
    <w:rsid w:val="1B7C3EF9"/>
    <w:rsid w:val="1B7C5E2D"/>
    <w:rsid w:val="1B867AB9"/>
    <w:rsid w:val="1B886580"/>
    <w:rsid w:val="1BCF44A5"/>
    <w:rsid w:val="1BF04F73"/>
    <w:rsid w:val="1BFA2409"/>
    <w:rsid w:val="1C0A36CD"/>
    <w:rsid w:val="1C0E2F29"/>
    <w:rsid w:val="1C214039"/>
    <w:rsid w:val="1C3803D7"/>
    <w:rsid w:val="1C5E5503"/>
    <w:rsid w:val="1C6F7FCB"/>
    <w:rsid w:val="1CA94A00"/>
    <w:rsid w:val="1CB82E95"/>
    <w:rsid w:val="1CBD1416"/>
    <w:rsid w:val="1CE52B09"/>
    <w:rsid w:val="1CF739BD"/>
    <w:rsid w:val="1D0339B5"/>
    <w:rsid w:val="1D09129C"/>
    <w:rsid w:val="1D320E99"/>
    <w:rsid w:val="1D4F79D7"/>
    <w:rsid w:val="1D5A3F4C"/>
    <w:rsid w:val="1D6337A4"/>
    <w:rsid w:val="1D6969A4"/>
    <w:rsid w:val="1D954F84"/>
    <w:rsid w:val="1D976F4E"/>
    <w:rsid w:val="1DC156E1"/>
    <w:rsid w:val="1DD261D8"/>
    <w:rsid w:val="1DEC6348"/>
    <w:rsid w:val="1E0D3365"/>
    <w:rsid w:val="1E0E0051"/>
    <w:rsid w:val="1E1206B4"/>
    <w:rsid w:val="1E2530BC"/>
    <w:rsid w:val="1E29330A"/>
    <w:rsid w:val="1E2B4190"/>
    <w:rsid w:val="1E430444"/>
    <w:rsid w:val="1E492EB8"/>
    <w:rsid w:val="1E4F0336"/>
    <w:rsid w:val="1E5D20DC"/>
    <w:rsid w:val="1EA23321"/>
    <w:rsid w:val="1EA50417"/>
    <w:rsid w:val="1EB13010"/>
    <w:rsid w:val="1ECF78AB"/>
    <w:rsid w:val="1EDE0FF0"/>
    <w:rsid w:val="1EF80A5C"/>
    <w:rsid w:val="1F052539"/>
    <w:rsid w:val="1F0D56A6"/>
    <w:rsid w:val="1F114ADE"/>
    <w:rsid w:val="1F2527A2"/>
    <w:rsid w:val="1F3876E0"/>
    <w:rsid w:val="1F5E1D2E"/>
    <w:rsid w:val="1F611F57"/>
    <w:rsid w:val="1F6A1FD7"/>
    <w:rsid w:val="1F8F3B47"/>
    <w:rsid w:val="1F9F668C"/>
    <w:rsid w:val="1FC61FDF"/>
    <w:rsid w:val="1FCD2A54"/>
    <w:rsid w:val="1FD04999"/>
    <w:rsid w:val="1FD61052"/>
    <w:rsid w:val="1FDC6FD8"/>
    <w:rsid w:val="1FE65ED6"/>
    <w:rsid w:val="20016347"/>
    <w:rsid w:val="202B22B3"/>
    <w:rsid w:val="202C0071"/>
    <w:rsid w:val="204607B7"/>
    <w:rsid w:val="205774A7"/>
    <w:rsid w:val="2061413D"/>
    <w:rsid w:val="20711CD8"/>
    <w:rsid w:val="20715AB7"/>
    <w:rsid w:val="207F4FA4"/>
    <w:rsid w:val="20983709"/>
    <w:rsid w:val="20CE74AE"/>
    <w:rsid w:val="20D87AB2"/>
    <w:rsid w:val="20E07305"/>
    <w:rsid w:val="20F71F9F"/>
    <w:rsid w:val="20FD3B30"/>
    <w:rsid w:val="212925B3"/>
    <w:rsid w:val="212E1977"/>
    <w:rsid w:val="213B4D82"/>
    <w:rsid w:val="214A4F44"/>
    <w:rsid w:val="215E689A"/>
    <w:rsid w:val="2176725F"/>
    <w:rsid w:val="21823A71"/>
    <w:rsid w:val="218B6D1D"/>
    <w:rsid w:val="219A6C4E"/>
    <w:rsid w:val="21AE4866"/>
    <w:rsid w:val="21C127EB"/>
    <w:rsid w:val="21EF1A93"/>
    <w:rsid w:val="21EF7359"/>
    <w:rsid w:val="21F11549"/>
    <w:rsid w:val="22044FB8"/>
    <w:rsid w:val="220A205C"/>
    <w:rsid w:val="22285264"/>
    <w:rsid w:val="22510D34"/>
    <w:rsid w:val="22560E7D"/>
    <w:rsid w:val="225F4D23"/>
    <w:rsid w:val="226545F7"/>
    <w:rsid w:val="227E0995"/>
    <w:rsid w:val="22D0478E"/>
    <w:rsid w:val="22D622C7"/>
    <w:rsid w:val="22D7735A"/>
    <w:rsid w:val="22E26EBD"/>
    <w:rsid w:val="22EB1DC5"/>
    <w:rsid w:val="22F049F2"/>
    <w:rsid w:val="22F95FB5"/>
    <w:rsid w:val="231654B8"/>
    <w:rsid w:val="23176CF8"/>
    <w:rsid w:val="231B29A3"/>
    <w:rsid w:val="231F5E36"/>
    <w:rsid w:val="23206F88"/>
    <w:rsid w:val="233B5455"/>
    <w:rsid w:val="23431A09"/>
    <w:rsid w:val="234472BA"/>
    <w:rsid w:val="2366189C"/>
    <w:rsid w:val="2367049C"/>
    <w:rsid w:val="236A6727"/>
    <w:rsid w:val="23824554"/>
    <w:rsid w:val="23951A3B"/>
    <w:rsid w:val="23AF701F"/>
    <w:rsid w:val="23B32608"/>
    <w:rsid w:val="23B75C54"/>
    <w:rsid w:val="23BC7037"/>
    <w:rsid w:val="23C26EEE"/>
    <w:rsid w:val="23C519D9"/>
    <w:rsid w:val="23CE11F0"/>
    <w:rsid w:val="23DC40A3"/>
    <w:rsid w:val="23E75FAB"/>
    <w:rsid w:val="23EB4DC1"/>
    <w:rsid w:val="24135FAD"/>
    <w:rsid w:val="24166AB9"/>
    <w:rsid w:val="24376D95"/>
    <w:rsid w:val="246F29D3"/>
    <w:rsid w:val="247E3820"/>
    <w:rsid w:val="248B1F8D"/>
    <w:rsid w:val="248E7E34"/>
    <w:rsid w:val="24900A94"/>
    <w:rsid w:val="24CF7C0D"/>
    <w:rsid w:val="24EB6E82"/>
    <w:rsid w:val="24EE36D9"/>
    <w:rsid w:val="24FB1D1B"/>
    <w:rsid w:val="251940E1"/>
    <w:rsid w:val="251C3F54"/>
    <w:rsid w:val="252C0564"/>
    <w:rsid w:val="25302162"/>
    <w:rsid w:val="2536529E"/>
    <w:rsid w:val="253703AC"/>
    <w:rsid w:val="253D4A94"/>
    <w:rsid w:val="254C008B"/>
    <w:rsid w:val="255950FB"/>
    <w:rsid w:val="256B5465"/>
    <w:rsid w:val="257266D0"/>
    <w:rsid w:val="257D111F"/>
    <w:rsid w:val="258F7DE8"/>
    <w:rsid w:val="25932338"/>
    <w:rsid w:val="259663F9"/>
    <w:rsid w:val="25B34CEF"/>
    <w:rsid w:val="25DA3E7C"/>
    <w:rsid w:val="25E21195"/>
    <w:rsid w:val="25EB3DDD"/>
    <w:rsid w:val="25F2341A"/>
    <w:rsid w:val="25F77334"/>
    <w:rsid w:val="260920F1"/>
    <w:rsid w:val="264B4D7A"/>
    <w:rsid w:val="264C0720"/>
    <w:rsid w:val="267E1C8A"/>
    <w:rsid w:val="26893BD0"/>
    <w:rsid w:val="268B69EF"/>
    <w:rsid w:val="26906C30"/>
    <w:rsid w:val="26A95CC1"/>
    <w:rsid w:val="26AE5FBD"/>
    <w:rsid w:val="26B1140E"/>
    <w:rsid w:val="26B172D2"/>
    <w:rsid w:val="26B675D4"/>
    <w:rsid w:val="26BC3FD8"/>
    <w:rsid w:val="26CC36F9"/>
    <w:rsid w:val="26D1527F"/>
    <w:rsid w:val="26E256DE"/>
    <w:rsid w:val="26F64CE5"/>
    <w:rsid w:val="26FA6FE4"/>
    <w:rsid w:val="26FF0AE8"/>
    <w:rsid w:val="27084794"/>
    <w:rsid w:val="27095F1B"/>
    <w:rsid w:val="270C7B0C"/>
    <w:rsid w:val="27133BBE"/>
    <w:rsid w:val="271635D9"/>
    <w:rsid w:val="2740374A"/>
    <w:rsid w:val="2765535C"/>
    <w:rsid w:val="27717249"/>
    <w:rsid w:val="27862E67"/>
    <w:rsid w:val="27906EE8"/>
    <w:rsid w:val="279B2C88"/>
    <w:rsid w:val="279F4E61"/>
    <w:rsid w:val="27A24E6D"/>
    <w:rsid w:val="27AE736E"/>
    <w:rsid w:val="27BC351D"/>
    <w:rsid w:val="27BD2A3D"/>
    <w:rsid w:val="27D26B25"/>
    <w:rsid w:val="27E83481"/>
    <w:rsid w:val="27E92C02"/>
    <w:rsid w:val="280974C5"/>
    <w:rsid w:val="280C22E7"/>
    <w:rsid w:val="28215888"/>
    <w:rsid w:val="28217250"/>
    <w:rsid w:val="28335B21"/>
    <w:rsid w:val="28447BAD"/>
    <w:rsid w:val="286749ED"/>
    <w:rsid w:val="286D05E1"/>
    <w:rsid w:val="28741132"/>
    <w:rsid w:val="287B5E3F"/>
    <w:rsid w:val="28A433D5"/>
    <w:rsid w:val="28A7300E"/>
    <w:rsid w:val="28C0138F"/>
    <w:rsid w:val="28E017BB"/>
    <w:rsid w:val="28EE4017"/>
    <w:rsid w:val="28F35C2E"/>
    <w:rsid w:val="28F6552F"/>
    <w:rsid w:val="28FE4325"/>
    <w:rsid w:val="290E75ED"/>
    <w:rsid w:val="29121365"/>
    <w:rsid w:val="291D49D4"/>
    <w:rsid w:val="29224331"/>
    <w:rsid w:val="29293878"/>
    <w:rsid w:val="292F6531"/>
    <w:rsid w:val="294A29A1"/>
    <w:rsid w:val="294F02F4"/>
    <w:rsid w:val="29713C74"/>
    <w:rsid w:val="29813395"/>
    <w:rsid w:val="29871071"/>
    <w:rsid w:val="298C3431"/>
    <w:rsid w:val="29932CBF"/>
    <w:rsid w:val="29992818"/>
    <w:rsid w:val="299C5FEA"/>
    <w:rsid w:val="29AA3B8E"/>
    <w:rsid w:val="29AC3D81"/>
    <w:rsid w:val="29B93765"/>
    <w:rsid w:val="29D7107B"/>
    <w:rsid w:val="29DF6008"/>
    <w:rsid w:val="29EC799D"/>
    <w:rsid w:val="29F467C5"/>
    <w:rsid w:val="29FE5D4A"/>
    <w:rsid w:val="2A072182"/>
    <w:rsid w:val="2A0C2620"/>
    <w:rsid w:val="2A11198A"/>
    <w:rsid w:val="2A242801"/>
    <w:rsid w:val="2A321BF7"/>
    <w:rsid w:val="2A4346E5"/>
    <w:rsid w:val="2A717A2F"/>
    <w:rsid w:val="2A781714"/>
    <w:rsid w:val="2A7C152B"/>
    <w:rsid w:val="2A88034A"/>
    <w:rsid w:val="2A8B0FB7"/>
    <w:rsid w:val="2A953842"/>
    <w:rsid w:val="2A9C1FAF"/>
    <w:rsid w:val="2AAA2B6C"/>
    <w:rsid w:val="2ABC2C3A"/>
    <w:rsid w:val="2AC739F5"/>
    <w:rsid w:val="2ADB54B8"/>
    <w:rsid w:val="2AFB6109"/>
    <w:rsid w:val="2B185425"/>
    <w:rsid w:val="2B373B1E"/>
    <w:rsid w:val="2B3D27B6"/>
    <w:rsid w:val="2B3E03DE"/>
    <w:rsid w:val="2B4E31C2"/>
    <w:rsid w:val="2B85488A"/>
    <w:rsid w:val="2B910A4E"/>
    <w:rsid w:val="2B991D4E"/>
    <w:rsid w:val="2B996587"/>
    <w:rsid w:val="2BAB264A"/>
    <w:rsid w:val="2BB242BF"/>
    <w:rsid w:val="2BB807BB"/>
    <w:rsid w:val="2BB94533"/>
    <w:rsid w:val="2BE6006D"/>
    <w:rsid w:val="2BF210E6"/>
    <w:rsid w:val="2BF81129"/>
    <w:rsid w:val="2C11436F"/>
    <w:rsid w:val="2C42328E"/>
    <w:rsid w:val="2C536736"/>
    <w:rsid w:val="2C5A7AC4"/>
    <w:rsid w:val="2C663688"/>
    <w:rsid w:val="2C806959"/>
    <w:rsid w:val="2CAD5C46"/>
    <w:rsid w:val="2CC013EB"/>
    <w:rsid w:val="2CE120E6"/>
    <w:rsid w:val="2CE5649C"/>
    <w:rsid w:val="2CF15417"/>
    <w:rsid w:val="2CF55A3F"/>
    <w:rsid w:val="2D0143E4"/>
    <w:rsid w:val="2D2020CB"/>
    <w:rsid w:val="2D297497"/>
    <w:rsid w:val="2D2C262C"/>
    <w:rsid w:val="2D2C2713"/>
    <w:rsid w:val="2D361382"/>
    <w:rsid w:val="2D650BC9"/>
    <w:rsid w:val="2D6959AC"/>
    <w:rsid w:val="2D8B63C8"/>
    <w:rsid w:val="2D910488"/>
    <w:rsid w:val="2DA27975"/>
    <w:rsid w:val="2DA41B08"/>
    <w:rsid w:val="2DA53E72"/>
    <w:rsid w:val="2DA86D89"/>
    <w:rsid w:val="2DC23DD1"/>
    <w:rsid w:val="2DEB290D"/>
    <w:rsid w:val="2DFF7FFC"/>
    <w:rsid w:val="2E080E1F"/>
    <w:rsid w:val="2E0A2B41"/>
    <w:rsid w:val="2E114AFB"/>
    <w:rsid w:val="2E1F7E2F"/>
    <w:rsid w:val="2E3E352D"/>
    <w:rsid w:val="2E4E18AB"/>
    <w:rsid w:val="2E624055"/>
    <w:rsid w:val="2E884DBD"/>
    <w:rsid w:val="2E894249"/>
    <w:rsid w:val="2E8951D1"/>
    <w:rsid w:val="2E8D60F4"/>
    <w:rsid w:val="2EC27BA3"/>
    <w:rsid w:val="2ECB6048"/>
    <w:rsid w:val="2ECE29F6"/>
    <w:rsid w:val="2ED84057"/>
    <w:rsid w:val="2EDA4EED"/>
    <w:rsid w:val="2EF24123"/>
    <w:rsid w:val="2F2458CF"/>
    <w:rsid w:val="2F2937B6"/>
    <w:rsid w:val="2F602231"/>
    <w:rsid w:val="2F683779"/>
    <w:rsid w:val="2F8F1DCC"/>
    <w:rsid w:val="2F98468B"/>
    <w:rsid w:val="2FAF440E"/>
    <w:rsid w:val="2FBD52BE"/>
    <w:rsid w:val="2FEB5531"/>
    <w:rsid w:val="300C0546"/>
    <w:rsid w:val="300E12F2"/>
    <w:rsid w:val="3016145D"/>
    <w:rsid w:val="30226B4B"/>
    <w:rsid w:val="30483802"/>
    <w:rsid w:val="3054606C"/>
    <w:rsid w:val="30546461"/>
    <w:rsid w:val="306D4C4E"/>
    <w:rsid w:val="30775E71"/>
    <w:rsid w:val="308921A0"/>
    <w:rsid w:val="309736D3"/>
    <w:rsid w:val="30A338CE"/>
    <w:rsid w:val="30AE0CC0"/>
    <w:rsid w:val="30B97129"/>
    <w:rsid w:val="30CB71E3"/>
    <w:rsid w:val="30E630B4"/>
    <w:rsid w:val="30FF2D93"/>
    <w:rsid w:val="310E74AC"/>
    <w:rsid w:val="311863BD"/>
    <w:rsid w:val="31321010"/>
    <w:rsid w:val="31383790"/>
    <w:rsid w:val="314078CF"/>
    <w:rsid w:val="31486001"/>
    <w:rsid w:val="316B64FA"/>
    <w:rsid w:val="31850CA5"/>
    <w:rsid w:val="31F4290D"/>
    <w:rsid w:val="321708A4"/>
    <w:rsid w:val="321A71AB"/>
    <w:rsid w:val="32353ACB"/>
    <w:rsid w:val="324777E8"/>
    <w:rsid w:val="3253763F"/>
    <w:rsid w:val="32655415"/>
    <w:rsid w:val="32676E8E"/>
    <w:rsid w:val="32741A1B"/>
    <w:rsid w:val="327C14AD"/>
    <w:rsid w:val="329809CF"/>
    <w:rsid w:val="32AE0FEC"/>
    <w:rsid w:val="32B36180"/>
    <w:rsid w:val="32B411C0"/>
    <w:rsid w:val="32D3412D"/>
    <w:rsid w:val="32DA4AA2"/>
    <w:rsid w:val="32E56AC1"/>
    <w:rsid w:val="330D3549"/>
    <w:rsid w:val="33136FC7"/>
    <w:rsid w:val="33215CC1"/>
    <w:rsid w:val="33245282"/>
    <w:rsid w:val="33274478"/>
    <w:rsid w:val="33433D97"/>
    <w:rsid w:val="33457C42"/>
    <w:rsid w:val="33473A00"/>
    <w:rsid w:val="334A7C4E"/>
    <w:rsid w:val="334B0167"/>
    <w:rsid w:val="334D13AA"/>
    <w:rsid w:val="3350577D"/>
    <w:rsid w:val="335758BF"/>
    <w:rsid w:val="3362433B"/>
    <w:rsid w:val="33674872"/>
    <w:rsid w:val="338D79C0"/>
    <w:rsid w:val="33A06705"/>
    <w:rsid w:val="33A819B6"/>
    <w:rsid w:val="33B74C4B"/>
    <w:rsid w:val="33C56746"/>
    <w:rsid w:val="33D92BA0"/>
    <w:rsid w:val="33E262A8"/>
    <w:rsid w:val="33E32825"/>
    <w:rsid w:val="34082AE3"/>
    <w:rsid w:val="341D4B99"/>
    <w:rsid w:val="342F42E4"/>
    <w:rsid w:val="3441360E"/>
    <w:rsid w:val="34440293"/>
    <w:rsid w:val="346277E7"/>
    <w:rsid w:val="346A0AC1"/>
    <w:rsid w:val="346A15B8"/>
    <w:rsid w:val="3478796F"/>
    <w:rsid w:val="3487316C"/>
    <w:rsid w:val="348C6C89"/>
    <w:rsid w:val="3498710C"/>
    <w:rsid w:val="349F69BC"/>
    <w:rsid w:val="34A664F0"/>
    <w:rsid w:val="34AC3CB0"/>
    <w:rsid w:val="34B10B8A"/>
    <w:rsid w:val="34B90B94"/>
    <w:rsid w:val="34C91645"/>
    <w:rsid w:val="34F339F8"/>
    <w:rsid w:val="34F62354"/>
    <w:rsid w:val="34F81B01"/>
    <w:rsid w:val="34FB5477"/>
    <w:rsid w:val="35020764"/>
    <w:rsid w:val="35073253"/>
    <w:rsid w:val="352C120D"/>
    <w:rsid w:val="353336F7"/>
    <w:rsid w:val="3547101B"/>
    <w:rsid w:val="354948F3"/>
    <w:rsid w:val="35550768"/>
    <w:rsid w:val="35655A62"/>
    <w:rsid w:val="35887450"/>
    <w:rsid w:val="35A428FB"/>
    <w:rsid w:val="35C826C3"/>
    <w:rsid w:val="35D02246"/>
    <w:rsid w:val="35E22743"/>
    <w:rsid w:val="35F5085E"/>
    <w:rsid w:val="35F90E8D"/>
    <w:rsid w:val="3612101F"/>
    <w:rsid w:val="363B3CAD"/>
    <w:rsid w:val="364B03CB"/>
    <w:rsid w:val="367244CE"/>
    <w:rsid w:val="36730100"/>
    <w:rsid w:val="368106FE"/>
    <w:rsid w:val="36A374CD"/>
    <w:rsid w:val="36A43635"/>
    <w:rsid w:val="36B97ADD"/>
    <w:rsid w:val="36BC714A"/>
    <w:rsid w:val="36D6068F"/>
    <w:rsid w:val="36D77766"/>
    <w:rsid w:val="36E0150E"/>
    <w:rsid w:val="36F12565"/>
    <w:rsid w:val="36F12CDB"/>
    <w:rsid w:val="36F86858"/>
    <w:rsid w:val="372B04E6"/>
    <w:rsid w:val="374A0AA6"/>
    <w:rsid w:val="37517D16"/>
    <w:rsid w:val="37554036"/>
    <w:rsid w:val="3758250C"/>
    <w:rsid w:val="376A6BD4"/>
    <w:rsid w:val="3776289F"/>
    <w:rsid w:val="37976071"/>
    <w:rsid w:val="379F0946"/>
    <w:rsid w:val="37A832AC"/>
    <w:rsid w:val="37A83DDA"/>
    <w:rsid w:val="37AA5DF4"/>
    <w:rsid w:val="37C02B01"/>
    <w:rsid w:val="37C9684A"/>
    <w:rsid w:val="37CF2F6C"/>
    <w:rsid w:val="37DD2B26"/>
    <w:rsid w:val="37EB2E8D"/>
    <w:rsid w:val="3801356E"/>
    <w:rsid w:val="38132511"/>
    <w:rsid w:val="381E16CF"/>
    <w:rsid w:val="383D54BB"/>
    <w:rsid w:val="384B4A75"/>
    <w:rsid w:val="384E76B0"/>
    <w:rsid w:val="38547ABE"/>
    <w:rsid w:val="3868400B"/>
    <w:rsid w:val="386E40A6"/>
    <w:rsid w:val="386F0186"/>
    <w:rsid w:val="387829CB"/>
    <w:rsid w:val="387F17BE"/>
    <w:rsid w:val="388275F0"/>
    <w:rsid w:val="3885411B"/>
    <w:rsid w:val="389D1999"/>
    <w:rsid w:val="38A65114"/>
    <w:rsid w:val="38AC5B4C"/>
    <w:rsid w:val="38AE25F6"/>
    <w:rsid w:val="38AE3672"/>
    <w:rsid w:val="38B17E17"/>
    <w:rsid w:val="38B4055C"/>
    <w:rsid w:val="38BF587F"/>
    <w:rsid w:val="38DA1551"/>
    <w:rsid w:val="38E0458C"/>
    <w:rsid w:val="38E37976"/>
    <w:rsid w:val="38E80E20"/>
    <w:rsid w:val="390A7F84"/>
    <w:rsid w:val="392E2EF8"/>
    <w:rsid w:val="395B74CB"/>
    <w:rsid w:val="39604F6B"/>
    <w:rsid w:val="396155C6"/>
    <w:rsid w:val="39793242"/>
    <w:rsid w:val="397B202E"/>
    <w:rsid w:val="399A5E03"/>
    <w:rsid w:val="399D7242"/>
    <w:rsid w:val="39A5407B"/>
    <w:rsid w:val="39B03208"/>
    <w:rsid w:val="39B5231B"/>
    <w:rsid w:val="39B71802"/>
    <w:rsid w:val="39D41706"/>
    <w:rsid w:val="39E54BD5"/>
    <w:rsid w:val="39F25803"/>
    <w:rsid w:val="3A0176FE"/>
    <w:rsid w:val="3A081B5F"/>
    <w:rsid w:val="3A1C6708"/>
    <w:rsid w:val="3A1E6FF8"/>
    <w:rsid w:val="3A22100D"/>
    <w:rsid w:val="3A305DF4"/>
    <w:rsid w:val="3A315334"/>
    <w:rsid w:val="3A3D18EE"/>
    <w:rsid w:val="3A463A68"/>
    <w:rsid w:val="3A692953"/>
    <w:rsid w:val="3A69474D"/>
    <w:rsid w:val="3A8A27FB"/>
    <w:rsid w:val="3AA27206"/>
    <w:rsid w:val="3AB84785"/>
    <w:rsid w:val="3AC63D0D"/>
    <w:rsid w:val="3ADA2753"/>
    <w:rsid w:val="3ADD1FEC"/>
    <w:rsid w:val="3AFD30FB"/>
    <w:rsid w:val="3B155C5C"/>
    <w:rsid w:val="3B1B7536"/>
    <w:rsid w:val="3B305506"/>
    <w:rsid w:val="3B556027"/>
    <w:rsid w:val="3B6235D8"/>
    <w:rsid w:val="3B6C410D"/>
    <w:rsid w:val="3B79243D"/>
    <w:rsid w:val="3B7C7C1F"/>
    <w:rsid w:val="3B844C05"/>
    <w:rsid w:val="3BA674E7"/>
    <w:rsid w:val="3BC46D08"/>
    <w:rsid w:val="3BD96F77"/>
    <w:rsid w:val="3BDF1D94"/>
    <w:rsid w:val="3BE757E7"/>
    <w:rsid w:val="3BF073F6"/>
    <w:rsid w:val="3BF7615D"/>
    <w:rsid w:val="3C024052"/>
    <w:rsid w:val="3C0E12F5"/>
    <w:rsid w:val="3C12622E"/>
    <w:rsid w:val="3C13415A"/>
    <w:rsid w:val="3C232975"/>
    <w:rsid w:val="3C2A2A29"/>
    <w:rsid w:val="3C420D4A"/>
    <w:rsid w:val="3C553E04"/>
    <w:rsid w:val="3C6743AF"/>
    <w:rsid w:val="3C9A4915"/>
    <w:rsid w:val="3CC43492"/>
    <w:rsid w:val="3CC571DC"/>
    <w:rsid w:val="3CC70F95"/>
    <w:rsid w:val="3CD13FDF"/>
    <w:rsid w:val="3CD327EC"/>
    <w:rsid w:val="3CD75B6B"/>
    <w:rsid w:val="3CD86286"/>
    <w:rsid w:val="3CED228F"/>
    <w:rsid w:val="3CF15267"/>
    <w:rsid w:val="3CFD76D7"/>
    <w:rsid w:val="3D311F70"/>
    <w:rsid w:val="3D373B94"/>
    <w:rsid w:val="3D3E0D3C"/>
    <w:rsid w:val="3D451C79"/>
    <w:rsid w:val="3D4E6F79"/>
    <w:rsid w:val="3D550658"/>
    <w:rsid w:val="3D5A7D0D"/>
    <w:rsid w:val="3D67725C"/>
    <w:rsid w:val="3D71351A"/>
    <w:rsid w:val="3D827051"/>
    <w:rsid w:val="3D9D690B"/>
    <w:rsid w:val="3DA92EC4"/>
    <w:rsid w:val="3DAB6E3A"/>
    <w:rsid w:val="3DC50054"/>
    <w:rsid w:val="3DC627CD"/>
    <w:rsid w:val="3DDB33FD"/>
    <w:rsid w:val="3DE90AE1"/>
    <w:rsid w:val="3E11344D"/>
    <w:rsid w:val="3E2C7844"/>
    <w:rsid w:val="3E2C7924"/>
    <w:rsid w:val="3E32696F"/>
    <w:rsid w:val="3E3A7756"/>
    <w:rsid w:val="3E545FBD"/>
    <w:rsid w:val="3E6A3416"/>
    <w:rsid w:val="3EB44463"/>
    <w:rsid w:val="3EB63280"/>
    <w:rsid w:val="3ED40106"/>
    <w:rsid w:val="3ED63990"/>
    <w:rsid w:val="3F03315B"/>
    <w:rsid w:val="3F152070"/>
    <w:rsid w:val="3F167130"/>
    <w:rsid w:val="3F2273BA"/>
    <w:rsid w:val="3F2444AD"/>
    <w:rsid w:val="3F2C52F0"/>
    <w:rsid w:val="3F3E6DD2"/>
    <w:rsid w:val="3F3F7E1C"/>
    <w:rsid w:val="3F4B2EFF"/>
    <w:rsid w:val="3F5C44BD"/>
    <w:rsid w:val="3F60343A"/>
    <w:rsid w:val="3F786988"/>
    <w:rsid w:val="3F9D0721"/>
    <w:rsid w:val="3FB50656"/>
    <w:rsid w:val="3FC45B90"/>
    <w:rsid w:val="3FD94F02"/>
    <w:rsid w:val="3FEC1377"/>
    <w:rsid w:val="3FF20B9D"/>
    <w:rsid w:val="3FFB1581"/>
    <w:rsid w:val="4001512C"/>
    <w:rsid w:val="4001677D"/>
    <w:rsid w:val="40061FE5"/>
    <w:rsid w:val="40303510"/>
    <w:rsid w:val="403F62E1"/>
    <w:rsid w:val="404B79F8"/>
    <w:rsid w:val="40580367"/>
    <w:rsid w:val="4063340D"/>
    <w:rsid w:val="407217E4"/>
    <w:rsid w:val="407E01FD"/>
    <w:rsid w:val="408627EB"/>
    <w:rsid w:val="408758A6"/>
    <w:rsid w:val="4088478B"/>
    <w:rsid w:val="408E5E7B"/>
    <w:rsid w:val="40AE44E3"/>
    <w:rsid w:val="40BC6B48"/>
    <w:rsid w:val="40E67037"/>
    <w:rsid w:val="40F30B62"/>
    <w:rsid w:val="41190D6E"/>
    <w:rsid w:val="411E0051"/>
    <w:rsid w:val="412D38F6"/>
    <w:rsid w:val="413D7BA8"/>
    <w:rsid w:val="414B1ABB"/>
    <w:rsid w:val="414F6B3C"/>
    <w:rsid w:val="41526B64"/>
    <w:rsid w:val="41675F8F"/>
    <w:rsid w:val="416A1DFD"/>
    <w:rsid w:val="416D1BF0"/>
    <w:rsid w:val="41735459"/>
    <w:rsid w:val="41A07B21"/>
    <w:rsid w:val="41BB0BAE"/>
    <w:rsid w:val="41C85A6F"/>
    <w:rsid w:val="41CA19A3"/>
    <w:rsid w:val="41DD0B24"/>
    <w:rsid w:val="41E9658A"/>
    <w:rsid w:val="41EA3CE1"/>
    <w:rsid w:val="41EC3153"/>
    <w:rsid w:val="41F320F5"/>
    <w:rsid w:val="42274E4D"/>
    <w:rsid w:val="42425D13"/>
    <w:rsid w:val="424A0617"/>
    <w:rsid w:val="42521512"/>
    <w:rsid w:val="425A2B86"/>
    <w:rsid w:val="425B7C8B"/>
    <w:rsid w:val="425D25F7"/>
    <w:rsid w:val="426A6A0C"/>
    <w:rsid w:val="42884F34"/>
    <w:rsid w:val="428A5679"/>
    <w:rsid w:val="428E5875"/>
    <w:rsid w:val="42957651"/>
    <w:rsid w:val="42A121E7"/>
    <w:rsid w:val="42C36458"/>
    <w:rsid w:val="42C64D86"/>
    <w:rsid w:val="42E549D7"/>
    <w:rsid w:val="42EA6F82"/>
    <w:rsid w:val="42EC2BB7"/>
    <w:rsid w:val="42EF2F58"/>
    <w:rsid w:val="42F158B2"/>
    <w:rsid w:val="42F75C15"/>
    <w:rsid w:val="439052B1"/>
    <w:rsid w:val="43A139EF"/>
    <w:rsid w:val="43A2595E"/>
    <w:rsid w:val="43A3570C"/>
    <w:rsid w:val="43D626DC"/>
    <w:rsid w:val="43F02B4B"/>
    <w:rsid w:val="44290ED5"/>
    <w:rsid w:val="443722F3"/>
    <w:rsid w:val="44380293"/>
    <w:rsid w:val="446077EA"/>
    <w:rsid w:val="44687169"/>
    <w:rsid w:val="446A4688"/>
    <w:rsid w:val="44B54BC7"/>
    <w:rsid w:val="44BA4F62"/>
    <w:rsid w:val="44C30C7D"/>
    <w:rsid w:val="44C37C68"/>
    <w:rsid w:val="44C649A4"/>
    <w:rsid w:val="44C93D05"/>
    <w:rsid w:val="44EA2EE3"/>
    <w:rsid w:val="450214B8"/>
    <w:rsid w:val="450C5713"/>
    <w:rsid w:val="45195D5C"/>
    <w:rsid w:val="45224328"/>
    <w:rsid w:val="452627E2"/>
    <w:rsid w:val="452E1696"/>
    <w:rsid w:val="45375398"/>
    <w:rsid w:val="454076ED"/>
    <w:rsid w:val="454659ED"/>
    <w:rsid w:val="45563F7F"/>
    <w:rsid w:val="456357D5"/>
    <w:rsid w:val="45691C24"/>
    <w:rsid w:val="457C4676"/>
    <w:rsid w:val="45937483"/>
    <w:rsid w:val="45BB3D67"/>
    <w:rsid w:val="45CD22EF"/>
    <w:rsid w:val="45D870F5"/>
    <w:rsid w:val="45F67C81"/>
    <w:rsid w:val="460A659F"/>
    <w:rsid w:val="4613720A"/>
    <w:rsid w:val="461D17D8"/>
    <w:rsid w:val="46203691"/>
    <w:rsid w:val="464861B7"/>
    <w:rsid w:val="465810C1"/>
    <w:rsid w:val="4669507C"/>
    <w:rsid w:val="467C2DCF"/>
    <w:rsid w:val="468E3448"/>
    <w:rsid w:val="469E7CDB"/>
    <w:rsid w:val="46A02F65"/>
    <w:rsid w:val="46C85CA8"/>
    <w:rsid w:val="46C87FF5"/>
    <w:rsid w:val="46D24E96"/>
    <w:rsid w:val="46D41E76"/>
    <w:rsid w:val="46DC75FC"/>
    <w:rsid w:val="46FF32EA"/>
    <w:rsid w:val="46FF5899"/>
    <w:rsid w:val="47094169"/>
    <w:rsid w:val="470D5A07"/>
    <w:rsid w:val="47103C6C"/>
    <w:rsid w:val="47122729"/>
    <w:rsid w:val="47134FE8"/>
    <w:rsid w:val="47841241"/>
    <w:rsid w:val="478915DC"/>
    <w:rsid w:val="478A52AA"/>
    <w:rsid w:val="479223B1"/>
    <w:rsid w:val="47AE4A2F"/>
    <w:rsid w:val="47AE4A73"/>
    <w:rsid w:val="47BA52F9"/>
    <w:rsid w:val="47DF6FCF"/>
    <w:rsid w:val="47E677C6"/>
    <w:rsid w:val="47EA5D49"/>
    <w:rsid w:val="480F476A"/>
    <w:rsid w:val="482473CB"/>
    <w:rsid w:val="48344E78"/>
    <w:rsid w:val="48422F71"/>
    <w:rsid w:val="485B5E90"/>
    <w:rsid w:val="486E0728"/>
    <w:rsid w:val="486F34EB"/>
    <w:rsid w:val="48702C6B"/>
    <w:rsid w:val="487E3B47"/>
    <w:rsid w:val="48846B8C"/>
    <w:rsid w:val="48847F4B"/>
    <w:rsid w:val="489E4206"/>
    <w:rsid w:val="48A94EE4"/>
    <w:rsid w:val="48AF2588"/>
    <w:rsid w:val="48B04636"/>
    <w:rsid w:val="48F143F3"/>
    <w:rsid w:val="48F329B4"/>
    <w:rsid w:val="48FF5824"/>
    <w:rsid w:val="49033566"/>
    <w:rsid w:val="49110799"/>
    <w:rsid w:val="49146D8F"/>
    <w:rsid w:val="491C0CCF"/>
    <w:rsid w:val="491D7C19"/>
    <w:rsid w:val="492C1F21"/>
    <w:rsid w:val="4931055C"/>
    <w:rsid w:val="49416051"/>
    <w:rsid w:val="495C7C35"/>
    <w:rsid w:val="4967780B"/>
    <w:rsid w:val="49713436"/>
    <w:rsid w:val="497D2F92"/>
    <w:rsid w:val="498A0E55"/>
    <w:rsid w:val="498D3F72"/>
    <w:rsid w:val="49A56CE5"/>
    <w:rsid w:val="49B93C25"/>
    <w:rsid w:val="49BD0D36"/>
    <w:rsid w:val="49C11FE5"/>
    <w:rsid w:val="49CE0996"/>
    <w:rsid w:val="49CE4CB8"/>
    <w:rsid w:val="49DB7DCC"/>
    <w:rsid w:val="49E7677A"/>
    <w:rsid w:val="49EC6C94"/>
    <w:rsid w:val="49ED54FE"/>
    <w:rsid w:val="4A245C00"/>
    <w:rsid w:val="4A254BAB"/>
    <w:rsid w:val="4A2F2139"/>
    <w:rsid w:val="4A383130"/>
    <w:rsid w:val="4A404346"/>
    <w:rsid w:val="4A407BDE"/>
    <w:rsid w:val="4A443E36"/>
    <w:rsid w:val="4A5D0EB9"/>
    <w:rsid w:val="4A630034"/>
    <w:rsid w:val="4A6A6D04"/>
    <w:rsid w:val="4A752442"/>
    <w:rsid w:val="4A790F37"/>
    <w:rsid w:val="4A7F0C35"/>
    <w:rsid w:val="4A9E3ADB"/>
    <w:rsid w:val="4AAC5537"/>
    <w:rsid w:val="4ABD14F2"/>
    <w:rsid w:val="4AC10B3A"/>
    <w:rsid w:val="4ADE262A"/>
    <w:rsid w:val="4AE64EED"/>
    <w:rsid w:val="4AE66C9B"/>
    <w:rsid w:val="4AEF016C"/>
    <w:rsid w:val="4B160B81"/>
    <w:rsid w:val="4B443A07"/>
    <w:rsid w:val="4B5E1DF0"/>
    <w:rsid w:val="4B6202EC"/>
    <w:rsid w:val="4B8D35BB"/>
    <w:rsid w:val="4B944949"/>
    <w:rsid w:val="4BAF4C43"/>
    <w:rsid w:val="4BC55115"/>
    <w:rsid w:val="4BCA4161"/>
    <w:rsid w:val="4BCE772F"/>
    <w:rsid w:val="4BD65489"/>
    <w:rsid w:val="4BD74836"/>
    <w:rsid w:val="4BE60F1D"/>
    <w:rsid w:val="4BF75BC1"/>
    <w:rsid w:val="4BFC0B66"/>
    <w:rsid w:val="4C061D1C"/>
    <w:rsid w:val="4C12322A"/>
    <w:rsid w:val="4C2109FA"/>
    <w:rsid w:val="4C323D00"/>
    <w:rsid w:val="4C350CC1"/>
    <w:rsid w:val="4C3B2B35"/>
    <w:rsid w:val="4C3E6663"/>
    <w:rsid w:val="4C3F5C4F"/>
    <w:rsid w:val="4C3F769C"/>
    <w:rsid w:val="4C526190"/>
    <w:rsid w:val="4C64077B"/>
    <w:rsid w:val="4C7465B8"/>
    <w:rsid w:val="4C7E1155"/>
    <w:rsid w:val="4C9340F1"/>
    <w:rsid w:val="4C96305C"/>
    <w:rsid w:val="4CA553D4"/>
    <w:rsid w:val="4CB1496B"/>
    <w:rsid w:val="4CC37109"/>
    <w:rsid w:val="4CCB089B"/>
    <w:rsid w:val="4CD73262"/>
    <w:rsid w:val="4CDE6B02"/>
    <w:rsid w:val="4CE23492"/>
    <w:rsid w:val="4CE27132"/>
    <w:rsid w:val="4CE4661F"/>
    <w:rsid w:val="4CE65F64"/>
    <w:rsid w:val="4CE721AF"/>
    <w:rsid w:val="4CE808BC"/>
    <w:rsid w:val="4CF03E01"/>
    <w:rsid w:val="4CF40011"/>
    <w:rsid w:val="4CF84A64"/>
    <w:rsid w:val="4CFA1F6F"/>
    <w:rsid w:val="4CFD207A"/>
    <w:rsid w:val="4D2770F7"/>
    <w:rsid w:val="4D3F61E0"/>
    <w:rsid w:val="4D483ED9"/>
    <w:rsid w:val="4D573D65"/>
    <w:rsid w:val="4D624F91"/>
    <w:rsid w:val="4D6A6214"/>
    <w:rsid w:val="4D7754BD"/>
    <w:rsid w:val="4DA43B2A"/>
    <w:rsid w:val="4DC64B62"/>
    <w:rsid w:val="4DDC20DF"/>
    <w:rsid w:val="4DE4148C"/>
    <w:rsid w:val="4DF606F7"/>
    <w:rsid w:val="4E092CA1"/>
    <w:rsid w:val="4E0E53DC"/>
    <w:rsid w:val="4E1A51C4"/>
    <w:rsid w:val="4E2F0959"/>
    <w:rsid w:val="4E52698B"/>
    <w:rsid w:val="4E5932DD"/>
    <w:rsid w:val="4E602135"/>
    <w:rsid w:val="4E867A13"/>
    <w:rsid w:val="4E870F87"/>
    <w:rsid w:val="4EAD1EB8"/>
    <w:rsid w:val="4EC37353"/>
    <w:rsid w:val="4EC55AC0"/>
    <w:rsid w:val="4ECF63E8"/>
    <w:rsid w:val="4ED1083B"/>
    <w:rsid w:val="4F070090"/>
    <w:rsid w:val="4F2A3CC5"/>
    <w:rsid w:val="4F2C6C47"/>
    <w:rsid w:val="4F3924F3"/>
    <w:rsid w:val="4F400944"/>
    <w:rsid w:val="4F4016C2"/>
    <w:rsid w:val="4F441285"/>
    <w:rsid w:val="4F4B5457"/>
    <w:rsid w:val="4F5B7DA6"/>
    <w:rsid w:val="4F637BFA"/>
    <w:rsid w:val="4F6E25B7"/>
    <w:rsid w:val="4F7800DE"/>
    <w:rsid w:val="4F8160A7"/>
    <w:rsid w:val="4F834F3D"/>
    <w:rsid w:val="4F952A3E"/>
    <w:rsid w:val="4F974F08"/>
    <w:rsid w:val="4FA5729F"/>
    <w:rsid w:val="4FBD2B2B"/>
    <w:rsid w:val="4FC85113"/>
    <w:rsid w:val="4FCA47FC"/>
    <w:rsid w:val="4FD903D5"/>
    <w:rsid w:val="4FDA48F5"/>
    <w:rsid w:val="4FDC1EC5"/>
    <w:rsid w:val="4FE87396"/>
    <w:rsid w:val="4FF65F27"/>
    <w:rsid w:val="4FF9075D"/>
    <w:rsid w:val="50063557"/>
    <w:rsid w:val="50113B22"/>
    <w:rsid w:val="50196DC7"/>
    <w:rsid w:val="50217D58"/>
    <w:rsid w:val="503009B9"/>
    <w:rsid w:val="503A516F"/>
    <w:rsid w:val="504F7091"/>
    <w:rsid w:val="50681761"/>
    <w:rsid w:val="506E7DF4"/>
    <w:rsid w:val="50813221"/>
    <w:rsid w:val="5086682B"/>
    <w:rsid w:val="509E1F4E"/>
    <w:rsid w:val="50A63CC5"/>
    <w:rsid w:val="50B60EBE"/>
    <w:rsid w:val="50BB11D4"/>
    <w:rsid w:val="50BE6B0C"/>
    <w:rsid w:val="50CC7D6D"/>
    <w:rsid w:val="50DB410A"/>
    <w:rsid w:val="50E00F96"/>
    <w:rsid w:val="50F933F5"/>
    <w:rsid w:val="50FB43B0"/>
    <w:rsid w:val="511B254C"/>
    <w:rsid w:val="513242BC"/>
    <w:rsid w:val="51390638"/>
    <w:rsid w:val="514A46EB"/>
    <w:rsid w:val="514F6C40"/>
    <w:rsid w:val="515A27EC"/>
    <w:rsid w:val="51624BA2"/>
    <w:rsid w:val="51672E4B"/>
    <w:rsid w:val="518E1E3B"/>
    <w:rsid w:val="51B72C78"/>
    <w:rsid w:val="51CC0424"/>
    <w:rsid w:val="51E6211E"/>
    <w:rsid w:val="51E71124"/>
    <w:rsid w:val="51FF5973"/>
    <w:rsid w:val="52057C01"/>
    <w:rsid w:val="521D07F2"/>
    <w:rsid w:val="523F0E86"/>
    <w:rsid w:val="52434790"/>
    <w:rsid w:val="524713A9"/>
    <w:rsid w:val="524B05D7"/>
    <w:rsid w:val="524E5126"/>
    <w:rsid w:val="52545E12"/>
    <w:rsid w:val="52586EFC"/>
    <w:rsid w:val="525E1825"/>
    <w:rsid w:val="526C45F2"/>
    <w:rsid w:val="5277440D"/>
    <w:rsid w:val="52831274"/>
    <w:rsid w:val="528F7C18"/>
    <w:rsid w:val="52C678E6"/>
    <w:rsid w:val="52D36F29"/>
    <w:rsid w:val="52E13C96"/>
    <w:rsid w:val="52E141EC"/>
    <w:rsid w:val="52FF10B8"/>
    <w:rsid w:val="53054ACF"/>
    <w:rsid w:val="530A63A1"/>
    <w:rsid w:val="531D70C2"/>
    <w:rsid w:val="53267C63"/>
    <w:rsid w:val="532800C1"/>
    <w:rsid w:val="533501BC"/>
    <w:rsid w:val="53400F13"/>
    <w:rsid w:val="534C3D5B"/>
    <w:rsid w:val="53584D43"/>
    <w:rsid w:val="53620BF3"/>
    <w:rsid w:val="537469DF"/>
    <w:rsid w:val="537D5CC3"/>
    <w:rsid w:val="53894668"/>
    <w:rsid w:val="5394059D"/>
    <w:rsid w:val="53A87AD2"/>
    <w:rsid w:val="53B611D5"/>
    <w:rsid w:val="53BA0CC5"/>
    <w:rsid w:val="53C13AC5"/>
    <w:rsid w:val="53D0274A"/>
    <w:rsid w:val="53FE3036"/>
    <w:rsid w:val="54060DA8"/>
    <w:rsid w:val="541106DC"/>
    <w:rsid w:val="5418538F"/>
    <w:rsid w:val="542C1980"/>
    <w:rsid w:val="542E5B59"/>
    <w:rsid w:val="54384B95"/>
    <w:rsid w:val="54391F46"/>
    <w:rsid w:val="54395845"/>
    <w:rsid w:val="54403C12"/>
    <w:rsid w:val="544B7B6F"/>
    <w:rsid w:val="546F2427"/>
    <w:rsid w:val="54781FE5"/>
    <w:rsid w:val="547A48F8"/>
    <w:rsid w:val="547F393C"/>
    <w:rsid w:val="5489369C"/>
    <w:rsid w:val="549F3C42"/>
    <w:rsid w:val="54A733FA"/>
    <w:rsid w:val="54AD10DF"/>
    <w:rsid w:val="54B46D2D"/>
    <w:rsid w:val="54B54780"/>
    <w:rsid w:val="54E72208"/>
    <w:rsid w:val="54F71AA5"/>
    <w:rsid w:val="551239A9"/>
    <w:rsid w:val="551E0F92"/>
    <w:rsid w:val="55207F15"/>
    <w:rsid w:val="55254864"/>
    <w:rsid w:val="55300510"/>
    <w:rsid w:val="55373E52"/>
    <w:rsid w:val="55404A27"/>
    <w:rsid w:val="55450A62"/>
    <w:rsid w:val="554E6B3B"/>
    <w:rsid w:val="55545149"/>
    <w:rsid w:val="556D351B"/>
    <w:rsid w:val="55A6413A"/>
    <w:rsid w:val="55B74BA2"/>
    <w:rsid w:val="55BE764A"/>
    <w:rsid w:val="55DA38A0"/>
    <w:rsid w:val="55DB2BC7"/>
    <w:rsid w:val="55DD7ADA"/>
    <w:rsid w:val="55DE688E"/>
    <w:rsid w:val="55E95892"/>
    <w:rsid w:val="55F837AB"/>
    <w:rsid w:val="55FF6348"/>
    <w:rsid w:val="56156D9A"/>
    <w:rsid w:val="561E1FC4"/>
    <w:rsid w:val="562005EE"/>
    <w:rsid w:val="562B4DF0"/>
    <w:rsid w:val="562C1C22"/>
    <w:rsid w:val="56384123"/>
    <w:rsid w:val="56573FB8"/>
    <w:rsid w:val="565C17AF"/>
    <w:rsid w:val="56813D1C"/>
    <w:rsid w:val="56A95CAE"/>
    <w:rsid w:val="56BC35CB"/>
    <w:rsid w:val="56D35BC9"/>
    <w:rsid w:val="56EB3BF3"/>
    <w:rsid w:val="56EB5FA8"/>
    <w:rsid w:val="56ED7603"/>
    <w:rsid w:val="56EE0C86"/>
    <w:rsid w:val="56FB2B71"/>
    <w:rsid w:val="570B1838"/>
    <w:rsid w:val="5714693E"/>
    <w:rsid w:val="571F6310"/>
    <w:rsid w:val="574B42C1"/>
    <w:rsid w:val="57612B27"/>
    <w:rsid w:val="577A690A"/>
    <w:rsid w:val="578C57D7"/>
    <w:rsid w:val="57945A0B"/>
    <w:rsid w:val="57C50AF3"/>
    <w:rsid w:val="57C85F13"/>
    <w:rsid w:val="57D01D4E"/>
    <w:rsid w:val="57D51636"/>
    <w:rsid w:val="57D81AF0"/>
    <w:rsid w:val="57D91275"/>
    <w:rsid w:val="57D91936"/>
    <w:rsid w:val="57EA2E86"/>
    <w:rsid w:val="57EA34F6"/>
    <w:rsid w:val="57F56770"/>
    <w:rsid w:val="57F81DBC"/>
    <w:rsid w:val="58022C3B"/>
    <w:rsid w:val="58093F64"/>
    <w:rsid w:val="580B5DD1"/>
    <w:rsid w:val="580E15DF"/>
    <w:rsid w:val="58122A09"/>
    <w:rsid w:val="58124D0C"/>
    <w:rsid w:val="581C721E"/>
    <w:rsid w:val="581E2EB9"/>
    <w:rsid w:val="582D20D8"/>
    <w:rsid w:val="58360128"/>
    <w:rsid w:val="5838665C"/>
    <w:rsid w:val="583F79EB"/>
    <w:rsid w:val="58411738"/>
    <w:rsid w:val="58492225"/>
    <w:rsid w:val="5850435D"/>
    <w:rsid w:val="586631C9"/>
    <w:rsid w:val="587753D7"/>
    <w:rsid w:val="58840FA9"/>
    <w:rsid w:val="588B70D4"/>
    <w:rsid w:val="58A253FD"/>
    <w:rsid w:val="58AD791B"/>
    <w:rsid w:val="58C107AA"/>
    <w:rsid w:val="58E94309"/>
    <w:rsid w:val="58EA26B2"/>
    <w:rsid w:val="59030A5A"/>
    <w:rsid w:val="59193140"/>
    <w:rsid w:val="591D6F59"/>
    <w:rsid w:val="591F781C"/>
    <w:rsid w:val="59253085"/>
    <w:rsid w:val="5927061C"/>
    <w:rsid w:val="59272B94"/>
    <w:rsid w:val="592F6C0A"/>
    <w:rsid w:val="593E7483"/>
    <w:rsid w:val="59462432"/>
    <w:rsid w:val="5950323B"/>
    <w:rsid w:val="5954396A"/>
    <w:rsid w:val="596653A1"/>
    <w:rsid w:val="597731B4"/>
    <w:rsid w:val="5980023B"/>
    <w:rsid w:val="59943D66"/>
    <w:rsid w:val="599B6EA3"/>
    <w:rsid w:val="59B57AB7"/>
    <w:rsid w:val="59BC506B"/>
    <w:rsid w:val="59C358E6"/>
    <w:rsid w:val="59EA1BD8"/>
    <w:rsid w:val="5A04713E"/>
    <w:rsid w:val="5A126077"/>
    <w:rsid w:val="5A1C6CC1"/>
    <w:rsid w:val="5A274734"/>
    <w:rsid w:val="5A2F4FBC"/>
    <w:rsid w:val="5A4F1A6A"/>
    <w:rsid w:val="5A551E5E"/>
    <w:rsid w:val="5A6035A8"/>
    <w:rsid w:val="5A634CA9"/>
    <w:rsid w:val="5A64198B"/>
    <w:rsid w:val="5A6574B1"/>
    <w:rsid w:val="5A7A2F5C"/>
    <w:rsid w:val="5A932270"/>
    <w:rsid w:val="5A9B3800"/>
    <w:rsid w:val="5AB33AC9"/>
    <w:rsid w:val="5AB4694A"/>
    <w:rsid w:val="5ABB3A1A"/>
    <w:rsid w:val="5ABD3779"/>
    <w:rsid w:val="5AC91E16"/>
    <w:rsid w:val="5AC95C92"/>
    <w:rsid w:val="5ADC643A"/>
    <w:rsid w:val="5AE32816"/>
    <w:rsid w:val="5AED347E"/>
    <w:rsid w:val="5AF6161A"/>
    <w:rsid w:val="5B026CF9"/>
    <w:rsid w:val="5B0B6457"/>
    <w:rsid w:val="5B1540FA"/>
    <w:rsid w:val="5B1B6FE3"/>
    <w:rsid w:val="5B2260AC"/>
    <w:rsid w:val="5B250E62"/>
    <w:rsid w:val="5B3C2897"/>
    <w:rsid w:val="5B3F4618"/>
    <w:rsid w:val="5B422855"/>
    <w:rsid w:val="5B5C1037"/>
    <w:rsid w:val="5B721E85"/>
    <w:rsid w:val="5B750232"/>
    <w:rsid w:val="5B75159A"/>
    <w:rsid w:val="5BA67D81"/>
    <w:rsid w:val="5BB9542A"/>
    <w:rsid w:val="5BC664DB"/>
    <w:rsid w:val="5BC9245E"/>
    <w:rsid w:val="5BCA0B6E"/>
    <w:rsid w:val="5BD3501A"/>
    <w:rsid w:val="5BEF797A"/>
    <w:rsid w:val="5BF61575"/>
    <w:rsid w:val="5C0034D2"/>
    <w:rsid w:val="5C08561D"/>
    <w:rsid w:val="5C1D6295"/>
    <w:rsid w:val="5C25744E"/>
    <w:rsid w:val="5C400C2B"/>
    <w:rsid w:val="5C423F4D"/>
    <w:rsid w:val="5C45759A"/>
    <w:rsid w:val="5C4F4A93"/>
    <w:rsid w:val="5C6309B0"/>
    <w:rsid w:val="5C652F99"/>
    <w:rsid w:val="5C8304B2"/>
    <w:rsid w:val="5C886DDE"/>
    <w:rsid w:val="5C9D1184"/>
    <w:rsid w:val="5CA30425"/>
    <w:rsid w:val="5CAA00FA"/>
    <w:rsid w:val="5CB4594C"/>
    <w:rsid w:val="5CCE35AA"/>
    <w:rsid w:val="5CD0670B"/>
    <w:rsid w:val="5CD211DE"/>
    <w:rsid w:val="5D03277F"/>
    <w:rsid w:val="5D3F2C48"/>
    <w:rsid w:val="5D52375F"/>
    <w:rsid w:val="5D55654F"/>
    <w:rsid w:val="5D576A54"/>
    <w:rsid w:val="5D6905BD"/>
    <w:rsid w:val="5D7021DA"/>
    <w:rsid w:val="5D771A24"/>
    <w:rsid w:val="5D926A87"/>
    <w:rsid w:val="5D9E7D6F"/>
    <w:rsid w:val="5D9F5DCE"/>
    <w:rsid w:val="5DB22A0D"/>
    <w:rsid w:val="5DB537EA"/>
    <w:rsid w:val="5DB94C4C"/>
    <w:rsid w:val="5DDC6A46"/>
    <w:rsid w:val="5DEA03F9"/>
    <w:rsid w:val="5DEA2710"/>
    <w:rsid w:val="5DF4292A"/>
    <w:rsid w:val="5DF862C4"/>
    <w:rsid w:val="5E100230"/>
    <w:rsid w:val="5E145476"/>
    <w:rsid w:val="5E1A368B"/>
    <w:rsid w:val="5E497F6A"/>
    <w:rsid w:val="5E501BC8"/>
    <w:rsid w:val="5E5F29B8"/>
    <w:rsid w:val="5E6700EC"/>
    <w:rsid w:val="5E6E2F63"/>
    <w:rsid w:val="5E7C66A5"/>
    <w:rsid w:val="5E7D7BF5"/>
    <w:rsid w:val="5E8343A9"/>
    <w:rsid w:val="5E8440F0"/>
    <w:rsid w:val="5E897C12"/>
    <w:rsid w:val="5E941F0C"/>
    <w:rsid w:val="5EB23EA2"/>
    <w:rsid w:val="5EC167BC"/>
    <w:rsid w:val="5F08322C"/>
    <w:rsid w:val="5F1C2834"/>
    <w:rsid w:val="5F492843"/>
    <w:rsid w:val="5F5D4BFA"/>
    <w:rsid w:val="5F793BD8"/>
    <w:rsid w:val="5F805DCA"/>
    <w:rsid w:val="5F8B1768"/>
    <w:rsid w:val="5FB014FA"/>
    <w:rsid w:val="5FBF6F73"/>
    <w:rsid w:val="5FCB43BC"/>
    <w:rsid w:val="5FD03052"/>
    <w:rsid w:val="5FD21AAD"/>
    <w:rsid w:val="5FD2383A"/>
    <w:rsid w:val="5FD6527D"/>
    <w:rsid w:val="5FDF2D5A"/>
    <w:rsid w:val="601A26A7"/>
    <w:rsid w:val="6023084E"/>
    <w:rsid w:val="602D14C4"/>
    <w:rsid w:val="60437E48"/>
    <w:rsid w:val="609509C2"/>
    <w:rsid w:val="60A35164"/>
    <w:rsid w:val="60AC4BFA"/>
    <w:rsid w:val="60B67654"/>
    <w:rsid w:val="60C14B50"/>
    <w:rsid w:val="60E80562"/>
    <w:rsid w:val="60FE42A0"/>
    <w:rsid w:val="61250687"/>
    <w:rsid w:val="6129748A"/>
    <w:rsid w:val="61377BC5"/>
    <w:rsid w:val="614A0657"/>
    <w:rsid w:val="61706E67"/>
    <w:rsid w:val="617A505E"/>
    <w:rsid w:val="618714DB"/>
    <w:rsid w:val="618B2FDE"/>
    <w:rsid w:val="619A4A7D"/>
    <w:rsid w:val="619F405B"/>
    <w:rsid w:val="61A905CB"/>
    <w:rsid w:val="61C56271"/>
    <w:rsid w:val="61CD767D"/>
    <w:rsid w:val="61CF6391"/>
    <w:rsid w:val="61D90741"/>
    <w:rsid w:val="61DD3D9D"/>
    <w:rsid w:val="62122E52"/>
    <w:rsid w:val="62233B87"/>
    <w:rsid w:val="62247372"/>
    <w:rsid w:val="62307892"/>
    <w:rsid w:val="62473FC5"/>
    <w:rsid w:val="625A6BE2"/>
    <w:rsid w:val="625D4F42"/>
    <w:rsid w:val="62611A1F"/>
    <w:rsid w:val="626A77C0"/>
    <w:rsid w:val="626B7BBE"/>
    <w:rsid w:val="62A536DC"/>
    <w:rsid w:val="62B578E8"/>
    <w:rsid w:val="62B81964"/>
    <w:rsid w:val="62B875E0"/>
    <w:rsid w:val="62BB0AA0"/>
    <w:rsid w:val="62C47889"/>
    <w:rsid w:val="62CF191B"/>
    <w:rsid w:val="62D358FF"/>
    <w:rsid w:val="62DA2F20"/>
    <w:rsid w:val="62DA57D1"/>
    <w:rsid w:val="62F31875"/>
    <w:rsid w:val="63220635"/>
    <w:rsid w:val="632E6FDA"/>
    <w:rsid w:val="634D7E0A"/>
    <w:rsid w:val="6364629F"/>
    <w:rsid w:val="63862972"/>
    <w:rsid w:val="638A3B44"/>
    <w:rsid w:val="6391635C"/>
    <w:rsid w:val="63952BB5"/>
    <w:rsid w:val="639D7B83"/>
    <w:rsid w:val="63A3313D"/>
    <w:rsid w:val="63AA6F09"/>
    <w:rsid w:val="63B23767"/>
    <w:rsid w:val="63BE2D85"/>
    <w:rsid w:val="63C92265"/>
    <w:rsid w:val="63EA74B0"/>
    <w:rsid w:val="63EC02FC"/>
    <w:rsid w:val="63F37528"/>
    <w:rsid w:val="63FD3A36"/>
    <w:rsid w:val="64182784"/>
    <w:rsid w:val="641E730E"/>
    <w:rsid w:val="643169FB"/>
    <w:rsid w:val="64332C17"/>
    <w:rsid w:val="64337678"/>
    <w:rsid w:val="643F4F39"/>
    <w:rsid w:val="64437D18"/>
    <w:rsid w:val="64487C27"/>
    <w:rsid w:val="64506FC2"/>
    <w:rsid w:val="645D479C"/>
    <w:rsid w:val="6469690A"/>
    <w:rsid w:val="6477050C"/>
    <w:rsid w:val="649524E9"/>
    <w:rsid w:val="64A156D8"/>
    <w:rsid w:val="64A55079"/>
    <w:rsid w:val="64AA4347"/>
    <w:rsid w:val="64C942B3"/>
    <w:rsid w:val="64DA2213"/>
    <w:rsid w:val="65081760"/>
    <w:rsid w:val="65166247"/>
    <w:rsid w:val="652D7852"/>
    <w:rsid w:val="65302769"/>
    <w:rsid w:val="653D1756"/>
    <w:rsid w:val="65472065"/>
    <w:rsid w:val="65530F79"/>
    <w:rsid w:val="656B50AB"/>
    <w:rsid w:val="6593384B"/>
    <w:rsid w:val="6596083B"/>
    <w:rsid w:val="6597728E"/>
    <w:rsid w:val="659C7FAC"/>
    <w:rsid w:val="659D21F5"/>
    <w:rsid w:val="65A75455"/>
    <w:rsid w:val="65B066E0"/>
    <w:rsid w:val="65BE65F0"/>
    <w:rsid w:val="65C23A09"/>
    <w:rsid w:val="65CD2ADA"/>
    <w:rsid w:val="65CE15A8"/>
    <w:rsid w:val="65D46E83"/>
    <w:rsid w:val="65F4310D"/>
    <w:rsid w:val="66054725"/>
    <w:rsid w:val="660F63D6"/>
    <w:rsid w:val="6612673F"/>
    <w:rsid w:val="66173FF3"/>
    <w:rsid w:val="66453FF9"/>
    <w:rsid w:val="66576AC0"/>
    <w:rsid w:val="66583ECE"/>
    <w:rsid w:val="665C5260"/>
    <w:rsid w:val="666B2809"/>
    <w:rsid w:val="667012A6"/>
    <w:rsid w:val="669714B1"/>
    <w:rsid w:val="66A52EBE"/>
    <w:rsid w:val="66BF74EB"/>
    <w:rsid w:val="66C269EC"/>
    <w:rsid w:val="66CD4D5B"/>
    <w:rsid w:val="66D86815"/>
    <w:rsid w:val="66E859DE"/>
    <w:rsid w:val="67237B54"/>
    <w:rsid w:val="6734188A"/>
    <w:rsid w:val="67356846"/>
    <w:rsid w:val="67360290"/>
    <w:rsid w:val="6745739C"/>
    <w:rsid w:val="675A5351"/>
    <w:rsid w:val="676D572B"/>
    <w:rsid w:val="6773029D"/>
    <w:rsid w:val="67753429"/>
    <w:rsid w:val="677A4146"/>
    <w:rsid w:val="67814598"/>
    <w:rsid w:val="6781748B"/>
    <w:rsid w:val="67915B92"/>
    <w:rsid w:val="67C9543B"/>
    <w:rsid w:val="67ED35AF"/>
    <w:rsid w:val="67FA4E23"/>
    <w:rsid w:val="680159C4"/>
    <w:rsid w:val="680553EE"/>
    <w:rsid w:val="680C5410"/>
    <w:rsid w:val="680D7B21"/>
    <w:rsid w:val="68325C2D"/>
    <w:rsid w:val="683C39FE"/>
    <w:rsid w:val="687F727E"/>
    <w:rsid w:val="68817386"/>
    <w:rsid w:val="68914658"/>
    <w:rsid w:val="689D2C85"/>
    <w:rsid w:val="68D20407"/>
    <w:rsid w:val="69270753"/>
    <w:rsid w:val="693271D0"/>
    <w:rsid w:val="69497DD9"/>
    <w:rsid w:val="695F76C5"/>
    <w:rsid w:val="69847953"/>
    <w:rsid w:val="698B6C49"/>
    <w:rsid w:val="699F7DD9"/>
    <w:rsid w:val="69A264C4"/>
    <w:rsid w:val="69A46E8F"/>
    <w:rsid w:val="69B30239"/>
    <w:rsid w:val="69BC3E5F"/>
    <w:rsid w:val="69BC5EB2"/>
    <w:rsid w:val="69BF7F54"/>
    <w:rsid w:val="69CE1765"/>
    <w:rsid w:val="69E0199E"/>
    <w:rsid w:val="69F44237"/>
    <w:rsid w:val="69FC5DD4"/>
    <w:rsid w:val="6A070584"/>
    <w:rsid w:val="6A1A2066"/>
    <w:rsid w:val="6A290BDE"/>
    <w:rsid w:val="6A344B55"/>
    <w:rsid w:val="6A5C2E3F"/>
    <w:rsid w:val="6A641533"/>
    <w:rsid w:val="6A705E72"/>
    <w:rsid w:val="6A731E08"/>
    <w:rsid w:val="6A837FB4"/>
    <w:rsid w:val="6A84216A"/>
    <w:rsid w:val="6A8C5E74"/>
    <w:rsid w:val="6AA135BF"/>
    <w:rsid w:val="6AAE2881"/>
    <w:rsid w:val="6AB3199A"/>
    <w:rsid w:val="6AB9197C"/>
    <w:rsid w:val="6AC33DB7"/>
    <w:rsid w:val="6ACA583A"/>
    <w:rsid w:val="6AD34F8E"/>
    <w:rsid w:val="6AE43386"/>
    <w:rsid w:val="6B070450"/>
    <w:rsid w:val="6B0E732E"/>
    <w:rsid w:val="6B102FAD"/>
    <w:rsid w:val="6B286A04"/>
    <w:rsid w:val="6B526992"/>
    <w:rsid w:val="6B543E60"/>
    <w:rsid w:val="6B5F243D"/>
    <w:rsid w:val="6B6B7CD1"/>
    <w:rsid w:val="6B6D34B6"/>
    <w:rsid w:val="6B6F1CE5"/>
    <w:rsid w:val="6B705B27"/>
    <w:rsid w:val="6B7779AC"/>
    <w:rsid w:val="6BA53BB1"/>
    <w:rsid w:val="6BC93D43"/>
    <w:rsid w:val="6BF11370"/>
    <w:rsid w:val="6C017247"/>
    <w:rsid w:val="6C111246"/>
    <w:rsid w:val="6C1737F6"/>
    <w:rsid w:val="6C2159BE"/>
    <w:rsid w:val="6C292899"/>
    <w:rsid w:val="6C3B5C05"/>
    <w:rsid w:val="6C510ED6"/>
    <w:rsid w:val="6C64444E"/>
    <w:rsid w:val="6C7E3E60"/>
    <w:rsid w:val="6C800520"/>
    <w:rsid w:val="6C851F8A"/>
    <w:rsid w:val="6CA67BE1"/>
    <w:rsid w:val="6CB0280D"/>
    <w:rsid w:val="6CBC51B3"/>
    <w:rsid w:val="6CC56895"/>
    <w:rsid w:val="6CCD21D2"/>
    <w:rsid w:val="6CD93408"/>
    <w:rsid w:val="6CE04D44"/>
    <w:rsid w:val="6CF46B9E"/>
    <w:rsid w:val="6D3C6797"/>
    <w:rsid w:val="6D5063C0"/>
    <w:rsid w:val="6D6C2BD8"/>
    <w:rsid w:val="6D71216F"/>
    <w:rsid w:val="6D764E6F"/>
    <w:rsid w:val="6D8E3E85"/>
    <w:rsid w:val="6D9B58A4"/>
    <w:rsid w:val="6DDA6CE9"/>
    <w:rsid w:val="6DDD26B6"/>
    <w:rsid w:val="6DE34159"/>
    <w:rsid w:val="6E1F725E"/>
    <w:rsid w:val="6E253A72"/>
    <w:rsid w:val="6E32457D"/>
    <w:rsid w:val="6E397AC2"/>
    <w:rsid w:val="6E407BC1"/>
    <w:rsid w:val="6E4774EA"/>
    <w:rsid w:val="6E4E6782"/>
    <w:rsid w:val="6E555D32"/>
    <w:rsid w:val="6E5B7991"/>
    <w:rsid w:val="6E7070DF"/>
    <w:rsid w:val="6E752411"/>
    <w:rsid w:val="6EA711AD"/>
    <w:rsid w:val="6EAE734F"/>
    <w:rsid w:val="6ECF0ADC"/>
    <w:rsid w:val="6ED2568B"/>
    <w:rsid w:val="6ED9641D"/>
    <w:rsid w:val="6EFE13CB"/>
    <w:rsid w:val="6F032806"/>
    <w:rsid w:val="6F0F5ABC"/>
    <w:rsid w:val="6F1D791D"/>
    <w:rsid w:val="6F412D91"/>
    <w:rsid w:val="6F525DFE"/>
    <w:rsid w:val="6F8D639E"/>
    <w:rsid w:val="6F9B2C83"/>
    <w:rsid w:val="6FC42290"/>
    <w:rsid w:val="6FD1766A"/>
    <w:rsid w:val="6FD43223"/>
    <w:rsid w:val="70220667"/>
    <w:rsid w:val="70287D90"/>
    <w:rsid w:val="70424962"/>
    <w:rsid w:val="704474DB"/>
    <w:rsid w:val="70467840"/>
    <w:rsid w:val="704853EE"/>
    <w:rsid w:val="7050250F"/>
    <w:rsid w:val="70780EB8"/>
    <w:rsid w:val="70820E94"/>
    <w:rsid w:val="708D162D"/>
    <w:rsid w:val="70A03091"/>
    <w:rsid w:val="70AA3F1C"/>
    <w:rsid w:val="70AE1CF9"/>
    <w:rsid w:val="70B52AE8"/>
    <w:rsid w:val="70D04658"/>
    <w:rsid w:val="70F05C15"/>
    <w:rsid w:val="70F75802"/>
    <w:rsid w:val="710861E7"/>
    <w:rsid w:val="711A0B9D"/>
    <w:rsid w:val="71256DE8"/>
    <w:rsid w:val="712660C0"/>
    <w:rsid w:val="71707BC0"/>
    <w:rsid w:val="7185779E"/>
    <w:rsid w:val="71873120"/>
    <w:rsid w:val="718B74B9"/>
    <w:rsid w:val="719153F8"/>
    <w:rsid w:val="71A768D5"/>
    <w:rsid w:val="71AA3671"/>
    <w:rsid w:val="71BA6875"/>
    <w:rsid w:val="71F30859"/>
    <w:rsid w:val="71F63D03"/>
    <w:rsid w:val="71FB0C49"/>
    <w:rsid w:val="720269EF"/>
    <w:rsid w:val="720B3F78"/>
    <w:rsid w:val="720F03E6"/>
    <w:rsid w:val="7218719E"/>
    <w:rsid w:val="72282293"/>
    <w:rsid w:val="722A35C3"/>
    <w:rsid w:val="72395053"/>
    <w:rsid w:val="725173BA"/>
    <w:rsid w:val="725325B9"/>
    <w:rsid w:val="7278201F"/>
    <w:rsid w:val="72915104"/>
    <w:rsid w:val="72B55021"/>
    <w:rsid w:val="72B7635C"/>
    <w:rsid w:val="72BD3ED6"/>
    <w:rsid w:val="72E732A4"/>
    <w:rsid w:val="72FA2A34"/>
    <w:rsid w:val="72FA6191"/>
    <w:rsid w:val="730D4A5C"/>
    <w:rsid w:val="73114ECF"/>
    <w:rsid w:val="7315786E"/>
    <w:rsid w:val="73160E4F"/>
    <w:rsid w:val="73385580"/>
    <w:rsid w:val="734C0DB6"/>
    <w:rsid w:val="73537424"/>
    <w:rsid w:val="7358775B"/>
    <w:rsid w:val="735B3CB4"/>
    <w:rsid w:val="73714F3A"/>
    <w:rsid w:val="73A50D66"/>
    <w:rsid w:val="73B95B91"/>
    <w:rsid w:val="73BB7E2B"/>
    <w:rsid w:val="73BE05D2"/>
    <w:rsid w:val="73D31F24"/>
    <w:rsid w:val="73DA5889"/>
    <w:rsid w:val="73E05643"/>
    <w:rsid w:val="73EB51C4"/>
    <w:rsid w:val="740F1EE5"/>
    <w:rsid w:val="740F7311"/>
    <w:rsid w:val="7432230C"/>
    <w:rsid w:val="74423D45"/>
    <w:rsid w:val="7444530C"/>
    <w:rsid w:val="74455F31"/>
    <w:rsid w:val="744A1EC3"/>
    <w:rsid w:val="744D3038"/>
    <w:rsid w:val="745B5755"/>
    <w:rsid w:val="745D7AC7"/>
    <w:rsid w:val="746B7051"/>
    <w:rsid w:val="746C04F2"/>
    <w:rsid w:val="747B39E6"/>
    <w:rsid w:val="74822595"/>
    <w:rsid w:val="749B3792"/>
    <w:rsid w:val="749E6B7F"/>
    <w:rsid w:val="74A25132"/>
    <w:rsid w:val="74BF4500"/>
    <w:rsid w:val="74CB28DA"/>
    <w:rsid w:val="74CF1C9F"/>
    <w:rsid w:val="74DD15CF"/>
    <w:rsid w:val="74DF6386"/>
    <w:rsid w:val="74E62F83"/>
    <w:rsid w:val="74F61858"/>
    <w:rsid w:val="74F63489"/>
    <w:rsid w:val="75280F57"/>
    <w:rsid w:val="7537491C"/>
    <w:rsid w:val="75481873"/>
    <w:rsid w:val="756F3E2C"/>
    <w:rsid w:val="75790D93"/>
    <w:rsid w:val="75811906"/>
    <w:rsid w:val="758718DC"/>
    <w:rsid w:val="759420B6"/>
    <w:rsid w:val="759847D9"/>
    <w:rsid w:val="759E1500"/>
    <w:rsid w:val="759E7734"/>
    <w:rsid w:val="75AC4697"/>
    <w:rsid w:val="75BE5F9B"/>
    <w:rsid w:val="75C90D89"/>
    <w:rsid w:val="75CC41F7"/>
    <w:rsid w:val="75D66E42"/>
    <w:rsid w:val="75DC4673"/>
    <w:rsid w:val="75DE7155"/>
    <w:rsid w:val="75FD13D1"/>
    <w:rsid w:val="76004F55"/>
    <w:rsid w:val="761208D0"/>
    <w:rsid w:val="76191423"/>
    <w:rsid w:val="76422779"/>
    <w:rsid w:val="76563C93"/>
    <w:rsid w:val="7672779C"/>
    <w:rsid w:val="76860674"/>
    <w:rsid w:val="76B37ACA"/>
    <w:rsid w:val="76B56691"/>
    <w:rsid w:val="76BC510B"/>
    <w:rsid w:val="76BE61A5"/>
    <w:rsid w:val="76CB1FC8"/>
    <w:rsid w:val="76CC1FEE"/>
    <w:rsid w:val="76D5235E"/>
    <w:rsid w:val="770C50D1"/>
    <w:rsid w:val="770E4D00"/>
    <w:rsid w:val="770F1D5F"/>
    <w:rsid w:val="770F2826"/>
    <w:rsid w:val="771047C7"/>
    <w:rsid w:val="772071BE"/>
    <w:rsid w:val="77300D82"/>
    <w:rsid w:val="77393D81"/>
    <w:rsid w:val="77396AF2"/>
    <w:rsid w:val="77476464"/>
    <w:rsid w:val="775874D6"/>
    <w:rsid w:val="77740C75"/>
    <w:rsid w:val="777863FA"/>
    <w:rsid w:val="778206D7"/>
    <w:rsid w:val="778A6C3B"/>
    <w:rsid w:val="778F1AA1"/>
    <w:rsid w:val="77956D04"/>
    <w:rsid w:val="779F4FC5"/>
    <w:rsid w:val="77B07B65"/>
    <w:rsid w:val="77BE1499"/>
    <w:rsid w:val="77D36156"/>
    <w:rsid w:val="77F75794"/>
    <w:rsid w:val="77FE4A2B"/>
    <w:rsid w:val="78085F9C"/>
    <w:rsid w:val="780A75BA"/>
    <w:rsid w:val="781D38C4"/>
    <w:rsid w:val="782347DB"/>
    <w:rsid w:val="782D21F0"/>
    <w:rsid w:val="784A5454"/>
    <w:rsid w:val="785369B1"/>
    <w:rsid w:val="785B6A71"/>
    <w:rsid w:val="787B63C5"/>
    <w:rsid w:val="787C56E1"/>
    <w:rsid w:val="78830ADA"/>
    <w:rsid w:val="788A4867"/>
    <w:rsid w:val="789254BD"/>
    <w:rsid w:val="78987503"/>
    <w:rsid w:val="78A37347"/>
    <w:rsid w:val="78AB7613"/>
    <w:rsid w:val="78B11857"/>
    <w:rsid w:val="78C47470"/>
    <w:rsid w:val="78CA06AC"/>
    <w:rsid w:val="78DC1420"/>
    <w:rsid w:val="78E71CAD"/>
    <w:rsid w:val="78F40F85"/>
    <w:rsid w:val="791723A2"/>
    <w:rsid w:val="791B2C6F"/>
    <w:rsid w:val="79255E95"/>
    <w:rsid w:val="793842B6"/>
    <w:rsid w:val="793B7903"/>
    <w:rsid w:val="793F7F29"/>
    <w:rsid w:val="794D611A"/>
    <w:rsid w:val="79506F7C"/>
    <w:rsid w:val="79524565"/>
    <w:rsid w:val="797439F5"/>
    <w:rsid w:val="797E6294"/>
    <w:rsid w:val="79865022"/>
    <w:rsid w:val="799534B7"/>
    <w:rsid w:val="799F3C44"/>
    <w:rsid w:val="79AF66D7"/>
    <w:rsid w:val="79B22546"/>
    <w:rsid w:val="79BE5647"/>
    <w:rsid w:val="79C63670"/>
    <w:rsid w:val="79F040FE"/>
    <w:rsid w:val="79F15379"/>
    <w:rsid w:val="79FD124D"/>
    <w:rsid w:val="7A012DEB"/>
    <w:rsid w:val="7A0A2C33"/>
    <w:rsid w:val="7A1455BB"/>
    <w:rsid w:val="7A283BF6"/>
    <w:rsid w:val="7A291E51"/>
    <w:rsid w:val="7A340652"/>
    <w:rsid w:val="7A357277"/>
    <w:rsid w:val="7A476ED2"/>
    <w:rsid w:val="7A4D5B40"/>
    <w:rsid w:val="7A4E0E1A"/>
    <w:rsid w:val="7A564827"/>
    <w:rsid w:val="7A6317E8"/>
    <w:rsid w:val="7A68501E"/>
    <w:rsid w:val="7A736BB1"/>
    <w:rsid w:val="7A823152"/>
    <w:rsid w:val="7A8A6502"/>
    <w:rsid w:val="7A9D6390"/>
    <w:rsid w:val="7AA229CC"/>
    <w:rsid w:val="7AB34569"/>
    <w:rsid w:val="7AD24DE5"/>
    <w:rsid w:val="7AEA15E0"/>
    <w:rsid w:val="7AF21EBC"/>
    <w:rsid w:val="7B014E43"/>
    <w:rsid w:val="7B064CF4"/>
    <w:rsid w:val="7B2A6C5B"/>
    <w:rsid w:val="7B310F5C"/>
    <w:rsid w:val="7B327874"/>
    <w:rsid w:val="7B3A731D"/>
    <w:rsid w:val="7B445194"/>
    <w:rsid w:val="7B4474EB"/>
    <w:rsid w:val="7B490275"/>
    <w:rsid w:val="7B4E732F"/>
    <w:rsid w:val="7B580C40"/>
    <w:rsid w:val="7B5D0891"/>
    <w:rsid w:val="7B5E3A06"/>
    <w:rsid w:val="7B6044D3"/>
    <w:rsid w:val="7B611E27"/>
    <w:rsid w:val="7B6F5957"/>
    <w:rsid w:val="7B851309"/>
    <w:rsid w:val="7B917A76"/>
    <w:rsid w:val="7BA45C93"/>
    <w:rsid w:val="7BA56DE4"/>
    <w:rsid w:val="7BA75C1E"/>
    <w:rsid w:val="7BB000EC"/>
    <w:rsid w:val="7BB82742"/>
    <w:rsid w:val="7BBA6875"/>
    <w:rsid w:val="7BBC1399"/>
    <w:rsid w:val="7BBE44AB"/>
    <w:rsid w:val="7BE86786"/>
    <w:rsid w:val="7C2D26F6"/>
    <w:rsid w:val="7C3E711F"/>
    <w:rsid w:val="7C4A67DB"/>
    <w:rsid w:val="7C504D2B"/>
    <w:rsid w:val="7C51037B"/>
    <w:rsid w:val="7C607006"/>
    <w:rsid w:val="7C625B65"/>
    <w:rsid w:val="7C6E258D"/>
    <w:rsid w:val="7C896BD7"/>
    <w:rsid w:val="7C9712F4"/>
    <w:rsid w:val="7CB21A6F"/>
    <w:rsid w:val="7CBB1486"/>
    <w:rsid w:val="7CCA16C9"/>
    <w:rsid w:val="7CE349B4"/>
    <w:rsid w:val="7CE81B50"/>
    <w:rsid w:val="7CFC04C8"/>
    <w:rsid w:val="7D08035D"/>
    <w:rsid w:val="7D1973F4"/>
    <w:rsid w:val="7D267AA6"/>
    <w:rsid w:val="7D2C1D3B"/>
    <w:rsid w:val="7D2F66F6"/>
    <w:rsid w:val="7D3E6B01"/>
    <w:rsid w:val="7D5425B8"/>
    <w:rsid w:val="7D5611AF"/>
    <w:rsid w:val="7D6326E5"/>
    <w:rsid w:val="7D6550D0"/>
    <w:rsid w:val="7D656213"/>
    <w:rsid w:val="7D6D1FE4"/>
    <w:rsid w:val="7D7F4242"/>
    <w:rsid w:val="7DBD5141"/>
    <w:rsid w:val="7DBF0B02"/>
    <w:rsid w:val="7DC22E1C"/>
    <w:rsid w:val="7DD71213"/>
    <w:rsid w:val="7DEB18F7"/>
    <w:rsid w:val="7E101E32"/>
    <w:rsid w:val="7E117627"/>
    <w:rsid w:val="7E350DC4"/>
    <w:rsid w:val="7E4038AD"/>
    <w:rsid w:val="7E6B7579"/>
    <w:rsid w:val="7E7A2C7B"/>
    <w:rsid w:val="7E8431DF"/>
    <w:rsid w:val="7E8E60C2"/>
    <w:rsid w:val="7E937914"/>
    <w:rsid w:val="7EA0304C"/>
    <w:rsid w:val="7EA31603"/>
    <w:rsid w:val="7EC67C9C"/>
    <w:rsid w:val="7EE74830"/>
    <w:rsid w:val="7EF653C8"/>
    <w:rsid w:val="7F007624"/>
    <w:rsid w:val="7F0B0713"/>
    <w:rsid w:val="7F151EF8"/>
    <w:rsid w:val="7F2048E3"/>
    <w:rsid w:val="7F2101D9"/>
    <w:rsid w:val="7F2C2F14"/>
    <w:rsid w:val="7F360540"/>
    <w:rsid w:val="7F4D0390"/>
    <w:rsid w:val="7F714512"/>
    <w:rsid w:val="7F7F7495"/>
    <w:rsid w:val="7F83430A"/>
    <w:rsid w:val="7F842003"/>
    <w:rsid w:val="7F951A62"/>
    <w:rsid w:val="7F983036"/>
    <w:rsid w:val="7FB23D95"/>
    <w:rsid w:val="7FC536D5"/>
    <w:rsid w:val="7FD36AE7"/>
    <w:rsid w:val="7FFD7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62"/>
    <w:qFormat/>
    <w:uiPriority w:val="0"/>
    <w:pPr>
      <w:keepNext/>
      <w:keepLines/>
      <w:spacing w:line="240" w:lineRule="auto"/>
      <w:jc w:val="center"/>
      <w:outlineLvl w:val="0"/>
    </w:pPr>
    <w:rPr>
      <w:rFonts w:ascii="Calibri" w:hAnsi="Calibri"/>
      <w:b/>
      <w:kern w:val="44"/>
      <w:sz w:val="36"/>
      <w:szCs w:val="22"/>
    </w:rPr>
  </w:style>
  <w:style w:type="paragraph" w:styleId="3">
    <w:name w:val="heading 2"/>
    <w:basedOn w:val="1"/>
    <w:next w:val="1"/>
    <w:qFormat/>
    <w:uiPriority w:val="0"/>
    <w:pPr>
      <w:keepNext/>
      <w:keepLines/>
      <w:widowControl w:val="0"/>
      <w:adjustRightInd w:val="0"/>
      <w:spacing w:line="360" w:lineRule="auto"/>
      <w:jc w:val="center"/>
      <w:outlineLvl w:val="1"/>
    </w:pPr>
    <w:rPr>
      <w:rFonts w:ascii="Calibri" w:hAnsi="Calibri"/>
      <w:b/>
      <w:color w:val="auto"/>
      <w:sz w:val="24"/>
    </w:rPr>
  </w:style>
  <w:style w:type="paragraph" w:styleId="4">
    <w:name w:val="heading 3"/>
    <w:basedOn w:val="1"/>
    <w:next w:val="1"/>
    <w:link w:val="86"/>
    <w:qFormat/>
    <w:uiPriority w:val="0"/>
    <w:pPr>
      <w:keepNext/>
      <w:keepLines/>
      <w:spacing w:before="140" w:after="140" w:line="240" w:lineRule="auto"/>
      <w:jc w:val="center"/>
      <w:outlineLvl w:val="2"/>
    </w:pPr>
    <w:rPr>
      <w:rFonts w:ascii="Calibri" w:hAnsi="Calibri"/>
      <w:b/>
      <w:bCs/>
      <w:sz w:val="24"/>
      <w:szCs w:val="32"/>
    </w:rPr>
  </w:style>
  <w:style w:type="paragraph" w:styleId="5">
    <w:name w:val="heading 4"/>
    <w:basedOn w:val="1"/>
    <w:next w:val="1"/>
    <w:qFormat/>
    <w:uiPriority w:val="0"/>
    <w:pPr>
      <w:keepNext/>
      <w:keepLines/>
      <w:tabs>
        <w:tab w:val="left" w:pos="864"/>
      </w:tabs>
      <w:spacing w:before="280" w:after="290" w:line="376" w:lineRule="auto"/>
      <w:ind w:left="864" w:hanging="864"/>
      <w:jc w:val="left"/>
      <w:textAlignment w:val="auto"/>
      <w:outlineLvl w:val="3"/>
    </w:pPr>
    <w:rPr>
      <w:rFonts w:ascii="Arial" w:hAnsi="Arial" w:eastAsia="黑体"/>
      <w:b/>
      <w:bCs/>
      <w:color w:val="auto"/>
      <w:sz w:val="28"/>
      <w:szCs w:val="28"/>
    </w:rPr>
  </w:style>
  <w:style w:type="paragraph" w:styleId="6">
    <w:name w:val="heading 5"/>
    <w:basedOn w:val="1"/>
    <w:next w:val="1"/>
    <w:qFormat/>
    <w:uiPriority w:val="0"/>
    <w:pPr>
      <w:keepNext/>
      <w:keepLines/>
      <w:widowControl w:val="0"/>
      <w:spacing w:before="280" w:after="290" w:line="376" w:lineRule="auto"/>
      <w:textAlignment w:val="auto"/>
      <w:outlineLvl w:val="4"/>
    </w:pPr>
    <w:rPr>
      <w:b/>
      <w:bCs/>
      <w:color w:val="auto"/>
      <w:kern w:val="2"/>
      <w:sz w:val="28"/>
      <w:szCs w:val="28"/>
    </w:rPr>
  </w:style>
  <w:style w:type="paragraph" w:styleId="7">
    <w:name w:val="heading 6"/>
    <w:basedOn w:val="1"/>
    <w:next w:val="1"/>
    <w:semiHidden/>
    <w:unhideWhenUsed/>
    <w:qFormat/>
    <w:uiPriority w:val="0"/>
    <w:pPr>
      <w:spacing w:beforeAutospacing="1" w:afterAutospacing="1"/>
      <w:jc w:val="left"/>
      <w:outlineLvl w:val="5"/>
    </w:pPr>
    <w:rPr>
      <w:rFonts w:hint="eastAsia" w:ascii="宋体" w:hAnsi="宋体"/>
      <w:b/>
      <w:bCs/>
      <w:sz w:val="15"/>
      <w:szCs w:val="15"/>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widowControl w:val="0"/>
      <w:adjustRightInd w:val="0"/>
      <w:spacing w:line="360" w:lineRule="atLeast"/>
      <w:ind w:firstLine="482"/>
    </w:pPr>
    <w:rPr>
      <w:color w:val="auto"/>
      <w:sz w:val="24"/>
    </w:rPr>
  </w:style>
  <w:style w:type="paragraph" w:styleId="10">
    <w:name w:val="caption"/>
    <w:basedOn w:val="1"/>
    <w:next w:val="1"/>
    <w:unhideWhenUsed/>
    <w:qFormat/>
    <w:uiPriority w:val="0"/>
    <w:pPr>
      <w:keepLines/>
      <w:jc w:val="center"/>
    </w:pPr>
    <w:rPr>
      <w:rFonts w:ascii="仿宋" w:hAnsi="仿宋" w:eastAsia="黑体"/>
      <w:sz w:val="24"/>
    </w:r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widowControl w:val="0"/>
      <w:snapToGrid w:val="0"/>
      <w:spacing w:line="360" w:lineRule="auto"/>
    </w:pPr>
    <w:rPr>
      <w:rFonts w:ascii="Arial" w:hAnsi="Arial" w:eastAsia="仿宋_GB2312"/>
      <w:sz w:val="31"/>
    </w:rPr>
  </w:style>
  <w:style w:type="paragraph" w:styleId="13">
    <w:name w:val="toc 3"/>
    <w:basedOn w:val="1"/>
    <w:next w:val="1"/>
    <w:qFormat/>
    <w:uiPriority w:val="0"/>
    <w:pPr>
      <w:ind w:left="840" w:leftChars="400"/>
    </w:pPr>
  </w:style>
  <w:style w:type="paragraph" w:styleId="14">
    <w:name w:val="Plain Text"/>
    <w:basedOn w:val="1"/>
    <w:qFormat/>
    <w:uiPriority w:val="0"/>
    <w:pPr>
      <w:widowControl w:val="0"/>
      <w:spacing w:line="240" w:lineRule="auto"/>
      <w:textAlignment w:val="auto"/>
    </w:pPr>
    <w:rPr>
      <w:rFonts w:ascii="宋体" w:hAnsi="Courier New"/>
      <w:color w:val="auto"/>
      <w:kern w:val="2"/>
    </w:rPr>
  </w:style>
  <w:style w:type="paragraph" w:styleId="15">
    <w:name w:val="Date"/>
    <w:basedOn w:val="1"/>
    <w:next w:val="1"/>
    <w:qFormat/>
    <w:uiPriority w:val="0"/>
    <w:pPr>
      <w:widowControl w:val="0"/>
      <w:spacing w:line="240" w:lineRule="auto"/>
      <w:textAlignment w:val="auto"/>
    </w:pPr>
    <w:rPr>
      <w:rFonts w:ascii="Arial" w:hAnsi="Arial" w:eastAsia="仿宋_GB2312"/>
      <w:color w:val="auto"/>
      <w:kern w:val="2"/>
      <w:sz w:val="32"/>
    </w:rPr>
  </w:style>
  <w:style w:type="paragraph" w:styleId="16">
    <w:name w:val="Balloon Text"/>
    <w:basedOn w:val="1"/>
    <w:link w:val="83"/>
    <w:qFormat/>
    <w:uiPriority w:val="0"/>
    <w:pPr>
      <w:spacing w:line="240" w:lineRule="auto"/>
    </w:pPr>
    <w:rPr>
      <w:sz w:val="18"/>
      <w:szCs w:val="18"/>
    </w:rPr>
  </w:style>
  <w:style w:type="paragraph" w:styleId="17">
    <w:name w:val="footer"/>
    <w:basedOn w:val="1"/>
    <w:qFormat/>
    <w:uiPriority w:val="99"/>
    <w:pPr>
      <w:tabs>
        <w:tab w:val="center" w:pos="4153"/>
        <w:tab w:val="right" w:pos="8306"/>
      </w:tabs>
      <w:snapToGrid w:val="0"/>
      <w:spacing w:line="240" w:lineRule="atLeast"/>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qFormat/>
    <w:uiPriority w:val="39"/>
  </w:style>
  <w:style w:type="paragraph" w:styleId="20">
    <w:name w:val="Body Text Indent 3"/>
    <w:basedOn w:val="1"/>
    <w:qFormat/>
    <w:uiPriority w:val="0"/>
    <w:pPr>
      <w:autoSpaceDE w:val="0"/>
      <w:autoSpaceDN w:val="0"/>
      <w:adjustRightInd w:val="0"/>
      <w:spacing w:before="120" w:line="22" w:lineRule="atLeast"/>
      <w:ind w:left="720" w:firstLine="480"/>
      <w:jc w:val="left"/>
    </w:pPr>
    <w:rPr>
      <w:rFonts w:ascii="宋体"/>
      <w:sz w:val="24"/>
    </w:rPr>
  </w:style>
  <w:style w:type="paragraph" w:styleId="21">
    <w:name w:val="toc 2"/>
    <w:basedOn w:val="1"/>
    <w:next w:val="1"/>
    <w:qFormat/>
    <w:uiPriority w:val="39"/>
    <w:pPr>
      <w:ind w:left="420" w:leftChars="200"/>
    </w:pPr>
  </w:style>
  <w:style w:type="paragraph" w:styleId="22">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23">
    <w:name w:val="Body Text First Indent"/>
    <w:basedOn w:val="12"/>
    <w:next w:val="1"/>
    <w:qFormat/>
    <w:uiPriority w:val="0"/>
    <w:pPr>
      <w:spacing w:line="240" w:lineRule="auto"/>
      <w:ind w:firstLine="420" w:firstLineChars="100"/>
    </w:pPr>
    <w:rPr>
      <w:rFonts w:ascii="Calibri" w:hAnsi="Calibri"/>
      <w:color w:val="auto"/>
      <w:sz w:val="18"/>
      <w:szCs w:val="18"/>
    </w:rPr>
  </w:style>
  <w:style w:type="table" w:styleId="25">
    <w:name w:val="Table Grid"/>
    <w:basedOn w:val="24"/>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yperlink"/>
    <w:basedOn w:val="26"/>
    <w:qFormat/>
    <w:uiPriority w:val="0"/>
    <w:rPr>
      <w:rFonts w:ascii="等线" w:hAnsi="等线" w:eastAsia="华文宋体"/>
      <w:color w:val="0000FF"/>
      <w:u w:val="single"/>
    </w:rPr>
  </w:style>
  <w:style w:type="character" w:styleId="33">
    <w:name w:val="HTML Code"/>
    <w:basedOn w:val="26"/>
    <w:qFormat/>
    <w:uiPriority w:val="0"/>
    <w:rPr>
      <w:rFonts w:ascii="Consolas" w:hAnsi="Consolas" w:eastAsia="Consolas" w:cs="Consolas"/>
      <w:color w:val="C7254E"/>
      <w:sz w:val="21"/>
      <w:szCs w:val="21"/>
      <w:shd w:val="clear" w:color="auto" w:fill="F9F2F4"/>
    </w:rPr>
  </w:style>
  <w:style w:type="character" w:styleId="34">
    <w:name w:val="HTML Keyboard"/>
    <w:basedOn w:val="26"/>
    <w:qFormat/>
    <w:uiPriority w:val="0"/>
    <w:rPr>
      <w:rFonts w:hint="default" w:ascii="Consolas" w:hAnsi="Consolas" w:eastAsia="Consolas" w:cs="Consolas"/>
      <w:color w:val="FFFFFF"/>
      <w:sz w:val="21"/>
      <w:szCs w:val="21"/>
      <w:shd w:val="clear" w:color="auto" w:fill="333333"/>
    </w:rPr>
  </w:style>
  <w:style w:type="character" w:styleId="35">
    <w:name w:val="HTML Sample"/>
    <w:basedOn w:val="26"/>
    <w:qFormat/>
    <w:uiPriority w:val="0"/>
    <w:rPr>
      <w:rFonts w:hint="default" w:ascii="Consolas" w:hAnsi="Consolas" w:eastAsia="Consolas" w:cs="Consolas"/>
      <w:sz w:val="21"/>
      <w:szCs w:val="21"/>
    </w:rPr>
  </w:style>
  <w:style w:type="paragraph" w:customStyle="1" w:styleId="36">
    <w:name w:val="Char"/>
    <w:basedOn w:val="1"/>
    <w:autoRedefine/>
    <w:qFormat/>
    <w:uiPriority w:val="99"/>
    <w:pPr>
      <w:ind w:left="840" w:hanging="420"/>
    </w:pPr>
    <w:rPr>
      <w:rFonts w:hAnsi="Calibri"/>
    </w:rPr>
  </w:style>
  <w:style w:type="paragraph" w:customStyle="1" w:styleId="37">
    <w:name w:val="表格文字"/>
    <w:basedOn w:val="1"/>
    <w:qFormat/>
    <w:uiPriority w:val="99"/>
    <w:pPr>
      <w:adjustRightInd w:val="0"/>
      <w:spacing w:line="420" w:lineRule="atLeast"/>
      <w:jc w:val="left"/>
    </w:pPr>
  </w:style>
  <w:style w:type="character" w:customStyle="1" w:styleId="38">
    <w:name w:val="标题 1 Char"/>
    <w:qFormat/>
    <w:uiPriority w:val="0"/>
    <w:rPr>
      <w:rFonts w:ascii="Calibri" w:hAnsi="Calibri" w:eastAsia="宋体" w:cs="Times New Roman"/>
      <w:b/>
      <w:kern w:val="44"/>
      <w:sz w:val="36"/>
      <w:szCs w:val="22"/>
    </w:rPr>
  </w:style>
  <w:style w:type="paragraph" w:customStyle="1" w:styleId="3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1">
    <w:name w:val="标题 3 Char"/>
    <w:qFormat/>
    <w:uiPriority w:val="0"/>
    <w:rPr>
      <w:rFonts w:ascii="Calibri" w:hAnsi="Calibri" w:eastAsia="宋体"/>
      <w:b/>
      <w:bCs/>
      <w:sz w:val="24"/>
      <w:szCs w:val="32"/>
    </w:rPr>
  </w:style>
  <w:style w:type="paragraph" w:customStyle="1" w:styleId="4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3">
    <w:name w:val="_Style 2"/>
    <w:basedOn w:val="2"/>
    <w:next w:val="1"/>
    <w:qFormat/>
    <w:uiPriority w:val="0"/>
    <w:pPr>
      <w:outlineLvl w:val="9"/>
    </w:pPr>
  </w:style>
  <w:style w:type="paragraph" w:customStyle="1" w:styleId="44">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45">
    <w:name w:val="title1"/>
    <w:basedOn w:val="1"/>
    <w:qFormat/>
    <w:uiPriority w:val="0"/>
    <w:pPr>
      <w:spacing w:before="120"/>
      <w:jc w:val="left"/>
    </w:pPr>
    <w:rPr>
      <w:b/>
      <w:sz w:val="18"/>
      <w:szCs w:val="18"/>
    </w:rPr>
  </w:style>
  <w:style w:type="character" w:customStyle="1" w:styleId="46">
    <w:name w:val="hour_am"/>
    <w:basedOn w:val="26"/>
    <w:qFormat/>
    <w:uiPriority w:val="0"/>
  </w:style>
  <w:style w:type="character" w:customStyle="1" w:styleId="47">
    <w:name w:val="hover3"/>
    <w:basedOn w:val="26"/>
    <w:qFormat/>
    <w:uiPriority w:val="0"/>
    <w:rPr>
      <w:shd w:val="clear" w:color="auto" w:fill="EEEEEE"/>
    </w:rPr>
  </w:style>
  <w:style w:type="character" w:customStyle="1" w:styleId="48">
    <w:name w:val="old"/>
    <w:basedOn w:val="26"/>
    <w:qFormat/>
    <w:uiPriority w:val="0"/>
    <w:rPr>
      <w:color w:val="999999"/>
    </w:rPr>
  </w:style>
  <w:style w:type="character" w:customStyle="1" w:styleId="49">
    <w:name w:val="glyphicon4"/>
    <w:basedOn w:val="26"/>
    <w:qFormat/>
    <w:uiPriority w:val="0"/>
  </w:style>
  <w:style w:type="character" w:customStyle="1" w:styleId="50">
    <w:name w:val="hour_pm"/>
    <w:basedOn w:val="26"/>
    <w:qFormat/>
    <w:uiPriority w:val="0"/>
  </w:style>
  <w:style w:type="character" w:customStyle="1" w:styleId="51">
    <w:name w:val="indent"/>
    <w:basedOn w:val="26"/>
    <w:qFormat/>
    <w:uiPriority w:val="0"/>
  </w:style>
  <w:style w:type="character" w:customStyle="1" w:styleId="52">
    <w:name w:val="button"/>
    <w:basedOn w:val="26"/>
    <w:qFormat/>
    <w:uiPriority w:val="0"/>
  </w:style>
  <w:style w:type="character" w:customStyle="1" w:styleId="53">
    <w:name w:val="tmpztreemove_arrow"/>
    <w:basedOn w:val="26"/>
    <w:qFormat/>
    <w:uiPriority w:val="0"/>
    <w:rPr>
      <w:shd w:val="clear" w:color="auto" w:fill="FFFFFF"/>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正文缩进1"/>
    <w:basedOn w:val="1"/>
    <w:qFormat/>
    <w:uiPriority w:val="0"/>
    <w:pPr>
      <w:autoSpaceDE w:val="0"/>
      <w:autoSpaceDN w:val="0"/>
      <w:adjustRightInd w:val="0"/>
      <w:ind w:firstLine="420"/>
      <w:jc w:val="left"/>
    </w:pPr>
    <w:rPr>
      <w:rFonts w:ascii="宋体" w:hAnsi="宋体"/>
      <w:sz w:val="24"/>
    </w:rPr>
  </w:style>
  <w:style w:type="paragraph" w:customStyle="1" w:styleId="56">
    <w:name w:val="纯文本1"/>
    <w:basedOn w:val="1"/>
    <w:qFormat/>
    <w:uiPriority w:val="0"/>
    <w:rPr>
      <w:rFonts w:ascii="宋体" w:hAnsi="Courier New" w:cs="Courier New"/>
      <w:szCs w:val="21"/>
    </w:rPr>
  </w:style>
  <w:style w:type="character" w:customStyle="1" w:styleId="57">
    <w:name w:val="hover"/>
    <w:basedOn w:val="26"/>
    <w:qFormat/>
    <w:uiPriority w:val="0"/>
    <w:rPr>
      <w:shd w:val="clear" w:color="auto" w:fill="EEEEEE"/>
    </w:rPr>
  </w:style>
  <w:style w:type="character" w:customStyle="1" w:styleId="58">
    <w:name w:val="glyphicon"/>
    <w:basedOn w:val="26"/>
    <w:qFormat/>
    <w:uiPriority w:val="0"/>
  </w:style>
  <w:style w:type="paragraph" w:styleId="59">
    <w:name w:val="List Paragraph"/>
    <w:basedOn w:val="1"/>
    <w:unhideWhenUsed/>
    <w:qFormat/>
    <w:uiPriority w:val="99"/>
    <w:pPr>
      <w:ind w:firstLine="420" w:firstLineChars="200"/>
    </w:pPr>
  </w:style>
  <w:style w:type="paragraph" w:customStyle="1" w:styleId="60">
    <w:name w:val="BodyText"/>
    <w:basedOn w:val="1"/>
    <w:qFormat/>
    <w:uiPriority w:val="0"/>
    <w:pPr>
      <w:spacing w:line="240" w:lineRule="auto"/>
      <w:jc w:val="left"/>
    </w:pPr>
    <w:rPr>
      <w:rFonts w:ascii="Calibri" w:hAnsi="Calibri"/>
      <w:b/>
      <w:kern w:val="2"/>
      <w:szCs w:val="24"/>
    </w:rPr>
  </w:style>
  <w:style w:type="paragraph" w:customStyle="1" w:styleId="61">
    <w:name w:val="UserStyle_1"/>
    <w:basedOn w:val="1"/>
    <w:next w:val="1"/>
    <w:qFormat/>
    <w:uiPriority w:val="0"/>
    <w:pPr>
      <w:spacing w:line="240" w:lineRule="auto"/>
      <w:jc w:val="left"/>
    </w:pPr>
  </w:style>
  <w:style w:type="character" w:customStyle="1" w:styleId="62">
    <w:name w:val="标题 1 字符"/>
    <w:link w:val="2"/>
    <w:qFormat/>
    <w:uiPriority w:val="9"/>
    <w:rPr>
      <w:rFonts w:ascii="宋体"/>
      <w:b/>
      <w:kern w:val="44"/>
      <w:sz w:val="32"/>
    </w:rPr>
  </w:style>
  <w:style w:type="character" w:customStyle="1" w:styleId="63">
    <w:name w:val="font91"/>
    <w:basedOn w:val="26"/>
    <w:qFormat/>
    <w:uiPriority w:val="0"/>
    <w:rPr>
      <w:rFonts w:ascii="Wingdings 2" w:hAnsi="Wingdings 2" w:eastAsia="Wingdings 2" w:cs="Wingdings 2"/>
      <w:color w:val="000000"/>
      <w:sz w:val="18"/>
      <w:szCs w:val="18"/>
      <w:u w:val="none"/>
    </w:rPr>
  </w:style>
  <w:style w:type="character" w:customStyle="1" w:styleId="64">
    <w:name w:val="font81"/>
    <w:basedOn w:val="26"/>
    <w:qFormat/>
    <w:uiPriority w:val="0"/>
    <w:rPr>
      <w:rFonts w:hint="eastAsia" w:ascii="宋体" w:hAnsi="宋体" w:eastAsia="宋体" w:cs="宋体"/>
      <w:b/>
      <w:color w:val="000000"/>
      <w:sz w:val="20"/>
      <w:szCs w:val="20"/>
      <w:u w:val="none"/>
    </w:rPr>
  </w:style>
  <w:style w:type="paragraph" w:customStyle="1" w:styleId="65">
    <w:name w:val="正文样式"/>
    <w:qFormat/>
    <w:uiPriority w:val="0"/>
    <w:pPr>
      <w:widowControl w:val="0"/>
      <w:spacing w:line="360" w:lineRule="auto"/>
      <w:ind w:firstLine="480" w:firstLineChars="200"/>
      <w:jc w:val="both"/>
    </w:pPr>
    <w:rPr>
      <w:rFonts w:ascii="Times New Roman" w:hAnsi="Times New Roman" w:eastAsia="宋体" w:cs="Times New Roman"/>
      <w:sz w:val="24"/>
      <w:szCs w:val="28"/>
      <w:lang w:val="en-US" w:eastAsia="zh-CN" w:bidi="ar-SA"/>
    </w:rPr>
  </w:style>
  <w:style w:type="paragraph" w:customStyle="1" w:styleId="66">
    <w:name w:val="标题前缀"/>
    <w:qFormat/>
    <w:uiPriority w:val="0"/>
    <w:pPr>
      <w:tabs>
        <w:tab w:val="left" w:pos="5550"/>
      </w:tabs>
      <w:spacing w:line="360" w:lineRule="auto"/>
      <w:jc w:val="center"/>
    </w:pPr>
    <w:rPr>
      <w:rFonts w:ascii="Arial" w:hAnsi="Arial" w:eastAsia="黑体" w:cs="Calibri"/>
      <w:kern w:val="2"/>
      <w:sz w:val="36"/>
      <w:lang w:val="zh-CN" w:eastAsia="zh-CN" w:bidi="ar-SA"/>
    </w:rPr>
  </w:style>
  <w:style w:type="paragraph" w:customStyle="1" w:styleId="67">
    <w:name w:val="Normal_34_0"/>
    <w:qFormat/>
    <w:uiPriority w:val="99"/>
    <w:pPr>
      <w:spacing w:before="120" w:after="240"/>
      <w:jc w:val="both"/>
    </w:pPr>
    <w:rPr>
      <w:rFonts w:ascii="Calibri" w:hAnsi="Calibri" w:eastAsia="宋体" w:cs="Times New Roman"/>
      <w:sz w:val="22"/>
      <w:szCs w:val="22"/>
      <w:lang w:val="en-US" w:eastAsia="en-US" w:bidi="ar-SA"/>
    </w:rPr>
  </w:style>
  <w:style w:type="character" w:customStyle="1" w:styleId="68">
    <w:name w:val="phone"/>
    <w:basedOn w:val="26"/>
    <w:qFormat/>
    <w:uiPriority w:val="0"/>
    <w:rPr>
      <w:color w:val="FF8833"/>
      <w:sz w:val="18"/>
      <w:szCs w:val="18"/>
    </w:rPr>
  </w:style>
  <w:style w:type="paragraph" w:customStyle="1" w:styleId="69">
    <w:name w:val="title12"/>
    <w:basedOn w:val="1"/>
    <w:qFormat/>
    <w:uiPriority w:val="0"/>
    <w:pPr>
      <w:spacing w:before="150"/>
      <w:jc w:val="left"/>
    </w:pPr>
    <w:rPr>
      <w:b/>
      <w:bCs/>
      <w:sz w:val="22"/>
      <w:szCs w:val="22"/>
    </w:rPr>
  </w:style>
  <w:style w:type="character" w:customStyle="1" w:styleId="70">
    <w:name w:val="proollist"/>
    <w:basedOn w:val="26"/>
    <w:qFormat/>
    <w:uiPriority w:val="0"/>
  </w:style>
  <w:style w:type="character" w:customStyle="1" w:styleId="71">
    <w:name w:val="beforeinfotext"/>
    <w:basedOn w:val="26"/>
    <w:qFormat/>
    <w:uiPriority w:val="0"/>
    <w:rPr>
      <w:color w:val="666666"/>
    </w:rPr>
  </w:style>
  <w:style w:type="character" w:customStyle="1" w:styleId="72">
    <w:name w:val="number"/>
    <w:basedOn w:val="26"/>
    <w:qFormat/>
    <w:uiPriority w:val="0"/>
    <w:rPr>
      <w:color w:val="FF8833"/>
      <w:sz w:val="18"/>
      <w:szCs w:val="18"/>
    </w:rPr>
  </w:style>
  <w:style w:type="character" w:customStyle="1" w:styleId="73">
    <w:name w:val="stclosebtn"/>
    <w:basedOn w:val="26"/>
    <w:qFormat/>
    <w:uiPriority w:val="0"/>
  </w:style>
  <w:style w:type="character" w:customStyle="1" w:styleId="74">
    <w:name w:val="span-long"/>
    <w:basedOn w:val="26"/>
    <w:qFormat/>
    <w:uiPriority w:val="0"/>
  </w:style>
  <w:style w:type="character" w:customStyle="1" w:styleId="75">
    <w:name w:val="input-direction"/>
    <w:basedOn w:val="26"/>
    <w:qFormat/>
    <w:uiPriority w:val="0"/>
    <w:rPr>
      <w:color w:val="FF6600"/>
    </w:rPr>
  </w:style>
  <w:style w:type="character" w:customStyle="1" w:styleId="76">
    <w:name w:val="hilite"/>
    <w:basedOn w:val="26"/>
    <w:qFormat/>
    <w:uiPriority w:val="0"/>
    <w:rPr>
      <w:color w:val="FFFFFF"/>
      <w:shd w:val="clear" w:color="auto" w:fill="666677"/>
    </w:rPr>
  </w:style>
  <w:style w:type="character" w:customStyle="1" w:styleId="77">
    <w:name w:val="active"/>
    <w:basedOn w:val="26"/>
    <w:qFormat/>
    <w:uiPriority w:val="0"/>
    <w:rPr>
      <w:color w:val="00FF00"/>
      <w:shd w:val="clear" w:color="auto" w:fill="000000"/>
    </w:rPr>
  </w:style>
  <w:style w:type="character" w:customStyle="1" w:styleId="78">
    <w:name w:val="button2"/>
    <w:basedOn w:val="26"/>
    <w:qFormat/>
    <w:uiPriority w:val="0"/>
  </w:style>
  <w:style w:type="character" w:customStyle="1" w:styleId="79">
    <w:name w:val="font71"/>
    <w:basedOn w:val="26"/>
    <w:qFormat/>
    <w:uiPriority w:val="0"/>
    <w:rPr>
      <w:rFonts w:hint="eastAsia" w:ascii="宋体" w:hAnsi="宋体" w:eastAsia="宋体" w:cs="宋体"/>
      <w:color w:val="000000"/>
      <w:sz w:val="21"/>
      <w:szCs w:val="21"/>
      <w:u w:val="none"/>
    </w:rPr>
  </w:style>
  <w:style w:type="character" w:customStyle="1" w:styleId="80">
    <w:name w:val="font61"/>
    <w:basedOn w:val="26"/>
    <w:qFormat/>
    <w:uiPriority w:val="0"/>
    <w:rPr>
      <w:rFonts w:hint="eastAsia" w:ascii="宋体" w:hAnsi="宋体" w:eastAsia="宋体" w:cs="宋体"/>
      <w:color w:val="000000"/>
      <w:sz w:val="21"/>
      <w:szCs w:val="21"/>
      <w:u w:val="none"/>
    </w:rPr>
  </w:style>
  <w:style w:type="paragraph" w:customStyle="1" w:styleId="81">
    <w:name w:val="内容"/>
    <w:qFormat/>
    <w:uiPriority w:val="0"/>
    <w:pPr>
      <w:spacing w:line="360" w:lineRule="auto"/>
      <w:ind w:firstLine="1044" w:firstLineChars="200"/>
    </w:pPr>
    <w:rPr>
      <w:rFonts w:ascii="Times New Roman" w:hAnsi="Times New Roman" w:eastAsia="宋体" w:cs="Times New Roman"/>
      <w:sz w:val="24"/>
      <w:lang w:val="en-US" w:eastAsia="zh-CN" w:bidi="ar-SA"/>
    </w:rPr>
  </w:style>
  <w:style w:type="paragraph" w:customStyle="1" w:styleId="82">
    <w:name w:val="Table Paragraph"/>
    <w:basedOn w:val="1"/>
    <w:qFormat/>
    <w:uiPriority w:val="1"/>
  </w:style>
  <w:style w:type="character" w:customStyle="1" w:styleId="83">
    <w:name w:val="批注框文本 字符"/>
    <w:basedOn w:val="26"/>
    <w:link w:val="16"/>
    <w:qFormat/>
    <w:uiPriority w:val="0"/>
    <w:rPr>
      <w:color w:val="000000"/>
      <w:sz w:val="18"/>
      <w:szCs w:val="18"/>
      <w:u w:color="000000"/>
    </w:rPr>
  </w:style>
  <w:style w:type="paragraph" w:customStyle="1" w:styleId="84">
    <w:name w:val="_Style 80"/>
    <w:basedOn w:val="1"/>
    <w:next w:val="1"/>
    <w:qFormat/>
    <w:uiPriority w:val="0"/>
    <w:pPr>
      <w:pBdr>
        <w:bottom w:val="single" w:color="auto" w:sz="6" w:space="1"/>
      </w:pBdr>
      <w:jc w:val="center"/>
    </w:pPr>
    <w:rPr>
      <w:rFonts w:ascii="Arial"/>
      <w:vanish/>
      <w:sz w:val="16"/>
    </w:rPr>
  </w:style>
  <w:style w:type="paragraph" w:customStyle="1" w:styleId="85">
    <w:name w:val="_Style 81"/>
    <w:basedOn w:val="1"/>
    <w:next w:val="1"/>
    <w:qFormat/>
    <w:uiPriority w:val="0"/>
    <w:pPr>
      <w:pBdr>
        <w:top w:val="single" w:color="auto" w:sz="6" w:space="1"/>
      </w:pBdr>
      <w:jc w:val="center"/>
    </w:pPr>
    <w:rPr>
      <w:rFonts w:ascii="Arial"/>
      <w:vanish/>
      <w:sz w:val="16"/>
    </w:rPr>
  </w:style>
  <w:style w:type="character" w:customStyle="1" w:styleId="86">
    <w:name w:val="标题 3 字符"/>
    <w:link w:val="4"/>
    <w:qFormat/>
    <w:uiPriority w:val="0"/>
    <w:rPr>
      <w:rFonts w:ascii="Times New Roman" w:hAnsi="Times New Roman" w:eastAsia="宋体"/>
      <w:b/>
      <w:bCs/>
      <w:sz w:val="28"/>
      <w:szCs w:val="32"/>
    </w:rPr>
  </w:style>
  <w:style w:type="table" w:customStyle="1" w:styleId="87">
    <w:name w:val="Table Normal"/>
    <w:semiHidden/>
    <w:unhideWhenUsed/>
    <w:qFormat/>
    <w:uiPriority w:val="0"/>
    <w:tblPr>
      <w:tblCellMar>
        <w:top w:w="0" w:type="dxa"/>
        <w:left w:w="0" w:type="dxa"/>
        <w:bottom w:w="0" w:type="dxa"/>
        <w:right w:w="0" w:type="dxa"/>
      </w:tblCellMar>
    </w:tblPr>
  </w:style>
  <w:style w:type="character" w:customStyle="1" w:styleId="88">
    <w:name w:val="font31"/>
    <w:basedOn w:val="26"/>
    <w:qFormat/>
    <w:uiPriority w:val="0"/>
    <w:rPr>
      <w:rFonts w:hint="default" w:ascii="Times New Roman" w:hAnsi="Times New Roman" w:cs="Times New Roman"/>
      <w:color w:val="000000"/>
      <w:sz w:val="22"/>
      <w:szCs w:val="22"/>
      <w:u w:val="none"/>
    </w:rPr>
  </w:style>
  <w:style w:type="character" w:customStyle="1" w:styleId="89">
    <w:name w:val="font21"/>
    <w:basedOn w:val="26"/>
    <w:qFormat/>
    <w:uiPriority w:val="0"/>
    <w:rPr>
      <w:rFonts w:hint="eastAsia" w:ascii="宋体" w:hAnsi="宋体" w:eastAsia="宋体" w:cs="宋体"/>
      <w:color w:val="000000"/>
      <w:sz w:val="22"/>
      <w:szCs w:val="22"/>
      <w:u w:val="none"/>
    </w:rPr>
  </w:style>
  <w:style w:type="character" w:customStyle="1" w:styleId="90">
    <w:name w:val="font41"/>
    <w:basedOn w:val="2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47</Pages>
  <Words>2317</Words>
  <Characters>2713</Characters>
  <Lines>944</Lines>
  <Paragraphs>922</Paragraphs>
  <TotalTime>2</TotalTime>
  <ScaleCrop>false</ScaleCrop>
  <LinksUpToDate>false</LinksUpToDate>
  <CharactersWithSpaces>2794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2025-06-19T09:34:00Z</dcterms:created>
  <dc:creator>Administrator</dc:creator>
  <cp:lastModifiedBy>Hanson 汉森</cp:lastModifiedBy>
  <cp:lastPrinted>2022-06-09T09:44:00Z</cp:lastPrinted>
  <dcterms:modified xsi:type="dcterms:W3CDTF">2025-07-04T09:50:47Z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06C781A924A84053A5E48888DAF433BD_13</vt:lpwstr>
  </property>
  <property fmtid="{D5CDD505-2E9C-101B-9397-08002B2CF9AE}" pid="4" name="KSOTemplateDocerSaveRecord">
    <vt:lpwstr>eyJoZGlkIjoiMDk3Y2Y1MjYwZDg0YjIxNDdiNGQwOWUxMDA2MzhjNGUiLCJ1c2VySWQiOiI1MTAwOTgyNjgifQ==</vt:lpwstr>
  </property>
</Properties>
</file>